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0"/>
        </w:trPr>
        <w:tc>
          <w:tcPr>
            <w:tcW w:w="1440" w:type="dxa"/>
            <w:vAlign w:val="bottom"/>
            <w:gridSpan w:val="5"/>
          </w:tcPr>
          <w:p>
            <w:pPr>
              <w:spacing w:after="0"/>
              <w:rPr>
                <w:sz w:val="20"/>
                <w:szCs w:val="20"/>
                <w:color w:val="auto"/>
              </w:rPr>
            </w:pPr>
            <w:r>
              <w:rPr>
                <w:rFonts w:ascii="Arial" w:cs="Arial" w:eastAsia="Arial" w:hAnsi="Arial"/>
                <w:sz w:val="20"/>
                <w:szCs w:val="20"/>
                <w:color w:val="auto"/>
              </w:rPr>
              <w:t>SEC Form 4</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60" w:type="dxa"/>
            <w:vAlign w:val="bottom"/>
            <w:gridSpan w:val="3"/>
          </w:tcPr>
          <w:p>
            <w:pPr>
              <w:ind w:left="60"/>
              <w:spacing w:after="0" w:line="263" w:lineRule="exact"/>
              <w:rPr>
                <w:sz w:val="20"/>
                <w:szCs w:val="20"/>
                <w:color w:val="auto"/>
              </w:rPr>
            </w:pPr>
            <w:r>
              <w:rPr>
                <w:rFonts w:ascii="Arial" w:cs="Arial" w:eastAsia="Arial" w:hAnsi="Arial"/>
                <w:sz w:val="23"/>
                <w:szCs w:val="23"/>
                <w:b w:val="1"/>
                <w:bCs w:val="1"/>
                <w:color w:val="auto"/>
              </w:rPr>
              <w:t>FORM 4</w:t>
            </w:r>
          </w:p>
        </w:tc>
        <w:tc>
          <w:tcPr>
            <w:tcW w:w="6240" w:type="dxa"/>
            <w:vAlign w:val="bottom"/>
            <w:gridSpan w:val="19"/>
          </w:tcPr>
          <w:p>
            <w:pPr>
              <w:jc w:val="center"/>
              <w:ind w:right="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80" w:type="dxa"/>
            <w:vAlign w:val="bottom"/>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gridSpan w:val="4"/>
            <w:vMerge w:val="restart"/>
          </w:tcPr>
          <w:p>
            <w:pPr>
              <w:jc w:val="center"/>
              <w:ind w:left="42"/>
              <w:spacing w:after="0" w:line="140" w:lineRule="exact"/>
              <w:rPr>
                <w:sz w:val="20"/>
                <w:szCs w:val="20"/>
                <w:color w:val="auto"/>
              </w:rPr>
            </w:pPr>
            <w:r>
              <w:rPr>
                <w:rFonts w:ascii="Arial" w:cs="Arial" w:eastAsia="Arial" w:hAnsi="Arial"/>
                <w:sz w:val="13"/>
                <w:szCs w:val="13"/>
                <w:color w:val="auto"/>
                <w:w w:val="97"/>
              </w:rPr>
              <w:t>Washington, D.C. 20549</w:t>
            </w: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8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4"/>
            <w:vMerge w:val="restart"/>
          </w:tcPr>
          <w:p>
            <w:pPr>
              <w:ind w:left="240"/>
              <w:spacing w:after="0"/>
              <w:rPr>
                <w:sz w:val="20"/>
                <w:szCs w:val="20"/>
                <w:color w:val="auto"/>
              </w:rPr>
            </w:pPr>
            <w:r>
              <w:rPr>
                <w:rFonts w:ascii="Arial" w:cs="Arial" w:eastAsia="Arial" w:hAnsi="Arial"/>
                <w:sz w:val="11"/>
                <w:szCs w:val="11"/>
                <w:color w:val="auto"/>
              </w:rPr>
              <w:t>Check this box if no longer subject to</w:t>
            </w:r>
          </w:p>
        </w:tc>
        <w:tc>
          <w:tcPr>
            <w:tcW w:w="6240" w:type="dxa"/>
            <w:vAlign w:val="bottom"/>
            <w:gridSpan w:val="19"/>
            <w:vMerge w:val="restart"/>
          </w:tcPr>
          <w:p>
            <w:pPr>
              <w:jc w:val="center"/>
              <w:ind w:right="9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4"/>
            <w:vMerge w:val="continue"/>
          </w:tcPr>
          <w:p>
            <w:pPr>
              <w:spacing w:after="0"/>
              <w:rPr>
                <w:sz w:val="12"/>
                <w:szCs w:val="12"/>
                <w:color w:val="auto"/>
              </w:rPr>
            </w:pPr>
          </w:p>
        </w:tc>
        <w:tc>
          <w:tcPr>
            <w:tcW w:w="6240" w:type="dxa"/>
            <w:vAlign w:val="bottom"/>
            <w:gridSpan w:val="19"/>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4"/>
          </w:tcPr>
          <w:p>
            <w:pPr>
              <w:ind w:left="240"/>
              <w:spacing w:after="0"/>
              <w:rPr>
                <w:sz w:val="20"/>
                <w:szCs w:val="20"/>
                <w:color w:val="auto"/>
              </w:rPr>
            </w:pPr>
            <w:r>
              <w:rPr>
                <w:rFonts w:ascii="Arial" w:cs="Arial" w:eastAsia="Arial" w:hAnsi="Arial"/>
                <w:sz w:val="11"/>
                <w:szCs w:val="11"/>
                <w:color w:val="auto"/>
              </w:rPr>
              <w:t>Section 16. Form 4 or Form 5</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gridSpan w:val="8"/>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4"/>
          </w:tcPr>
          <w:p>
            <w:pPr>
              <w:ind w:left="24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520" w:type="dxa"/>
            <w:vAlign w:val="bottom"/>
            <w:gridSpan w:val="15"/>
            <w:vMerge w:val="restart"/>
          </w:tcPr>
          <w:p>
            <w:pPr>
              <w:jc w:val="center"/>
              <w:ind w:right="520"/>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20" w:type="dxa"/>
            <w:vAlign w:val="bottom"/>
            <w:gridSpan w:val="2"/>
            <w:vMerge w:val="restart"/>
          </w:tcPr>
          <w:p>
            <w:pPr>
              <w:ind w:left="240"/>
              <w:spacing w:after="0" w:line="92" w:lineRule="exact"/>
              <w:rPr>
                <w:sz w:val="20"/>
                <w:szCs w:val="20"/>
                <w:color w:val="auto"/>
              </w:rPr>
            </w:pPr>
            <w:r>
              <w:rPr>
                <w:rFonts w:ascii="Arial" w:cs="Arial" w:eastAsia="Arial" w:hAnsi="Arial"/>
                <w:sz w:val="10"/>
                <w:szCs w:val="10"/>
                <w:color w:val="auto"/>
              </w:rPr>
              <w:t>Instruction 1(b).</w:t>
            </w: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520" w:type="dxa"/>
            <w:vAlign w:val="bottom"/>
            <w:gridSpan w:val="15"/>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20" w:type="dxa"/>
            <w:vAlign w:val="bottom"/>
            <w:gridSpan w:val="15"/>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8"/>
          </w:tcPr>
          <w:p>
            <w:pPr>
              <w:jc w:val="center"/>
              <w:ind w:right="155"/>
              <w:spacing w:after="0"/>
              <w:rPr>
                <w:sz w:val="20"/>
                <w:szCs w:val="20"/>
                <w:color w:val="auto"/>
              </w:rPr>
            </w:pPr>
            <w:r>
              <w:rPr>
                <w:rFonts w:ascii="Arial" w:cs="Arial" w:eastAsia="Arial" w:hAnsi="Arial"/>
                <w:sz w:val="13"/>
                <w:szCs w:val="13"/>
                <w:color w:val="auto"/>
                <w:w w:val="98"/>
              </w:rPr>
              <w:t>or Section 30(h) of the Investment Company Act of 1940</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80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gridSpan w:val="6"/>
          </w:tcPr>
          <w:p>
            <w:pPr>
              <w:ind w:left="60"/>
              <w:spacing w:after="0" w:line="204"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3"/>
            <w:vMerge w:val="restart"/>
          </w:tcPr>
          <w:p>
            <w:pPr>
              <w:spacing w:after="0"/>
              <w:rPr>
                <w:rFonts w:ascii="Arial" w:cs="Arial" w:eastAsia="Arial" w:hAnsi="Arial"/>
                <w:sz w:val="20"/>
                <w:szCs w:val="20"/>
                <w:color w:val="0000EE"/>
                <w:w w:val="93"/>
              </w:rPr>
            </w:pPr>
            <w:hyperlink r:id="rId8">
              <w:r>
                <w:rPr>
                  <w:rFonts w:ascii="Arial" w:cs="Arial" w:eastAsia="Arial" w:hAnsi="Arial"/>
                  <w:sz w:val="20"/>
                  <w:szCs w:val="20"/>
                  <w:color w:val="0000EE"/>
                  <w:w w:val="93"/>
                </w:rPr>
                <w:t>Davis Brian Edward</w:t>
              </w:r>
            </w:hyperlink>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80" w:type="dxa"/>
            <w:vAlign w:val="bottom"/>
            <w:gridSpan w:val="18"/>
          </w:tcPr>
          <w:p>
            <w:pPr>
              <w:ind w:left="60"/>
              <w:spacing w:after="0" w:line="166" w:lineRule="exact"/>
              <w:rPr>
                <w:rFonts w:ascii="Arial" w:cs="Arial" w:eastAsia="Arial" w:hAnsi="Arial"/>
                <w:sz w:val="16"/>
                <w:szCs w:val="16"/>
                <w:color w:val="0000EE"/>
              </w:rPr>
            </w:pPr>
            <w:hyperlink r:id="rId9">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SNCY</w:t>
            </w:r>
            <w:r>
              <w:rPr>
                <w:rFonts w:ascii="Arial" w:cs="Arial" w:eastAsia="Arial" w:hAnsi="Arial"/>
                <w:sz w:val="16"/>
                <w:szCs w:val="16"/>
                <w:color w:val="0000EE"/>
              </w:rPr>
              <w:t xml:space="preserve"> </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9"/>
                <w:szCs w:val="19"/>
                <w:color w:val="000000"/>
                <w:vertAlign w:val="superscript"/>
              </w:rPr>
              <w:t>(Check all applicable)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60" w:type="dxa"/>
            <w:vAlign w:val="bottom"/>
            <w:tcBorders>
              <w:bottom w:val="single" w:sz="8" w:color="0000EE"/>
            </w:tcBorders>
            <w:gridSpan w:val="3"/>
            <w:vMerge w:val="continue"/>
          </w:tcPr>
          <w:p>
            <w:pPr>
              <w:spacing w:after="0"/>
              <w:rPr>
                <w:sz w:val="5"/>
                <w:szCs w:val="5"/>
                <w:color w:val="auto"/>
              </w:rPr>
            </w:pPr>
          </w:p>
        </w:tc>
        <w:tc>
          <w:tcPr>
            <w:tcW w:w="760" w:type="dxa"/>
            <w:vAlign w:val="bottom"/>
            <w:vMerge w:val="restart"/>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ind w:left="100"/>
              <w:spacing w:after="0" w:line="136" w:lineRule="exact"/>
              <w:rPr>
                <w:sz w:val="20"/>
                <w:szCs w:val="20"/>
                <w:color w:val="auto"/>
              </w:rPr>
            </w:pPr>
            <w:r>
              <w:rPr>
                <w:rFonts w:ascii="Arial" w:cs="Arial" w:eastAsia="Arial" w:hAnsi="Arial"/>
                <w:sz w:val="13"/>
                <w:szCs w:val="13"/>
                <w:color w:val="auto"/>
              </w:rPr>
              <w:t>Director</w:t>
            </w: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gridSpan w:val="6"/>
            <w:vMerge w:val="restart"/>
          </w:tcPr>
          <w:p>
            <w:pPr>
              <w:ind w:left="200"/>
              <w:spacing w:after="0" w:line="13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60" w:type="dxa"/>
            <w:vAlign w:val="bottom"/>
            <w:gridSpan w:val="3"/>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vMerge w:val="restart"/>
          </w:tcPr>
          <w:p>
            <w:pPr>
              <w:spacing w:after="0"/>
              <w:rPr>
                <w:sz w:val="6"/>
                <w:szCs w:val="6"/>
                <w:color w:val="auto"/>
              </w:rPr>
            </w:pPr>
          </w:p>
        </w:tc>
        <w:tc>
          <w:tcPr>
            <w:tcW w:w="1180" w:type="dxa"/>
            <w:vAlign w:val="bottom"/>
            <w:gridSpan w:val="4"/>
            <w:vMerge w:val="restart"/>
          </w:tcPr>
          <w:p>
            <w:pPr>
              <w:ind w:left="100"/>
              <w:spacing w:after="0" w:line="134"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460" w:type="dxa"/>
            <w:vAlign w:val="bottom"/>
            <w:gridSpan w:val="6"/>
            <w:vMerge w:val="restart"/>
          </w:tcPr>
          <w:p>
            <w:pPr>
              <w:ind w:left="200"/>
              <w:spacing w:after="0" w:line="13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92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5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860" w:type="dxa"/>
            <w:vAlign w:val="bottom"/>
            <w:tcBorders>
              <w:top w:val="single" w:sz="8" w:color="EEEEEE"/>
            </w:tcBorders>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7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340" w:type="dxa"/>
            <w:vAlign w:val="bottom"/>
            <w:tcBorders>
              <w:top w:val="single" w:sz="8" w:color="EEEEEE"/>
            </w:tcBorders>
          </w:tcPr>
          <w:p>
            <w:pPr>
              <w:spacing w:after="0"/>
              <w:rPr>
                <w:sz w:val="10"/>
                <w:szCs w:val="10"/>
                <w:color w:val="auto"/>
              </w:rPr>
            </w:pPr>
          </w:p>
        </w:tc>
        <w:tc>
          <w:tcPr>
            <w:tcW w:w="18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2920" w:type="dxa"/>
            <w:vAlign w:val="bottom"/>
            <w:gridSpan w:val="8"/>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100"/>
              <w:spacing w:after="0" w:line="123" w:lineRule="exact"/>
              <w:rPr>
                <w:sz w:val="20"/>
                <w:szCs w:val="20"/>
                <w:color w:val="auto"/>
              </w:rPr>
            </w:pPr>
            <w:r>
              <w:rPr>
                <w:rFonts w:ascii="Arial" w:cs="Arial" w:eastAsia="Arial" w:hAnsi="Arial"/>
                <w:sz w:val="13"/>
                <w:szCs w:val="13"/>
                <w:color w:val="auto"/>
              </w:rPr>
              <w:t>below)</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ind w:left="200"/>
              <w:spacing w:after="0" w:line="123"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860" w:type="dxa"/>
            <w:vAlign w:val="bottom"/>
            <w:gridSpan w:val="3"/>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7"/>
          </w:tcPr>
          <w:p>
            <w:pPr>
              <w:ind w:left="340"/>
              <w:spacing w:after="0"/>
              <w:rPr>
                <w:sz w:val="20"/>
                <w:szCs w:val="20"/>
                <w:color w:val="auto"/>
              </w:rPr>
            </w:pPr>
            <w:r>
              <w:rPr>
                <w:rFonts w:ascii="Arial" w:cs="Arial" w:eastAsia="Arial" w:hAnsi="Arial"/>
                <w:sz w:val="17"/>
                <w:szCs w:val="17"/>
                <w:color w:val="0000FF"/>
              </w:rPr>
              <w:t>06/30/2023</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20" w:type="dxa"/>
            <w:vAlign w:val="bottom"/>
            <w:gridSpan w:val="11"/>
            <w:vMerge w:val="restart"/>
          </w:tcPr>
          <w:p>
            <w:pPr>
              <w:ind w:left="100"/>
              <w:spacing w:after="0"/>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740" w:type="dxa"/>
            <w:vAlign w:val="bottom"/>
            <w:gridSpan w:val="8"/>
            <w:vMerge w:val="restart"/>
          </w:tcPr>
          <w:p>
            <w:pPr>
              <w:spacing w:after="0" w:line="175" w:lineRule="exact"/>
              <w:rPr>
                <w:sz w:val="20"/>
                <w:szCs w:val="20"/>
                <w:color w:val="auto"/>
              </w:rPr>
            </w:pPr>
            <w:r>
              <w:rPr>
                <w:rFonts w:ascii="Arial" w:cs="Arial" w:eastAsia="Arial" w:hAnsi="Arial"/>
                <w:sz w:val="17"/>
                <w:szCs w:val="17"/>
                <w:color w:val="0000FF"/>
                <w:w w:val="98"/>
              </w:rPr>
              <w:t>C/O SUN COUNTRY AIRLINES HOLDINGS, INC.</w:t>
            </w:r>
          </w:p>
        </w:tc>
        <w:tc>
          <w:tcPr>
            <w:tcW w:w="440" w:type="dxa"/>
            <w:vAlign w:val="bottom"/>
            <w:gridSpan w:val="4"/>
            <w:vMerge w:val="restart"/>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440" w:type="dxa"/>
            <w:vAlign w:val="bottom"/>
            <w:tcBorders>
              <w:bottom w:val="single" w:sz="8" w:color="2C2C2C"/>
            </w:tcBorders>
            <w:gridSpan w:val="4"/>
            <w:vMerge w:val="continue"/>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4"/>
          </w:tcPr>
          <w:p>
            <w:pPr>
              <w:spacing w:after="0" w:line="190" w:lineRule="exact"/>
              <w:rPr>
                <w:sz w:val="20"/>
                <w:szCs w:val="20"/>
                <w:color w:val="auto"/>
              </w:rPr>
            </w:pPr>
            <w:r>
              <w:rPr>
                <w:rFonts w:ascii="Arial" w:cs="Arial" w:eastAsia="Arial" w:hAnsi="Arial"/>
                <w:sz w:val="17"/>
                <w:szCs w:val="17"/>
                <w:color w:val="0000FF"/>
              </w:rPr>
              <w:t>2005 CARGO ROAD</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10"/>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340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gridSpan w:val="11"/>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restart"/>
          </w:tcPr>
          <w:p>
            <w:pPr>
              <w:spacing w:after="0"/>
              <w:rPr>
                <w:sz w:val="20"/>
                <w:szCs w:val="20"/>
                <w:color w:val="auto"/>
              </w:rPr>
            </w:pPr>
            <w:r>
              <w:rPr>
                <w:rFonts w:ascii="Arial" w:cs="Arial" w:eastAsia="Arial" w:hAnsi="Arial"/>
                <w:sz w:val="17"/>
                <w:szCs w:val="17"/>
                <w:color w:val="0000FF"/>
              </w:rPr>
              <w:t>MINNEAPOLIS MN</w:t>
            </w:r>
          </w:p>
        </w:tc>
        <w:tc>
          <w:tcPr>
            <w:tcW w:w="700" w:type="dxa"/>
            <w:vAlign w:val="bottom"/>
            <w:vMerge w:val="restart"/>
          </w:tcPr>
          <w:p>
            <w:pPr>
              <w:ind w:left="20"/>
              <w:spacing w:after="0"/>
              <w:rPr>
                <w:sz w:val="20"/>
                <w:szCs w:val="20"/>
                <w:color w:val="auto"/>
              </w:rPr>
            </w:pPr>
            <w:r>
              <w:rPr>
                <w:rFonts w:ascii="Arial" w:cs="Arial" w:eastAsia="Arial" w:hAnsi="Arial"/>
                <w:sz w:val="17"/>
                <w:szCs w:val="17"/>
                <w:color w:val="0000FF"/>
              </w:rPr>
              <w:t>55450</w:t>
            </w: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92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auto"/>
              </w:rPr>
              <w:t>Person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6"/>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580" w:type="dxa"/>
            <w:vAlign w:val="bottom"/>
            <w:gridSpan w:val="10"/>
            <w:vMerge w:val="restart"/>
          </w:tcPr>
          <w:p>
            <w:pPr>
              <w:ind w:left="60"/>
              <w:spacing w:after="0"/>
              <w:rPr>
                <w:sz w:val="20"/>
                <w:szCs w:val="20"/>
                <w:color w:val="auto"/>
              </w:rPr>
            </w:pPr>
            <w:r>
              <w:rPr>
                <w:rFonts w:ascii="Arial" w:cs="Arial" w:eastAsia="Arial" w:hAnsi="Arial"/>
                <w:sz w:val="20"/>
                <w:szCs w:val="20"/>
                <w:color w:val="auto"/>
              </w:rPr>
              <w:t>Rule 10b5-1(c) Transaction Indication</w:t>
            </w: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6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3580" w:type="dxa"/>
            <w:vAlign w:val="bottom"/>
            <w:gridSpan w:val="10"/>
            <w:vMerge w:val="continue"/>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0" w:type="dxa"/>
            <w:vAlign w:val="bottom"/>
            <w:gridSpan w:val="22"/>
            <w:vMerge w:val="restart"/>
          </w:tcPr>
          <w:p>
            <w:pPr>
              <w:ind w:left="80"/>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20" w:type="dxa"/>
            <w:vAlign w:val="bottom"/>
            <w:gridSpan w:val="10"/>
          </w:tcPr>
          <w:p>
            <w:pPr>
              <w:ind w:left="80"/>
              <w:spacing w:after="0" w:line="121" w:lineRule="exact"/>
              <w:rPr>
                <w:sz w:val="20"/>
                <w:szCs w:val="20"/>
                <w:color w:val="auto"/>
              </w:rPr>
            </w:pPr>
            <w:r>
              <w:rPr>
                <w:rFonts w:ascii="Arial" w:cs="Arial" w:eastAsia="Arial" w:hAnsi="Arial"/>
                <w:sz w:val="11"/>
                <w:szCs w:val="11"/>
                <w:color w:val="auto"/>
              </w:rPr>
              <w:t>the affirmative defense conditions of Rule 10b5-1(c). See Instruction 10.</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000" w:type="dxa"/>
            <w:vAlign w:val="bottom"/>
            <w:tcBorders>
              <w:top w:val="single" w:sz="8" w:color="2C2C2C"/>
            </w:tcBorders>
            <w:gridSpan w:val="20"/>
          </w:tcPr>
          <w:p>
            <w:pPr>
              <w:ind w:left="5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4"/>
                <w:szCs w:val="14"/>
                <w:color w:val="auto"/>
              </w:rPr>
            </w:pPr>
          </w:p>
        </w:tc>
        <w:tc>
          <w:tcPr>
            <w:tcW w:w="1060" w:type="dxa"/>
            <w:vAlign w:val="bottom"/>
            <w:gridSpan w:val="7"/>
          </w:tcPr>
          <w:p>
            <w:pPr>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6"/>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6"/>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7"/>
          </w:tcPr>
          <w:p>
            <w:pPr>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 or</w:t>
            </w: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8"/>
              </w:rPr>
              <w:t>Common Stock, par value $0.01 per share</w:t>
            </w:r>
          </w:p>
        </w:tc>
        <w:tc>
          <w:tcPr>
            <w:tcW w:w="1060" w:type="dxa"/>
            <w:vAlign w:val="bottom"/>
            <w:tcBorders>
              <w:bottom w:val="single" w:sz="8" w:color="2C2C2C"/>
            </w:tcBorders>
            <w:gridSpan w:val="7"/>
          </w:tcPr>
          <w:p>
            <w:pPr>
              <w:ind w:left="80"/>
              <w:spacing w:after="0"/>
              <w:rPr>
                <w:sz w:val="20"/>
                <w:szCs w:val="20"/>
                <w:color w:val="auto"/>
              </w:rPr>
            </w:pPr>
            <w:r>
              <w:rPr>
                <w:rFonts w:ascii="Arial" w:cs="Arial" w:eastAsia="Arial" w:hAnsi="Arial"/>
                <w:sz w:val="17"/>
                <w:szCs w:val="17"/>
                <w:color w:val="0000FF"/>
              </w:rPr>
              <w:t>07/03/2023</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2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right"/>
              <w:ind w:right="18"/>
              <w:spacing w:after="0"/>
              <w:rPr>
                <w:sz w:val="20"/>
                <w:szCs w:val="20"/>
                <w:color w:val="auto"/>
              </w:rPr>
            </w:pPr>
            <w:r>
              <w:rPr>
                <w:rFonts w:ascii="Arial" w:cs="Arial" w:eastAsia="Arial" w:hAnsi="Arial"/>
                <w:sz w:val="17"/>
                <w:szCs w:val="17"/>
                <w:color w:val="0000FF"/>
              </w:rPr>
              <w:t>387</w:t>
            </w:r>
            <w:r>
              <w:rPr>
                <w:rFonts w:ascii="Arial" w:cs="Arial" w:eastAsia="Arial" w:hAnsi="Arial"/>
                <w:sz w:val="21"/>
                <w:szCs w:val="21"/>
                <w:color w:val="008000"/>
                <w:vertAlign w:val="superscript"/>
              </w:rPr>
              <w:t>(1)</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22.4238</w:t>
            </w:r>
          </w:p>
        </w:tc>
        <w:tc>
          <w:tcPr>
            <w:tcW w:w="1240" w:type="dxa"/>
            <w:vAlign w:val="bottom"/>
            <w:tcBorders>
              <w:bottom w:val="single" w:sz="8" w:color="2C2C2C"/>
            </w:tcBorders>
            <w:gridSpan w:val="5"/>
          </w:tcPr>
          <w:p>
            <w:pPr>
              <w:ind w:left="400"/>
              <w:spacing w:after="0"/>
              <w:rPr>
                <w:sz w:val="20"/>
                <w:szCs w:val="20"/>
                <w:color w:val="auto"/>
              </w:rPr>
            </w:pPr>
            <w:r>
              <w:rPr>
                <w:rFonts w:ascii="Arial" w:cs="Arial" w:eastAsia="Arial" w:hAnsi="Arial"/>
                <w:sz w:val="17"/>
                <w:szCs w:val="17"/>
                <w:color w:val="0000FF"/>
              </w:rPr>
              <w:t>12,725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60" w:type="dxa"/>
            <w:vAlign w:val="bottom"/>
            <w:gridSpan w:val="16"/>
          </w:tcPr>
          <w:p>
            <w:pPr>
              <w:ind w:lef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spacing w:after="0"/>
              <w:rPr>
                <w:sz w:val="14"/>
                <w:szCs w:val="14"/>
                <w:color w:val="auto"/>
              </w:rPr>
            </w:pP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4"/>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6"/>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20" w:type="dxa"/>
            <w:vAlign w:val="bottom"/>
            <w:gridSpan w:val="6"/>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4"/>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 of</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60" w:type="dxa"/>
            <w:vAlign w:val="bottom"/>
            <w:gridSpan w:val="6"/>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6"/>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gridSpan w:val="6"/>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vMerge w:val="continue"/>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ind w:left="120"/>
              <w:spacing w:after="0"/>
              <w:rPr>
                <w:sz w:val="20"/>
                <w:szCs w:val="20"/>
                <w:color w:val="auto"/>
              </w:rPr>
            </w:pPr>
            <w:r>
              <w:rPr>
                <w:rFonts w:ascii="Arial" w:cs="Arial" w:eastAsia="Arial" w:hAnsi="Arial"/>
                <w:sz w:val="13"/>
                <w:szCs w:val="13"/>
                <w:color w:val="0000FF"/>
                <w:w w:val="90"/>
              </w:rPr>
              <w:t>108,457</w:t>
            </w:r>
            <w:r>
              <w:rPr>
                <w:rFonts w:ascii="Arial" w:cs="Arial" w:eastAsia="Arial" w:hAnsi="Arial"/>
                <w:sz w:val="21"/>
                <w:szCs w:val="21"/>
                <w:color w:val="008000"/>
                <w:w w:val="90"/>
                <w:vertAlign w:val="superscript"/>
              </w:rPr>
              <w:t>(2)</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gridSpan w:val="2"/>
            <w:vMerge w:val="restart"/>
          </w:tcPr>
          <w:p>
            <w:pPr>
              <w:spacing w:after="0"/>
              <w:rPr>
                <w:sz w:val="20"/>
                <w:szCs w:val="20"/>
                <w:color w:val="auto"/>
              </w:rPr>
            </w:pPr>
            <w:r>
              <w:rPr>
                <w:rFonts w:ascii="Arial" w:cs="Arial" w:eastAsia="Arial" w:hAnsi="Arial"/>
                <w:sz w:val="17"/>
                <w:szCs w:val="17"/>
                <w:color w:val="0000FF"/>
                <w:w w:val="94"/>
              </w:rPr>
              <w:t>108,457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ind w:left="28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5.3</w:t>
            </w:r>
          </w:p>
        </w:tc>
        <w:tc>
          <w:tcPr>
            <w:tcW w:w="1100" w:type="dxa"/>
            <w:vAlign w:val="bottom"/>
            <w:gridSpan w:val="2"/>
          </w:tcPr>
          <w:p>
            <w:pPr>
              <w:jc w:val="right"/>
              <w:ind w:right="177"/>
              <w:spacing w:after="0" w:line="136" w:lineRule="exact"/>
              <w:rPr>
                <w:sz w:val="20"/>
                <w:szCs w:val="20"/>
                <w:color w:val="auto"/>
              </w:rPr>
            </w:pPr>
            <w:r>
              <w:rPr>
                <w:rFonts w:ascii="Arial" w:cs="Arial" w:eastAsia="Arial" w:hAnsi="Arial"/>
                <w:sz w:val="13"/>
                <w:szCs w:val="13"/>
                <w:color w:val="0000FF"/>
              </w:rPr>
              <w:t>06/30/2023</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gridSpan w:val="5"/>
          </w:tcPr>
          <w:p>
            <w:pPr>
              <w:ind w:left="20"/>
              <w:spacing w:after="0" w:line="136" w:lineRule="exact"/>
              <w:rPr>
                <w:sz w:val="20"/>
                <w:szCs w:val="20"/>
                <w:color w:val="auto"/>
              </w:rPr>
            </w:pPr>
            <w:r>
              <w:rPr>
                <w:rFonts w:ascii="Arial" w:cs="Arial" w:eastAsia="Arial" w:hAnsi="Arial"/>
                <w:sz w:val="13"/>
                <w:szCs w:val="13"/>
                <w:color w:val="0000FF"/>
              </w:rPr>
              <w:t>A</w:t>
            </w: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100"/>
              <w:spacing w:after="0" w:line="136" w:lineRule="exact"/>
              <w:rPr>
                <w:sz w:val="20"/>
                <w:szCs w:val="20"/>
                <w:color w:val="auto"/>
              </w:rPr>
            </w:pPr>
            <w:r>
              <w:rPr>
                <w:rFonts w:ascii="Arial" w:cs="Arial" w:eastAsia="Arial" w:hAnsi="Arial"/>
                <w:sz w:val="13"/>
                <w:szCs w:val="13"/>
                <w:color w:val="0000FF"/>
              </w:rPr>
              <w:t>06/30/2023</w:t>
            </w:r>
          </w:p>
        </w:tc>
        <w:tc>
          <w:tcPr>
            <w:tcW w:w="700" w:type="dxa"/>
            <w:vAlign w:val="bottom"/>
          </w:tcPr>
          <w:p>
            <w:pPr>
              <w:jc w:val="right"/>
              <w:ind w:right="18"/>
              <w:spacing w:after="0" w:line="136" w:lineRule="exact"/>
              <w:rPr>
                <w:sz w:val="20"/>
                <w:szCs w:val="20"/>
                <w:color w:val="auto"/>
              </w:rPr>
            </w:pPr>
            <w:r>
              <w:rPr>
                <w:rFonts w:ascii="Arial" w:cs="Arial" w:eastAsia="Arial" w:hAnsi="Arial"/>
                <w:sz w:val="13"/>
                <w:szCs w:val="13"/>
                <w:color w:val="0000FF"/>
                <w:w w:val="92"/>
              </w:rPr>
              <w:t>11/07/2028</w:t>
            </w:r>
          </w:p>
        </w:tc>
        <w:tc>
          <w:tcPr>
            <w:tcW w:w="6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4"/>
          </w:tcPr>
          <w:p>
            <w:pPr>
              <w:ind w:left="180"/>
              <w:spacing w:after="0" w:line="136" w:lineRule="exact"/>
              <w:rPr>
                <w:sz w:val="20"/>
                <w:szCs w:val="20"/>
                <w:color w:val="auto"/>
              </w:rPr>
            </w:pPr>
            <w:r>
              <w:rPr>
                <w:rFonts w:ascii="Arial" w:cs="Arial" w:eastAsia="Arial" w:hAnsi="Arial"/>
                <w:sz w:val="13"/>
                <w:szCs w:val="13"/>
                <w:color w:val="0000FF"/>
              </w:rPr>
              <w:t>209,471</w:t>
            </w:r>
          </w:p>
        </w:tc>
        <w:tc>
          <w:tcPr>
            <w:tcW w:w="64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55"/>
              <w:spacing w:after="0" w:line="128" w:lineRule="exact"/>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-5598160</wp:posOffset>
            </wp:positionV>
            <wp:extent cx="7047230" cy="574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7230" cy="57486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4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7" w:lineRule="exact"/>
        <w:rPr>
          <w:rFonts w:ascii="Arial" w:cs="Arial" w:eastAsia="Arial" w:hAnsi="Arial"/>
          <w:sz w:val="13"/>
          <w:szCs w:val="13"/>
          <w:color w:val="008000"/>
        </w:rPr>
      </w:pPr>
    </w:p>
    <w:p>
      <w:pPr>
        <w:ind w:left="40" w:right="160"/>
        <w:spacing w:after="0" w:line="282" w:lineRule="auto"/>
        <w:tabs>
          <w:tab w:leader="none" w:pos="16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November 7, 2018, the reporting person was granted an option to purchase 198,281 shares of common stock. Upon a change in control, the option vests 33% if the Company's private equity investors achieve a MOIC of at least 3.0x, and 100% if the Company's private equity investors achieve a MOIC of at least 5.0x, with vesting with respect to achievement in between 3.0x and 5.0x subject to linear interpolation. If a change in control has not occurred by certain measurement dates following the Company's initial public offering, the unvested portion of the option may be eligible to vest based on achievement of certain performance criteria. On June 16, 2023, a change in control occurred and vesting of the option as to 5,552 shares occurred on that date. On June 29, 2023, the Company's Compensation Committee determined pursuant to the award agreement that the performance criteria for the final installment were met, resulting in vesting as to an additional 108,457 shares on June 30, 2023.</w:t>
      </w:r>
    </w:p>
    <w:p>
      <w:pPr>
        <w:spacing w:after="0" w:line="14"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6"/>
              </w:rPr>
              <w:t>/s/ Rose Neale, as attorney-in-</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07/05/2023</w:t>
            </w:r>
          </w:p>
        </w:tc>
        <w:tc>
          <w:tcPr>
            <w:tcW w:w="0" w:type="dxa"/>
            <w:vAlign w:val="bottom"/>
          </w:tcPr>
          <w:p>
            <w:pPr>
              <w:spacing w:after="0"/>
              <w:rPr>
                <w:sz w:val="1"/>
                <w:szCs w:val="1"/>
                <w:color w:val="auto"/>
              </w:rPr>
            </w:pPr>
          </w:p>
        </w:tc>
      </w:tr>
      <w:tr>
        <w:trPr>
          <w:trHeight w:val="87"/>
        </w:trPr>
        <w:tc>
          <w:tcPr>
            <w:tcW w:w="1320" w:type="dxa"/>
            <w:vAlign w:val="bottom"/>
            <w:vMerge w:val="restart"/>
          </w:tcPr>
          <w:p>
            <w:pPr>
              <w:spacing w:after="0" w:line="184" w:lineRule="exact"/>
              <w:rPr>
                <w:sz w:val="20"/>
                <w:szCs w:val="20"/>
                <w:color w:val="auto"/>
              </w:rPr>
            </w:pPr>
            <w:r>
              <w:rPr>
                <w:rFonts w:ascii="Arial" w:cs="Arial" w:eastAsia="Arial" w:hAnsi="Arial"/>
                <w:sz w:val="17"/>
                <w:szCs w:val="17"/>
                <w:color w:val="0000FF"/>
                <w:w w:val="90"/>
              </w:rPr>
              <w:t>fact for Brian Davis</w:t>
            </w:r>
          </w:p>
        </w:tc>
        <w:tc>
          <w:tcPr>
            <w:tcW w:w="88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20" w:type="dxa"/>
            <w:vAlign w:val="bottom"/>
            <w:tcBorders>
              <w:bottom w:val="single" w:sz="8" w:color="auto"/>
            </w:tcBorders>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55818" TargetMode="External"/><Relationship Id="rId9"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2023-07-05T16:14:46Z</dcterms:created>
  <dcterms:modified xsi:type="dcterms:W3CDTF">2023-07-05T16:14:46Z</dcterms:modified>
</cp:coreProperties>
</file>