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12/15/2021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12/15/2021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3,309</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4,436</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12/15/2021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24.804</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1,636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12/15/2021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25.397</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1,127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3,309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12/15/2021</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3,309</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6" w:lineRule="exact"/>
              <w:rPr>
                <w:sz w:val="20"/>
                <w:szCs w:val="20"/>
                <w:color w:val="auto"/>
              </w:rPr>
            </w:pPr>
            <w:r>
              <w:rPr>
                <w:rFonts w:ascii="Arial" w:cs="Arial" w:eastAsia="Arial" w:hAnsi="Arial"/>
                <w:sz w:val="13"/>
                <w:szCs w:val="13"/>
                <w:color w:val="0000FF"/>
              </w:rPr>
              <w:t>22,133</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$24.35 to $25.32, inclusive. The reporting person undertakes to provide to Sun Country Airlines Holdings, Inc. ("Sun Country"), or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$25.36 to $25.47, inclusive. The reporting person undertakes to provide to Sun Country, or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June 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32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12/16/2021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24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2021-12-16T18:54:08Z</dcterms:created>
  <dcterms:modified xsi:type="dcterms:W3CDTF">2021-12-16T18:54:08Z</dcterms:modified>
</cp:coreProperties>
</file>