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March 31, 2024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2" w:lineRule="exact"/>
        <w:rPr>
          <w:sz w:val="24"/>
          <w:szCs w:val="24"/>
          <w:color w:val="auto"/>
        </w:rPr>
      </w:pPr>
    </w:p>
    <w:p>
      <w:pPr>
        <w:ind w:left="4300" w:right="2500" w:hanging="4274"/>
        <w:spacing w:after="0" w:line="585"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-97155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2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5"/>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01" w:lineRule="exact"/>
        <w:rPr>
          <w:sz w:val="24"/>
          <w:szCs w:val="24"/>
          <w:color w:val="auto"/>
        </w:rPr>
      </w:pPr>
    </w:p>
    <w:p>
      <w:pPr>
        <w:ind w:right="180" w:firstLine="324"/>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360" w:firstLine="324"/>
        <w:spacing w:after="0" w:line="30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40" w:firstLine="324"/>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59"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3">
            <w:col w:w="5620" w:space="720"/>
            <w:col w:w="2620" w:space="720"/>
            <w:col w:w="1560"/>
          </w:cols>
          <w:pgMar w:left="320" w:top="512"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12" w:right="339" w:bottom="1440" w:gutter="0" w:footer="0" w:header="0"/>
          <w:type w:val="continuous"/>
        </w:sectPr>
      </w:pPr>
    </w:p>
    <w:p>
      <w:pPr>
        <w:spacing w:after="0" w:line="90" w:lineRule="exact"/>
        <w:rPr>
          <w:sz w:val="24"/>
          <w:szCs w:val="24"/>
          <w:color w:val="auto"/>
        </w:rPr>
      </w:pPr>
    </w:p>
    <w:p>
      <w:pPr>
        <w:ind w:right="540" w:firstLine="324"/>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2" w:lineRule="exact"/>
        <w:rPr>
          <w:sz w:val="24"/>
          <w:szCs w:val="24"/>
          <w:color w:val="auto"/>
        </w:rPr>
      </w:pP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March 31, 2024:</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52,611,323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40"/>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3"/>
            <w:vMerge w:val="restart"/>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6"/>
            <w:vMerge w:val="restart"/>
          </w:tcPr>
          <w:p>
            <w:pPr>
              <w:spacing w:after="0"/>
              <w:rPr>
                <w:sz w:val="21"/>
                <w:szCs w:val="2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380" w:type="dxa"/>
            <w:vAlign w:val="bottom"/>
            <w:tcBorders>
              <w:bottom w:val="single" w:sz="8" w:color="0000FF"/>
            </w:tcBorders>
            <w:gridSpan w:val="23"/>
            <w:vMerge w:val="continue"/>
          </w:tcPr>
          <w:p>
            <w:pPr>
              <w:spacing w:after="0"/>
              <w:rPr>
                <w:sz w:val="14"/>
                <w:szCs w:val="14"/>
                <w:color w:val="auto"/>
              </w:rPr>
            </w:pPr>
          </w:p>
        </w:tc>
        <w:tc>
          <w:tcPr>
            <w:tcW w:w="7820" w:type="dxa"/>
            <w:vAlign w:val="bottom"/>
            <w:gridSpan w:val="16"/>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5"/>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84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30"/>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gridSpan w:val="6"/>
          </w:tcPr>
          <w:p>
            <w:pPr>
              <w:spacing w:after="0"/>
              <w:rPr>
                <w:sz w:val="17"/>
                <w:szCs w:val="17"/>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7"/>
                <w:szCs w:val="17"/>
                <w:color w:val="auto"/>
              </w:rPr>
            </w:pPr>
          </w:p>
        </w:tc>
        <w:tc>
          <w:tcPr>
            <w:tcW w:w="7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7"/>
              </w:rPr>
              <w:t>Revenue</w:t>
            </w:r>
          </w:p>
        </w:tc>
        <w:tc>
          <w:tcPr>
            <w:tcW w:w="8740" w:type="dxa"/>
            <w:vAlign w:val="bottom"/>
            <w:gridSpan w:val="26"/>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15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1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2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7"/>
              </w:rPr>
              <w:t>Income Taxes</w:t>
            </w:r>
          </w:p>
        </w:tc>
        <w:tc>
          <w:tcPr>
            <w:tcW w:w="920" w:type="dxa"/>
            <w:vAlign w:val="bottom"/>
            <w:tcBorders>
              <w:top w:val="single" w:sz="8" w:color="0000FF"/>
            </w:tcBorders>
            <w:gridSpan w:val="11"/>
          </w:tcPr>
          <w:p>
            <w:pPr>
              <w:spacing w:after="0"/>
              <w:rPr>
                <w:sz w:val="18"/>
                <w:szCs w:val="18"/>
                <w:color w:val="auto"/>
              </w:rPr>
            </w:pPr>
          </w:p>
        </w:tc>
        <w:tc>
          <w:tcPr>
            <w:tcW w:w="742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16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Stockholders' Equity</w:t>
            </w:r>
          </w:p>
        </w:tc>
        <w:tc>
          <w:tcPr>
            <w:tcW w:w="7840" w:type="dxa"/>
            <w:vAlign w:val="bottom"/>
            <w:gridSpan w:val="17"/>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10</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11</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Operating Segments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15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Subsequent Events</w:t>
            </w:r>
          </w:p>
        </w:tc>
        <w:tc>
          <w:tcPr>
            <w:tcW w:w="7900" w:type="dxa"/>
            <w:vAlign w:val="bottom"/>
            <w:gridSpan w:val="1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7"/>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4"/>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60" w:type="dxa"/>
            <w:vAlign w:val="bottom"/>
            <w:gridSpan w:val="21"/>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2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5"/>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9"/>
          </w:tcPr>
          <w:p>
            <w:pPr>
              <w:spacing w:after="0"/>
              <w:rPr>
                <w:sz w:val="18"/>
                <w:szCs w:val="18"/>
                <w:color w:val="auto"/>
              </w:rPr>
            </w:pPr>
          </w:p>
        </w:tc>
        <w:tc>
          <w:tcPr>
            <w:tcW w:w="750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2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200" w:type="dxa"/>
            <w:vAlign w:val="bottom"/>
            <w:gridSpan w:val="39"/>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29"/>
          </w:tcPr>
          <w:p>
            <w:pPr>
              <w:jc w:val="center"/>
              <w:ind w:left="42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March 31, 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54"/>
        </w:trPr>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28,427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46,279</w:t>
            </w:r>
          </w:p>
        </w:tc>
      </w:tr>
      <w:tr>
        <w:trPr>
          <w:trHeight w:val="217"/>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17,401</w:t>
            </w: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132,779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141,127</w:t>
            </w:r>
          </w:p>
        </w:tc>
      </w:tr>
      <w:tr>
        <w:trPr>
          <w:trHeight w:val="217"/>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$39 and $17, respectively</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38,166</w:t>
            </w: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217"/>
        </w:trPr>
        <w:tc>
          <w:tcPr>
            <w:tcW w:w="7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$753 and $977, respectively</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7,793</w:t>
            </w: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12,604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15,823</w:t>
            </w:r>
          </w:p>
        </w:tc>
      </w:tr>
      <w:tr>
        <w:trPr>
          <w:trHeight w:val="217"/>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w:t>
            </w:r>
          </w:p>
        </w:tc>
      </w:tr>
      <w:tr>
        <w:trPr>
          <w:trHeight w:val="248"/>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234,969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271,351</w:t>
            </w:r>
          </w:p>
        </w:tc>
      </w:tr>
      <w:tr>
        <w:trPr>
          <w:trHeight w:val="216"/>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2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685,559</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Aircraft and Flight Equipment Held for Operating Lease</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154,399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154,185</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Computer Hardware and Software</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19,430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17,875</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Assets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304,384</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Rotable Parts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19,848</w:t>
            </w:r>
          </w:p>
        </w:tc>
      </w:tr>
      <w:tr>
        <w:trPr>
          <w:trHeight w:val="210"/>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1,290,917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1,221,698</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(272,590)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(252,717)</w:t>
            </w:r>
          </w:p>
        </w:tc>
      </w:tr>
      <w:tr>
        <w:trPr>
          <w:trHeight w:val="210"/>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 net</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1,018,327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968,981</w:t>
            </w:r>
          </w:p>
        </w:tc>
      </w:tr>
      <w:tr>
        <w:trPr>
          <w:trHeight w:val="34"/>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222,223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222,223</w:t>
            </w:r>
          </w:p>
        </w:tc>
      </w:tr>
      <w:tr>
        <w:trPr>
          <w:trHeight w:val="217"/>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Intangible Assets, net of accumulated amortization of $25,622 and $24,190, respectively</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83,551</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14,917</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Deposits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Lessor Maintenance Deposits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48,181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44,675</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8,365</w:t>
            </w:r>
          </w:p>
        </w:tc>
      </w:tr>
      <w:tr>
        <w:trPr>
          <w:trHeight w:val="209"/>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385,783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383,295</w:t>
            </w:r>
          </w:p>
        </w:tc>
      </w:tr>
      <w:tr>
        <w:trPr>
          <w:trHeight w:val="23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1,639,079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1,623,627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59,929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59,011</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33,305</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16,459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18,097</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157,996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Finance Lease Obligations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44,756</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Loyalty Program Liabilities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net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15,873</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383,567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418,582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232,546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3,839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313,733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327,468</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 Liability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87,083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97,794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Long-term Liabilities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714,506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690,642</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1,098,073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1,109,224</w:t>
            </w:r>
          </w:p>
        </w:tc>
        <w:tc>
          <w:tcPr>
            <w:tcW w:w="0" w:type="dxa"/>
            <w:vAlign w:val="bottom"/>
          </w:tcPr>
          <w:p>
            <w:pPr>
              <w:spacing w:after="0"/>
              <w:rPr>
                <w:sz w:val="1"/>
                <w:szCs w:val="1"/>
                <w:color w:val="auto"/>
              </w:rPr>
            </w:pP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10</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0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7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6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Common stock, with $0.01 par value, 995,000,000 shares authorized, 58,954,329 and 58,878,723</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issued and 52,611,323 and 53,291,001 outstanding at March 31, 2024 and December 31, 2023,</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3"/>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outstanding at March 31, 2024 and December 31, 2023, respectively</w:t>
            </w: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32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Treasury stock, at cost, 6,343,006 and 5,587,722 shares held at March 31, 2024 and December 31,</w:t>
            </w:r>
          </w:p>
        </w:tc>
        <w:tc>
          <w:tcPr>
            <w:tcW w:w="2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(105,937)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(94,341)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2023, respectively</w:t>
            </w:r>
          </w:p>
        </w:tc>
        <w:tc>
          <w:tcPr>
            <w:tcW w:w="2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513,988</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129,542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94,229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514,403</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1,623,627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2023</w:t>
            </w:r>
          </w:p>
        </w:tc>
      </w:tr>
      <w:tr>
        <w:trPr>
          <w:trHeight w:val="21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274,664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267,269</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23,361</w:t>
            </w:r>
          </w:p>
        </w:tc>
      </w:tr>
      <w:tr>
        <w:trPr>
          <w:trHeight w:val="230"/>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w:t>
            </w:r>
          </w:p>
        </w:tc>
      </w:tr>
      <w:tr>
        <w:trPr>
          <w:trHeight w:val="223"/>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311,483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294,115</w:t>
            </w:r>
          </w:p>
        </w:tc>
      </w:tr>
      <w:tr>
        <w:trPr>
          <w:trHeight w:val="34"/>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70,304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72,290</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75,430</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Aircraft Rent</w:t>
            </w:r>
          </w:p>
        </w:tc>
        <w:tc>
          <w:tcPr>
            <w:tcW w:w="4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9,929</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w:t>
            </w: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9,170</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Landing Fees and Airport Rent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r>
      <w:tr>
        <w:trPr>
          <w:trHeight w:val="229"/>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26,589</w:t>
            </w:r>
          </w:p>
        </w:tc>
      </w:tr>
      <w:tr>
        <w:trPr>
          <w:trHeight w:val="223"/>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238,332</w:t>
            </w:r>
          </w:p>
        </w:tc>
      </w:tr>
      <w:tr>
        <w:trPr>
          <w:trHeight w:val="262"/>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55,176</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55,783</w:t>
            </w:r>
          </w:p>
        </w:tc>
      </w:tr>
      <w:tr>
        <w:trPr>
          <w:trHeight w:val="230"/>
        </w:trPr>
        <w:tc>
          <w:tcPr>
            <w:tcW w:w="72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48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(8,630)</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720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(8,618)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(6,101)</w:t>
            </w: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Before Income Tax</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49,682</w:t>
            </w:r>
          </w:p>
        </w:tc>
      </w:tr>
      <w:tr>
        <w:trPr>
          <w:trHeight w:val="223"/>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w:t>
            </w:r>
          </w:p>
        </w:tc>
      </w:tr>
      <w:tr>
        <w:trPr>
          <w:trHeight w:val="223"/>
        </w:trPr>
        <w:tc>
          <w:tcPr>
            <w:tcW w:w="72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38,328</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0"/>
        </w:trPr>
        <w:tc>
          <w:tcPr>
            <w:tcW w:w="7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4"/>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0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for computation:</w:t>
            </w: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53,034,538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56,630,656</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55,397,685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59,535,045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4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38,328</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14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(losses) gains on Available-for-Sale securities, net of deferred tax</w:t>
            </w:r>
          </w:p>
        </w:tc>
        <w:tc>
          <w:tcPr>
            <w:tcW w:w="12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5"/>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(benefit) expense of $(42) and $116, respectively</w:t>
            </w: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38,717</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3500"/>
        <w:spacing w:after="0" w:line="284" w:lineRule="auto"/>
        <w:rPr>
          <w:sz w:val="20"/>
          <w:szCs w:val="20"/>
          <w:color w:val="auto"/>
        </w:rPr>
      </w:pPr>
      <w:r>
        <w:rPr>
          <w:rFonts w:ascii="Arial" w:cs="Arial" w:eastAsia="Arial" w:hAnsi="Arial"/>
          <w:sz w:val="18"/>
          <w:szCs w:val="18"/>
          <w:b w:val="1"/>
          <w:bCs w:val="1"/>
          <w:color w:val="auto"/>
        </w:rPr>
        <w:t>CONDENSED CONSOLIDATED STATEMENTS OF CHANGES IN STOCKHOLDERS’ EQUITY (Dollars in thousands, except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8"/>
          </w:tcPr>
          <w:p>
            <w:pPr>
              <w:ind w:left="720"/>
              <w:spacing w:after="0"/>
              <w:rPr>
                <w:sz w:val="20"/>
                <w:szCs w:val="20"/>
                <w:color w:val="auto"/>
              </w:rPr>
            </w:pPr>
            <w:r>
              <w:rPr>
                <w:rFonts w:ascii="Arial" w:cs="Arial" w:eastAsia="Arial" w:hAnsi="Arial"/>
                <w:sz w:val="9"/>
                <w:szCs w:val="9"/>
                <w:b w:val="1"/>
                <w:bCs w:val="1"/>
                <w:color w:val="auto"/>
              </w:rPr>
              <w:t>Three Months Ended March 31, 2024</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3"/>
                <w:szCs w:val="3"/>
                <w:color w:val="auto"/>
              </w:rPr>
            </w:pPr>
          </w:p>
        </w:tc>
        <w:tc>
          <w:tcPr>
            <w:tcW w:w="1140" w:type="dxa"/>
            <w:vAlign w:val="bottom"/>
            <w:gridSpan w:val="2"/>
            <w:vMerge w:val="restart"/>
          </w:tcPr>
          <w:p>
            <w:pPr>
              <w:jc w:val="center"/>
              <w:ind w:right="180"/>
              <w:spacing w:after="0" w:line="95" w:lineRule="exact"/>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40" w:type="dxa"/>
            <w:vAlign w:val="bottom"/>
          </w:tcPr>
          <w:p>
            <w:pPr>
              <w:spacing w:after="0"/>
              <w:rPr>
                <w:sz w:val="12"/>
                <w:szCs w:val="12"/>
                <w:color w:val="auto"/>
              </w:rPr>
            </w:pPr>
          </w:p>
        </w:tc>
        <w:tc>
          <w:tcPr>
            <w:tcW w:w="106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12"/>
                <w:szCs w:val="12"/>
                <w:color w:val="auto"/>
              </w:rPr>
            </w:pPr>
          </w:p>
        </w:tc>
        <w:tc>
          <w:tcPr>
            <w:tcW w:w="660" w:type="dxa"/>
            <w:vAlign w:val="bottom"/>
          </w:tcPr>
          <w:p>
            <w:pPr>
              <w:jc w:val="right"/>
              <w:ind w:right="267"/>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7"/>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December 31, 2023</w:t>
            </w:r>
          </w:p>
        </w:tc>
        <w:tc>
          <w:tcPr>
            <w:tcW w:w="9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3,224,093</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58,878,723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589</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5,587,722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(94,341)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513,988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94,229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514,403</w:t>
            </w:r>
          </w:p>
        </w:tc>
        <w:tc>
          <w:tcPr>
            <w:tcW w:w="0" w:type="dxa"/>
            <w:vAlign w:val="bottom"/>
          </w:tcPr>
          <w:p>
            <w:pPr>
              <w:spacing w:after="0"/>
              <w:rPr>
                <w:sz w:val="1"/>
                <w:szCs w:val="1"/>
                <w:color w:val="auto"/>
              </w:rPr>
            </w:pPr>
          </w:p>
        </w:tc>
      </w:tr>
      <w:tr>
        <w:trPr>
          <w:trHeight w:val="155"/>
        </w:trPr>
        <w:tc>
          <w:tcPr>
            <w:tcW w:w="2140" w:type="dxa"/>
            <w:vAlign w:val="bottom"/>
          </w:tcPr>
          <w:p>
            <w:pPr>
              <w:ind w:left="20"/>
              <w:spacing w:after="0"/>
              <w:rPr>
                <w:sz w:val="20"/>
                <w:szCs w:val="20"/>
                <w:color w:val="auto"/>
              </w:rPr>
            </w:pPr>
            <w:r>
              <w:rPr>
                <w:rFonts w:ascii="Arial" w:cs="Arial" w:eastAsia="Arial" w:hAnsi="Arial"/>
                <w:sz w:val="11"/>
                <w:szCs w:val="11"/>
                <w:color w:val="auto"/>
              </w:rPr>
              <w:t>Stock Issued for Stock-Based Awards</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75,606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35,313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35,313</w:t>
            </w:r>
          </w:p>
        </w:tc>
        <w:tc>
          <w:tcPr>
            <w:tcW w:w="0" w:type="dxa"/>
            <w:vAlign w:val="bottom"/>
          </w:tcPr>
          <w:p>
            <w:pPr>
              <w:spacing w:after="0"/>
              <w:rPr>
                <w:sz w:val="1"/>
                <w:szCs w:val="1"/>
                <w:color w:val="auto"/>
              </w:rPr>
            </w:pPr>
          </w:p>
        </w:tc>
      </w:tr>
      <w:tr>
        <w:trPr>
          <w:trHeight w:val="155"/>
        </w:trPr>
        <w:tc>
          <w:tcPr>
            <w:tcW w:w="2140" w:type="dxa"/>
            <w:vAlign w:val="bottom"/>
          </w:tcPr>
          <w:p>
            <w:pPr>
              <w:ind w:left="20"/>
              <w:spacing w:after="0"/>
              <w:rPr>
                <w:sz w:val="20"/>
                <w:szCs w:val="20"/>
                <w:color w:val="auto"/>
              </w:rPr>
            </w:pPr>
            <w:r>
              <w:rPr>
                <w:rFonts w:ascii="Arial" w:cs="Arial" w:eastAsia="Arial" w:hAnsi="Arial"/>
                <w:sz w:val="11"/>
                <w:szCs w:val="11"/>
                <w:color w:val="auto"/>
              </w:rPr>
              <w:t>Common Stock Repurchases</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755,284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(11,596)</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Amazon Warrants</w:t>
            </w: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189,652</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1,400</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1,400</w:t>
            </w:r>
          </w:p>
        </w:tc>
        <w:tc>
          <w:tcPr>
            <w:tcW w:w="0" w:type="dxa"/>
            <w:vAlign w:val="bottom"/>
          </w:tcPr>
          <w:p>
            <w:pPr>
              <w:spacing w:after="0"/>
              <w:rPr>
                <w:sz w:val="1"/>
                <w:szCs w:val="1"/>
                <w:color w:val="auto"/>
              </w:rPr>
            </w:pPr>
          </w:p>
        </w:tc>
      </w:tr>
      <w:tr>
        <w:trPr>
          <w:trHeight w:val="165"/>
        </w:trPr>
        <w:tc>
          <w:tcPr>
            <w:tcW w:w="214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1,514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1,514</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76"/>
        </w:trPr>
        <w:tc>
          <w:tcPr>
            <w:tcW w:w="214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March 31, 2024</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3,413,745</w:t>
            </w: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58,954,329</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590</w:t>
            </w: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6,343,006</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(105,937)</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517,012</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129,542</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541,006</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8"/>
          </w:tcPr>
          <w:p>
            <w:pPr>
              <w:ind w:left="720"/>
              <w:spacing w:after="0"/>
              <w:rPr>
                <w:sz w:val="20"/>
                <w:szCs w:val="20"/>
                <w:color w:val="auto"/>
              </w:rPr>
            </w:pPr>
            <w:r>
              <w:rPr>
                <w:rFonts w:ascii="Arial" w:cs="Arial" w:eastAsia="Arial" w:hAnsi="Arial"/>
                <w:sz w:val="9"/>
                <w:szCs w:val="9"/>
                <w:b w:val="1"/>
                <w:bCs w:val="1"/>
                <w:color w:val="auto"/>
              </w:rPr>
              <w:t>Three Months Ended March 31, 2023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3"/>
                <w:szCs w:val="3"/>
                <w:color w:val="auto"/>
              </w:rPr>
            </w:pPr>
          </w:p>
        </w:tc>
        <w:tc>
          <w:tcPr>
            <w:tcW w:w="1140" w:type="dxa"/>
            <w:vAlign w:val="bottom"/>
            <w:gridSpan w:val="2"/>
            <w:vMerge w:val="restart"/>
          </w:tcPr>
          <w:p>
            <w:pPr>
              <w:jc w:val="center"/>
              <w:ind w:right="180"/>
              <w:spacing w:after="0" w:line="95" w:lineRule="exact"/>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40" w:type="dxa"/>
            <w:vAlign w:val="bottom"/>
          </w:tcPr>
          <w:p>
            <w:pPr>
              <w:spacing w:after="0"/>
              <w:rPr>
                <w:sz w:val="12"/>
                <w:szCs w:val="12"/>
                <w:color w:val="auto"/>
              </w:rPr>
            </w:pPr>
          </w:p>
        </w:tc>
        <w:tc>
          <w:tcPr>
            <w:tcW w:w="106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12"/>
                <w:szCs w:val="12"/>
                <w:color w:val="auto"/>
              </w:rPr>
            </w:pPr>
          </w:p>
        </w:tc>
        <w:tc>
          <w:tcPr>
            <w:tcW w:w="660" w:type="dxa"/>
            <w:vAlign w:val="bottom"/>
          </w:tcPr>
          <w:p>
            <w:pPr>
              <w:jc w:val="right"/>
              <w:ind w:right="267"/>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7"/>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December 31, 2022</w:t>
            </w:r>
          </w:p>
        </w:tc>
        <w:tc>
          <w:tcPr>
            <w:tcW w:w="9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2,402,268</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58,217,647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582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892,409</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(17,605)</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488,494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22,048</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(807)</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492,712</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1"/>
                <w:szCs w:val="11"/>
                <w:color w:val="auto"/>
              </w:rPr>
              <w:t>Stock Issued for Stock-Based Awards</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147,105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554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556</w:t>
            </w:r>
          </w:p>
        </w:tc>
        <w:tc>
          <w:tcPr>
            <w:tcW w:w="0" w:type="dxa"/>
            <w:vAlign w:val="bottom"/>
          </w:tcPr>
          <w:p>
            <w:pPr>
              <w:spacing w:after="0"/>
              <w:rPr>
                <w:sz w:val="1"/>
                <w:szCs w:val="1"/>
                <w:color w:val="auto"/>
              </w:rPr>
            </w:pPr>
          </w:p>
        </w:tc>
      </w:tr>
      <w:tr>
        <w:trPr>
          <w:trHeight w:val="145"/>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Stock Settlement of Stock-Based</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Awards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406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1"/>
                <w:szCs w:val="11"/>
                <w:color w:val="auto"/>
              </w:rPr>
              <w:t>38,328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38,328</w:t>
            </w:r>
          </w:p>
        </w:tc>
        <w:tc>
          <w:tcPr>
            <w:tcW w:w="0" w:type="dxa"/>
            <w:vAlign w:val="bottom"/>
          </w:tcPr>
          <w:p>
            <w:pPr>
              <w:spacing w:after="0"/>
              <w:rPr>
                <w:sz w:val="1"/>
                <w:szCs w:val="1"/>
                <w:color w:val="auto"/>
              </w:rPr>
            </w:pPr>
          </w:p>
        </w:tc>
      </w:tr>
      <w:tr>
        <w:trPr>
          <w:trHeight w:val="185"/>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Repurchases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1,230,932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7,501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(15,048)</w:t>
            </w: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rPr>
                <w:sz w:val="20"/>
                <w:szCs w:val="20"/>
                <w:color w:val="auto"/>
              </w:rPr>
            </w:pPr>
            <w:r>
              <w:rPr>
                <w:rFonts w:ascii="Arial" w:cs="Arial" w:eastAsia="Arial" w:hAnsi="Arial"/>
                <w:sz w:val="11"/>
                <w:szCs w:val="11"/>
                <w:color w:val="auto"/>
              </w:rPr>
              <w:t>Amazon Warrants</w:t>
            </w: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189,652</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1,400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1,400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2,678</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2,678</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1"/>
                <w:szCs w:val="11"/>
                <w:color w:val="auto"/>
              </w:rPr>
              <w:t>389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201"/>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March 31, 2023</w:t>
            </w:r>
          </w:p>
        </w:tc>
        <w:tc>
          <w:tcPr>
            <w:tcW w:w="9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2,591,920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58,364,752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2,123,747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500,627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60,376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521,007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7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rPr>
              <w:t>2023</w:t>
            </w:r>
          </w:p>
        </w:tc>
      </w:tr>
      <w:tr>
        <w:trPr>
          <w:trHeight w:val="171"/>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38,328</w:t>
            </w:r>
          </w:p>
        </w:tc>
      </w:tr>
      <w:tr>
        <w:trPr>
          <w:trHeight w:val="174"/>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7"/>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19,460</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8,974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10,450</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w:t>
            </w:r>
          </w:p>
        </w:tc>
      </w:tr>
      <w:tr>
        <w:trPr>
          <w:trHeight w:val="174"/>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7"/>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(305)</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Lessor Maintenance Deposits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(4,276)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(2,858)</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Aircraft Deposits</w:t>
            </w:r>
          </w:p>
        </w:tc>
        <w:tc>
          <w:tcPr>
            <w:tcW w:w="3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581</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Accrued Transportation Taxes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(1,638)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(2,264)</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Air Traffic Liabilities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(16,382)</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Loyalty Program Liabilities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(669)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(1,638)</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Obligations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r>
      <w:tr>
        <w:trPr>
          <w:trHeight w:val="171"/>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Liabilities</w:t>
            </w: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w:t>
            </w:r>
          </w:p>
        </w:tc>
      </w:tr>
      <w:tr>
        <w:trPr>
          <w:trHeight w:val="174"/>
        </w:trPr>
        <w:tc>
          <w:tcPr>
            <w:tcW w:w="72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30,721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47,861</w:t>
            </w:r>
          </w:p>
        </w:tc>
      </w:tr>
      <w:tr>
        <w:trPr>
          <w:trHeight w:val="165"/>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9"/>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&amp; Equipment</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(104,978)</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Purchases of Investments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(31,200)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(24,228)</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the Maturities of Investments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32,840</w:t>
            </w:r>
          </w:p>
        </w:tc>
      </w:tr>
      <w:tr>
        <w:trPr>
          <w:trHeight w:val="171"/>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net</w:t>
            </w: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1,129</w:t>
            </w:r>
          </w:p>
        </w:tc>
      </w:tr>
      <w:tr>
        <w:trPr>
          <w:trHeight w:val="174"/>
        </w:trPr>
        <w:tc>
          <w:tcPr>
            <w:tcW w:w="72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(20,307)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(95,237)</w:t>
            </w:r>
          </w:p>
        </w:tc>
      </w:tr>
      <w:tr>
        <w:trPr>
          <w:trHeight w:val="165"/>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 Stock Repurchases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(14,812)</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Proceeds from Borrowings</w:t>
            </w:r>
          </w:p>
        </w:tc>
        <w:tc>
          <w:tcPr>
            <w:tcW w:w="300" w:type="dxa"/>
            <w:vAlign w:val="bottom"/>
          </w:tcPr>
          <w:p>
            <w:pPr>
              <w:spacing w:after="0"/>
              <w:rPr>
                <w:sz w:val="14"/>
                <w:szCs w:val="1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71,280</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(4,277)</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Repayment of Borrowings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(13,830)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(10,122)</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(3,258)</w:t>
            </w:r>
          </w:p>
        </w:tc>
      </w:tr>
      <w:tr>
        <w:trPr>
          <w:trHeight w:val="208"/>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(34,494)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38,811</w:t>
            </w:r>
          </w:p>
        </w:tc>
      </w:tr>
      <w:tr>
        <w:trPr>
          <w:trHeight w:val="210"/>
        </w:trPr>
        <w:tc>
          <w:tcPr>
            <w:tcW w:w="72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Decrease in Cash, Cash Equivalents and Restricted Cash</w:t>
            </w:r>
          </w:p>
        </w:tc>
        <w:tc>
          <w:tcPr>
            <w:tcW w:w="300" w:type="dxa"/>
            <w:vAlign w:val="bottom"/>
            <w:tcBorders>
              <w:top w:val="single" w:sz="8" w:color="CCEEFF"/>
              <w:bottom w:val="single" w:sz="8" w:color="CCEEFF"/>
            </w:tcBorders>
          </w:tcPr>
          <w:p>
            <w:pPr>
              <w:spacing w:after="0"/>
              <w:rPr>
                <w:sz w:val="18"/>
                <w:szCs w:val="18"/>
                <w:color w:val="auto"/>
              </w:rPr>
            </w:pPr>
          </w:p>
        </w:tc>
        <w:tc>
          <w:tcPr>
            <w:tcW w:w="16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3"/>
                <w:szCs w:val="13"/>
                <w:color w:val="auto"/>
              </w:rPr>
              <w:t>(24,080)</w:t>
            </w: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6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3"/>
                <w:szCs w:val="13"/>
                <w:color w:val="auto"/>
              </w:rPr>
              <w:t>(8,565)</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3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63,680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102,928</w:t>
            </w: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39,600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94,363</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29"/>
        </w:trPr>
        <w:tc>
          <w:tcPr>
            <w:tcW w:w="7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74"/>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7"/>
        </w:trPr>
        <w:tc>
          <w:tcPr>
            <w:tcW w:w="7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Aircraft Acquired under Finance Lease</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91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75"/>
        </w:trPr>
        <w:tc>
          <w:tcPr>
            <w:tcW w:w="92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9"/>
              </w:rPr>
              <w:t>The following provides a reconciliation of Cash, Cash Equivalents and Restricted Cash to the amounts reported on the Condensed Consolidated Balance Sheets: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4"/>
        </w:trPr>
        <w:tc>
          <w:tcPr>
            <w:tcW w:w="7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2"/>
          </w:tcPr>
          <w:p>
            <w:pPr>
              <w:ind w:left="220"/>
              <w:spacing w:after="0"/>
              <w:rPr>
                <w:sz w:val="20"/>
                <w:szCs w:val="20"/>
                <w:color w:val="auto"/>
              </w:rPr>
            </w:pPr>
            <w:r>
              <w:rPr>
                <w:rFonts w:ascii="Arial" w:cs="Arial" w:eastAsia="Arial" w:hAnsi="Arial"/>
                <w:sz w:val="13"/>
                <w:szCs w:val="13"/>
                <w:b w:val="1"/>
                <w:bCs w:val="1"/>
                <w:color w:val="auto"/>
              </w:rPr>
              <w:t>March 31, 2024</w:t>
            </w:r>
          </w:p>
        </w:tc>
        <w:tc>
          <w:tcPr>
            <w:tcW w:w="320" w:type="dxa"/>
            <w:vAlign w:val="bottom"/>
          </w:tcPr>
          <w:p>
            <w:pPr>
              <w:spacing w:after="0"/>
              <w:rPr>
                <w:sz w:val="15"/>
                <w:szCs w:val="15"/>
                <w:color w:val="auto"/>
              </w:rPr>
            </w:pPr>
          </w:p>
        </w:tc>
        <w:tc>
          <w:tcPr>
            <w:tcW w:w="1640" w:type="dxa"/>
            <w:vAlign w:val="bottom"/>
          </w:tcPr>
          <w:p>
            <w:pPr>
              <w:jc w:val="right"/>
              <w:ind w:right="477"/>
              <w:spacing w:after="0"/>
              <w:rPr>
                <w:sz w:val="20"/>
                <w:szCs w:val="20"/>
                <w:color w:val="auto"/>
              </w:rPr>
            </w:pPr>
            <w:r>
              <w:rPr>
                <w:rFonts w:ascii="Arial" w:cs="Arial" w:eastAsia="Arial" w:hAnsi="Arial"/>
                <w:sz w:val="13"/>
                <w:szCs w:val="13"/>
                <w:b w:val="1"/>
                <w:bCs w:val="1"/>
                <w:color w:val="auto"/>
              </w:rPr>
              <w:t>March 31, 2023</w:t>
            </w:r>
          </w:p>
        </w:tc>
      </w:tr>
      <w:tr>
        <w:trPr>
          <w:trHeight w:val="171"/>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0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71,587</w:t>
            </w:r>
          </w:p>
        </w:tc>
      </w:tr>
      <w:tr>
        <w:trPr>
          <w:trHeight w:val="171"/>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w:t>
            </w: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11,173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22,776</w:t>
            </w:r>
          </w:p>
        </w:tc>
      </w:tr>
      <w:tr>
        <w:trPr>
          <w:trHeight w:val="199"/>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94,363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Condensed Consolidated Financial Statements of Sun Country Airlines Holdings, Inc. should be read in conjunction with the Consolidated Financial Statements contained in the Company's Annual Report on Form 10-K for the year ended December 31, 2023 as filed with the SEC ("2023 10-K"). Management believes that all adjustments necessary for the fair presentation of results, consisting of normally recurring items, have been included in the unaudited Condensed Consolidated Financial Statements for the interim periods presented. The Company reclassified certain prior period amounts to conform to the current period presentation. All material intercompany balances and transactions have been eliminated in consolidation.</w:t>
      </w:r>
    </w:p>
    <w:p>
      <w:pPr>
        <w:spacing w:after="0" w:line="18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Due to impacts from seasonal variations in the demand for air travel, the volatility of aircraft fuel prices, the impact of macroeconomic conditions, and other factors, operating results for the three months ended March 31, 2024 are not necessarily indicative of operating results for other interim periods or for the full year ending December 31, 2024.</w:t>
      </w:r>
    </w:p>
    <w:p>
      <w:pPr>
        <w:spacing w:after="0" w:line="1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Ancillary, Cargo and Other revenue. Scheduled Service revenue mainly consists of base fares. Charter revenue is primarily generated through service provided to the U.S. Department of Defense ("DoD"), collegiate and professional sports teams, and casinos. Ancillary revenues consist of revenue earned from air travel-related services, such as: baggage fees, seat selection fees, other fees and on-board sales. Cargo consists of revenue earned from flying cargo aircraft for Amazon.com Services, Inc. (together with its affiliates, “Amazon”) under the Air Transportation Services Agreement (the “ATSA”). Other revenue consists primarily of revenue from services in connection with Sun Country Vacations products and rental revenue related to certain transactions where the Company acts as a lessor. The Company recognized $9,275 of rental revenue during the three months ended March 31, 2024. The rental revenue was not material to the Company's results of operations for the three months ended March 31, 2023.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7"/>
                <w:szCs w:val="17"/>
                <w:color w:val="auto"/>
              </w:rPr>
            </w:pPr>
          </w:p>
        </w:tc>
      </w:tr>
      <w:tr>
        <w:trPr>
          <w:trHeight w:val="224"/>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141,194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152,657</w:t>
            </w:r>
          </w:p>
        </w:tc>
      </w:tr>
      <w:tr>
        <w:trPr>
          <w:trHeight w:val="229"/>
        </w:trPr>
        <w:tc>
          <w:tcPr>
            <w:tcW w:w="6560" w:type="dxa"/>
            <w:vAlign w:val="bottom"/>
          </w:tcPr>
          <w:p>
            <w:pPr>
              <w:ind w:left="120"/>
              <w:spacing w:after="0"/>
              <w:rPr>
                <w:sz w:val="20"/>
                <w:szCs w:val="20"/>
                <w:color w:val="auto"/>
              </w:rPr>
            </w:pPr>
            <w:r>
              <w:rPr>
                <w:rFonts w:ascii="Arial" w:cs="Arial" w:eastAsia="Arial" w:hAnsi="Arial"/>
                <w:sz w:val="18"/>
                <w:szCs w:val="18"/>
                <w:color w:val="auto"/>
              </w:rPr>
              <w:t>Charter</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46,187</w:t>
            </w:r>
          </w:p>
        </w:tc>
      </w:tr>
      <w:tr>
        <w:trPr>
          <w:trHeight w:val="23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86,158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68,425</w:t>
            </w: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274,664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267,269</w:t>
            </w:r>
          </w:p>
        </w:tc>
      </w:tr>
      <w:tr>
        <w:trPr>
          <w:trHeight w:val="23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23,361</w:t>
            </w:r>
          </w:p>
        </w:tc>
      </w:tr>
      <w:tr>
        <w:trPr>
          <w:trHeight w:val="229"/>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w:t>
            </w: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311,483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294,115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attributes and measures its Operating Revenues by geographic region as defined by the United States Department of Transportation ("DOT") for airline reporting based upon the origin of each passenger and cargo flight segment.</w:t>
      </w:r>
    </w:p>
    <w:p>
      <w:pPr>
        <w:spacing w:after="0" w:line="15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7"/>
                <w:szCs w:val="17"/>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273,423</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21,269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20,255</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23"/>
        </w:trPr>
        <w:tc>
          <w:tcPr>
            <w:tcW w:w="656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311,483</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294,115</w:t>
            </w:r>
          </w:p>
        </w:tc>
      </w:tr>
      <w:tr>
        <w:trPr>
          <w:trHeight w:val="20"/>
        </w:trPr>
        <w:tc>
          <w:tcPr>
            <w:tcW w:w="6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Company’s contract assets primarily relate to costs incurred to get Amazon cargo aircraft ready for service. The balances are included in Other Current Assets and Other Assets on the Condensed Consolidated Balance Sheets.</w:t>
      </w:r>
    </w:p>
    <w:p>
      <w:pPr>
        <w:spacing w:after="0" w:line="15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Company’s contract liabilities are comprised of: 1) ticket sales for transportation that have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Current Liabilities and Other Long-term Liabilities on the Condensed Consolidated Balance Sheets).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2023</w:t>
            </w: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contract with Amazon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119,938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157,996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Deferred Up-front Payment</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173,958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three months ended March 31, 2024, $128,502 of revenue was recognized in Passenger revenue that was included in the Air Traffic Liabilities as of December 31, 2023.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6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2,294</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1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Balance – March 31</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13,799</w:t>
            </w:r>
          </w:p>
        </w:tc>
      </w:tr>
      <w:tr>
        <w:trPr>
          <w:trHeight w:val="20"/>
        </w:trPr>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75" w:lineRule="exact"/>
        <w:rPr>
          <w:sz w:val="20"/>
          <w:szCs w:val="20"/>
          <w:color w:val="auto"/>
        </w:rPr>
      </w:pPr>
    </w:p>
    <w:p>
      <w:pPr>
        <w:jc w:val="both"/>
        <w:ind w:left="900" w:right="500" w:hanging="550"/>
        <w:spacing w:after="0" w:line="26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1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8"/>
        </w:trPr>
        <w:tc>
          <w:tcPr>
            <w:tcW w:w="656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35,313</w:t>
            </w:r>
          </w:p>
        </w:tc>
        <w:tc>
          <w:tcPr>
            <w:tcW w:w="100" w:type="dxa"/>
            <w:vAlign w:val="bottom"/>
          </w:tcPr>
          <w:p>
            <w:pPr>
              <w:spacing w:after="0"/>
              <w:rPr>
                <w:sz w:val="17"/>
                <w:szCs w:val="17"/>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38,328</w:t>
            </w:r>
          </w:p>
        </w:tc>
      </w:tr>
      <w:tr>
        <w:trPr>
          <w:trHeight w:val="261"/>
        </w:trPr>
        <w:tc>
          <w:tcPr>
            <w:tcW w:w="65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01"/>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6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Basic</w:t>
            </w: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53,034,538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56,630,656</w:t>
            </w:r>
          </w:p>
        </w:tc>
      </w:tr>
      <w:tr>
        <w:trPr>
          <w:trHeight w:val="203"/>
        </w:trPr>
        <w:tc>
          <w:tcPr>
            <w:tcW w:w="65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4"/>
                <w:szCs w:val="14"/>
                <w:color w:val="auto"/>
              </w:rPr>
              <w:t xml:space="preserve">Dilutive effect of Stock Options, RSUs and Warrants </w:t>
            </w:r>
            <w:r>
              <w:rPr>
                <w:rFonts w:ascii="Arial" w:cs="Arial" w:eastAsia="Arial" w:hAnsi="Arial"/>
                <w:sz w:val="18"/>
                <w:szCs w:val="18"/>
                <w:color w:val="auto"/>
                <w:vertAlign w:val="superscript"/>
              </w:rPr>
              <w:t>(1)</w:t>
            </w: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2,363,147</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2,904,389</w:t>
            </w:r>
          </w:p>
        </w:tc>
      </w:tr>
      <w:tr>
        <w:trPr>
          <w:trHeight w:val="221"/>
        </w:trPr>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Diluted</w:t>
            </w:r>
          </w:p>
        </w:tc>
        <w:tc>
          <w:tcPr>
            <w:tcW w:w="1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55,397,685</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59,535,045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0.68</w:t>
            </w:r>
          </w:p>
        </w:tc>
      </w:tr>
      <w:tr>
        <w:trPr>
          <w:trHeight w:val="195"/>
        </w:trPr>
        <w:tc>
          <w:tcPr>
            <w:tcW w:w="65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16"/>
                <w:szCs w:val="16"/>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0.64</w:t>
            </w: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48" w:lineRule="exact"/>
        <w:rPr>
          <w:sz w:val="20"/>
          <w:szCs w:val="20"/>
          <w:color w:val="auto"/>
        </w:rPr>
      </w:pPr>
    </w:p>
    <w:p>
      <w:pPr>
        <w:jc w:val="both"/>
        <w:ind w:left="900" w:right="500" w:hanging="550"/>
        <w:spacing w:after="0" w:line="263" w:lineRule="auto"/>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There were 2,778,194 and 3,117,544 performance-based stock options outstanding at March 31, 2024 and 2023, respectively. As of March 31, 2024 and 2023, 100% and 43% of the performance-based stock options had vested, respectively. As of March 31, 2023, 64% of the performance-based stock options were expected to vest.</w:t>
      </w:r>
    </w:p>
    <w:p>
      <w:pPr>
        <w:spacing w:after="0" w:line="3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 has excluded 4,230,975 of stock options, RSUs and warrants that would have had an anti-dilutive effect on its diluted earnings per share calculation for the three months ended March 31, 2024. The Company's anti-dilutive shares for the three months ended March 31, 2023 were not material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AIRCRAFT</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As of March 31, 2024, Sun Country's fleet consisted of 63 Boeing 737-NG aircraft, comprised of 58 Boeing 737-800s and five Boeing 737-900ERs.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aircraft fleet activity for the three months ended March 31, 2024 and 2023, respectively:</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2023</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3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80"/>
              <w:spacing w:after="0"/>
              <w:rPr>
                <w:sz w:val="20"/>
                <w:szCs w:val="20"/>
                <w:color w:val="auto"/>
              </w:rPr>
            </w:pPr>
            <w:r>
              <w:rPr>
                <w:rFonts w:ascii="Arial" w:cs="Arial" w:eastAsia="Arial" w:hAnsi="Arial"/>
                <w:sz w:val="18"/>
                <w:szCs w:val="18"/>
                <w:color w:val="auto"/>
              </w:rPr>
              <w:t>Aircraft Operated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80"/>
              <w:spacing w:after="0"/>
              <w:rPr>
                <w:sz w:val="20"/>
                <w:szCs w:val="20"/>
                <w:color w:val="auto"/>
              </w:rPr>
            </w:pPr>
            <w:r>
              <w:rPr>
                <w:rFonts w:ascii="Arial" w:cs="Arial" w:eastAsia="Arial" w:hAnsi="Arial"/>
                <w:sz w:val="18"/>
                <w:szCs w:val="18"/>
                <w:color w:val="auto"/>
              </w:rPr>
              <w:t>Amazon</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Total Aircraft</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4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2022</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4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Sun Country Airlines’ Fleet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Aircraft Operated for</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vMerge w:val="restart"/>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Amazon</w:t>
            </w:r>
          </w:p>
        </w:tc>
        <w:tc>
          <w:tcPr>
            <w:tcW w:w="1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740" w:type="dxa"/>
            <w:vAlign w:val="bottom"/>
            <w:gridSpan w:val="2"/>
            <w:vMerge w:val="continue"/>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Arial" w:cs="Arial" w:eastAsia="Arial" w:hAnsi="Arial"/>
                <w:sz w:val="18"/>
                <w:szCs w:val="18"/>
                <w:color w:val="auto"/>
              </w:rPr>
              <w:t>Total Aircraft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 w:hanging="550"/>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head lease associated with these subleases are classified as finance leases.</w:t>
      </w:r>
    </w:p>
    <w:p>
      <w:pPr>
        <w:spacing w:after="0" w:line="2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three months ended March 31, 2024, the Company acquired one incremental aircraft and took control of two aircraft through finance lease arrangements, one of which was subsequently subleased to an unaffiliated airline through the fourth quarter of 2024. Upon expiry of the sublease, the aircraft will be redelivered to the Company and is expected to be inducted into the Company's passenger fleet. Of the 35 Owned aircraft and Owned Aircraft Held for Operating Lease as of March 31, 2024, 31 aircraft were financed and four aircraft were unencumbered. Subsequent to March 31, 2024, the Company purchased one aircraft previously classified as a finance lease, which is now unencumbered.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During the three months ended March 31, 2023, the Company acquired three 737-900ERs that are currently on lease to an unaffiliated airline ("Owned Aircraft Held for Operating Lease"). The Owned Aircraft Held for Operating Lease are financed through a term loan arrangement. See </w:t>
      </w:r>
      <w:hyperlink r:id="rId39">
        <w:r>
          <w:rPr>
            <w:rFonts w:ascii="Arial" w:cs="Arial" w:eastAsia="Arial" w:hAnsi="Arial"/>
            <w:sz w:val="18"/>
            <w:szCs w:val="18"/>
            <w:u w:val="single" w:color="auto"/>
            <w:color w:val="0000FF"/>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within Part II, Item 8 in our 2023 10-K for more information on this transaction.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rent expense on aircraft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Aircraft Status</w:t>
            </w:r>
          </w:p>
        </w:tc>
        <w:tc>
          <w:tcPr>
            <w:tcW w:w="1480" w:type="dxa"/>
            <w:vAlign w:val="bottom"/>
          </w:tcPr>
          <w:p>
            <w:pPr>
              <w:spacing w:after="0"/>
              <w:rPr>
                <w:sz w:val="17"/>
                <w:szCs w:val="17"/>
                <w:color w:val="auto"/>
              </w:rPr>
            </w:pPr>
          </w:p>
        </w:tc>
        <w:tc>
          <w:tcPr>
            <w:tcW w:w="3540" w:type="dxa"/>
            <w:vAlign w:val="bottom"/>
            <w:gridSpan w:val="3"/>
          </w:tcPr>
          <w:p>
            <w:pPr>
              <w:jc w:val="right"/>
              <w:ind w:right="2230"/>
              <w:spacing w:after="0"/>
              <w:rPr>
                <w:sz w:val="20"/>
                <w:szCs w:val="20"/>
                <w:color w:val="auto"/>
              </w:rPr>
            </w:pPr>
            <w:r>
              <w:rPr>
                <w:rFonts w:ascii="Arial" w:cs="Arial" w:eastAsia="Arial" w:hAnsi="Arial"/>
                <w:sz w:val="14"/>
                <w:szCs w:val="14"/>
                <w:b w:val="1"/>
                <w:bCs w:val="1"/>
                <w:color w:val="auto"/>
              </w:rPr>
              <w:t>Expense Type</w:t>
            </w:r>
          </w:p>
        </w:tc>
        <w:tc>
          <w:tcPr>
            <w:tcW w:w="1440" w:type="dxa"/>
            <w:vAlign w:val="bottom"/>
          </w:tcPr>
          <w:p>
            <w:pPr>
              <w:jc w:val="right"/>
              <w:ind w:right="69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ind w:right="714"/>
              <w:spacing w:after="0"/>
              <w:rPr>
                <w:sz w:val="20"/>
                <w:szCs w:val="20"/>
                <w:color w:val="auto"/>
              </w:rPr>
            </w:pPr>
            <w:r>
              <w:rPr>
                <w:rFonts w:ascii="Arial" w:cs="Arial" w:eastAsia="Arial" w:hAnsi="Arial"/>
                <w:sz w:val="14"/>
                <w:szCs w:val="14"/>
                <w:b w:val="1"/>
                <w:bCs w:val="1"/>
                <w:color w:val="auto"/>
              </w:rPr>
              <w:t>2023</w:t>
            </w:r>
          </w:p>
        </w:tc>
      </w:tr>
      <w:tr>
        <w:trPr>
          <w:trHeight w:val="224"/>
        </w:trPr>
        <w:tc>
          <w:tcPr>
            <w:tcW w:w="1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11,872</w:t>
            </w:r>
          </w:p>
        </w:tc>
      </w:tr>
      <w:tr>
        <w:trPr>
          <w:trHeight w:val="229"/>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Finance Leased</w:t>
            </w:r>
          </w:p>
        </w:tc>
        <w:tc>
          <w:tcPr>
            <w:tcW w:w="14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4,683</w:t>
            </w:r>
          </w:p>
        </w:tc>
      </w:tr>
      <w:tr>
        <w:trPr>
          <w:trHeight w:val="22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1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18,035</w:t>
            </w:r>
          </w:p>
        </w:tc>
      </w:tr>
      <w:tr>
        <w:trPr>
          <w:trHeight w:val="21"/>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20" w:hanging="470"/>
        <w:spacing w:after="0"/>
        <w:tabs>
          <w:tab w:leader="none" w:pos="820" w:val="left"/>
        </w:tabs>
        <w:numPr>
          <w:ilvl w:val="1"/>
          <w:numId w:val="9"/>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28" w:lineRule="exact"/>
        <w:rPr>
          <w:rFonts w:ascii="Arial" w:cs="Arial" w:eastAsia="Arial" w:hAnsi="Arial"/>
          <w:sz w:val="14"/>
          <w:szCs w:val="14"/>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Facilities</w:t>
      </w:r>
    </w:p>
    <w:p>
      <w:pPr>
        <w:spacing w:after="0" w:line="225"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On February 10, 2021, the Company executed a five-year credit agreement (the “Credit Agreement”) with a group of lenders. The Credit Agreement includes a $25,000 Revolving Credit Facility (the "Revolving Credit Facility") and a $90,000 Delayed Draw Term Loan Facility (“DDTL”), which are collectively referred to as the “Credit Facilities.” The Credit Agreement includes financial covenants that require a minimum trailing 12-month EBITDAR of $87,700 and minimum liquidity, as defined within the Credit Agreement, of $30,000 at the close of any business day. The Company was in compliance with these covenants as of March 31, 2024.</w:t>
      </w:r>
    </w:p>
    <w:p>
      <w:pPr>
        <w:spacing w:after="0" w:line="17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Due to previous transactions which utilized the DDTL and the subsequent repayment, no amounts under the DDTL were available to the Company as of March 31, 2024. As of March 31, 2024, the Company had $24,393 of financing available through the Revolving Credit Facility, as $607 had been pledged to support letters of credit.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Long-term Debt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Term Loan Credit Facility</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the three months ended March 31, 2023, the Company executed a term loan credit facility with a face amount of $119,200 for the purpose of financing the five Owned Aircraft Held for Operating Lease. The loan is repaid monthly through March 2030. During the lease term, payments collected from the lessee are applied directly to the repayment of principal and interest on the term loan credit facility. The Owned Aircraft Held for Operating Lease, as well as the related lease payments received from the lessee, are pledged as collateral.</w:t>
      </w:r>
    </w:p>
    <w:p>
      <w:pPr>
        <w:spacing w:after="0" w:line="176"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Loan-to-Value ("LTV") ratio calculation is completed at the end of the lease term. The interest rate in effect as of March 31, 2024 was 9.2%. To the extent that the LTV ratio exceeds 75% at the end of the lease term, a principal prepayment will be required in order to reduce the ratio to 75%. If at any point within 12 months of the end of the lease term for each respective aircraft the Company deems it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probable that a principal prepayment will be required in order to reduce the LTV ratio to 75%, and such amount can be reasonably estimated, the estimated principal prepayment amount will be reclassified from Long-term Debt, net to Current Maturities of Long-term Debt, net on the Company's Condensed Consolidated Balance Sheets. In the event a principal prepayment is required, amounts received under the end of lease maintenance compensation clause will be applied towards any prepayment obligation. No amounts related to an estimated principal prepayment have been reclassified from Long-term Debt, net to Current Maturities of Long-term Debt, net on the Company's Condensed Consolidated Balance Sheets as of March 31, 2024.</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March 2022, the Company arranged for the issuance of Class A and Class B certificates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5.05% as of March 31, 2024.</w:t>
      </w:r>
    </w:p>
    <w:p>
      <w:pPr>
        <w:spacing w:after="0" w:line="176"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In December 2019, the Company arranged for the issuance of Class A, Class B and Class C trust certificates Series 2019-1 (the “2019-1 EETC”), in an aggregate face amount of $248,587 for the purpose of financing or refinancing 13 aircraft, which was completed in 2020. The Company is required to make bi-annual principal and interest payments each June and December, through December 2027. These notes bear interest at an annual rate between 4.13% and 6.95%. The weighted average interest rate was 4.30% as of March 31, 2024.</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p>
      <w:pPr>
        <w:ind w:left="7400"/>
        <w:spacing w:after="0"/>
        <w:tabs>
          <w:tab w:leader="none" w:pos="9280" w:val="left"/>
        </w:tabs>
        <w:rPr>
          <w:sz w:val="20"/>
          <w:szCs w:val="20"/>
          <w:color w:val="auto"/>
        </w:rPr>
      </w:pPr>
      <w:r>
        <w:rPr>
          <w:rFonts w:ascii="Arial" w:cs="Arial" w:eastAsia="Arial" w:hAnsi="Arial"/>
          <w:sz w:val="14"/>
          <w:szCs w:val="14"/>
          <w:b w:val="1"/>
          <w:bCs w:val="1"/>
          <w:color w:val="auto"/>
        </w:rPr>
        <w:t>March 31, 2024</w:t>
      </w:r>
      <w:r>
        <w:rPr>
          <w:sz w:val="20"/>
          <w:szCs w:val="20"/>
          <w:color w:val="auto"/>
        </w:rPr>
        <w:tab/>
      </w:r>
      <w:r>
        <w:rPr>
          <w:rFonts w:ascii="Arial" w:cs="Arial" w:eastAsia="Arial" w:hAnsi="Arial"/>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wp:posOffset>
            </wp:positionV>
            <wp:extent cx="678053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780530" cy="1543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2019-1 EETC (see terms and conditions above)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2022-1 EETC (see terms and conditions above)</w:t>
      </w:r>
    </w:p>
    <w:p>
      <w:pPr>
        <w:spacing w:after="0" w:line="23" w:lineRule="exact"/>
        <w:rPr>
          <w:sz w:val="20"/>
          <w:szCs w:val="20"/>
          <w:color w:val="auto"/>
        </w:rPr>
      </w:pPr>
    </w:p>
    <w:p>
      <w:pPr>
        <w:ind w:left="360" w:right="100" w:hanging="96"/>
        <w:spacing w:after="0" w:line="273" w:lineRule="auto"/>
        <w:rPr>
          <w:sz w:val="20"/>
          <w:szCs w:val="20"/>
          <w:color w:val="auto"/>
        </w:rPr>
      </w:pPr>
      <w:r>
        <w:rPr>
          <w:rFonts w:ascii="Arial" w:cs="Arial" w:eastAsia="Arial" w:hAnsi="Arial"/>
          <w:sz w:val="18"/>
          <w:szCs w:val="18"/>
          <w:color w:val="auto"/>
        </w:rPr>
        <w:t>Term Loan Credit Facility (see terms and conditions above) Total Debt</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Less: Unamortized debt issuance costs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Less: Current Maturities of Long-term Debt, net</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 net</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220"/>
        </w:trPr>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138,423</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138,423</w:t>
            </w:r>
          </w:p>
        </w:tc>
      </w:tr>
      <w:tr>
        <w:trPr>
          <w:trHeight w:val="229"/>
        </w:trPr>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148,653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158,775</w:t>
            </w:r>
          </w:p>
        </w:tc>
      </w:tr>
      <w:tr>
        <w:trPr>
          <w:trHeight w:val="235"/>
        </w:trPr>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104,733</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108,442</w:t>
            </w:r>
          </w:p>
        </w:tc>
      </w:tr>
      <w:tr>
        <w:trPr>
          <w:trHeight w:val="218"/>
        </w:trPr>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391,809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405,640</w:t>
            </w:r>
          </w:p>
        </w:tc>
      </w:tr>
      <w:tr>
        <w:trPr>
          <w:trHeight w:val="230"/>
        </w:trPr>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35"/>
        </w:trPr>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(74,398)</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(74,177)</w:t>
            </w:r>
          </w:p>
        </w:tc>
      </w:tr>
      <w:tr>
        <w:trPr>
          <w:trHeight w:val="223"/>
        </w:trPr>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313,733</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327,468</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-779145</wp:posOffset>
            </wp:positionV>
            <wp:extent cx="678053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780530" cy="14605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-479425</wp:posOffset>
            </wp:positionV>
            <wp:extent cx="678053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780530" cy="14541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-187960</wp:posOffset>
            </wp:positionV>
            <wp:extent cx="67805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7805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ind w:right="268"/>
              <w:spacing w:after="0"/>
              <w:rPr>
                <w:sz w:val="20"/>
                <w:szCs w:val="20"/>
                <w:color w:val="auto"/>
              </w:rPr>
            </w:pPr>
            <w:r>
              <w:rPr>
                <w:rFonts w:ascii="Arial" w:cs="Arial" w:eastAsia="Arial" w:hAnsi="Arial"/>
                <w:sz w:val="14"/>
                <w:szCs w:val="14"/>
                <w:b w:val="1"/>
                <w:bCs w:val="1"/>
                <w:color w:val="auto"/>
              </w:rPr>
              <w:t>Debt Principal</w:t>
            </w:r>
          </w:p>
        </w:tc>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Amortization of Debt</w:t>
            </w:r>
          </w:p>
        </w:tc>
        <w:tc>
          <w:tcPr>
            <w:tcW w:w="1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89"/>
        </w:trPr>
        <w:tc>
          <w:tcPr>
            <w:tcW w:w="1300" w:type="dxa"/>
            <w:vAlign w:val="bottom"/>
          </w:tcPr>
          <w:p>
            <w:pPr>
              <w:jc w:val="center"/>
              <w:ind w:right="268"/>
              <w:spacing w:after="0"/>
              <w:rPr>
                <w:sz w:val="20"/>
                <w:szCs w:val="20"/>
                <w:color w:val="auto"/>
              </w:rPr>
            </w:pPr>
            <w:r>
              <w:rPr>
                <w:rFonts w:ascii="Arial" w:cs="Arial" w:eastAsia="Arial" w:hAnsi="Arial"/>
                <w:sz w:val="14"/>
                <w:szCs w:val="14"/>
                <w:b w:val="1"/>
                <w:bCs w:val="1"/>
                <w:color w:val="auto"/>
              </w:rPr>
              <w:t>Payments</w:t>
            </w:r>
          </w:p>
        </w:tc>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Issuance Costs</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60" w:space="720"/>
            <w:col w:w="54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2024</w:t>
            </w: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61,559</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60,688</w:t>
            </w:r>
          </w:p>
        </w:tc>
        <w:tc>
          <w:tcPr>
            <w:tcW w:w="40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79,049</w:t>
            </w:r>
          </w:p>
        </w:tc>
        <w:tc>
          <w:tcPr>
            <w:tcW w:w="40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60,441</w:t>
            </w:r>
          </w:p>
        </w:tc>
        <w:tc>
          <w:tcPr>
            <w:tcW w:w="40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2027</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65,175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64,650</w:t>
            </w:r>
          </w:p>
        </w:tc>
        <w:tc>
          <w:tcPr>
            <w:tcW w:w="40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36,025</w:t>
            </w:r>
          </w:p>
        </w:tc>
        <w:tc>
          <w:tcPr>
            <w:tcW w:w="40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87,278</w:t>
            </w:r>
          </w:p>
        </w:tc>
        <w:tc>
          <w:tcPr>
            <w:tcW w:w="400" w:type="dxa"/>
            <w:vAlign w:val="bottom"/>
          </w:tcPr>
          <w:p>
            <w:pPr>
              <w:spacing w:after="0"/>
              <w:rPr>
                <w:sz w:val="19"/>
                <w:szCs w:val="19"/>
                <w:color w:val="auto"/>
              </w:rPr>
            </w:pPr>
          </w:p>
        </w:tc>
      </w:tr>
      <w:tr>
        <w:trPr>
          <w:trHeight w:val="248"/>
        </w:trPr>
        <w:tc>
          <w:tcPr>
            <w:tcW w:w="26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March 31, 2024</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388,131</w:t>
            </w:r>
          </w:p>
        </w:tc>
        <w:tc>
          <w:tcPr>
            <w:tcW w:w="4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82"/>
        </w:trPr>
        <w:tc>
          <w:tcPr>
            <w:tcW w:w="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98"/>
        </w:trPr>
        <w:tc>
          <w:tcPr>
            <w:tcW w:w="260" w:type="dxa"/>
            <w:vAlign w:val="bottom"/>
            <w:tcBorders>
              <w:bottom w:val="single" w:sz="8" w:color="9A9A9A"/>
            </w:tcBorders>
          </w:tcPr>
          <w:p>
            <w:pPr>
              <w:spacing w:after="0"/>
              <w:rPr>
                <w:sz w:val="8"/>
                <w:szCs w:val="8"/>
                <w:color w:val="auto"/>
              </w:rPr>
            </w:pPr>
          </w:p>
        </w:tc>
        <w:tc>
          <w:tcPr>
            <w:tcW w:w="5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The fair value of Debt was $368,207 as of March 31, 2024 and $383,061 as of December 31, 2023. The fair value of the Company’s debt was based on the discounted amount of future cash flows using the Company’s end-of-period estimated incremental borrowing rate for similar obligations. The estimates were primarily based on Level 3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62,525</w:t>
            </w: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62,382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64,046</w:t>
            </w:r>
          </w:p>
        </w:tc>
        <w:tc>
          <w:tcPr>
            <w:tcW w:w="0" w:type="dxa"/>
            <w:vAlign w:val="bottom"/>
          </w:tcPr>
          <w:p>
            <w:pPr>
              <w:spacing w:after="0"/>
              <w:rPr>
                <w:sz w:val="1"/>
                <w:szCs w:val="1"/>
                <w:color w:val="auto"/>
              </w:rPr>
            </w:pPr>
          </w:p>
        </w:tc>
      </w:tr>
      <w:tr>
        <w:trPr>
          <w:trHeight w:val="223"/>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126,690</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126,428</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3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760" w:right="200" w:hanging="410"/>
        <w:spacing w:after="0" w:line="285"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Condensed Consolidated Balance Sheets totaling $6,351 and $6,887 as of March 31, 2024 and December 31, 2023, respectively.</w:t>
      </w:r>
    </w:p>
    <w:p>
      <w:pPr>
        <w:spacing w:after="0" w:line="270" w:lineRule="exact"/>
        <w:rPr>
          <w:sz w:val="20"/>
          <w:szCs w:val="20"/>
          <w:color w:val="auto"/>
        </w:rPr>
      </w:pPr>
    </w:p>
    <w:p>
      <w:pPr>
        <w:jc w:val="both"/>
        <w:ind w:left="260"/>
        <w:spacing w:after="0" w:line="253" w:lineRule="auto"/>
        <w:rPr>
          <w:sz w:val="20"/>
          <w:szCs w:val="20"/>
          <w:color w:val="auto"/>
        </w:rPr>
      </w:pPr>
      <w:r>
        <w:rPr>
          <w:rFonts w:ascii="Arial" w:cs="Arial" w:eastAsia="Arial" w:hAnsi="Arial"/>
          <w:sz w:val="18"/>
          <w:szCs w:val="18"/>
          <w:color w:val="auto"/>
        </w:rPr>
        <w:t>As of March 31, 2024, the unrealized losses were the result of increases in market interest rates and were not the result of a deterioration in the credit quality of the securities. The Company believes that any unrealized losses are recoverable prior to the investment's conversion to cash.</w:t>
      </w:r>
    </w:p>
    <w:p>
      <w:pPr>
        <w:spacing w:after="0" w:line="18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March 31, 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28,427</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62,382</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64,046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64,046</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126,428</w:t>
            </w:r>
          </w:p>
        </w:tc>
        <w:tc>
          <w:tcPr>
            <w:tcW w:w="0" w:type="dxa"/>
            <w:vAlign w:val="bottom"/>
          </w:tcPr>
          <w:p>
            <w:pPr>
              <w:spacing w:after="0"/>
              <w:rPr>
                <w:sz w:val="1"/>
                <w:szCs w:val="1"/>
                <w:color w:val="auto"/>
              </w:rPr>
            </w:pPr>
          </w:p>
        </w:tc>
      </w:tr>
      <w:tr>
        <w:trPr>
          <w:trHeight w:val="155"/>
        </w:trPr>
        <w:tc>
          <w:tcPr>
            <w:tcW w:w="3880" w:type="dxa"/>
            <w:vAlign w:val="bottom"/>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28,427</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126,428</w:t>
            </w:r>
          </w:p>
        </w:tc>
        <w:tc>
          <w:tcPr>
            <w:tcW w:w="100" w:type="dxa"/>
            <w:vAlign w:val="bottom"/>
          </w:tcPr>
          <w:p>
            <w:pPr>
              <w:spacing w:after="0"/>
              <w:rPr>
                <w:sz w:val="13"/>
                <w:szCs w:val="13"/>
                <w:color w:val="auto"/>
              </w:rPr>
            </w:pPr>
          </w:p>
        </w:tc>
        <w:tc>
          <w:tcPr>
            <w:tcW w:w="1180" w:type="dxa"/>
            <w:vAlign w:val="bottom"/>
            <w:vMerge w:val="restart"/>
          </w:tcPr>
          <w:p>
            <w:pPr>
              <w:jc w:val="right"/>
              <w:ind w:right="97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154,855</w:t>
            </w:r>
          </w:p>
        </w:tc>
        <w:tc>
          <w:tcPr>
            <w:tcW w:w="0" w:type="dxa"/>
            <w:vAlign w:val="bottom"/>
          </w:tcPr>
          <w:p>
            <w:pPr>
              <w:spacing w:after="0"/>
              <w:rPr>
                <w:sz w:val="1"/>
                <w:szCs w:val="1"/>
                <w:color w:val="auto"/>
              </w:rPr>
            </w:pPr>
          </w:p>
        </w:tc>
      </w:tr>
      <w:tr>
        <w:trPr>
          <w:trHeight w:val="216"/>
        </w:trPr>
        <w:tc>
          <w:tcPr>
            <w:tcW w:w="3880" w:type="dxa"/>
            <w:vAlign w:val="bottom"/>
          </w:tcPr>
          <w:p>
            <w:pPr>
              <w:ind w:left="50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59,248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155"/>
        </w:trPr>
        <w:tc>
          <w:tcPr>
            <w:tcW w:w="388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180,519</w:t>
            </w: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Company's effective tax rate for the three months ended March 31, 2024 and 2023 was 24.2% and 22.9%, respectively. The effective tax rate represents a blend of federal and state taxes and includes the impact of certain nondeductible or nontaxable items. The quarter-over-quarter increase in the effective tax rate was primarily due to a decrease in the impact of stock option exercises over the comparative periods.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total Tax Receivable Agreement ("TRA") balance as of March 31, 2024 and December 31, 2023 was $97,694 and $101,044, of which $10,611 and $3,250 was current, respectively. The TRA liability is an estimate and actual amounts payable under the TRA could differ from this estimate. During the three months ended March 31, 2024 and 2023, the Company made payments of $3,350 and $2,425, respectively,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pacing w:after="0" w:line="183" w:lineRule="exact"/>
        <w:rPr>
          <w:sz w:val="20"/>
          <w:szCs w:val="20"/>
          <w:color w:val="auto"/>
        </w:rPr>
      </w:pPr>
    </w:p>
    <w:p>
      <w:pPr>
        <w:ind w:left="340" w:right="8620" w:hanging="332"/>
        <w:spacing w:after="0" w:line="523" w:lineRule="auto"/>
        <w:tabs>
          <w:tab w:leader="none" w:pos="36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Equity Transactions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Repurchases</w:t>
      </w:r>
    </w:p>
    <w:p>
      <w:pPr>
        <w:spacing w:after="0" w:line="223"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The Company maintains a stock repurchase program, which has no expiration date and may be modified, suspended, or terminated by the Company's Board of Directors at any time. As of March 31, 2024, the Company did not have any remaining amount of Board authorization to repurchase shares of its Common Stock.</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three months ended March 31, 2024, the Company repurchased 755,284 shares of its Common Stock at a total cost of $11,493, or an average price of $15.22 per share. The repurchases were part of open market purchases. During the three months ended March 31, 2023, the Company repurchased 750,000 shares of its Common Stock at a total cost of $14,812, or an average price of $19.75 per share. The repurchases were part of a secondary public offering of the Company's shares by the Apollo Stockholder. The settlement of a $25,000 Accelerated Share Repurchase Program occurred during January 2023, upon which the Company received an additional 480,932 shares.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 to provide cargo services under the ATSA. In connection with the ATSA, the Company issued warrants to Amazon to purchase an aggregate of up to 9,482,606 shares of common stock at an exercise price of approximately $15.17 per share. During both the three months ended March 31, 2024 and 2023, 189,652 warrants vested, respectively. As of March 31, 2024 and 2023, the cumulative vested warrants held by Amazon were 3,413,745 and 2,591,920, respectively. The exercise period of these warrants is through the eighth anniversary of the issue date.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Compensation</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first quarter of 2024, the Company issued performance-based restricted stock units (“PRSUs”) to certain employees. The PRSUs are long-term incentive opportunities that represent the right to receive shares of the Company’s Common Stock based on the achievement of certain performance conditions over a three-year period. Potential payouts range from 50%-150% of a target level. The maximum number of shares that may be issued on the PRSU vesting date is 259,095. The Company recognizes PRSU stock compensation expense to the extent it is probable the performance condition(s) will be satisfied.</w:t>
      </w:r>
    </w:p>
    <w:p>
      <w:pPr>
        <w:spacing w:after="0" w:line="17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8</w:t>
      </w:r>
      <w:r>
        <w:rPr>
          <w:rFonts w:ascii="Arial" w:cs="Arial" w:eastAsia="Arial" w:hAnsi="Arial"/>
          <w:sz w:val="18"/>
          <w:szCs w:val="18"/>
          <w:color w:val="000000"/>
        </w:rPr>
        <w:t>), and probable future purchases of aircraft.</w:t>
      </w:r>
    </w:p>
    <w:p>
      <w:pPr>
        <w:spacing w:after="0" w:line="15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$2,700 from the IRS related to the results of the audit. The Company believes a loss in this matter is not probable and has not recognized a loss contingency.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financial information for the Company’s two operating segments: Passenger and Cargo.</w:t>
      </w:r>
    </w:p>
    <w:p>
      <w:pPr>
        <w:spacing w:after="0" w:line="302"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rPr>
              <w:t>Three Months Ended March 31, 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rPr>
              <w:t>Three Months Ended March 31, 2023</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Cargo</w:t>
            </w:r>
          </w:p>
        </w:tc>
        <w:tc>
          <w:tcPr>
            <w:tcW w:w="16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160" w:type="dxa"/>
            <w:vAlign w:val="bottom"/>
          </w:tcPr>
          <w:p>
            <w:pPr>
              <w:spacing w:after="0"/>
              <w:rPr>
                <w:sz w:val="17"/>
                <w:szCs w:val="17"/>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4"/>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270,754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294,115</w:t>
            </w:r>
          </w:p>
        </w:tc>
        <w:tc>
          <w:tcPr>
            <w:tcW w:w="0" w:type="dxa"/>
            <w:vAlign w:val="bottom"/>
          </w:tcPr>
          <w:p>
            <w:pPr>
              <w:spacing w:after="0"/>
              <w:rPr>
                <w:sz w:val="1"/>
                <w:szCs w:val="1"/>
                <w:color w:val="auto"/>
              </w:rPr>
            </w:pPr>
          </w:p>
        </w:tc>
      </w:tr>
      <w:tr>
        <w:trPr>
          <w:trHeight w:val="155"/>
        </w:trPr>
        <w:tc>
          <w:tcPr>
            <w:tcW w:w="2360" w:type="dxa"/>
            <w:vAlign w:val="bottom"/>
          </w:tcPr>
          <w:p>
            <w:pPr>
              <w:ind w:left="100"/>
              <w:spacing w:after="0" w:line="156" w:lineRule="exact"/>
              <w:rPr>
                <w:sz w:val="20"/>
                <w:szCs w:val="20"/>
                <w:color w:val="auto"/>
              </w:rPr>
            </w:pPr>
            <w:r>
              <w:rPr>
                <w:rFonts w:ascii="Arial" w:cs="Arial" w:eastAsia="Arial" w:hAnsi="Arial"/>
                <w:sz w:val="18"/>
                <w:szCs w:val="18"/>
                <w:color w:val="auto"/>
              </w:rPr>
              <w:t>Non-Fuel Operating</w:t>
            </w:r>
          </w:p>
        </w:tc>
        <w:tc>
          <w:tcPr>
            <w:tcW w:w="1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160,700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25,303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186,003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140,637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25,405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166,042</w:t>
            </w:r>
          </w:p>
        </w:tc>
        <w:tc>
          <w:tcPr>
            <w:tcW w:w="0" w:type="dxa"/>
            <w:vAlign w:val="bottom"/>
          </w:tcPr>
          <w:p>
            <w:pPr>
              <w:spacing w:after="0"/>
              <w:rPr>
                <w:sz w:val="1"/>
                <w:szCs w:val="1"/>
                <w:color w:val="auto"/>
              </w:rPr>
            </w:pPr>
          </w:p>
        </w:tc>
      </w:tr>
      <w:tr>
        <w:trPr>
          <w:trHeight w:val="243"/>
        </w:trPr>
        <w:tc>
          <w:tcPr>
            <w:tcW w:w="2360" w:type="dxa"/>
            <w:vAlign w:val="bottom"/>
          </w:tcPr>
          <w:p>
            <w:pPr>
              <w:ind w:left="26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72,290</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231,004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256,307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212,903</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238,332</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55,783</w:t>
            </w:r>
          </w:p>
        </w:tc>
        <w:tc>
          <w:tcPr>
            <w:tcW w:w="0" w:type="dxa"/>
            <w:vAlign w:val="bottom"/>
          </w:tcPr>
          <w:p>
            <w:pPr>
              <w:spacing w:after="0"/>
              <w:rPr>
                <w:sz w:val="1"/>
                <w:szCs w:val="1"/>
                <w:color w:val="auto"/>
              </w:rPr>
            </w:pPr>
          </w:p>
        </w:tc>
      </w:tr>
      <w:tr>
        <w:trPr>
          <w:trHeight w:val="190"/>
        </w:trPr>
        <w:tc>
          <w:tcPr>
            <w:tcW w:w="2360" w:type="dxa"/>
            <w:vAlign w:val="bottom"/>
            <w:tcBorders>
              <w:top w:val="single" w:sz="8" w:color="CCEEFF"/>
            </w:tcBorders>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2,448</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29"/>
        </w:trPr>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May 7, 2024, the date that the Condensed Consolidated Financial Statements were available to be issued.</w:t>
      </w:r>
    </w:p>
    <w:p>
      <w:pPr>
        <w:spacing w:after="0" w:line="99"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Subsequent to March 31, 2024, the Company purchased one aircraft previously classified as a finance lease, which is now unencumbered.</w:t>
      </w:r>
    </w:p>
    <w:p>
      <w:pPr>
        <w:spacing w:after="0" w:line="15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 xml:space="preserve">For more information on the subsequent events,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the Condensed Consolidated Financial Statements included elsewhere in this report.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three months ended March 31, 2024 and 2023. Also discussed is our financial position as of March 31, 2024 and December 31, 2023.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2023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57">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2023 10-K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 with flights throughout the U.S.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We believe this flexible business model provides greater resiliency to economic and industry downturns than a traditional scheduled service carrier. This strategy has been implemented and executed by an experienced management team with deep knowledge of the industry.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Scheduled Service business combines low costs with a high-quality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ULCCs. However, we offer a high-quality product that we believe is superior to ULCCs and consistent with that of LCCs. For example, our product includes more average legroom than ULCCs, complimentary soft drinks and juices, complimentary in-flight entertainment, and in-seat power, none of which are offered by other ULCCs.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synergistic with our other businesses and provides both inherent diversification and downside protection. Our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Charter business has several favorable characteristics, including: large repeat customers, more stable demand than Scheduled Service flying, and the ability to pass through certain costs, including fuel. Our diverse Charter customer base includes casino operators, the DoD, and collegiate and professional sports teams. Our Charter business includes ad hoc, repeat, short-term and long-term service contracts with pass through fuel arrangements and annual rate escalations. Most of our business is non-cyclical because the DoD and sports teams continue to fly during normal economic downturns and our casino contracts are long-term in nature.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December 13, 2019, we signed </w:t>
      </w:r>
      <w:r>
        <w:rPr>
          <w:rFonts w:ascii="Arial" w:cs="Arial" w:eastAsia="Arial" w:hAnsi="Arial"/>
          <w:sz w:val="18"/>
          <w:szCs w:val="18"/>
          <w:color w:val="231F20"/>
        </w:rPr>
        <w:t>the</w:t>
      </w:r>
      <w:r>
        <w:rPr>
          <w:rFonts w:ascii="Arial" w:cs="Arial" w:eastAsia="Arial" w:hAnsi="Arial"/>
          <w:sz w:val="18"/>
          <w:szCs w:val="18"/>
          <w:color w:val="auto"/>
        </w:rPr>
        <w:t xml:space="preserve"> 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passenger businesses. Our cargo business also enables us to leverage certain assets, capabilities, and fixed costs to enhance profitability and promote growth across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complimentary streaming of in-flight entertainment to passenger devices, seat reclining and seat-back power in all of our aircraft.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Fuel price volatility due to market conditions and geopolitical events, and the impact of macroeconomic conditions, continue to impact the Company, as well as the industry. Our diversified business model, which includes a focus on leisure and VFR passengers, Charter and Cargo service, is unique in the airline sector and mitigates the impact of economic and industry downturns on our business when compared with other large U.S. passenger airlines. This strategy has allowed us to offset a majority of additional costs associated with fuel price volatility and the impact of macroeconomic conditions. Additionally, our Charter and Cargo businesses have the ability to pass on certain costs, including fuel. Our flexible business model gives us the ability to adjust our services in response to market conditions, which is targeted at producing the highest possible returns for Sun Country.</w:t>
      </w:r>
    </w:p>
    <w:p>
      <w:pPr>
        <w:spacing w:after="0" w:line="183"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Operations” sections within Part I, </w:t>
      </w:r>
      <w:hyperlink r:id="rId57">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57">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2023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25"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Operations” in Part II, </w:t>
      </w:r>
      <w:hyperlink r:id="rId57">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2023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w w:val="98"/>
              </w:rPr>
              <w:t xml:space="preserve">Three Months Ended March 31, 2024 </w:t>
            </w:r>
            <w:r>
              <w:rPr>
                <w:rFonts w:ascii="Arial" w:cs="Arial" w:eastAsia="Arial" w:hAnsi="Arial"/>
                <w:sz w:val="14"/>
                <w:szCs w:val="14"/>
                <w:b w:val="1"/>
                <w:bCs w:val="1"/>
                <w:color w:val="auto"/>
                <w:w w:val="98"/>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1"/>
                <w:szCs w:val="11"/>
                <w:b w:val="1"/>
                <w:bCs w:val="1"/>
                <w:color w:val="auto"/>
                <w:w w:val="97"/>
              </w:rPr>
              <w:t xml:space="preserve">Three Months Ended March 31, 2023 </w:t>
            </w:r>
            <w:r>
              <w:rPr>
                <w:rFonts w:ascii="Arial" w:cs="Arial" w:eastAsia="Arial" w:hAnsi="Arial"/>
                <w:sz w:val="14"/>
                <w:szCs w:val="14"/>
                <w:b w:val="1"/>
                <w:bCs w:val="1"/>
                <w:color w:val="auto"/>
                <w:w w:val="97"/>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366"/>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66"/>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7,169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2,292</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2,961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12,539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2,369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3,027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11,672</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25,496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4,900</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7,688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38,437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21,941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5,054</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7,776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35,083</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10,176,835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1,696,121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2,856,662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14,840,468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8,740,473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1,725,753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2,840,370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13,401,208</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1,892,891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299,058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2,211,886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1,625,728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301,913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1,945,001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15.82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15.30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13.92</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1,255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1,157,511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998,238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1,654,851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1,432,131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87.4 %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88.1 %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152.93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74.43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68.55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196.41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221.48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9,655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9,139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3,434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23,676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3,526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21,073</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2,634</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(7)</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12.25</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(8)</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right="20" w:hanging="332"/>
        <w:spacing w:after="0" w:line="26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2024 and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7"/>
                <w:szCs w:val="17"/>
                <w:color w:val="auto"/>
              </w:rPr>
            </w:pPr>
          </w:p>
        </w:tc>
        <w:tc>
          <w:tcPr>
            <w:tcW w:w="124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720" w:type="dxa"/>
            <w:vAlign w:val="bottom"/>
            <w:vMerge w:val="restart"/>
          </w:tcPr>
          <w:p>
            <w:pPr>
              <w:jc w:val="right"/>
              <w:ind w:right="7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jc w:val="right"/>
              <w:ind w:right="5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141,194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152,657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(11,463)</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86,158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267,269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88"/>
        </w:trPr>
        <w:tc>
          <w:tcPr>
            <w:tcW w:w="4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82,238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238,332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17,975</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88"/>
        </w:trPr>
        <w:tc>
          <w:tcPr>
            <w:tcW w:w="4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Revenues increased $17,368, or 6%, to $311,483 for the three months ended March 31, 2024 as compared to the three months ended March 31, 2023. The revenue increase was driven by an increase in rental revenue included within Other revenue, as well as an 11% increase in Passenger segment departures, partially offset by an 11% decrease in Total Fare per passenger.</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increased $7,395, or 3%, to $274,664 for the three months ended March 31, 2024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select operating data for lines of revenue within Passenger, expressed as quarter-over-quarter changes: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60" w:type="dxa"/>
            <w:vAlign w:val="bottom"/>
          </w:tcPr>
          <w:p>
            <w:pPr>
              <w:jc w:val="right"/>
              <w:ind w:right="3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Passengers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1,157,511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998,238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159,273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base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152.93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Ancillary revenue per passenger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68.55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221.48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RPMs (thousands)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1,654,851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1,432,131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222,720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ASMs (thousands)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1,892,891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1,625,728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267,163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TRASM (cents)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(0.7)pts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9"/>
        </w:trPr>
        <w:tc>
          <w:tcPr>
            <w:tcW w:w="4740" w:type="dxa"/>
            <w:vAlign w:val="bottom"/>
          </w:tcPr>
          <w:p>
            <w:pPr>
              <w:ind w:left="220"/>
              <w:spacing w:after="0"/>
              <w:rPr>
                <w:sz w:val="20"/>
                <w:szCs w:val="20"/>
                <w:color w:val="auto"/>
              </w:rPr>
            </w:pPr>
            <w:r>
              <w:rPr>
                <w:rFonts w:ascii="Arial" w:cs="Arial" w:eastAsia="Arial" w:hAnsi="Arial"/>
                <w:sz w:val="18"/>
                <w:szCs w:val="18"/>
                <w:color w:val="auto"/>
              </w:rPr>
              <w:t>Charter revenue per block hour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quarter-over-quarter increases in certain Scheduled Service operating data were primarily the result of increased capacity due to a 10% increase in average daily aircraft utilization. As a result, Scheduled Service departures and ASMs both increased by 16%. This increase in capacity drove the 16% increase in passengers, which offset the quarter-over-quarter decreases in both Total Fare per passenger and TRASM. The 16% increase in Schedule Service passengers during the period also resulted in greater sales of ancillary products. Ancillary revenue was further benefited by per unit growth.</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Passenger revenue was further supported by the $1,125, or 2%, increase in Charter revenue during the three months ended March 31, 2024, as compared to the three months ended March 31, 2023. The Company was able to reduce the number of ferry flights by leveraging scheduled service opportunities, which drove the 3% decrease in Charter block hours and departures. This resulted in a 6% increase in Charter revenue per block hour.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$587, or 3%, to $23,948 for the three months ended March 31,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2023. The increase was primarily driven by the annual rate escalation included in the ATSA, which went into effect on December 13, 2023. This increase was offset by a 2% and 1% quarter-over-quarter decrease in departures and block hours, respectively.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increased $9,386, or 269%, to $12,871 for the three months ended March 31, 2024,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2023. Other revenue benefited from the $9,275 of rental revenue associated with the seven leased aircraft during the three months ended March 31, 2024, as compared to an immaterial amount in the three months ended March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42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gridSpan w:val="2"/>
            <w:vMerge w:val="restart"/>
          </w:tcPr>
          <w:p>
            <w:pPr>
              <w:jc w:val="right"/>
              <w:ind w:right="6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vMerge w:val="restart"/>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71,258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23,676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3% quarter-over-quarter primarily due to a 13% decrease in the average fuel cost per gallon, partially offset by a 12% increase in consumption.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$6,808, or 9%, to $ 82,238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as compared to the three months ended March 31, 2023. The quarter-over-quarter increase in Salaries, Wages, and Benefits was impacted by a 9% increase in employee headcount, an increase in block hours as a result of operational growth, and contractual rate increases for our pilots.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$ 1,480, or 100%, to $0 for the three months ended March 31,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2023. Aircraft Rent expense decreased due to the composition of our aircraft fleet shifting from aircraft under operating leases to owned aircraft or finance leases.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$3,778, or 29%, to $16,817 for the three months ended March 31,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2023. The quarter-over-quarter increase in Maintenance expense was primarily driven by an increase in routine, time-based heavy maintenance and landing gear events, as well as the increase in the size of our fleet and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$750, or 8%, to $10,679 for the three months ended March 31, 2024,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31, 2023. The change quarter-over-quarter was primarily driven by an increase in advertising costs and an increase in credit card processing fees due to quarter-over-quarter passenger growth.</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$4,349, or 22%, to $23,809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as compared to the three months ended March 31, 2023. The increase was due to the impact of a change in the composition of our aircraft fleet that resulted in an increased number of owned aircraft and aircraft under finance leases. As of March 31, 2024 and 2023, there were 51 and 43 aircraft that were owned or under finance leases,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decreased $16, to $9,154, for the three months ended March 31,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2023. Ground Handing expenses during the three months ended March 31, 2023 were significantly impacted by the challenging winter weather conditions at our main hub, the Minneapolis – St. Paul International Airport. This quarter-over-quarter benefit was offset by an 11% increase in Passenger segment departures as a result of our expanding operations, as well as rate increases due to market pressures.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$3,784, or 35%, to $14,729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2024, as compared to the three months ended March 31, 2023. The increase was a result of the exhaustion of the remaining Coronavirus Aid, Relief, and Economic Security Act funding, which increased rates. The increase was also impacted by market pressures and the 11% increase in Passenger segment departures as a result of our expanding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$1,988, or 7%, to $28,577 for the three months ended March 31, 2024,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three months ended March 31, 2023, primarily due to increases in costs associated with our operational growth.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$293, or 11%, to $ 2,448 for the three months ended March 31, 2024,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2023. The decrease was primarily due to the decrease in the Company's investment balance quarter-over-quarter.</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$2,482, or 29%, to $ 11,112 for the three months ended March 31,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March 31, 2023. The increase was due to the change in our aircraft fleet that resulted in an increase of aircraft under finance leases and owned aircraft that were financed with debt proceeds.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changed by $258, or 122% to a net benefit of $46 for the three months ended March 31, 2024, as compared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$212 for the three months ended March 31, 2023.</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three months ended March 31, 2024 was 24.2% compared to 22.9%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2023. The increase in the effective tax rate was primarily due to a decrease in the impact of stock option exercises over the comparative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2024 and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center"/>
              <w:ind w:left="592"/>
              <w:spacing w:after="0"/>
              <w:rPr>
                <w:sz w:val="20"/>
                <w:szCs w:val="20"/>
                <w:color w:val="auto"/>
              </w:rPr>
            </w:pPr>
            <w:r>
              <w:rPr>
                <w:rFonts w:ascii="Arial" w:cs="Arial" w:eastAsia="Arial" w:hAnsi="Arial"/>
                <w:sz w:val="14"/>
                <w:szCs w:val="14"/>
                <w:b w:val="1"/>
                <w:bCs w:val="1"/>
                <w:color w:val="auto"/>
              </w:rPr>
              <w:t>Three Months Ended March 31, 2024</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rPr>
              <w:t>Three Months Ended March 31, 2023</w:t>
            </w:r>
          </w:p>
        </w:tc>
        <w:tc>
          <w:tcPr>
            <w:tcW w:w="920" w:type="dxa"/>
            <w:vAlign w:val="bottom"/>
            <w:tcBorders>
              <w:bottom w:val="single" w:sz="8" w:color="auto"/>
            </w:tcBorders>
          </w:tcPr>
          <w:p>
            <w:pPr>
              <w:spacing w:after="0"/>
              <w:rPr>
                <w:sz w:val="17"/>
                <w:szCs w:val="17"/>
                <w:color w:val="auto"/>
              </w:rPr>
            </w:pPr>
          </w:p>
        </w:tc>
      </w:tr>
      <w:tr>
        <w:trPr>
          <w:trHeight w:val="223"/>
        </w:trPr>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50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Cargo</w:t>
            </w:r>
          </w:p>
        </w:tc>
        <w:tc>
          <w:tcPr>
            <w:tcW w:w="480" w:type="dxa"/>
            <w:vAlign w:val="bottom"/>
          </w:tcPr>
          <w:p>
            <w:pPr>
              <w:spacing w:after="0"/>
              <w:rPr>
                <w:sz w:val="19"/>
                <w:szCs w:val="19"/>
                <w:color w:val="auto"/>
              </w:rPr>
            </w:pPr>
          </w:p>
        </w:tc>
        <w:tc>
          <w:tcPr>
            <w:tcW w:w="92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70"/>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270,754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294,115</w:t>
            </w:r>
          </w:p>
        </w:tc>
      </w:tr>
      <w:tr>
        <w:trPr>
          <w:trHeight w:val="250"/>
        </w:trPr>
        <w:tc>
          <w:tcPr>
            <w:tcW w:w="23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7"/>
        </w:trPr>
        <w:tc>
          <w:tcPr>
            <w:tcW w:w="23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70,304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72,266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72,290</w:t>
            </w:r>
          </w:p>
        </w:tc>
      </w:tr>
      <w:tr>
        <w:trPr>
          <w:trHeight w:val="23"/>
        </w:trPr>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2"/>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75,430</w:t>
            </w:r>
          </w:p>
        </w:tc>
      </w:tr>
      <w:tr>
        <w:trPr>
          <w:trHeight w:val="247"/>
        </w:trPr>
        <w:tc>
          <w:tcPr>
            <w:tcW w:w="236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1,480</w:t>
            </w:r>
          </w:p>
        </w:tc>
      </w:tr>
      <w:tr>
        <w:trPr>
          <w:trHeight w:val="23"/>
        </w:trPr>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13,039</w:t>
            </w:r>
          </w:p>
        </w:tc>
      </w:tr>
      <w:tr>
        <w:trPr>
          <w:trHeight w:val="247"/>
        </w:trPr>
        <w:tc>
          <w:tcPr>
            <w:tcW w:w="23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9,929</w:t>
            </w:r>
          </w:p>
        </w:tc>
      </w:tr>
      <w:tr>
        <w:trPr>
          <w:trHeight w:val="23"/>
        </w:trPr>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2"/>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19,460</w:t>
            </w:r>
          </w:p>
        </w:tc>
      </w:tr>
      <w:tr>
        <w:trPr>
          <w:trHeight w:val="247"/>
        </w:trPr>
        <w:tc>
          <w:tcPr>
            <w:tcW w:w="236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9,170</w:t>
            </w:r>
          </w:p>
        </w:tc>
      </w:tr>
      <w:tr>
        <w:trPr>
          <w:trHeight w:val="23"/>
        </w:trPr>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2"/>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10,945</w:t>
            </w:r>
          </w:p>
        </w:tc>
      </w:tr>
      <w:tr>
        <w:trPr>
          <w:trHeight w:val="247"/>
        </w:trPr>
        <w:tc>
          <w:tcPr>
            <w:tcW w:w="236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26,589</w:t>
            </w:r>
          </w:p>
        </w:tc>
      </w:tr>
      <w:tr>
        <w:trPr>
          <w:trHeight w:val="23"/>
        </w:trPr>
        <w:tc>
          <w:tcPr>
            <w:tcW w:w="2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2360" w:type="dxa"/>
            <w:vAlign w:val="bottom"/>
            <w:shd w:val="clear" w:color="auto" w:fill="CCEEFF"/>
          </w:tcPr>
          <w:p>
            <w:pPr>
              <w:ind w:left="360"/>
              <w:spacing w:after="0" w:line="204" w:lineRule="exact"/>
              <w:rPr>
                <w:sz w:val="20"/>
                <w:szCs w:val="20"/>
                <w:color w:val="auto"/>
              </w:rPr>
            </w:pPr>
            <w:r>
              <w:rPr>
                <w:rFonts w:ascii="Arial" w:cs="Arial" w:eastAsia="Arial" w:hAnsi="Arial"/>
                <w:sz w:val="18"/>
                <w:szCs w:val="18"/>
                <w:color w:val="auto"/>
              </w:rPr>
              <w:t>Total Operating</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62"/>
        </w:trPr>
        <w:tc>
          <w:tcPr>
            <w:tcW w:w="2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231,004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212,903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238,332</w:t>
            </w:r>
          </w:p>
        </w:tc>
      </w:tr>
      <w:tr>
        <w:trPr>
          <w:trHeight w:val="264"/>
        </w:trPr>
        <w:tc>
          <w:tcPr>
            <w:tcW w:w="2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56,531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55,176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57,851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55,783</w:t>
            </w:r>
          </w:p>
        </w:tc>
      </w:tr>
      <w:tr>
        <w:trPr>
          <w:trHeight w:val="46"/>
        </w:trPr>
        <w:tc>
          <w:tcPr>
            <w:tcW w:w="2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70"/>
        </w:trPr>
        <w:tc>
          <w:tcPr>
            <w:tcW w:w="23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220" w:type="dxa"/>
            <w:vAlign w:val="bottom"/>
            <w:tcBorders>
              <w:top w:val="single" w:sz="8" w:color="CCEEFF"/>
              <w:bottom w:val="single" w:sz="8" w:color="auto"/>
            </w:tcBorders>
          </w:tcPr>
          <w:p>
            <w:pPr>
              <w:spacing w:after="0"/>
              <w:rPr>
                <w:sz w:val="23"/>
                <w:szCs w:val="23"/>
                <w:color w:val="auto"/>
              </w:rPr>
            </w:pP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tcPr>
          <w:p>
            <w:pPr>
              <w:spacing w:after="0"/>
              <w:rPr>
                <w:sz w:val="23"/>
                <w:szCs w:val="23"/>
                <w:color w:val="auto"/>
              </w:rPr>
            </w:pPr>
          </w:p>
        </w:tc>
        <w:tc>
          <w:tcPr>
            <w:tcW w:w="500" w:type="dxa"/>
            <w:vAlign w:val="bottom"/>
            <w:tcBorders>
              <w:top w:val="single" w:sz="8" w:color="CCEEFF"/>
              <w:bottom w:val="single" w:sz="8" w:color="auto"/>
            </w:tcBorders>
          </w:tcPr>
          <w:p>
            <w:pPr>
              <w:spacing w:after="0"/>
              <w:rPr>
                <w:sz w:val="23"/>
                <w:szCs w:val="23"/>
                <w:color w:val="auto"/>
              </w:rPr>
            </w:pPr>
          </w:p>
        </w:tc>
        <w:tc>
          <w:tcPr>
            <w:tcW w:w="9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bottom w:val="single" w:sz="8" w:color="auto"/>
            </w:tcBorders>
          </w:tcPr>
          <w:p>
            <w:pPr>
              <w:spacing w:after="0"/>
              <w:rPr>
                <w:sz w:val="23"/>
                <w:szCs w:val="23"/>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19.0 %</w:t>
            </w:r>
          </w:p>
        </w:tc>
      </w:tr>
      <w:tr>
        <w:trPr>
          <w:trHeight w:val="20"/>
        </w:trPr>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$1,320 to $56,531 for the three months ended March 31,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2023. The Operating Margin Percentage for the three months ended March 31, 2024 decreased by 1.7 percentage points, as compared to the three months ended March 31, 2023. The quarter-over-quarter decrease in Passenger Operating Income and Operating Margin Percentage was due to increased expenses associated with our operational growth, contractual rate increases for our pilots, an increase in heavy maintenance and landing gear events, and rate increases for Landing Fees and Airport Rent. These impacts were partially offset by a quarter-over-quarter revenue growth due to an increase in departures and passengers.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Loss decreased by $713, to $ 1,355, for the three months ended March 31, 2024,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2023. Operating Margin Percentage for the three months ended March 31, 2024 improved by 3.2 percentage points, as compared to the three months ended March 31, 2023. The changes in both Operating Loss and Operating Margin Percentage were driven by scheduling efficiency improvements between our segments, which offset the contractual rate increases for our pilots and resulted in materially consistent quarter-over-quarter Operating Expenses. The changes in Operating Loss and Operating Margin Percentage were further benefited by the annual rate escalation included in the ATSA. For more information on the components of Operating Income for the Cargo segment, refer to the Results of Operations discussion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44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7"/>
                <w:szCs w:val="17"/>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311,483</w:t>
            </w:r>
          </w:p>
        </w:tc>
        <w:tc>
          <w:tcPr>
            <w:tcW w:w="80" w:type="dxa"/>
            <w:vAlign w:val="bottom"/>
          </w:tcPr>
          <w:p>
            <w:pPr>
              <w:spacing w:after="0"/>
              <w:rPr>
                <w:sz w:val="19"/>
                <w:szCs w:val="19"/>
                <w:color w:val="auto"/>
              </w:rPr>
            </w:pPr>
          </w:p>
        </w:tc>
        <w:tc>
          <w:tcPr>
            <w:tcW w:w="1280" w:type="dxa"/>
            <w:vAlign w:val="bottom"/>
          </w:tcPr>
          <w:p>
            <w:pPr>
              <w:jc w:val="right"/>
              <w:ind w:right="107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294,115</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55,176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55,783</w:t>
            </w:r>
          </w:p>
        </w:tc>
      </w:tr>
      <w:tr>
        <w:trPr>
          <w:trHeight w:val="162"/>
        </w:trPr>
        <w:tc>
          <w:tcPr>
            <w:tcW w:w="6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2,678</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56,690</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58,461</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6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1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35,313</w:t>
            </w:r>
          </w:p>
        </w:tc>
        <w:tc>
          <w:tcPr>
            <w:tcW w:w="8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38,328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(1)</w:t>
            </w:r>
          </w:p>
        </w:tc>
        <w:tc>
          <w:tcPr>
            <w:tcW w:w="12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1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64"/>
        </w:trPr>
        <w:tc>
          <w:tcPr>
            <w:tcW w:w="72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36,479</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41" w:lineRule="exact"/>
        <w:rPr>
          <w:rFonts w:ascii="Arial" w:cs="Arial" w:eastAsia="Arial" w:hAnsi="Arial"/>
          <w:sz w:val="14"/>
          <w:szCs w:val="14"/>
          <w:color w:val="auto"/>
        </w:rPr>
      </w:pPr>
    </w:p>
    <w:p>
      <w:pPr>
        <w:ind w:left="580" w:right="120" w:hanging="554"/>
        <w:spacing w:after="0" w:line="264"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 The TRA adjustment is not included within the income tax effect calculation.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1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35,313</w:t>
            </w:r>
          </w:p>
        </w:tc>
        <w:tc>
          <w:tcPr>
            <w:tcW w:w="8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38,328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12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(1)</w:t>
            </w:r>
          </w:p>
        </w:tc>
        <w:tc>
          <w:tcPr>
            <w:tcW w:w="1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(2,448)</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11,245</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80,545</w:t>
            </w:r>
          </w:p>
        </w:tc>
        <w:tc>
          <w:tcPr>
            <w:tcW w:w="8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77,880</w:t>
            </w: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have entered into a series of transactions where we act as an aircraft lessor. As of March 31, 2024, we leased or subleased seven aircraft. Depreciation and Amortization expense on these aircraft materially began during the three months ended June 30, 2023. Adjusted CASM further excludes special items and other adjustments, as defined in the relevant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220" w:type="dxa"/>
            <w:vAlign w:val="bottom"/>
            <w:tcBorders>
              <w:bottom w:val="single" w:sz="8" w:color="auto"/>
            </w:tcBorders>
          </w:tcPr>
          <w:p>
            <w:pPr>
              <w:spacing w:after="0"/>
              <w:rPr>
                <w:sz w:val="17"/>
                <w:szCs w:val="17"/>
                <w:color w:val="auto"/>
              </w:rPr>
            </w:pPr>
          </w:p>
        </w:tc>
      </w:tr>
      <w:tr>
        <w:trPr>
          <w:trHeight w:val="147"/>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Per ASM</w:t>
            </w:r>
          </w:p>
        </w:tc>
        <w:tc>
          <w:tcPr>
            <w:tcW w:w="260" w:type="dxa"/>
            <w:vAlign w:val="bottom"/>
          </w:tcPr>
          <w:p>
            <w:pPr>
              <w:spacing w:after="0"/>
              <w:rPr>
                <w:sz w:val="12"/>
                <w:szCs w:val="12"/>
                <w:color w:val="auto"/>
              </w:rPr>
            </w:pPr>
          </w:p>
        </w:tc>
        <w:tc>
          <w:tcPr>
            <w:tcW w:w="158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220" w:type="dxa"/>
            <w:vAlign w:val="bottom"/>
          </w:tcPr>
          <w:p>
            <w:pPr>
              <w:jc w:val="right"/>
              <w:ind w:right="354"/>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cents)</w:t>
            </w:r>
          </w:p>
        </w:tc>
        <w:tc>
          <w:tcPr>
            <w:tcW w:w="26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238,332</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Leased Aircraft, Depreciation and Amortization Expense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02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156,729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138,116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5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74"/>
        </w:trPr>
        <w:tc>
          <w:tcPr>
            <w:tcW w:w="5020" w:type="dxa"/>
            <w:vAlign w:val="bottom"/>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2,211,886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1,945,001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10"/>
        </w:trPr>
        <w:tc>
          <w:tcPr>
            <w:tcW w:w="50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41" w:lineRule="exact"/>
        <w:rPr>
          <w:sz w:val="20"/>
          <w:szCs w:val="20"/>
          <w:color w:val="auto"/>
        </w:rPr>
      </w:pPr>
    </w:p>
    <w:p>
      <w:pPr>
        <w:ind w:left="580" w:hanging="554"/>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sources of liquidity as of March 31, 2024 included our existing cash and cash equivalents of $28,427 and short-term investments of $132,779, our expected cash generated from operations, and the $24,393 of available funds from the Revolving Credit Facility. In addition, we had restricted cash of $11,173 as of March 31, 2024, which generally consists of cash received as prepayment for chartered flights that is maintained in separate escrow accounts in accordance with DOT regulations requiring that charter revenue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receipts received prior to the date of transportation are maintained in a separate third-party escrow account. The restrictions are released once the charter transportation is provided.</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We do not maintain an aircraft order book; instead, we enter into aircraft transactions on an opportunistic basis based on market conditions, our prevailing level of liquidity and capital market availability. As a result, we are not locked into large future capital expenditures. We have historically acquired aircraft through finance leases and debt. Our management team retains broad discretion to allocate liquidity.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March 31, 2024, our fleet consisted of 63 Boeing 737-NG aircraft. This includes 44 aircraft in the passenger fleet, 12 cargo</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aircraft through the ATSA, and seven aircraft currently on lease to unaffiliated airlines.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March 31, 2024, the Company purchased one aircraft previously classified as a finance lease, which is now unencumbered.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our fleet,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I of this report.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reserves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in advance for scheduled maintenance to act as collateral for the benefit of lessors. Qualifying payments that are expected to be recovered from lessors are recorded as Lessor Maintenance Deposits on our Condensed Consolidated Balance Sheets. As of March 31, 2024, we had $49,997 of total Lessor Maintenance Deposits.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We invest our cash and cash equivalents in highly liquid securities with strong credit ratings. As of March 31, 2024,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held $126,428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hold $6,351 of Certificates of Deposit that are included in Investments on the Condensed Consolidated Balance Sheets as of March 31, 2024.</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support for general corporate purposes and to finance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aircraft.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2024, the Company had $24,393 of the $25,000 Revolving Credit Facility available due to $607 being pledged to support letters of credit, and no balance drawn. The Credit Agreement includes financial covenants that require a minimum trailing 12-month EBITDAR of $87,700 and minimum liquidity, as defined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within the Credit Agreement, of $30,000 at the close of any business day. The Company was in compliance with these covenants as of March 31, 2024.</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through the issuance of pass-through trust certificates to purchase, or refinance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2019, we issued the 2019-1 EETC, for the purpose of financing or refinancing 13 aircraft. In March 2022, the Company issued the 2022-1 EETC for the purpose of financing or refinancing 13 aircraft.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2023, we executed a term loan credit facility with a face amount of $119,200 for the purpose of financing the five Owned Aircraft Held for Operating Lease. The lease term for each aircraft expire at various dates between the fourth quarter of 2024 and the fourth quarter of 2025. On each lease expiry date, a LTV ratio calculation is completed.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 amount can be reasonably estimated, the estimated principal prepayment amount will be reclassified from Long-term Debt, net to Current Maturities of Long-term Debt, net on the Company's Condensed Consolidated Balance Sheets. In the event a principal prepayment is required, amounts received under the end of lease maintenance compensation clause will be applied towards any prepayment obligation. No amounts related to an estimated principal prepayment have been reclassified from Long -term Debt, net to Current Maturities of Long-term Debt, net on the Company's Condensed Consolidated Balance Sheets as of March 31, 2024.</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three months ended March 31, 2024 and 2023, we made a payment of $3,350 and $2,425 to the TRA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respectively. Payments will be made in future periods as Pre-IPO Tax Attributes are utilized. For more information on the TRA liability, see </w:t>
      </w:r>
      <w:r>
        <w:rPr>
          <w:rFonts w:ascii="Arial" w:cs="Arial" w:eastAsia="Arial" w:hAnsi="Arial"/>
          <w:sz w:val="18"/>
          <w:szCs w:val="18"/>
          <w:u w:val="single" w:color="auto"/>
          <w:color w:val="0000FF"/>
        </w:rPr>
        <w:t>Note 8</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I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7"/>
                <w:szCs w:val="17"/>
                <w:color w:val="auto"/>
              </w:rPr>
            </w:pPr>
          </w:p>
        </w:tc>
        <w:tc>
          <w:tcPr>
            <w:tcW w:w="176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2023</w:t>
            </w: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126,428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134,240</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r>
      <w:tr>
        <w:trPr>
          <w:trHeight w:val="264"/>
        </w:trPr>
        <w:tc>
          <w:tcPr>
            <w:tcW w:w="714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179,248</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205,169</w:t>
            </w:r>
          </w:p>
        </w:tc>
      </w:tr>
      <w:tr>
        <w:trPr>
          <w:trHeight w:val="46"/>
        </w:trPr>
        <w:tc>
          <w:tcPr>
            <w:tcW w:w="7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23"/>
        </w:trPr>
        <w:tc>
          <w:tcPr>
            <w:tcW w:w="71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gridSpan w:val="2"/>
          </w:tcPr>
          <w:p>
            <w:pPr>
              <w:ind w:left="16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tcPr>
          <w:p>
            <w:pPr>
              <w:jc w:val="right"/>
              <w:ind w:right="253"/>
              <w:spacing w:after="0"/>
              <w:rPr>
                <w:sz w:val="20"/>
                <w:szCs w:val="20"/>
                <w:color w:val="auto"/>
              </w:rPr>
            </w:pPr>
            <w:r>
              <w:rPr>
                <w:rFonts w:ascii="Arial" w:cs="Arial" w:eastAsia="Arial" w:hAnsi="Arial"/>
                <w:sz w:val="14"/>
                <w:szCs w:val="14"/>
                <w:b w:val="1"/>
                <w:bCs w:val="1"/>
                <w:color w:val="auto"/>
              </w:rPr>
              <w:t>December 31, 2023</w:t>
            </w: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401,645</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313,770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277,302</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18,830</w:t>
            </w:r>
          </w:p>
        </w:tc>
      </w:tr>
      <w:tr>
        <w:trPr>
          <w:trHeight w:val="240"/>
        </w:trPr>
        <w:tc>
          <w:tcPr>
            <w:tcW w:w="714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720,038</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697,777</w:t>
            </w:r>
          </w:p>
        </w:tc>
      </w:tr>
      <w:tr>
        <w:trPr>
          <w:trHeight w:val="23"/>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541,006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514,403</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1,261,044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1,212,180</w:t>
            </w:r>
          </w:p>
        </w:tc>
      </w:tr>
      <w:tr>
        <w:trPr>
          <w:trHeight w:val="46"/>
        </w:trPr>
        <w:tc>
          <w:tcPr>
            <w:tcW w:w="7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7"/>
        </w:trPr>
        <w:tc>
          <w:tcPr>
            <w:tcW w:w="71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2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0.57</w:t>
            </w:r>
          </w:p>
        </w:tc>
        <w:tc>
          <w:tcPr>
            <w:tcW w:w="1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6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r>
      <w:tr>
        <w:trPr>
          <w:trHeight w:val="201"/>
        </w:trPr>
        <w:tc>
          <w:tcPr>
            <w:tcW w:w="48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jc w:val="right"/>
              <w:ind w:right="432"/>
              <w:spacing w:after="0"/>
              <w:rPr>
                <w:sz w:val="20"/>
                <w:szCs w:val="20"/>
                <w:color w:val="auto"/>
              </w:rPr>
            </w:pPr>
            <w:r>
              <w:rPr>
                <w:rFonts w:ascii="Arial" w:cs="Arial" w:eastAsia="Arial" w:hAnsi="Arial"/>
                <w:sz w:val="14"/>
                <w:szCs w:val="14"/>
                <w:b w:val="1"/>
                <w:bCs w:val="1"/>
                <w:color w:val="auto"/>
              </w:rPr>
              <w:t>Change</w:t>
            </w:r>
          </w:p>
        </w:tc>
      </w:tr>
      <w:tr>
        <w:trPr>
          <w:trHeight w:val="265"/>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75"/>
        </w:trPr>
        <w:tc>
          <w:tcPr>
            <w:tcW w:w="48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Borders>
              <w:top w:val="single" w:sz="8" w:color="auto"/>
            </w:tcBorders>
          </w:tcPr>
          <w:p>
            <w:pPr>
              <w:spacing w:after="0"/>
              <w:rPr>
                <w:sz w:val="6"/>
                <w:szCs w:val="6"/>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75,280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1"/>
        </w:trPr>
        <w:tc>
          <w:tcPr>
            <w:tcW w:w="480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74,930</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3"/>
        </w:trPr>
        <w:tc>
          <w:tcPr>
            <w:tcW w:w="4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74"/>
        </w:trPr>
        <w:tc>
          <w:tcPr>
            <w:tcW w:w="48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r>
      <w:tr>
        <w:trPr>
          <w:trHeight w:val="247"/>
        </w:trPr>
        <w:tc>
          <w:tcPr>
            <w:tcW w:w="4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(71,280)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Repayment of Borrowings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(3,708)</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0"/>
        </w:trPr>
        <w:tc>
          <w:tcPr>
            <w:tcW w:w="480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(73,305)</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3"/>
        </w:trPr>
        <w:tc>
          <w:tcPr>
            <w:tcW w:w="4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consists of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three months ended March 31, 2024 provided $ 30,721, as compared to $ 47,861 during the three months ended March 31, 2023. During the three months ended March 31, 2024, our Net Income was $35,313, as compared to $38,328 during the three months ended March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Most tickets can be purchased no more than twelve months in advance, therefore any revenue associated with tickets sold for future travel will be recognized within that timeframe. For the three months ended March 31, 2024, $128,502 of revenue recognized in Passenger revenue was included in the $157,996 of Air Traffic Liabilities as of December 31, 2023.</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27% and 30% of our total operating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2024 and 2023, respectively. The market price for jet fuel is volatile, which can impact the comparability of our periodic cash flows from operations. Fuel cost per gallon decreased by 13% quarter-over-quarter. Fuel consumption increased by 12% during the three months ended March 31, 2024, compared to the prior year as a result of the increase in fleet size and total operations. We expect volatility in Aircraft Fuel prices per gallon throughout 2024 due to market conditions and global geopolitical events.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$29,698 and $104,978 for the three months ended March 31, 2024 and 2023,</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capital expenditures during the three months ended March 31, 2024 included the acquisition of an aircraft and other items not individually material. Our capital expenditures during the three months ended March 31, 2023, primarily included the purchase of three Owned Aircraft Held for Operating Lease and one spare engine.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The Company's net investment activity resulted in cash inflows of $8,300 and $8,612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2024 and 2023, respectively, due to maturing debt securities exceeding purchases of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During the three months ended March 31, 2023, the Company executed a term loan credit facility with a face amount of $119,200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financing the five Owned Aircraft Held for Operating Lease. The Company received gross proceeds of $71,280 with respect to three of the Aircraft Held for Operating Lease during the three months ended March 31, 2023. The term loan credit facility is repaid monthly through March 2030. During the lease term, payments collected from the lessee are applied directly to the repayment of principal and interest on the term loan credit facility.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required to make bi-annual principal and interest payments on the 2022-1 EETC each March and September, through March 2031. The Company is required to make bi-annual principal and interest payments on the 2019-1 EETC each June and December, through December 2027.</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$5,847 and $4,277 for the three months ended March 31, 2024 and</w:t>
      </w:r>
      <w:r>
        <w:rPr>
          <w:rFonts w:ascii="Arial" w:cs="Arial" w:eastAsia="Arial" w:hAnsi="Arial"/>
          <w:sz w:val="18"/>
          <w:szCs w:val="18"/>
          <w:i w:val="1"/>
          <w:iCs w:val="1"/>
          <w:color w:val="auto"/>
        </w:rPr>
        <w:t xml:space="preserve"> </w:t>
      </w:r>
      <w:r>
        <w:rPr>
          <w:rFonts w:ascii="Arial" w:cs="Arial" w:eastAsia="Arial" w:hAnsi="Arial"/>
          <w:sz w:val="18"/>
          <w:szCs w:val="18"/>
          <w:color w:val="auto"/>
        </w:rPr>
        <w:t>2023, respectively. As of March 31, 2024 and 2023, the Company had 16 and 11 aircraft finance leases, respectively.</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three months ended March 31, 2024, the Company repurchased 755,284 shares of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at a total cost of $11,493, or $15.22 per share. During the three months ended March 31, 2023, the Company repurchased 750,000 shares of its Common Stock at a total cost of $14,812, or $19.75 per share. For more information on the stock repurchase program and this purchase,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I of this report.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three months ended March 31, 2024 and 2023, the Company made payments of $3,350 and $2,425 to the TRA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For more information on the payment of the TRA,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on the nature of the Company's Off Balance Sheet Arrangements, see “Management’s Discussion and Analysis of Operations” in Part II, </w:t>
      </w:r>
      <w:hyperlink r:id="rId57">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2023 10-K. There have been no material changes to the Company's Off Balance Sheet Arrangements as compared to the 2023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our Condensed Consolidated Financial Statements included elsewhere in this Quarterly Report on Form 10-Q for more information regarding commitments and contractual obligations.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2024, there were no recently adopted accounting standards that had a material impact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Operations” sections within Part II, </w:t>
      </w:r>
      <w:hyperlink r:id="rId57">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2023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the 2023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For example, based on our forecasted Aircraft Fuel expense for the second quarter of 2024, we estimate that a one cent per gallon increase in the average aircraft fuel price would increase Aircraft Fuel expense by approximately $216. Aircraft Fuel expense does not include amounts where we are considered the customer's agent for procuring fuel. We had no fuel option and swap contracts in place to hedge the economic risk associated with volatile fuel prices as of March 31, 2024. We currently do not expect to enter into these types of contracts prospectively, although significant changes in market conditions could affect our decisions.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A change in market interest rates would impact interest expense under the $119,200 term loan credit facility used to finance the Owned Aircraft Held for Operating Lease. A 100 basis point increase in interest rates on the March 31, 2024 balance of the term loan would result in a corresponding increase in interest expense of approximately $1,047 annually. As of the date of this filing, the entire term loan credit facility had been drawn. The Company also maintains a $25,000 Revolving Credit Facility with a variable interest rate that is impacted by market conditions. As of March 31, 2024, the Company had $ 24,393 of financing available through the Revolving Credit Facility, as $607 had been pledged to support letters of credit. As of March 31, 2024, no amounts on the Revolving Credit Facility had been drawn.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$126,428 as of March 31, 2024.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preparation of this Form 10-Q, pursuant to Rule 13a-15(b) of the Exchange Act, our management, with the participation of our Chief Executive Officer and Chief Financial Officer, has evaluated the effectiveness of the design and operation of our disclosure controls and procedures (as defined in Rules 13a-15(e) and 15d-15(e) under the Exchange Act) as of March 31, 2024.</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evaluation of our disclosure controls and procedures as of March 31, 2024, our Chief Executive Officer and Chief Financial Officer have concluded that our disclosure controls and procedures were effective as of March 31,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under the Exchange Act) that occurred during the quarter ended March 31, 2024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57">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2023 10-K the risk factors which materially affect our business, financial condition or results of operations. Except for the updated risk factors set forth below, there have been no material changes from the risk factors previously disclosed. You should carefully consider the risk factors set forth in our 2023 10-K and the risk factors presented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following table summarizes the Company's repurchases of Common Stock for the quarter ended March 31, 2024. All stock repurchases during the quarter reflect shares repurchased pursuant to the Company's stock repurchase program and shares withheld from employees to satisfy the taxes due in connection with grants of stock under the Company's equity incentive plans. Incremental costs associated with trade execution for the Common Stock repurchases are outside of the scope of the Board’s authorization. For the avoidance of doubt, such costs are permissible as administrative execution expenses. The shares of Common Stock withheld to satisfy tax withholding obligations are considered to be "issuer purchases" of shares that are required to be disclosed pursuant to this Item, but are not considered to be part of the Company's stock repurchase program. For more information on the Company's stock repurchase program,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Condensed Consolidated Financial Statements included in Part I, Item 1 of this report.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 ($</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180" w:type="dxa"/>
            <w:vAlign w:val="bottom"/>
          </w:tcPr>
          <w:p>
            <w:pPr>
              <w:spacing w:after="0"/>
              <w:rPr>
                <w:sz w:val="12"/>
                <w:szCs w:val="12"/>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Average Price Paid per</w:t>
            </w:r>
          </w:p>
        </w:tc>
        <w:tc>
          <w:tcPr>
            <w:tcW w:w="2120" w:type="dxa"/>
            <w:vAlign w:val="bottom"/>
            <w:gridSpan w:val="2"/>
            <w:vMerge w:val="continue"/>
          </w:tcPr>
          <w:p>
            <w:pPr>
              <w:spacing w:after="0"/>
              <w:rPr>
                <w:sz w:val="12"/>
                <w:szCs w:val="12"/>
                <w:color w:val="auto"/>
              </w:rPr>
            </w:pPr>
          </w:p>
        </w:tc>
        <w:tc>
          <w:tcPr>
            <w:tcW w:w="2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 thousands) of Shares that</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Purchased as Part of</w:t>
            </w:r>
          </w:p>
        </w:tc>
        <w:tc>
          <w:tcPr>
            <w:tcW w:w="2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May Yet be Purchased Under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Purchased</w:t>
            </w:r>
          </w:p>
        </w:tc>
        <w:tc>
          <w:tcPr>
            <w:tcW w:w="18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Publicly Announced Plans</w:t>
            </w:r>
          </w:p>
        </w:tc>
        <w:tc>
          <w:tcPr>
            <w:tcW w:w="440" w:type="dxa"/>
            <w:vAlign w:val="bottom"/>
          </w:tcPr>
          <w:p>
            <w:pPr>
              <w:spacing w:after="0"/>
              <w:rPr>
                <w:sz w:val="16"/>
                <w:szCs w:val="16"/>
                <w:color w:val="auto"/>
              </w:rPr>
            </w:pPr>
          </w:p>
        </w:tc>
        <w:tc>
          <w:tcPr>
            <w:tcW w:w="1580" w:type="dxa"/>
            <w:vAlign w:val="bottom"/>
          </w:tcPr>
          <w:p>
            <w:pPr>
              <w:jc w:val="right"/>
              <w:ind w:right="694"/>
              <w:spacing w:after="0" w:line="189" w:lineRule="exact"/>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1-31, 2024</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February 1-29, 2024</w:t>
            </w:r>
          </w:p>
        </w:tc>
        <w:tc>
          <w:tcPr>
            <w:tcW w:w="1980" w:type="dxa"/>
            <w:vAlign w:val="bottom"/>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1-31, 2024</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755,284</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line="199" w:lineRule="auto"/>
        <w:framePr w:w="400" w:h="163" w:wrap="auto" w:vAnchor="page" w:hAnchor="page" w:x="5740" w:y="6916"/>
        <w:rPr>
          <w:rFonts w:ascii="Arial" w:cs="Arial" w:eastAsia="Arial" w:hAnsi="Arial"/>
          <w:sz w:val="17"/>
          <w:szCs w:val="17"/>
          <w:color w:val="auto"/>
        </w:rPr>
      </w:pPr>
      <w:r>
        <w:rPr>
          <w:rFonts w:ascii="Arial" w:cs="Arial" w:eastAsia="Arial" w:hAnsi="Arial"/>
          <w:sz w:val="17"/>
          <w:szCs w:val="17"/>
          <w:color w:val="auto"/>
        </w:rPr>
        <w:t>-39-</w:t>
      </w: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rFonts w:ascii="Arial" w:cs="Arial" w:eastAsia="Arial" w:hAnsi="Arial"/>
          <w:sz w:val="17"/>
          <w:szCs w:val="17"/>
          <w:color w:val="auto"/>
        </w:rPr>
      </w:pPr>
    </w:p>
    <w:p>
      <w:pPr>
        <w:jc w:val="both"/>
        <w:spacing w:after="0" w:line="254" w:lineRule="auto"/>
        <w:rPr>
          <w:sz w:val="20"/>
          <w:szCs w:val="20"/>
          <w:color w:val="auto"/>
        </w:rPr>
      </w:pPr>
      <w:r>
        <w:rPr>
          <w:rFonts w:ascii="Arial" w:cs="Arial" w:eastAsia="Arial" w:hAnsi="Arial"/>
          <w:sz w:val="18"/>
          <w:szCs w:val="18"/>
          <w:color w:val="auto"/>
        </w:rPr>
        <w:t>Our directors and executive officers may purchase or sell shares of our common stock in the market from time to time, including pursuant to equity trading plans adopted in accordance with Rule 10b5-1 under the Exchange Act ("Rule 10b5 -1")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 The following table describes contracts, instructions or written plans for the sale or purchase of our securities adopted, terminated or modified by our directors and executive officers during the three months ended March 31, 2024, each of which is intended to satisfy the affirmative defense conditions of Rule 10b5-1(c).</w:t>
      </w:r>
    </w:p>
    <w:p>
      <w:pPr>
        <w:spacing w:after="0" w:line="250"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Adoption, Termination or</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Date of Adoption, Termination</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Duration of Plan (Scheduled</w:t>
            </w:r>
          </w:p>
        </w:tc>
        <w:tc>
          <w:tcPr>
            <w:tcW w:w="2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 Securities to be</w:t>
            </w:r>
          </w:p>
        </w:tc>
        <w:tc>
          <w:tcPr>
            <w:tcW w:w="0" w:type="dxa"/>
            <w:vAlign w:val="bottom"/>
          </w:tcPr>
          <w:p>
            <w:pPr>
              <w:spacing w:after="0"/>
              <w:rPr>
                <w:sz w:val="1"/>
                <w:szCs w:val="1"/>
                <w:color w:val="auto"/>
              </w:rPr>
            </w:pPr>
          </w:p>
        </w:tc>
      </w:tr>
      <w:tr>
        <w:trPr>
          <w:trHeight w:val="144"/>
        </w:trPr>
        <w:tc>
          <w:tcPr>
            <w:tcW w:w="22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Name and Title</w:t>
            </w:r>
          </w:p>
        </w:tc>
        <w:tc>
          <w:tcPr>
            <w:tcW w:w="100" w:type="dxa"/>
            <w:vAlign w:val="bottom"/>
            <w:vMerge w:val="restart"/>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Purchased (Sold) under the</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 of Plan)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Gregory Mays, Executive Vice</w:t>
            </w:r>
          </w:p>
        </w:tc>
        <w:tc>
          <w:tcPr>
            <w:tcW w:w="2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Adoption</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February 2, 2024</w:t>
            </w:r>
          </w:p>
        </w:tc>
        <w:tc>
          <w:tcPr>
            <w:tcW w:w="2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March 31, 2025</w:t>
            </w: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(268,000)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President and Chief Operating</w:t>
            </w:r>
          </w:p>
        </w:tc>
        <w:tc>
          <w:tcPr>
            <w:tcW w:w="222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140" w:type="dxa"/>
            <w:vAlign w:val="bottom"/>
            <w:vMerge w:val="continue"/>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Grant Whitney, Senior Vice</w:t>
            </w:r>
          </w:p>
        </w:tc>
        <w:tc>
          <w:tcPr>
            <w:tcW w:w="2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Termination</w:t>
            </w:r>
          </w:p>
        </w:tc>
        <w:tc>
          <w:tcPr>
            <w:tcW w:w="22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March 4, 2024</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April 2, 2024</w:t>
            </w:r>
          </w:p>
        </w:tc>
        <w:tc>
          <w:tcPr>
            <w:tcW w:w="2140" w:type="dxa"/>
            <w:vAlign w:val="bottom"/>
            <w:vMerge w:val="restart"/>
          </w:tcPr>
          <w:p>
            <w:pPr>
              <w:jc w:val="center"/>
              <w:spacing w:after="0"/>
              <w:rPr>
                <w:sz w:val="20"/>
                <w:szCs w:val="20"/>
                <w:color w:val="auto"/>
              </w:rPr>
            </w:pPr>
            <w:r>
              <w:rPr>
                <w:rFonts w:ascii="Arial" w:cs="Arial" w:eastAsia="Arial" w:hAnsi="Arial"/>
                <w:sz w:val="14"/>
                <w:szCs w:val="14"/>
                <w:color w:val="auto"/>
              </w:rPr>
              <w:t>(142,463)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President and Chief Revenue</w:t>
            </w:r>
          </w:p>
        </w:tc>
        <w:tc>
          <w:tcPr>
            <w:tcW w:w="22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Grant Whitney, Senior Vice</w:t>
            </w:r>
          </w:p>
        </w:tc>
        <w:tc>
          <w:tcPr>
            <w:tcW w:w="2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Adoption</w:t>
            </w:r>
          </w:p>
        </w:tc>
        <w:tc>
          <w:tcPr>
            <w:tcW w:w="2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March 4, 2024</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July 7, 2025</w:t>
            </w: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(226,288)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President and Chief Revenue</w:t>
            </w:r>
          </w:p>
        </w:tc>
        <w:tc>
          <w:tcPr>
            <w:tcW w:w="222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140" w:type="dxa"/>
            <w:vAlign w:val="bottom"/>
            <w:vMerge w:val="continue"/>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9"/>
        </w:trPr>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10"/>
          </w:tcPr>
          <w:p>
            <w:pPr>
              <w:spacing w:after="0"/>
              <w:rPr>
                <w:sz w:val="20"/>
                <w:szCs w:val="20"/>
                <w:color w:val="auto"/>
              </w:rPr>
            </w:pPr>
            <w:r>
              <w:rPr>
                <w:rFonts w:ascii="Arial" w:cs="Arial" w:eastAsia="Arial" w:hAnsi="Arial"/>
                <w:sz w:val="18"/>
                <w:szCs w:val="18"/>
                <w:color w:val="0000FF"/>
              </w:rPr>
              <w:t>Form of Performance-Based Restricted Stock Unit Award Agreement under the Sun Country Airlines Holdings, Inc. 2021</w:t>
            </w:r>
          </w:p>
        </w:tc>
      </w:tr>
      <w:tr>
        <w:trPr>
          <w:trHeight w:val="155"/>
        </w:trPr>
        <w:tc>
          <w:tcPr>
            <w:tcW w:w="1140" w:type="dxa"/>
            <w:vAlign w:val="bottom"/>
          </w:tcPr>
          <w:p>
            <w:pPr>
              <w:spacing w:after="0"/>
              <w:rPr>
                <w:sz w:val="13"/>
                <w:szCs w:val="13"/>
                <w:color w:val="auto"/>
              </w:rPr>
            </w:pPr>
          </w:p>
        </w:tc>
        <w:tc>
          <w:tcPr>
            <w:tcW w:w="958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Omnibus Incentive Plan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10"/>
          </w:tcPr>
          <w:p>
            <w:pPr>
              <w:spacing w:after="0"/>
              <w:rPr>
                <w:sz w:val="20"/>
                <w:szCs w:val="20"/>
                <w:color w:val="auto"/>
              </w:rPr>
            </w:pPr>
            <w:r>
              <w:rPr>
                <w:rFonts w:ascii="Arial" w:cs="Arial" w:eastAsia="Arial" w:hAnsi="Arial"/>
                <w:sz w:val="18"/>
                <w:szCs w:val="18"/>
                <w:color w:val="0000FF"/>
              </w:rPr>
              <w:t>Certification by Sun Country's Chief Executive Officer with respect to Sun Country's Quarterly Report on Form 10-Q for the</w:t>
            </w:r>
          </w:p>
        </w:tc>
      </w:tr>
      <w:tr>
        <w:trPr>
          <w:trHeight w:val="156"/>
        </w:trPr>
        <w:tc>
          <w:tcPr>
            <w:tcW w:w="1140" w:type="dxa"/>
            <w:vAlign w:val="bottom"/>
          </w:tcPr>
          <w:p>
            <w:pPr>
              <w:spacing w:after="0"/>
              <w:rPr>
                <w:sz w:val="13"/>
                <w:szCs w:val="13"/>
                <w:color w:val="auto"/>
              </w:rPr>
            </w:pPr>
          </w:p>
        </w:tc>
        <w:tc>
          <w:tcPr>
            <w:tcW w:w="974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quarterly period ended March 31, 2024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10"/>
          </w:tcPr>
          <w:p>
            <w:pPr>
              <w:spacing w:after="0"/>
              <w:rPr>
                <w:sz w:val="20"/>
                <w:szCs w:val="20"/>
                <w:color w:val="auto"/>
              </w:rPr>
            </w:pPr>
            <w:r>
              <w:rPr>
                <w:rFonts w:ascii="Arial" w:cs="Arial" w:eastAsia="Arial" w:hAnsi="Arial"/>
                <w:sz w:val="18"/>
                <w:szCs w:val="18"/>
                <w:color w:val="0000FF"/>
              </w:rPr>
              <w:t>Certification by Sun Country’s President and Chief Financial Officer with respect to Sun Country's Quarterly Report on Form</w:t>
            </w:r>
          </w:p>
        </w:tc>
      </w:tr>
      <w:tr>
        <w:trPr>
          <w:trHeight w:val="156"/>
        </w:trPr>
        <w:tc>
          <w:tcPr>
            <w:tcW w:w="114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10-Q for the quarterly period ended March 31, 2024</w:t>
            </w:r>
          </w:p>
        </w:tc>
        <w:tc>
          <w:tcPr>
            <w:tcW w:w="57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860" w:type="dxa"/>
            <w:vAlign w:val="bottom"/>
            <w:gridSpan w:val="10"/>
          </w:tcPr>
          <w:p>
            <w:pPr>
              <w:spacing w:after="0"/>
              <w:rPr>
                <w:sz w:val="20"/>
                <w:szCs w:val="20"/>
                <w:color w:val="auto"/>
              </w:rPr>
            </w:pPr>
            <w:r>
              <w:rPr>
                <w:rFonts w:ascii="Arial" w:cs="Arial" w:eastAsia="Arial" w:hAnsi="Arial"/>
                <w:sz w:val="18"/>
                <w:szCs w:val="18"/>
                <w:color w:val="0000FF"/>
              </w:rPr>
              <w:t>Certification pursuant to Section 1350 of Chapter 63 of Title 18 of the United States Code by Sun Country Airlines Holdings,</w:t>
            </w:r>
          </w:p>
        </w:tc>
      </w:tr>
      <w:tr>
        <w:trPr>
          <w:trHeight w:val="156"/>
        </w:trPr>
        <w:tc>
          <w:tcPr>
            <w:tcW w:w="1140" w:type="dxa"/>
            <w:vAlign w:val="bottom"/>
          </w:tcPr>
          <w:p>
            <w:pPr>
              <w:spacing w:after="0"/>
              <w:rPr>
                <w:sz w:val="13"/>
                <w:szCs w:val="13"/>
                <w:color w:val="auto"/>
              </w:rPr>
            </w:pPr>
          </w:p>
        </w:tc>
        <w:tc>
          <w:tcPr>
            <w:tcW w:w="98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Inc.’s Chief Executive Officer and President and Chief Financial Officer with respect to Sun Country's Quarterly Report on</w:t>
            </w:r>
          </w:p>
        </w:tc>
        <w:tc>
          <w:tcPr>
            <w:tcW w:w="40" w:type="dxa"/>
            <w:vAlign w:val="bottom"/>
            <w:gridSpan w:val="2"/>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96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Form 10-Q for the quarterly period ended March 31, 2024</w:t>
            </w:r>
          </w:p>
        </w:tc>
        <w:tc>
          <w:tcPr>
            <w:tcW w:w="220" w:type="dxa"/>
            <w:vAlign w:val="bottom"/>
            <w:gridSpan w:val="4"/>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r>
      <w:tr>
        <w:trPr>
          <w:trHeight w:val="46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0"/>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50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10"/>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440" w:hanging="414"/>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ind w:left="5640"/>
        <w:spacing w:after="0"/>
        <w:rPr>
          <w:sz w:val="20"/>
          <w:szCs w:val="20"/>
          <w:color w:val="auto"/>
        </w:rPr>
      </w:pPr>
      <w:r>
        <w:rPr>
          <w:rFonts w:ascii="Arial" w:cs="Arial" w:eastAsia="Arial" w:hAnsi="Arial"/>
          <w:sz w:val="18"/>
          <w:szCs w:val="18"/>
          <w:color w:val="auto"/>
        </w:rPr>
        <w:t>(Registrant)</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7,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2"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SUN COUNTRY AIRLINES HOLDINGS, INC.</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PERFORMANCE-BASED RESTRICTED STOCK UNIT AWARD AGREEMENT</w:t>
      </w:r>
    </w:p>
    <w:p>
      <w:pPr>
        <w:spacing w:after="0" w:line="1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PERFORMANCE-BASED RESTRICTED STOCK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effective as of [GRANT DATE]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Sun Country Airlines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[NAME]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Capitalized terms used in this Agreement and not otherwise defined herein have the meanings ascribed to such terms in the Sun Country Airlines Holdings, Inc. 2021 Omnibus Incentive Plan, as amended, restated or otherwise modified from time to time in accordance with its terms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Plan, pursuant to which performance-based restricted stock units may be granted (the performance-based restricted stock units eligible to be earned under this Agreement, the “</w:t>
      </w:r>
      <w:r>
        <w:rPr>
          <w:rFonts w:ascii="Times New Roman" w:cs="Times New Roman" w:eastAsia="Times New Roman" w:hAnsi="Times New Roman"/>
          <w:sz w:val="20"/>
          <w:szCs w:val="20"/>
          <w:u w:val="single" w:color="auto"/>
          <w:color w:val="auto"/>
        </w:rPr>
        <w:t>PRSUs</w:t>
      </w:r>
      <w:r>
        <w:rPr>
          <w:rFonts w:ascii="Times New Roman" w:cs="Times New Roman" w:eastAsia="Times New Roman" w:hAnsi="Times New Roman"/>
          <w:sz w:val="20"/>
          <w:szCs w:val="20"/>
          <w:color w:val="auto"/>
        </w:rPr>
        <w:t>”); and</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Committee has determined that it is in the best interests of the Company and its stockholders to grant the PRSUs provided for herein to the Participant on the terms and subject to the conditions set forth herein.</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for and in consideration of the promises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7"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Performance-Based Restricted Stock Units.</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53" w:lineRule="auto"/>
        <w:tabs>
          <w:tab w:leader="none" w:pos="128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[NUMBER] PRSUs (the “</w:t>
      </w:r>
      <w:r>
        <w:rPr>
          <w:rFonts w:ascii="Times New Roman" w:cs="Times New Roman" w:eastAsia="Times New Roman" w:hAnsi="Times New Roman"/>
          <w:sz w:val="20"/>
          <w:szCs w:val="20"/>
          <w:u w:val="single" w:color="auto"/>
          <w:color w:val="auto"/>
        </w:rPr>
        <w:t>Target PRSUs</w:t>
      </w:r>
      <w:r>
        <w:rPr>
          <w:rFonts w:ascii="Times New Roman" w:cs="Times New Roman" w:eastAsia="Times New Roman" w:hAnsi="Times New Roman"/>
          <w:sz w:val="20"/>
          <w:szCs w:val="20"/>
          <w:color w:val="auto"/>
        </w:rPr>
        <w:t xml:space="preserve">”), on the terms and subject to the conditions set forth in this Agreement and as otherwise provided in the Plan. The PRSUs shall vest in accordance the Performance Matrix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Performance Matrix</w:t>
      </w:r>
      <w:r>
        <w:rPr>
          <w:rFonts w:ascii="Times New Roman" w:cs="Times New Roman" w:eastAsia="Times New Roman" w:hAnsi="Times New Roman"/>
          <w:sz w:val="20"/>
          <w:szCs w:val="20"/>
          <w:color w:val="auto"/>
        </w:rPr>
        <w:t>”) and the other terms and conditions of this Agreement. The Performance Matrix shall constitute a part of this Agreement. The PRSUs shall be credited to a separate book-entry account maintained for the Participant on the books of the Company.</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8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Settlement.</w:t>
      </w:r>
    </w:p>
    <w:p>
      <w:pPr>
        <w:spacing w:after="0" w:line="219" w:lineRule="exact"/>
        <w:rPr>
          <w:rFonts w:ascii="Times New Roman" w:cs="Times New Roman" w:eastAsia="Times New Roman" w:hAnsi="Times New Roman"/>
          <w:sz w:val="20"/>
          <w:szCs w:val="20"/>
          <w:b w:val="1"/>
          <w:bCs w:val="1"/>
          <w:color w:val="auto"/>
        </w:rPr>
      </w:pPr>
    </w:p>
    <w:p>
      <w:pPr>
        <w:ind w:firstLine="656"/>
        <w:spacing w:after="0" w:line="283" w:lineRule="auto"/>
        <w:tabs>
          <w:tab w:leader="none" w:pos="128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Plan and the other terms of this Agreement, the PRSUs subject to this Agreement shall vest in accordance with the Performance Matrix.</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PRSUs subject to this Agreement shall be settled in the manner set forth in the Performance Matrix.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#4878-5443-3946v5</w:t>
      </w:r>
    </w:p>
    <w:p>
      <w:pPr>
        <w:sectPr>
          <w:pgSz w:w="11900" w:h="16838" w:orient="portrait"/>
          <w:cols w:equalWidth="0" w:num="1">
            <w:col w:w="11240"/>
          </w:cols>
          <w:pgMar w:left="320" w:top="118" w:right="339" w:bottom="1440" w:gutter="0" w:footer="0" w:header="0"/>
        </w:sectPr>
      </w:pPr>
    </w:p>
    <w:bookmarkStart w:id="42" w:name="page43"/>
    <w:bookmarkEnd w:id="42"/>
    <w:p>
      <w:pPr>
        <w:jc w:val="both"/>
        <w:ind w:firstLine="656"/>
        <w:spacing w:after="0" w:line="253" w:lineRule="auto"/>
        <w:tabs>
          <w:tab w:leader="none" w:pos="128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where the PRSUs under this Agreement are not either (i) continued or assumed pursuant to Section 12(b)(i) of the Plan or (ii) substituted by the surviving corporation or its parent in accordance with Section 12(b)(ii) of the Plan, then upon such Change in Control the PRSUs shall become immediately vested upon such Change in Control, subject to the Participant’s continued employment or engagement of services with the Company through such Change in Control, with the number of PRSUs so vesting to be based on “target” level performance (provided, that, any PRSUs that constitute Eligible Units as of the Change in Control will become so vested regardless of whether the number of Eligible Units would exceed the “target” number of PRSUs for such Performance Year).</w:t>
      </w:r>
    </w:p>
    <w:p>
      <w:pPr>
        <w:spacing w:after="0" w:line="188" w:lineRule="exact"/>
        <w:rPr>
          <w:rFonts w:ascii="Times New Roman" w:cs="Times New Roman" w:eastAsia="Times New Roman" w:hAnsi="Times New Roman"/>
          <w:sz w:val="20"/>
          <w:szCs w:val="20"/>
          <w:color w:val="auto"/>
        </w:rPr>
      </w:pPr>
    </w:p>
    <w:p>
      <w:pPr>
        <w:jc w:val="both"/>
        <w:ind w:firstLine="8"/>
        <w:spacing w:after="0" w:line="256" w:lineRule="auto"/>
        <w:tabs>
          <w:tab w:leader="none" w:pos="648"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credited, as of the payment date for such Dividend, with an amount (a “</w:t>
      </w:r>
      <w:r>
        <w:rPr>
          <w:rFonts w:ascii="Times New Roman" w:cs="Times New Roman" w:eastAsia="Times New Roman" w:hAnsi="Times New Roman"/>
          <w:sz w:val="20"/>
          <w:szCs w:val="20"/>
          <w:u w:val="single" w:color="auto"/>
          <w:color w:val="auto"/>
        </w:rPr>
        <w:t>Dividend Equivalent</w:t>
      </w:r>
      <w:r>
        <w:rPr>
          <w:rFonts w:ascii="Times New Roman" w:cs="Times New Roman" w:eastAsia="Times New Roman" w:hAnsi="Times New Roman"/>
          <w:sz w:val="20"/>
          <w:szCs w:val="20"/>
          <w:color w:val="auto"/>
        </w:rPr>
        <w:t>”) equal to the product of</w:t>
      </w:r>
    </w:p>
    <w:p>
      <w:pPr>
        <w:spacing w:after="0" w:line="1" w:lineRule="exact"/>
        <w:rPr>
          <w:rFonts w:ascii="Times New Roman" w:cs="Times New Roman" w:eastAsia="Times New Roman" w:hAnsi="Times New Roman"/>
          <w:sz w:val="20"/>
          <w:szCs w:val="20"/>
          <w:b w:val="1"/>
          <w:bCs w:val="1"/>
          <w:color w:val="auto"/>
        </w:rPr>
      </w:pPr>
    </w:p>
    <w:p>
      <w:pPr>
        <w:jc w:val="both"/>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 the number of PRSUs granted pursuant to this Agreement and outstanding as of the record date for such Dividend multiplied by (ii) the amount of the Dividend per share. The aggregate amount of the Dividend Equivalents (the “</w:t>
      </w:r>
      <w:r>
        <w:rPr>
          <w:rFonts w:ascii="Times New Roman" w:cs="Times New Roman" w:eastAsia="Times New Roman" w:hAnsi="Times New Roman"/>
          <w:sz w:val="20"/>
          <w:szCs w:val="20"/>
          <w:u w:val="single" w:color="auto"/>
          <w:color w:val="auto"/>
        </w:rPr>
        <w:t>Distributable Amount</w:t>
      </w:r>
      <w:r>
        <w:rPr>
          <w:rFonts w:ascii="Times New Roman" w:cs="Times New Roman" w:eastAsia="Times New Roman" w:hAnsi="Times New Roman"/>
          <w:sz w:val="20"/>
          <w:szCs w:val="20"/>
          <w:color w:val="auto"/>
        </w:rPr>
        <w:t>”) shall be distributed to the Participant in connection with the settlement of the PRSUs either in cash or, at the discretion of the Committee, in a number of shares of Common Stock with a Fair Market Value (as determined on the Vesting Date) equal to the Distributable Amount. To the extent any PRSUs are forfeited prior to vesting, the corresponding Dividend Equivalents in respect thereof shall be forfeited immediately thereupon.</w:t>
      </w:r>
    </w:p>
    <w:p>
      <w:pPr>
        <w:spacing w:after="0" w:line="19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Employment or Services.</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68" w:lineRule="auto"/>
        <w:tabs>
          <w:tab w:leader="none" w:pos="128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employment with, or engagement to provide services to, the Company or any of its Affiliates is terminated by the Company or its Affiliates for Cause, all vested and unvested PRSUs (including any Eligible Units, as defined in the Performance Matrix) shall be canceled immediately and the Participant shall not be entitled to receive any payments with respect thereto.</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for in the Performance Matrix, if the Participant’s employment with, or engagement to provide services to, the Company or any of its Affiliates terminates for any reason other than for Cause, all unvested PRSUs shall be canceled immediately and the Participant shall not be entitled to receive any payments with respect thereto, and any PRSUs that have vested in accordance with the terms of the Performance Matrix shall be settled in accordance with the terms of the Performance Matrix.</w:t>
      </w:r>
    </w:p>
    <w:p>
      <w:pPr>
        <w:spacing w:after="0" w:line="168" w:lineRule="exact"/>
        <w:rPr>
          <w:rFonts w:ascii="Times New Roman" w:cs="Times New Roman" w:eastAsia="Times New Roman" w:hAnsi="Times New Roman"/>
          <w:sz w:val="20"/>
          <w:szCs w:val="20"/>
          <w:color w:val="auto"/>
        </w:rPr>
      </w:pPr>
    </w:p>
    <w:p>
      <w:pPr>
        <w:jc w:val="both"/>
        <w:ind w:firstLine="8"/>
        <w:spacing w:after="0" w:line="258" w:lineRule="auto"/>
        <w:tabs>
          <w:tab w:leader="none" w:pos="648"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underlying the PRSUs unless, until and to the extent that (i) the Company shall have issued and delivered to the Participant the shares of Common Stock underlying the PRSUs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7"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61" w:lineRule="auto"/>
        <w:tabs>
          <w:tab w:leader="none" w:pos="128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granting and settlement of the PRSUs,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70" w:lineRule="auto"/>
        <w:rPr>
          <w:sz w:val="20"/>
          <w:szCs w:val="20"/>
          <w:color w:val="auto"/>
        </w:rPr>
      </w:pPr>
      <w:r>
        <w:rPr>
          <w:rFonts w:ascii="Times New Roman" w:cs="Times New Roman" w:eastAsia="Times New Roman" w:hAnsi="Times New Roman"/>
          <w:sz w:val="19"/>
          <w:szCs w:val="19"/>
          <w:color w:val="auto"/>
        </w:rPr>
        <w:t>Committee or the Company determines are reasonably necessary to comply with all applicable provisions of U.S. federal and state securities law and non-U.S. securities law in exercising the Participant’s rights under this Agreement. Without limiting the generality of the foregoing, the Committee, in its sole discretion, may postpone the issuance or delivery of shares of Common Stock as the Committee may consider appropriate and may require the Participant to make such representations and furnish such information as it may consider appropriate in connection with the issuance or delivery of shares of Common Stock in compliance with applicable laws, rules and regulations.</w:t>
      </w:r>
    </w:p>
    <w:p>
      <w:pPr>
        <w:spacing w:after="0" w:line="175" w:lineRule="exact"/>
        <w:rPr>
          <w:sz w:val="20"/>
          <w:szCs w:val="20"/>
          <w:color w:val="auto"/>
        </w:rPr>
      </w:pPr>
    </w:p>
    <w:p>
      <w:pPr>
        <w:jc w:val="both"/>
        <w:ind w:firstLine="656"/>
        <w:spacing w:after="0" w:line="251" w:lineRule="auto"/>
        <w:tabs>
          <w:tab w:leader="none" w:pos="128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Vesting and settlement of the PRSUs shall be subject to the Participant’s satisfying any applicable U.S. federal, state and local tax withholding obligations and non-U.S. tax withholding obligations. The Company has arranged for the Participant to satisfy such tax obligations by a broker-assisted cashless settlement mechanism, whereby the broker will sell shares of Common Stock otherwise deliverable upon the settlement of the PRSU and deliver promptly to the Company sufficient funds to satisfy the tax obligations. Notwithstanding the foregoing, the Company shall maintain the right to withhold from any amounts payable to the Participant in connection with the PRSUs or otherwise the amount of any required withholding taxes in respect of the PRSUs, their settlement or any payment or transfer of the PRSUs or under the Plan and to take any such other action as the Committee or the Company deem necessary to satisfy all obligations for the payment of such withholding taxes (up to the maximum permissible withholding amounts).</w:t>
      </w:r>
    </w:p>
    <w:p>
      <w:pPr>
        <w:spacing w:after="0" w:line="191" w:lineRule="exact"/>
        <w:rPr>
          <w:rFonts w:ascii="Times New Roman" w:cs="Times New Roman" w:eastAsia="Times New Roman" w:hAnsi="Times New Roman"/>
          <w:sz w:val="20"/>
          <w:szCs w:val="20"/>
          <w:color w:val="auto"/>
        </w:rPr>
      </w:pPr>
    </w:p>
    <w:p>
      <w:pPr>
        <w:jc w:val="both"/>
        <w:ind w:firstLine="8"/>
        <w:spacing w:after="0" w:line="264" w:lineRule="auto"/>
        <w:tabs>
          <w:tab w:leader="none" w:pos="648"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Clawback. </w:t>
      </w:r>
      <w:r>
        <w:rPr>
          <w:rFonts w:ascii="Times New Roman" w:cs="Times New Roman" w:eastAsia="Times New Roman" w:hAnsi="Times New Roman"/>
          <w:sz w:val="19"/>
          <w:szCs w:val="19"/>
          <w:color w:val="auto"/>
        </w:rPr>
        <w:t>Notwithstanding anything to the contrary contained herein, the Committee may cancel the PRSU award if the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without the consent of the Company, has engaged in or engages in activity that is in conflict with or adverse to the interests of the Company or any Affiliate while employed by, serving as a director of, or otherwise providing services to the Company or any Subsidiary, including fraud or conduct contributing to any financial restatements or irregularities, or any violation of any of the covenants set forth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or any other non-competition, non-solicitation, non-disparagement or non-disclosure covenant or agreement with the Company or any Subsidiary (after giving effect to any applicable cure period set forth therein), as determined by the Committee. In such event, the Participant will forfeit any compensation, gain or other value realized thereafter on the vesting or settlement of the PRSUs, the sale or other transfer of the PRSUs, or the sale of shares of Common Stock acquired in respect of the PRSUs (provided that the PRSUs vested during the 12-month period immediately prior to the Participant’s adverse activity), and must promptly repay such amounts to the Company. If the Participant receives any amount in excess of what the Participant should have received under the terms of the PRSUs for any reason (including without limitation by reason of a financial restatement, mistake in calculations or other administrative error), all as determined by the Committee, then the Participant shall promptly repay any such excess amount to the Company. To the extent required by applicable law or the rules and regulations of any securities exchange or inter-dealer quotation system on which the Common Stock is listed or quoted, or if so required pursuant to a written policy adopted by the Company, the PRSUs shall be subject (including on a retroactive basis) to clawback, forfeiture or similar requirements (and such requirements shall be deemed incorporated by reference into this Agreement).</w:t>
      </w:r>
    </w:p>
    <w:p>
      <w:pPr>
        <w:spacing w:after="0" w:line="175" w:lineRule="exact"/>
        <w:rPr>
          <w:rFonts w:ascii="Times New Roman" w:cs="Times New Roman" w:eastAsia="Times New Roman" w:hAnsi="Times New Roman"/>
          <w:sz w:val="19"/>
          <w:szCs w:val="19"/>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61" w:lineRule="auto"/>
        <w:tabs>
          <w:tab w:leader="none" w:pos="128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which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incorporated herein and forms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44" w:name="page45"/>
    <w:bookmarkEnd w:id="44"/>
    <w:p>
      <w:pPr>
        <w:jc w:val="both"/>
        <w:ind w:firstLine="656"/>
        <w:spacing w:after="0" w:line="253" w:lineRule="auto"/>
        <w:tabs>
          <w:tab w:leader="none" w:pos="128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restrictive covenants referred to in this Section 8, in addition to any other remedy that may be available at law or in equity, the PRSUs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PRSUs may not be assigned, alienated, pledged, attached, sold or otherwise transferred or encumbered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14(b) of the Plan. Any attempted Transfer of the PRSUs contrary to the provisions hereof, and the levy of any execution, attachment or similar process upon the PRSUs, shall be null and void and without effect.</w:t>
      </w:r>
    </w:p>
    <w:p>
      <w:pPr>
        <w:spacing w:after="0" w:line="18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PRSUs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67"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656"/>
        <w:spacing w:after="0" w:line="261" w:lineRule="auto"/>
        <w:tabs>
          <w:tab w:leader="none" w:pos="129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Directorship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No fractional shares of Common Stock shall be issued or delivered pursuant to this Agreement, and the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2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Agreement (including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 accordance with the terms of such agreement. No change, modification or waiver of any provision of this Agreement shall be valid unless the same be in writing and signed by the parties hereto, except for any changes permitted without consent under Section 11 or 13 of the Plan.</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or the PRSUs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46" w:name="page47"/>
    <w:bookmarkEnd w:id="46"/>
    <w:p>
      <w:pPr>
        <w:ind w:left="640" w:right="20"/>
        <w:spacing w:after="0" w:line="283" w:lineRule="auto"/>
        <w:rPr>
          <w:sz w:val="20"/>
          <w:szCs w:val="20"/>
          <w:color w:val="auto"/>
        </w:rPr>
      </w:pPr>
      <w:r>
        <w:rPr>
          <w:rFonts w:ascii="Times New Roman" w:cs="Times New Roman" w:eastAsia="Times New Roman" w:hAnsi="Times New Roman"/>
          <w:sz w:val="20"/>
          <w:szCs w:val="20"/>
          <w:color w:val="auto"/>
        </w:rPr>
        <w:t>proceeding by the mailing of copies thereof by registered or certified mail, postage prepaid, to the last known address of such Person, such service to become effective 10 days after such mailing.</w:t>
      </w:r>
    </w:p>
    <w:p>
      <w:pPr>
        <w:spacing w:after="0" w:line="146" w:lineRule="exact"/>
        <w:rPr>
          <w:sz w:val="20"/>
          <w:szCs w:val="20"/>
          <w:color w:val="auto"/>
        </w:rPr>
      </w:pPr>
    </w:p>
    <w:p>
      <w:pPr>
        <w:jc w:val="both"/>
        <w:ind w:left="640" w:firstLine="644"/>
        <w:spacing w:after="0" w:line="253" w:lineRule="auto"/>
        <w:tabs>
          <w:tab w:leader="none" w:pos="193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rFonts w:ascii="Times New Roman" w:cs="Times New Roman" w:eastAsia="Times New Roman" w:hAnsi="Times New Roman"/>
          <w:sz w:val="20"/>
          <w:szCs w:val="20"/>
          <w:color w:val="auto"/>
        </w:rPr>
      </w:pPr>
    </w:p>
    <w:p>
      <w:pPr>
        <w:ind w:left="-20" w:right="20" w:firstLine="656"/>
        <w:spacing w:after="0" w:line="269" w:lineRule="auto"/>
        <w:tabs>
          <w:tab w:leader="none" w:pos="126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w:t>
      </w:r>
    </w:p>
    <w:p>
      <w:pPr>
        <w:spacing w:after="0" w:line="172" w:lineRule="exact"/>
        <w:rPr>
          <w:rFonts w:ascii="Times New Roman" w:cs="Times New Roman" w:eastAsia="Times New Roman" w:hAnsi="Times New Roman"/>
          <w:sz w:val="20"/>
          <w:szCs w:val="20"/>
          <w:color w:val="auto"/>
        </w:rPr>
      </w:pPr>
    </w:p>
    <w:p>
      <w:pPr>
        <w:jc w:val="both"/>
        <w:ind w:left="-20" w:firstLine="656"/>
        <w:spacing w:after="0" w:line="261" w:lineRule="auto"/>
        <w:tabs>
          <w:tab w:leader="none" w:pos="12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81" w:lineRule="exact"/>
        <w:rPr>
          <w:rFonts w:ascii="Times New Roman" w:cs="Times New Roman" w:eastAsia="Times New Roman" w:hAnsi="Times New Roman"/>
          <w:sz w:val="20"/>
          <w:szCs w:val="20"/>
          <w:color w:val="auto"/>
        </w:rPr>
      </w:pPr>
    </w:p>
    <w:p>
      <w:pPr>
        <w:jc w:val="both"/>
        <w:ind w:left="-20" w:firstLine="656"/>
        <w:spacing w:after="0" w:line="253" w:lineRule="auto"/>
        <w:tabs>
          <w:tab w:leader="none" w:pos="12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91" w:lineRule="exact"/>
        <w:rPr>
          <w:rFonts w:ascii="Times New Roman" w:cs="Times New Roman" w:eastAsia="Times New Roman" w:hAnsi="Times New Roman"/>
          <w:sz w:val="20"/>
          <w:szCs w:val="20"/>
          <w:color w:val="auto"/>
        </w:rPr>
      </w:pPr>
    </w:p>
    <w:p>
      <w:pPr>
        <w:jc w:val="both"/>
        <w:ind w:left="-20" w:firstLine="656"/>
        <w:spacing w:after="0" w:line="254" w:lineRule="auto"/>
        <w:tabs>
          <w:tab w:leader="none" w:pos="12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7" w:lineRule="exact"/>
        <w:rPr>
          <w:rFonts w:ascii="Times New Roman" w:cs="Times New Roman" w:eastAsia="Times New Roman" w:hAnsi="Times New Roman"/>
          <w:sz w:val="20"/>
          <w:szCs w:val="20"/>
          <w:color w:val="auto"/>
        </w:rPr>
      </w:pPr>
    </w:p>
    <w:p>
      <w:pPr>
        <w:ind w:left="-20" w:firstLine="656"/>
        <w:spacing w:after="0" w:line="283" w:lineRule="auto"/>
        <w:tabs>
          <w:tab w:leader="none" w:pos="12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If any vesting event under this Agreement falls on a weekend or a Company-observed holiday, then the applicable vesting date will occur on the next subsequent business day.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13" w:right="339" w:bottom="1440" w:gutter="0" w:footer="0" w:header="0"/>
        </w:sectPr>
      </w:pPr>
    </w:p>
    <w:bookmarkStart w:id="47" w:name="page48"/>
    <w:bookmarkEnd w:id="47"/>
    <w:p>
      <w:pPr>
        <w:ind w:firstLine="881"/>
        <w:spacing w:after="0" w:line="283" w:lineRule="auto"/>
        <w:rPr>
          <w:sz w:val="20"/>
          <w:szCs w:val="20"/>
          <w:color w:val="auto"/>
        </w:rPr>
      </w:pPr>
      <w:r>
        <w:rPr>
          <w:rFonts w:ascii="Times New Roman" w:cs="Times New Roman" w:eastAsia="Times New Roman" w:hAnsi="Times New Roman"/>
          <w:sz w:val="20"/>
          <w:szCs w:val="20"/>
          <w:color w:val="auto"/>
        </w:rPr>
        <w:t>IN WITNESS WHEREOF, this Performance-Based Restricted Stock Unit Award Agreement has been executed by the Company and the Participant as of the day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SUN COUNTRY AIRLINES</w:t>
      </w:r>
    </w:p>
    <w:p>
      <w:pPr>
        <w:ind w:left="3920"/>
        <w:spacing w:after="0"/>
        <w:rPr>
          <w:sz w:val="20"/>
          <w:szCs w:val="20"/>
          <w:color w:val="auto"/>
        </w:rPr>
      </w:pPr>
      <w:r>
        <w:rPr>
          <w:rFonts w:ascii="Times New Roman" w:cs="Times New Roman" w:eastAsia="Times New Roman" w:hAnsi="Times New Roman"/>
          <w:sz w:val="20"/>
          <w:szCs w:val="20"/>
          <w:color w:val="auto"/>
        </w:rPr>
        <w:t>HOLDINGS, INC.</w:t>
      </w:r>
    </w:p>
    <w:p>
      <w:pPr>
        <w:spacing w:after="0" w:line="26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22860</wp:posOffset>
            </wp:positionV>
            <wp:extent cx="1654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20"/>
          <w:szCs w:val="20"/>
          <w:color w:val="auto"/>
        </w:rPr>
        <w:t>Title:</w:t>
      </w:r>
    </w:p>
    <w:p>
      <w:pPr>
        <w:spacing w:after="0" w:line="29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365760</wp:posOffset>
            </wp:positionV>
            <wp:extent cx="19030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[Signature Page to Performance-Based Restricted Stock Unit Award Agreement]</w:t>
      </w:r>
    </w:p>
    <w:p>
      <w:pPr>
        <w:sectPr>
          <w:pgSz w:w="11900" w:h="16838" w:orient="portrait"/>
          <w:cols w:equalWidth="0" w:num="1">
            <w:col w:w="11080"/>
          </w:cols>
          <w:pgMar w:left="320" w:top="1413" w:right="499" w:bottom="1440" w:gutter="0" w:footer="0" w:header="0"/>
        </w:sectPr>
      </w:pPr>
    </w:p>
    <w:bookmarkStart w:id="48" w:name="page49"/>
    <w:bookmarkEnd w:id="48"/>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Matrix</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“target” number of PRSUs eligible to vest and be earned under this Agreement in accordance with this Performance Matrix is [#] (the “</w:t>
      </w:r>
      <w:r>
        <w:rPr>
          <w:rFonts w:ascii="Times New Roman" w:cs="Times New Roman" w:eastAsia="Times New Roman" w:hAnsi="Times New Roman"/>
          <w:sz w:val="20"/>
          <w:szCs w:val="20"/>
          <w:u w:val="single" w:color="auto"/>
          <w:color w:val="auto"/>
        </w:rPr>
        <w:t>Target PRSUs</w:t>
      </w:r>
      <w:r>
        <w:rPr>
          <w:rFonts w:ascii="Times New Roman" w:cs="Times New Roman" w:eastAsia="Times New Roman" w:hAnsi="Times New Roman"/>
          <w:sz w:val="20"/>
          <w:szCs w:val="20"/>
          <w:color w:val="auto"/>
        </w:rPr>
        <w:t>”). However, the Participant is eligible to earn between 0%-150% of the Target PRSUs based on the Company’s level of achievement of the performance factors described below. In no event shall the Participant be eligible to earn more than 150% of the Target PRSUs (the “</w:t>
      </w:r>
      <w:r>
        <w:rPr>
          <w:rFonts w:ascii="Times New Roman" w:cs="Times New Roman" w:eastAsia="Times New Roman" w:hAnsi="Times New Roman"/>
          <w:sz w:val="20"/>
          <w:szCs w:val="20"/>
          <w:u w:val="single" w:color="auto"/>
          <w:color w:val="auto"/>
        </w:rPr>
        <w:t>Maximum PRSUs</w:t>
      </w:r>
      <w:r>
        <w:rPr>
          <w:rFonts w:ascii="Times New Roman" w:cs="Times New Roman" w:eastAsia="Times New Roman" w:hAnsi="Times New Roman"/>
          <w:sz w:val="20"/>
          <w:szCs w:val="20"/>
          <w:color w:val="auto"/>
        </w:rPr>
        <w:t>”) under this Agreement.</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50% of the PRSUs (the “</w:t>
      </w:r>
      <w:r>
        <w:rPr>
          <w:rFonts w:ascii="Times New Roman" w:cs="Times New Roman" w:eastAsia="Times New Roman" w:hAnsi="Times New Roman"/>
          <w:sz w:val="20"/>
          <w:szCs w:val="20"/>
          <w:u w:val="single" w:color="auto"/>
          <w:color w:val="auto"/>
        </w:rPr>
        <w:t>Earnings PRSUs</w:t>
      </w:r>
      <w:r>
        <w:rPr>
          <w:rFonts w:ascii="Times New Roman" w:cs="Times New Roman" w:eastAsia="Times New Roman" w:hAnsi="Times New Roman"/>
          <w:sz w:val="20"/>
          <w:szCs w:val="20"/>
          <w:color w:val="auto"/>
        </w:rPr>
        <w:t>”) will be eligible to vest and be earned based on the Company’s level of achievement of the Earnings Performance Factor (the target amount being the “</w:t>
      </w:r>
      <w:r>
        <w:rPr>
          <w:rFonts w:ascii="Times New Roman" w:cs="Times New Roman" w:eastAsia="Times New Roman" w:hAnsi="Times New Roman"/>
          <w:sz w:val="20"/>
          <w:szCs w:val="20"/>
          <w:u w:val="single" w:color="auto"/>
          <w:color w:val="auto"/>
        </w:rPr>
        <w:t>Target Earnings PRSUs</w:t>
      </w:r>
      <w:r>
        <w:rPr>
          <w:rFonts w:ascii="Times New Roman" w:cs="Times New Roman" w:eastAsia="Times New Roman" w:hAnsi="Times New Roman"/>
          <w:sz w:val="20"/>
          <w:szCs w:val="20"/>
          <w:color w:val="auto"/>
        </w:rPr>
        <w:t>”), and 50% of the PRSUs (the “</w:t>
      </w:r>
      <w:r>
        <w:rPr>
          <w:rFonts w:ascii="Times New Roman" w:cs="Times New Roman" w:eastAsia="Times New Roman" w:hAnsi="Times New Roman"/>
          <w:sz w:val="20"/>
          <w:szCs w:val="20"/>
          <w:u w:val="single" w:color="auto"/>
          <w:color w:val="auto"/>
        </w:rPr>
        <w:t>Margin PRSUs</w:t>
      </w:r>
      <w:r>
        <w:rPr>
          <w:rFonts w:ascii="Times New Roman" w:cs="Times New Roman" w:eastAsia="Times New Roman" w:hAnsi="Times New Roman"/>
          <w:sz w:val="20"/>
          <w:szCs w:val="20"/>
          <w:color w:val="auto"/>
        </w:rPr>
        <w:t>”) will be eligible to vest and be earned based on the Company’s level of achievement of the Margin Performance Factor (the target amount being the “</w:t>
      </w:r>
      <w:r>
        <w:rPr>
          <w:rFonts w:ascii="Times New Roman" w:cs="Times New Roman" w:eastAsia="Times New Roman" w:hAnsi="Times New Roman"/>
          <w:sz w:val="20"/>
          <w:szCs w:val="20"/>
          <w:u w:val="single" w:color="auto"/>
          <w:color w:val="auto"/>
        </w:rPr>
        <w:t>Target Margin PRSUs</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Earnings Performance Factor</w:t>
      </w:r>
      <w:r>
        <w:rPr>
          <w:rFonts w:ascii="Times New Roman" w:cs="Times New Roman" w:eastAsia="Times New Roman" w:hAnsi="Times New Roman"/>
          <w:sz w:val="20"/>
          <w:szCs w:val="20"/>
          <w:color w:val="auto"/>
        </w:rPr>
        <w:t>” means Adjusted Earnings Per Share (EPS), plus dividends per Share.</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have the meaning set forth in the Participant’s employment agreement with the Company, if any, or in the absence of such employment agreement, shall mean any of the following events, unless otherwise consented to in writing by the Participant (a) a material diminution in the Participant’s annual base salary or target annual bonus opportunity (other than an across-the-board reduction of not more than 10% that impacts all similarly situated executives of the Company equally); (b) any material diminution in the Participant’s position, authority or responsibilities with the Company; or (c) the Company’s material breach of this Agreement or any other material compensatory agreement with the Participant. Notwithstanding the foregoing, a resignation will only qualify as being for “Good Reason” if, within 30 days following the initial existence of a condition listed above (or, if later, the time at which the Participant knew or reasonably should have known of its existence), the Participant provides notice to the Company of the existence of a supposedly qualifying condition and the related circumstances that cause it to qualify, and within 30 days after such notice, the Company does not remedy the condition and, within 30 days following the Company’s failure to remedy the condition, the Participant actually resigns from employment with the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Performance Factor</w:t>
      </w:r>
      <w:r>
        <w:rPr>
          <w:rFonts w:ascii="Times New Roman" w:cs="Times New Roman" w:eastAsia="Times New Roman" w:hAnsi="Times New Roman"/>
          <w:sz w:val="20"/>
          <w:szCs w:val="20"/>
          <w:color w:val="auto"/>
        </w:rPr>
        <w:t>” means Pre-Tax Margin as compared to seven non-major U.S. airlines.</w:t>
      </w:r>
      <w:r>
        <w:rPr>
          <w:rFonts w:ascii="Times New Roman" w:cs="Times New Roman" w:eastAsia="Times New Roman" w:hAnsi="Times New Roman"/>
          <w:sz w:val="25"/>
          <w:szCs w:val="25"/>
          <w:color w:val="auto"/>
          <w:vertAlign w:val="superscript"/>
        </w:rPr>
        <w:t>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January 1, 2024 - December 31,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Year</w:t>
      </w:r>
      <w:r>
        <w:rPr>
          <w:rFonts w:ascii="Times New Roman" w:cs="Times New Roman" w:eastAsia="Times New Roman" w:hAnsi="Times New Roman"/>
          <w:sz w:val="20"/>
          <w:szCs w:val="20"/>
          <w:color w:val="auto"/>
        </w:rPr>
        <w:t>” means each of the 2024, 2025 and 2026 calendar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1714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ALGT, ULCC, ALK, HA, JBLU, SAVE, and SNCY, subject to adjustment as a result of business combinations/consultants.</w:t>
      </w:r>
    </w:p>
    <w:p>
      <w:pPr>
        <w:sectPr>
          <w:pgSz w:w="11900" w:h="16838" w:orient="portrait"/>
          <w:cols w:equalWidth="0" w:num="1">
            <w:col w:w="11240"/>
          </w:cols>
          <w:pgMar w:left="320" w:top="144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i w:val="1"/>
          <w:iCs w:val="1"/>
          <w:color w:val="auto"/>
        </w:rPr>
        <w:t>Vesting &amp; Settlement of Earnings PRSUs</w:t>
      </w:r>
    </w:p>
    <w:p>
      <w:pPr>
        <w:spacing w:after="0" w:line="26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For each Performance Year, up to 1/3rd of the Earnings PRSUs shall become eligible to vest (subject to the other terms and conditions set forth herein) based on the Company’s actual level of achievement of the Earnings Performance Factor for such Performance Year, as compared to the threshold, target and maximum levels set forth below:</w:t>
      </w: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20" w:type="dxa"/>
            <w:vAlign w:val="bottom"/>
            <w:tcBorders>
              <w:top w:val="single" w:sz="8" w:color="auto"/>
              <w:left w:val="single" w:sz="8" w:color="auto"/>
              <w:right w:val="single" w:sz="8" w:color="auto"/>
            </w:tcBorders>
            <w:shd w:val="clear" w:color="auto" w:fill="FEF2CC"/>
          </w:tcPr>
          <w:p>
            <w:pPr>
              <w:ind w:left="520"/>
              <w:spacing w:after="0" w:line="216" w:lineRule="exact"/>
              <w:rPr>
                <w:sz w:val="20"/>
                <w:szCs w:val="20"/>
                <w:color w:val="auto"/>
              </w:rPr>
            </w:pPr>
            <w:r>
              <w:rPr>
                <w:rFonts w:ascii="Times New Roman" w:cs="Times New Roman" w:eastAsia="Times New Roman" w:hAnsi="Times New Roman"/>
                <w:sz w:val="20"/>
                <w:szCs w:val="20"/>
                <w:color w:val="auto"/>
              </w:rPr>
              <w:t>Level of Achievement</w:t>
            </w:r>
          </w:p>
        </w:tc>
        <w:tc>
          <w:tcPr>
            <w:tcW w:w="2820" w:type="dxa"/>
            <w:vAlign w:val="bottom"/>
            <w:tcBorders>
              <w:top w:val="single" w:sz="8" w:color="auto"/>
              <w:right w:val="single" w:sz="8" w:color="auto"/>
            </w:tcBorders>
            <w:shd w:val="clear" w:color="auto" w:fill="FEF2CC"/>
          </w:tcPr>
          <w:p>
            <w:pPr>
              <w:ind w:left="240"/>
              <w:spacing w:after="0" w:line="216" w:lineRule="exact"/>
              <w:rPr>
                <w:sz w:val="20"/>
                <w:szCs w:val="20"/>
                <w:color w:val="auto"/>
              </w:rPr>
            </w:pPr>
            <w:r>
              <w:rPr>
                <w:rFonts w:ascii="Times New Roman" w:cs="Times New Roman" w:eastAsia="Times New Roman" w:hAnsi="Times New Roman"/>
                <w:sz w:val="20"/>
                <w:szCs w:val="20"/>
                <w:color w:val="auto"/>
              </w:rPr>
              <w:t>Earnings Performance Factor</w:t>
            </w:r>
          </w:p>
        </w:tc>
        <w:tc>
          <w:tcPr>
            <w:tcW w:w="2820" w:type="dxa"/>
            <w:vAlign w:val="bottom"/>
            <w:tcBorders>
              <w:top w:val="single" w:sz="8" w:color="auto"/>
              <w:right w:val="single" w:sz="8" w:color="auto"/>
            </w:tcBorders>
            <w:shd w:val="clear" w:color="auto" w:fill="FEF2CC"/>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Percentage of Earnings PRSUs</w:t>
            </w:r>
          </w:p>
        </w:tc>
      </w:tr>
      <w:tr>
        <w:trPr>
          <w:trHeight w:val="288"/>
        </w:trPr>
        <w:tc>
          <w:tcPr>
            <w:tcW w:w="2820" w:type="dxa"/>
            <w:vAlign w:val="bottom"/>
            <w:tcBorders>
              <w:left w:val="single" w:sz="8" w:color="auto"/>
              <w:right w:val="single" w:sz="8" w:color="auto"/>
            </w:tcBorders>
            <w:shd w:val="clear" w:color="auto" w:fill="FEF2CC"/>
          </w:tcPr>
          <w:p>
            <w:pPr>
              <w:spacing w:after="0"/>
              <w:rPr>
                <w:sz w:val="24"/>
                <w:szCs w:val="24"/>
                <w:color w:val="auto"/>
              </w:rPr>
            </w:pPr>
          </w:p>
        </w:tc>
        <w:tc>
          <w:tcPr>
            <w:tcW w:w="2820" w:type="dxa"/>
            <w:vAlign w:val="bottom"/>
            <w:tcBorders>
              <w:right w:val="single" w:sz="8" w:color="auto"/>
            </w:tcBorders>
            <w:shd w:val="clear" w:color="auto" w:fill="FEF2CC"/>
          </w:tcPr>
          <w:p>
            <w:pPr>
              <w:ind w:left="940"/>
              <w:spacing w:after="0"/>
              <w:rPr>
                <w:sz w:val="20"/>
                <w:szCs w:val="20"/>
                <w:color w:val="auto"/>
              </w:rPr>
            </w:pPr>
            <w:r>
              <w:rPr>
                <w:rFonts w:ascii="Times New Roman" w:cs="Times New Roman" w:eastAsia="Times New Roman" w:hAnsi="Times New Roman"/>
                <w:sz w:val="20"/>
                <w:szCs w:val="20"/>
                <w:color w:val="auto"/>
              </w:rPr>
              <w:t>Goal/Level</w:t>
            </w:r>
          </w:p>
        </w:tc>
        <w:tc>
          <w:tcPr>
            <w:tcW w:w="2820" w:type="dxa"/>
            <w:vAlign w:val="bottom"/>
            <w:tcBorders>
              <w:right w:val="single" w:sz="8" w:color="auto"/>
            </w:tcBorders>
            <w:shd w:val="clear" w:color="auto" w:fill="FEF2CC"/>
          </w:tcPr>
          <w:p>
            <w:pPr>
              <w:jc w:val="center"/>
              <w:spacing w:after="0"/>
              <w:rPr>
                <w:sz w:val="20"/>
                <w:szCs w:val="20"/>
                <w:color w:val="auto"/>
              </w:rPr>
            </w:pPr>
            <w:r>
              <w:rPr>
                <w:rFonts w:ascii="Times New Roman" w:cs="Times New Roman" w:eastAsia="Times New Roman" w:hAnsi="Times New Roman"/>
                <w:sz w:val="20"/>
                <w:szCs w:val="20"/>
                <w:color w:val="auto"/>
                <w:w w:val="99"/>
              </w:rPr>
              <w:t>Eligible to be Earned for the</w:t>
            </w:r>
          </w:p>
        </w:tc>
      </w:tr>
      <w:tr>
        <w:trPr>
          <w:trHeight w:val="229"/>
        </w:trPr>
        <w:tc>
          <w:tcPr>
            <w:tcW w:w="2820" w:type="dxa"/>
            <w:vAlign w:val="bottom"/>
            <w:tcBorders>
              <w:left w:val="single" w:sz="8" w:color="auto"/>
              <w:right w:val="single" w:sz="8" w:color="auto"/>
            </w:tcBorders>
            <w:shd w:val="clear" w:color="auto" w:fill="FEF2CC"/>
          </w:tcPr>
          <w:p>
            <w:pPr>
              <w:spacing w:after="0"/>
              <w:rPr>
                <w:sz w:val="19"/>
                <w:szCs w:val="19"/>
                <w:color w:val="auto"/>
              </w:rPr>
            </w:pPr>
          </w:p>
        </w:tc>
        <w:tc>
          <w:tcPr>
            <w:tcW w:w="2820" w:type="dxa"/>
            <w:vAlign w:val="bottom"/>
            <w:tcBorders>
              <w:right w:val="single" w:sz="8" w:color="auto"/>
            </w:tcBorders>
            <w:shd w:val="clear" w:color="auto" w:fill="FEF2CC"/>
          </w:tcPr>
          <w:p>
            <w:pPr>
              <w:spacing w:after="0"/>
              <w:rPr>
                <w:sz w:val="19"/>
                <w:szCs w:val="19"/>
                <w:color w:val="auto"/>
              </w:rPr>
            </w:pPr>
          </w:p>
        </w:tc>
        <w:tc>
          <w:tcPr>
            <w:tcW w:w="2820" w:type="dxa"/>
            <w:vAlign w:val="bottom"/>
            <w:tcBorders>
              <w:right w:val="single" w:sz="8" w:color="auto"/>
            </w:tcBorders>
            <w:shd w:val="clear" w:color="auto" w:fill="FEF2CC"/>
          </w:tcPr>
          <w:p>
            <w:pPr>
              <w:jc w:val="center"/>
              <w:spacing w:after="0"/>
              <w:rPr>
                <w:sz w:val="20"/>
                <w:szCs w:val="20"/>
                <w:color w:val="auto"/>
              </w:rPr>
            </w:pPr>
            <w:r>
              <w:rPr>
                <w:rFonts w:ascii="Times New Roman" w:cs="Times New Roman" w:eastAsia="Times New Roman" w:hAnsi="Times New Roman"/>
                <w:sz w:val="20"/>
                <w:szCs w:val="20"/>
                <w:color w:val="auto"/>
                <w:w w:val="97"/>
              </w:rPr>
              <w:t>Performance Year (as a</w:t>
            </w:r>
          </w:p>
        </w:tc>
      </w:tr>
      <w:tr>
        <w:trPr>
          <w:trHeight w:val="243"/>
        </w:trPr>
        <w:tc>
          <w:tcPr>
            <w:tcW w:w="2820" w:type="dxa"/>
            <w:vAlign w:val="bottom"/>
            <w:tcBorders>
              <w:left w:val="single" w:sz="8" w:color="auto"/>
              <w:right w:val="single" w:sz="8" w:color="auto"/>
            </w:tcBorders>
            <w:shd w:val="clear" w:color="auto" w:fill="FEF2CC"/>
          </w:tcPr>
          <w:p>
            <w:pPr>
              <w:spacing w:after="0"/>
              <w:rPr>
                <w:sz w:val="21"/>
                <w:szCs w:val="21"/>
                <w:color w:val="auto"/>
              </w:rPr>
            </w:pPr>
          </w:p>
        </w:tc>
        <w:tc>
          <w:tcPr>
            <w:tcW w:w="2820" w:type="dxa"/>
            <w:vAlign w:val="bottom"/>
            <w:tcBorders>
              <w:right w:val="single" w:sz="8" w:color="auto"/>
            </w:tcBorders>
            <w:shd w:val="clear" w:color="auto" w:fill="FEF2CC"/>
          </w:tcPr>
          <w:p>
            <w:pPr>
              <w:spacing w:after="0"/>
              <w:rPr>
                <w:sz w:val="21"/>
                <w:szCs w:val="21"/>
                <w:color w:val="auto"/>
              </w:rPr>
            </w:pPr>
          </w:p>
        </w:tc>
        <w:tc>
          <w:tcPr>
            <w:tcW w:w="2820" w:type="dxa"/>
            <w:vAlign w:val="bottom"/>
            <w:tcBorders>
              <w:right w:val="single" w:sz="8" w:color="auto"/>
            </w:tcBorders>
            <w:shd w:val="clear" w:color="auto" w:fill="FEF2CC"/>
          </w:tcPr>
          <w:p>
            <w:pPr>
              <w:jc w:val="center"/>
              <w:spacing w:after="0" w:line="242" w:lineRule="exact"/>
              <w:rPr>
                <w:sz w:val="20"/>
                <w:szCs w:val="20"/>
                <w:color w:val="auto"/>
              </w:rPr>
            </w:pPr>
            <w:r>
              <w:rPr>
                <w:rFonts w:ascii="Times New Roman" w:cs="Times New Roman" w:eastAsia="Times New Roman" w:hAnsi="Times New Roman"/>
                <w:sz w:val="20"/>
                <w:szCs w:val="20"/>
                <w:color w:val="auto"/>
                <w:w w:val="97"/>
              </w:rPr>
              <w:t>percentage of 1/3</w:t>
            </w:r>
            <w:r>
              <w:rPr>
                <w:rFonts w:ascii="Times New Roman" w:cs="Times New Roman" w:eastAsia="Times New Roman" w:hAnsi="Times New Roman"/>
                <w:sz w:val="25"/>
                <w:szCs w:val="25"/>
                <w:color w:val="auto"/>
                <w:w w:val="97"/>
                <w:vertAlign w:val="superscript"/>
              </w:rPr>
              <w:t>rd</w:t>
            </w:r>
            <w:r>
              <w:rPr>
                <w:rFonts w:ascii="Times New Roman" w:cs="Times New Roman" w:eastAsia="Times New Roman" w:hAnsi="Times New Roman"/>
                <w:sz w:val="20"/>
                <w:szCs w:val="20"/>
                <w:color w:val="auto"/>
                <w:w w:val="97"/>
              </w:rPr>
              <w:t xml:space="preserve"> of the Target</w:t>
            </w:r>
          </w:p>
        </w:tc>
      </w:tr>
      <w:tr>
        <w:trPr>
          <w:trHeight w:val="284"/>
        </w:trPr>
        <w:tc>
          <w:tcPr>
            <w:tcW w:w="2820" w:type="dxa"/>
            <w:vAlign w:val="bottom"/>
            <w:tcBorders>
              <w:left w:val="single" w:sz="8" w:color="auto"/>
              <w:bottom w:val="single" w:sz="8" w:color="FEF2CC"/>
              <w:right w:val="single" w:sz="8" w:color="auto"/>
            </w:tcBorders>
            <w:shd w:val="clear" w:color="auto" w:fill="FEF2CC"/>
          </w:tcPr>
          <w:p>
            <w:pPr>
              <w:spacing w:after="0"/>
              <w:rPr>
                <w:sz w:val="24"/>
                <w:szCs w:val="24"/>
                <w:color w:val="auto"/>
              </w:rPr>
            </w:pPr>
          </w:p>
        </w:tc>
        <w:tc>
          <w:tcPr>
            <w:tcW w:w="2820" w:type="dxa"/>
            <w:vAlign w:val="bottom"/>
            <w:tcBorders>
              <w:bottom w:val="single" w:sz="8" w:color="FEF2CC"/>
              <w:right w:val="single" w:sz="8" w:color="auto"/>
            </w:tcBorders>
            <w:shd w:val="clear" w:color="auto" w:fill="FEF2CC"/>
          </w:tcPr>
          <w:p>
            <w:pPr>
              <w:spacing w:after="0"/>
              <w:rPr>
                <w:sz w:val="24"/>
                <w:szCs w:val="24"/>
                <w:color w:val="auto"/>
              </w:rPr>
            </w:pPr>
          </w:p>
        </w:tc>
        <w:tc>
          <w:tcPr>
            <w:tcW w:w="2820" w:type="dxa"/>
            <w:vAlign w:val="bottom"/>
            <w:tcBorders>
              <w:bottom w:val="single" w:sz="8" w:color="FEF2CC"/>
              <w:right w:val="single" w:sz="8" w:color="auto"/>
            </w:tcBorders>
            <w:shd w:val="clear" w:color="auto" w:fill="FEF2CC"/>
          </w:tcPr>
          <w:p>
            <w:pPr>
              <w:jc w:val="center"/>
              <w:spacing w:after="0"/>
              <w:rPr>
                <w:sz w:val="20"/>
                <w:szCs w:val="20"/>
                <w:color w:val="auto"/>
              </w:rPr>
            </w:pPr>
            <w:r>
              <w:rPr>
                <w:rFonts w:ascii="Times New Roman" w:cs="Times New Roman" w:eastAsia="Times New Roman" w:hAnsi="Times New Roman"/>
                <w:sz w:val="20"/>
                <w:szCs w:val="20"/>
                <w:color w:val="auto"/>
                <w:w w:val="98"/>
              </w:rPr>
              <w:t>Earnings PRSUs)</w:t>
            </w:r>
          </w:p>
        </w:tc>
      </w:tr>
      <w:tr>
        <w:trPr>
          <w:trHeight w:val="250"/>
        </w:trPr>
        <w:tc>
          <w:tcPr>
            <w:tcW w:w="28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Below Threshold</w:t>
            </w:r>
          </w:p>
        </w:tc>
        <w:tc>
          <w:tcPr>
            <w:tcW w:w="28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250"/>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Threshold</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w:t>
            </w:r>
          </w:p>
        </w:tc>
      </w:tr>
      <w:tr>
        <w:trPr>
          <w:trHeight w:val="250"/>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Target</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100%</w:t>
            </w:r>
          </w:p>
        </w:tc>
      </w:tr>
      <w:tr>
        <w:trPr>
          <w:trHeight w:val="250"/>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Maximum</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150%</w:t>
            </w:r>
          </w:p>
        </w:tc>
      </w:tr>
    </w:tbl>
    <w:p>
      <w:pPr>
        <w:spacing w:after="0" w:line="200" w:lineRule="exact"/>
        <w:rPr>
          <w:sz w:val="20"/>
          <w:szCs w:val="20"/>
          <w:color w:val="auto"/>
        </w:rPr>
      </w:pPr>
    </w:p>
    <w:p>
      <w:pPr>
        <w:spacing w:after="0" w:line="3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If, upon conclusion of the applicable Performance Year, achievement of the Earnings Performance Factor goal exceeds a specified level shown in the table above, but is below the next specified level, the percentage of Earnings PRSUs earned and eligible to vest in respect of such Performance Year shall be linearly interpolated on a straight-line basis. No Earnings PRSUs shall be earned in respect of a Performance Year if the achievement of the Earnings Performance Factor goal for such Performance Year falls below the “Threshold” level established for that Performance Year.</w:t>
      </w:r>
    </w:p>
    <w:p>
      <w:pPr>
        <w:spacing w:after="0" w:line="2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u w:val="single" w:color="auto"/>
          <w:color w:val="auto"/>
        </w:rPr>
        <w:t>Determination of Eligible Units</w:t>
      </w:r>
      <w:r>
        <w:rPr>
          <w:rFonts w:ascii="Times New Roman" w:cs="Times New Roman" w:eastAsia="Times New Roman" w:hAnsi="Times New Roman"/>
          <w:sz w:val="20"/>
          <w:szCs w:val="20"/>
          <w:color w:val="auto"/>
        </w:rPr>
        <w:t>. As soon as reasonably practicable following the completion of each Performance Year (but in no event later than 60 days thereafter), the Committee will determine (i) whether and to what extent the Earnings Performance Factor has been achieved for such Performance Year, and (ii) the number of Earnings PRSUs that are deemed earned in respect of such Performance Year based on the table above (the “</w:t>
      </w:r>
      <w:r>
        <w:rPr>
          <w:rFonts w:ascii="Times New Roman" w:cs="Times New Roman" w:eastAsia="Times New Roman" w:hAnsi="Times New Roman"/>
          <w:sz w:val="20"/>
          <w:szCs w:val="20"/>
          <w:u w:val="single" w:color="auto"/>
          <w:color w:val="auto"/>
        </w:rPr>
        <w:t>Eligible Units</w:t>
      </w:r>
      <w:r>
        <w:rPr>
          <w:rFonts w:ascii="Times New Roman" w:cs="Times New Roman" w:eastAsia="Times New Roman" w:hAnsi="Times New Roman"/>
          <w:sz w:val="20"/>
          <w:szCs w:val="20"/>
          <w:color w:val="auto"/>
        </w:rPr>
        <w:t>”). The Eligible Units for each Performance Year will remain eligible to vest on the date on which the Committee determines the level of achievement of the Earnings Performance Factor for the 2026 Performance Year (such date, as applicable,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Participant’s continuous employment with, or engagement to provide services to, the Company or any of its Affiliates through the Vesting Date. Any Earnings PRSUs that do not constitute Eligible Units as of the Vesting Date shall be canceled immediately and the Participant shall not be entitled to receive any payments with respect thereto.</w:t>
      </w:r>
    </w:p>
    <w:p>
      <w:pPr>
        <w:sectPr>
          <w:pgSz w:w="11900" w:h="16838" w:orient="portrait"/>
          <w:cols w:equalWidth="0" w:num="1">
            <w:col w:w="11200"/>
          </w:cols>
          <w:pgMar w:left="320" w:top="1409" w:right="379" w:bottom="1440" w:gutter="0" w:footer="0" w:header="0"/>
        </w:sectPr>
      </w:pPr>
    </w:p>
    <w:bookmarkStart w:id="50" w:name="page51"/>
    <w:bookmarkEnd w:id="50"/>
    <w:p>
      <w:pPr>
        <w:ind w:right="20"/>
        <w:spacing w:after="0" w:line="283" w:lineRule="auto"/>
        <w:rPr>
          <w:sz w:val="20"/>
          <w:szCs w:val="20"/>
          <w:color w:val="auto"/>
        </w:rPr>
      </w:pPr>
      <w:r>
        <w:rPr>
          <w:rFonts w:ascii="Times New Roman" w:cs="Times New Roman" w:eastAsia="Times New Roman" w:hAnsi="Times New Roman"/>
          <w:sz w:val="20"/>
          <w:szCs w:val="20"/>
          <w:color w:val="auto"/>
        </w:rPr>
        <w:t>Eligible Units that vest upon the Vesting Date shall be settled within 15 days following the Vesting Date (but in no event later than March 15, 2027) in an equivalent number of shares of Common Stock (such date, as applicable,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If the Participant’s employment with, or engagement to provide services to, the Company or any of its Affiliates terminates for any reason prior to the Vesting Date, all Earnings PRSUs granted under this Agreement (including any Eligible Units) shall be canceled immediately and the Participant shall not be entitled to receive any payments with respect thereto. Notwithstanding the foregoing, if the Participant’s employment with, or engagement to provide services to, the Company or any of its Affiliates terminates prior to the Vesting Date as a result of the Company’s termination of the Participant’s employment without Cause or the Participant resigns for Good Reason (as defined herein) (a “Qualifying Termination”), then the Participant will become vested in any Earnings PRSUs that constitute Eligible Units as of the date of such termination (in which case, such Eligible Units will be settled on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date of such termination, subject to the Participant’s execution of a release of claims on a form provided by the Company), and any Earnings PRSUs that do not constitute Eligible Units as of the date of the Qualifying Termination shall be canceled immediately. If there is a Change in Control where the Earnings PRSUs are either (i) continued or assumed pursuant to Section 12(b)(i) of the Plan or (ii) substituted by the surviving corporation or its parent in accordance with Section 12(b)(ii) of the Plan, and following such Change in Control there is a Qualifying Termination of Participant’s employment prior to the Vesting Date, then the Earnings PRSUs under this Agreement shall become fully vested upon such Qualifying Termination, assuming “target” level performance (provided, that, any PRSUs that constitute Eligible Units as of the Qualifying Termination will become so vested regardless of whether the number of Eligible Units would exceed the “target” number of PRSUs for such Performance Year), and all such vested Earnings PRSUs shall be settled on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date of such termination.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Vesting &amp; Settlement of Margin PRSUs</w:t>
      </w:r>
    </w:p>
    <w:p>
      <w:pPr>
        <w:spacing w:after="0" w:line="23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The Margin PRSUs shall become eligible to vest (subject to the other terms and conditions set forth herein) based on the Company’s actual level of achievement of the Margin Performance Factor as compared to the threshold, target and maximum levels set forth below, as measured on a cumulative basis in respect of the full Performance Period, as set forth below:</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20" w:type="dxa"/>
            <w:vAlign w:val="bottom"/>
            <w:tcBorders>
              <w:top w:val="single" w:sz="8" w:color="auto"/>
              <w:left w:val="single" w:sz="8" w:color="auto"/>
              <w:right w:val="single" w:sz="8" w:color="auto"/>
            </w:tcBorders>
            <w:shd w:val="clear" w:color="auto" w:fill="FEF2CC"/>
          </w:tcPr>
          <w:p>
            <w:pPr>
              <w:ind w:left="520"/>
              <w:spacing w:after="0" w:line="216" w:lineRule="exact"/>
              <w:rPr>
                <w:sz w:val="20"/>
                <w:szCs w:val="20"/>
                <w:color w:val="auto"/>
              </w:rPr>
            </w:pPr>
            <w:r>
              <w:rPr>
                <w:rFonts w:ascii="Times New Roman" w:cs="Times New Roman" w:eastAsia="Times New Roman" w:hAnsi="Times New Roman"/>
                <w:sz w:val="20"/>
                <w:szCs w:val="20"/>
                <w:color w:val="auto"/>
              </w:rPr>
              <w:t>Level of Achievement</w:t>
            </w:r>
          </w:p>
        </w:tc>
        <w:tc>
          <w:tcPr>
            <w:tcW w:w="2820" w:type="dxa"/>
            <w:vAlign w:val="bottom"/>
            <w:tcBorders>
              <w:top w:val="single" w:sz="8" w:color="auto"/>
              <w:right w:val="single" w:sz="8" w:color="auto"/>
            </w:tcBorders>
            <w:shd w:val="clear" w:color="auto" w:fill="FEF2CC"/>
          </w:tcPr>
          <w:p>
            <w:pPr>
              <w:ind w:left="1120"/>
              <w:spacing w:after="0" w:line="216" w:lineRule="exact"/>
              <w:rPr>
                <w:sz w:val="20"/>
                <w:szCs w:val="20"/>
                <w:color w:val="auto"/>
              </w:rPr>
            </w:pPr>
            <w:r>
              <w:rPr>
                <w:rFonts w:ascii="Times New Roman" w:cs="Times New Roman" w:eastAsia="Times New Roman" w:hAnsi="Times New Roman"/>
                <w:sz w:val="20"/>
                <w:szCs w:val="20"/>
                <w:color w:val="auto"/>
              </w:rPr>
              <w:t>Margin</w:t>
            </w:r>
          </w:p>
        </w:tc>
        <w:tc>
          <w:tcPr>
            <w:tcW w:w="2820" w:type="dxa"/>
            <w:vAlign w:val="bottom"/>
            <w:tcBorders>
              <w:top w:val="single" w:sz="8" w:color="auto"/>
              <w:right w:val="single" w:sz="8" w:color="auto"/>
            </w:tcBorders>
            <w:shd w:val="clear" w:color="auto" w:fill="FEF2CC"/>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Percentage of Margin PRSUs</w:t>
            </w:r>
          </w:p>
        </w:tc>
      </w:tr>
      <w:tr>
        <w:trPr>
          <w:trHeight w:val="243"/>
        </w:trPr>
        <w:tc>
          <w:tcPr>
            <w:tcW w:w="2820" w:type="dxa"/>
            <w:vAlign w:val="bottom"/>
            <w:tcBorders>
              <w:left w:val="single" w:sz="8" w:color="auto"/>
              <w:right w:val="single" w:sz="8" w:color="auto"/>
            </w:tcBorders>
            <w:shd w:val="clear" w:color="auto" w:fill="FEF2CC"/>
          </w:tcPr>
          <w:p>
            <w:pPr>
              <w:spacing w:after="0"/>
              <w:rPr>
                <w:sz w:val="21"/>
                <w:szCs w:val="21"/>
                <w:color w:val="auto"/>
              </w:rPr>
            </w:pPr>
          </w:p>
        </w:tc>
        <w:tc>
          <w:tcPr>
            <w:tcW w:w="2820" w:type="dxa"/>
            <w:vAlign w:val="bottom"/>
            <w:tcBorders>
              <w:right w:val="single" w:sz="8" w:color="auto"/>
            </w:tcBorders>
            <w:shd w:val="clear" w:color="auto" w:fill="FEF2CC"/>
          </w:tcPr>
          <w:p>
            <w:pPr>
              <w:ind w:left="140"/>
              <w:spacing w:after="0"/>
              <w:rPr>
                <w:sz w:val="20"/>
                <w:szCs w:val="20"/>
                <w:color w:val="auto"/>
              </w:rPr>
            </w:pPr>
            <w:r>
              <w:rPr>
                <w:rFonts w:ascii="Times New Roman" w:cs="Times New Roman" w:eastAsia="Times New Roman" w:hAnsi="Times New Roman"/>
                <w:sz w:val="20"/>
                <w:szCs w:val="20"/>
                <w:color w:val="auto"/>
              </w:rPr>
              <w:t>Performance Factor Goal/Level</w:t>
            </w:r>
          </w:p>
        </w:tc>
        <w:tc>
          <w:tcPr>
            <w:tcW w:w="2820" w:type="dxa"/>
            <w:vAlign w:val="bottom"/>
            <w:tcBorders>
              <w:right w:val="single" w:sz="8" w:color="auto"/>
            </w:tcBorders>
            <w:shd w:val="clear" w:color="auto" w:fill="FEF2CC"/>
          </w:tcPr>
          <w:p>
            <w:pPr>
              <w:jc w:val="center"/>
              <w:spacing w:after="0"/>
              <w:rPr>
                <w:sz w:val="20"/>
                <w:szCs w:val="20"/>
                <w:color w:val="auto"/>
              </w:rPr>
            </w:pPr>
            <w:r>
              <w:rPr>
                <w:rFonts w:ascii="Times New Roman" w:cs="Times New Roman" w:eastAsia="Times New Roman" w:hAnsi="Times New Roman"/>
                <w:sz w:val="20"/>
                <w:szCs w:val="20"/>
                <w:color w:val="auto"/>
                <w:w w:val="98"/>
              </w:rPr>
              <w:t>Eligible to be Earned for the</w:t>
            </w:r>
          </w:p>
        </w:tc>
      </w:tr>
      <w:tr>
        <w:trPr>
          <w:trHeight w:val="148"/>
        </w:trPr>
        <w:tc>
          <w:tcPr>
            <w:tcW w:w="2820" w:type="dxa"/>
            <w:vAlign w:val="bottom"/>
            <w:tcBorders>
              <w:left w:val="single" w:sz="8" w:color="auto"/>
              <w:right w:val="single" w:sz="8" w:color="auto"/>
            </w:tcBorders>
            <w:shd w:val="clear" w:color="auto" w:fill="FEF2CC"/>
          </w:tcPr>
          <w:p>
            <w:pPr>
              <w:spacing w:after="0"/>
              <w:rPr>
                <w:sz w:val="12"/>
                <w:szCs w:val="12"/>
                <w:color w:val="auto"/>
              </w:rPr>
            </w:pPr>
          </w:p>
        </w:tc>
        <w:tc>
          <w:tcPr>
            <w:tcW w:w="2820" w:type="dxa"/>
            <w:vAlign w:val="bottom"/>
            <w:tcBorders>
              <w:right w:val="single" w:sz="8" w:color="auto"/>
            </w:tcBorders>
            <w:shd w:val="clear" w:color="auto" w:fill="FEF2CC"/>
          </w:tcPr>
          <w:p>
            <w:pPr>
              <w:spacing w:after="0"/>
              <w:rPr>
                <w:sz w:val="12"/>
                <w:szCs w:val="12"/>
                <w:color w:val="auto"/>
              </w:rPr>
            </w:pPr>
          </w:p>
        </w:tc>
        <w:tc>
          <w:tcPr>
            <w:tcW w:w="2820" w:type="dxa"/>
            <w:vAlign w:val="bottom"/>
            <w:tcBorders>
              <w:right w:val="single" w:sz="8" w:color="auto"/>
            </w:tcBorders>
            <w:shd w:val="clear" w:color="auto" w:fill="FEF2CC"/>
          </w:tcPr>
          <w:p>
            <w:pPr>
              <w:jc w:val="center"/>
              <w:spacing w:after="0" w:line="148" w:lineRule="exact"/>
              <w:rPr>
                <w:sz w:val="20"/>
                <w:szCs w:val="20"/>
                <w:color w:val="auto"/>
              </w:rPr>
            </w:pPr>
            <w:r>
              <w:rPr>
                <w:rFonts w:ascii="Times New Roman" w:cs="Times New Roman" w:eastAsia="Times New Roman" w:hAnsi="Times New Roman"/>
                <w:sz w:val="16"/>
                <w:szCs w:val="16"/>
                <w:color w:val="auto"/>
              </w:rPr>
              <w:t>Performance Period (as a</w:t>
            </w:r>
          </w:p>
        </w:tc>
      </w:tr>
      <w:tr>
        <w:trPr>
          <w:trHeight w:val="193"/>
        </w:trPr>
        <w:tc>
          <w:tcPr>
            <w:tcW w:w="2820" w:type="dxa"/>
            <w:vAlign w:val="bottom"/>
            <w:tcBorders>
              <w:left w:val="single" w:sz="8" w:color="auto"/>
              <w:right w:val="single" w:sz="8" w:color="auto"/>
            </w:tcBorders>
            <w:shd w:val="clear" w:color="auto" w:fill="FEF2CC"/>
          </w:tcPr>
          <w:p>
            <w:pPr>
              <w:spacing w:after="0"/>
              <w:rPr>
                <w:sz w:val="16"/>
                <w:szCs w:val="16"/>
                <w:color w:val="auto"/>
              </w:rPr>
            </w:pPr>
          </w:p>
        </w:tc>
        <w:tc>
          <w:tcPr>
            <w:tcW w:w="2820" w:type="dxa"/>
            <w:vAlign w:val="bottom"/>
            <w:tcBorders>
              <w:right w:val="single" w:sz="8" w:color="auto"/>
            </w:tcBorders>
            <w:shd w:val="clear" w:color="auto" w:fill="FEF2CC"/>
          </w:tcPr>
          <w:p>
            <w:pPr>
              <w:spacing w:after="0"/>
              <w:rPr>
                <w:sz w:val="16"/>
                <w:szCs w:val="16"/>
                <w:color w:val="auto"/>
              </w:rPr>
            </w:pPr>
          </w:p>
        </w:tc>
        <w:tc>
          <w:tcPr>
            <w:tcW w:w="2820" w:type="dxa"/>
            <w:vAlign w:val="bottom"/>
            <w:tcBorders>
              <w:right w:val="single" w:sz="8" w:color="auto"/>
            </w:tcBorders>
            <w:shd w:val="clear" w:color="auto" w:fill="FEF2CC"/>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percentage of the Target Margin</w:t>
            </w:r>
          </w:p>
        </w:tc>
      </w:tr>
      <w:tr>
        <w:trPr>
          <w:trHeight w:val="252"/>
        </w:trPr>
        <w:tc>
          <w:tcPr>
            <w:tcW w:w="2820" w:type="dxa"/>
            <w:vAlign w:val="bottom"/>
            <w:tcBorders>
              <w:left w:val="single" w:sz="8" w:color="auto"/>
              <w:bottom w:val="single" w:sz="8" w:color="auto"/>
              <w:right w:val="single" w:sz="8" w:color="auto"/>
            </w:tcBorders>
            <w:shd w:val="clear" w:color="auto" w:fill="FEF2CC"/>
          </w:tcPr>
          <w:p>
            <w:pPr>
              <w:spacing w:after="0"/>
              <w:rPr>
                <w:sz w:val="21"/>
                <w:szCs w:val="21"/>
                <w:color w:val="auto"/>
              </w:rPr>
            </w:pPr>
          </w:p>
        </w:tc>
        <w:tc>
          <w:tcPr>
            <w:tcW w:w="2820" w:type="dxa"/>
            <w:vAlign w:val="bottom"/>
            <w:tcBorders>
              <w:bottom w:val="single" w:sz="8" w:color="auto"/>
              <w:right w:val="single" w:sz="8" w:color="auto"/>
            </w:tcBorders>
            <w:shd w:val="clear" w:color="auto" w:fill="FEF2CC"/>
          </w:tcPr>
          <w:p>
            <w:pPr>
              <w:spacing w:after="0"/>
              <w:rPr>
                <w:sz w:val="21"/>
                <w:szCs w:val="21"/>
                <w:color w:val="auto"/>
              </w:rPr>
            </w:pPr>
          </w:p>
        </w:tc>
        <w:tc>
          <w:tcPr>
            <w:tcW w:w="2820" w:type="dxa"/>
            <w:vAlign w:val="bottom"/>
            <w:tcBorders>
              <w:bottom w:val="single" w:sz="8" w:color="auto"/>
              <w:right w:val="single" w:sz="8" w:color="auto"/>
            </w:tcBorders>
            <w:shd w:val="clear" w:color="auto" w:fill="FEF2CC"/>
          </w:tcPr>
          <w:p>
            <w:pPr>
              <w:jc w:val="center"/>
              <w:spacing w:after="0"/>
              <w:rPr>
                <w:sz w:val="20"/>
                <w:szCs w:val="20"/>
                <w:color w:val="auto"/>
              </w:rPr>
            </w:pPr>
            <w:r>
              <w:rPr>
                <w:rFonts w:ascii="Times New Roman" w:cs="Times New Roman" w:eastAsia="Times New Roman" w:hAnsi="Times New Roman"/>
                <w:sz w:val="20"/>
                <w:szCs w:val="20"/>
                <w:color w:val="auto"/>
                <w:w w:val="99"/>
              </w:rPr>
              <w:t>PRSUs)</w:t>
            </w:r>
          </w:p>
        </w:tc>
      </w:tr>
      <w:tr>
        <w:trPr>
          <w:trHeight w:val="250"/>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Below Threshold</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250"/>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Threshold</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w:t>
            </w:r>
          </w:p>
        </w:tc>
      </w:tr>
      <w:tr>
        <w:trPr>
          <w:trHeight w:val="250"/>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Target</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100%</w:t>
            </w:r>
          </w:p>
        </w:tc>
      </w:tr>
      <w:tr>
        <w:trPr>
          <w:trHeight w:val="250"/>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Maximum</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Communicated separately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150%</w:t>
            </w:r>
          </w:p>
        </w:tc>
      </w:tr>
    </w:tbl>
    <w:p>
      <w:pPr>
        <w:sectPr>
          <w:pgSz w:w="11900" w:h="16838" w:orient="portrait"/>
          <w:cols w:equalWidth="0" w:num="1">
            <w:col w:w="11220"/>
          </w:cols>
          <w:pgMar w:left="320" w:top="1413" w:right="359" w:bottom="1440" w:gutter="0" w:footer="0" w:header="0"/>
        </w:sectPr>
      </w:pPr>
    </w:p>
    <w:bookmarkStart w:id="51" w:name="page52"/>
    <w:bookmarkEnd w:id="51"/>
    <w:p>
      <w:pPr>
        <w:ind w:right="60"/>
        <w:spacing w:after="0" w:line="258" w:lineRule="auto"/>
        <w:rPr>
          <w:sz w:val="20"/>
          <w:szCs w:val="20"/>
          <w:color w:val="auto"/>
        </w:rPr>
      </w:pPr>
      <w:r>
        <w:rPr>
          <w:rFonts w:ascii="Times New Roman" w:cs="Times New Roman" w:eastAsia="Times New Roman" w:hAnsi="Times New Roman"/>
          <w:sz w:val="20"/>
          <w:szCs w:val="20"/>
          <w:color w:val="auto"/>
        </w:rPr>
        <w:t>If, upon conclusion of the Performance Period, achievement of the Margin Performance Factor goal exceeds a specified level shown in the table above, but is below the next specified level, the percentage of Target Margin PRSUs earned shall be linearly interpolated on a straight-line basis. No Margin PRSUs shall be earned in respect of the Performance Period if the achievement of the Margin Performance Factor goal falls below the “Threshold” level.</w:t>
      </w:r>
    </w:p>
    <w:p>
      <w:pPr>
        <w:spacing w:after="0" w:line="19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u w:val="single" w:color="auto"/>
          <w:color w:val="auto"/>
        </w:rPr>
        <w:t>Determination of Earned Margin PRSUs</w:t>
      </w:r>
      <w:r>
        <w:rPr>
          <w:rFonts w:ascii="Times New Roman" w:cs="Times New Roman" w:eastAsia="Times New Roman" w:hAnsi="Times New Roman"/>
          <w:sz w:val="20"/>
          <w:szCs w:val="20"/>
          <w:color w:val="auto"/>
        </w:rPr>
        <w:t>. As soon as reasonably practicable following the completion of the Performance Period (but in no event later than 60 days thereafter) (such date, as applicable,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the Committee will determine (i) whether and to what extent the Margin Performance Factor has been achieved for the Performance Period, and (ii) the number of Margin PRSUs that are deemed earned based on the table shown above (the “</w:t>
      </w:r>
      <w:r>
        <w:rPr>
          <w:rFonts w:ascii="Times New Roman" w:cs="Times New Roman" w:eastAsia="Times New Roman" w:hAnsi="Times New Roman"/>
          <w:sz w:val="20"/>
          <w:szCs w:val="20"/>
          <w:u w:val="single" w:color="auto"/>
          <w:color w:val="auto"/>
        </w:rPr>
        <w:t>Earned Margin PRSUs</w:t>
      </w:r>
      <w:r>
        <w:rPr>
          <w:rFonts w:ascii="Times New Roman" w:cs="Times New Roman" w:eastAsia="Times New Roman" w:hAnsi="Times New Roman"/>
          <w:sz w:val="20"/>
          <w:szCs w:val="20"/>
          <w:color w:val="auto"/>
        </w:rPr>
        <w:t>”). The Earned Margin PRSUs will vest on Determination Date, subject to the Participant’s continuous employment with, or engagement to provide services to, the Company or any of its Affiliates through the Determination Date. Any Margin PRSUs that do not constitute Earned Margin PRSUs as of the Determination Date shall be canceled immediately and the Participant shall not be entitled to receive any payments with respect thereto.</w:t>
      </w:r>
    </w:p>
    <w:p>
      <w:pPr>
        <w:spacing w:after="0" w:line="220"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Earned Margin PRSUs shall be settled within 15 days following the Determination Date in an equivalent number of shares of Common Stock.</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If the Participant’s employment with, or engagement to provide services to, the Company or any of its Affiliates terminates for any reason prior to the Determination Date, all Margin PRSUs granted under this Agreement shall be canceled immediately and the Participant shall not be entitled to receive any payments with respect thereto. Notwithstanding the foregoing, if there is a Change in Control where the Margin PRSUs are either (i) continued or assumed pursuant to Section 12(b)(i) of the Plan or (ii) substituted by the surviving corporation or its parent in accordance with Section 12(b)(ii) of the Plan, and following such Change in Control there is a Qualifying Termination of Participant’s employment prior to the Determination Date, then the Margin PRSUs under this Agreement shall become fully vested upon such Qualifying Termination, assuming “target” level performance, and all such vested Margin PRSUs shall be settled on the 30th day following the date of such termination.</w:t>
      </w:r>
    </w:p>
    <w:p>
      <w:pPr>
        <w:sectPr>
          <w:pgSz w:w="11900" w:h="16838" w:orient="portrait"/>
          <w:cols w:equalWidth="0" w:num="1">
            <w:col w:w="11240"/>
          </w:cols>
          <w:pgMar w:left="320" w:top="1413" w:right="339" w:bottom="1440" w:gutter="0" w:footer="0" w:header="0"/>
        </w:sectPr>
      </w:pPr>
    </w:p>
    <w:bookmarkStart w:id="52" w:name="page53"/>
    <w:bookmarkEnd w:id="52"/>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Covenants</w:t>
      </w:r>
    </w:p>
    <w:p>
      <w:pPr>
        <w:spacing w:after="0" w:line="247"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By accepting the grant of the PRSUs hereunder, in addition to any other representations, warranties, and covenants set forth this Agreement, the Participant agrees to be subject to and comply with the following covenants.</w:t>
      </w:r>
    </w:p>
    <w:p>
      <w:pPr>
        <w:spacing w:after="0" w:line="38" w:lineRule="exact"/>
        <w:rPr>
          <w:sz w:val="20"/>
          <w:szCs w:val="20"/>
          <w:color w:val="auto"/>
        </w:rPr>
      </w:pPr>
    </w:p>
    <w:p>
      <w:pPr>
        <w:jc w:val="both"/>
        <w:ind w:left="340" w:hanging="332"/>
        <w:spacing w:after="0" w:line="269" w:lineRule="auto"/>
        <w:tabs>
          <w:tab w:leader="none" w:pos="3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During the term of the Participant’s employment or service with the Company or any of its Affiliates and thereafter in perpetuity, the Participant shall not, directly or indirectly, knowingly disparage, criticize, or otherwise make derogatory statements regarding the Company or any of its Affiliates, successors, directors or officers. The foregoing shall not be violated by the Participant’s truthful responses to legal process or inquiry by a governmental authority. Neither the Agreement nor this Exhibit B limit any right Participant may have to file a charge under Title VII, ADEA, ADA, 42 USC Section 1981, the National Labor Relations Act, or any other civil rights statute, regulation, or ordinance; or to participate in an investigation or proceeding conducted by the EEOC, National Labor Relations Board, or other anti-discrimination or anti-retaliation agency; or to speak with a representative of any such agency.</w:t>
      </w:r>
    </w:p>
    <w:p>
      <w:pPr>
        <w:spacing w:after="0" w:line="67" w:lineRule="exact"/>
        <w:rPr>
          <w:rFonts w:ascii="Times New Roman" w:cs="Times New Roman" w:eastAsia="Times New Roman" w:hAnsi="Times New Roman"/>
          <w:sz w:val="19"/>
          <w:szCs w:val="19"/>
          <w:color w:val="auto"/>
        </w:rPr>
      </w:pPr>
    </w:p>
    <w:p>
      <w:pPr>
        <w:jc w:val="both"/>
        <w:ind w:left="340" w:hanging="332"/>
        <w:spacing w:after="0" w:line="249" w:lineRule="auto"/>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 Return of Property</w:t>
      </w:r>
      <w:r>
        <w:rPr>
          <w:rFonts w:ascii="Times New Roman" w:cs="Times New Roman" w:eastAsia="Times New Roman" w:hAnsi="Times New Roman"/>
          <w:sz w:val="20"/>
          <w:szCs w:val="20"/>
          <w:color w:val="auto"/>
        </w:rPr>
        <w:t xml:space="preserve">. During the term of the Participant’s employment or service with the Company or any of its Affiliates and thereafter in perpetuity, the Participant shall maintain in confidence and shall not directly, indirectly or otherwise, use, disseminate, disclose or publish, or use for the Participant’s benefit or the benefit of any Person, any confidential or proprietary information or trade secrets of or relating to the Company or any of its Affiliates, including, without limitation, information with respect to the Company’s or any of its Affiliates’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Participant’s good faith performance of his or her duties and responsibilities for the Company and its Affiliates during employment or service shall not be deemed a breach of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Upon the Participant’s termination of employment or service for any reason, the Participant shall promptly deliver to the Company all correspondence, drawings, manuals, letters, notes, notebooks, reports, programs, plans, proposals, financial documents, or any other documents concerning the Company’s or any of its Affiliates’ customers, business plans, marketing strategies, products or processes. The Participant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83" w:lineRule="exact"/>
        <w:rPr>
          <w:rFonts w:ascii="Times New Roman" w:cs="Times New Roman" w:eastAsia="Times New Roman" w:hAnsi="Times New Roman"/>
          <w:sz w:val="20"/>
          <w:szCs w:val="20"/>
          <w:color w:val="auto"/>
        </w:rPr>
      </w:pPr>
    </w:p>
    <w:p>
      <w:pPr>
        <w:jc w:val="both"/>
        <w:ind w:left="340" w:hanging="332"/>
        <w:spacing w:after="0" w:line="258" w:lineRule="auto"/>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To the fullest extent permitted by applicable law, the Participant agrees that during the Participant’s employment or other service relationship with the Company or any of its Affiliates, and for the one (1) year period following the Participant’s termination of employment or service for any reason, the Participant will not, directly or indirectly, on Participant’s own behalf or on behalf of another (i) solicit, induce or attempt to solicit or</w:t>
      </w:r>
    </w:p>
    <w:p>
      <w:pPr>
        <w:sectPr>
          <w:pgSz w:w="11900" w:h="16838" w:orient="portrait"/>
          <w:cols w:equalWidth="0" w:num="1">
            <w:col w:w="11240"/>
          </w:cols>
          <w:pgMar w:left="320" w:top="1440" w:right="339" w:bottom="1440" w:gutter="0" w:footer="0" w:header="0"/>
        </w:sectPr>
      </w:pPr>
    </w:p>
    <w:bookmarkStart w:id="53" w:name="page54"/>
    <w:bookmarkEnd w:id="53"/>
    <w:p>
      <w:pPr>
        <w:jc w:val="both"/>
        <w:ind w:left="332"/>
        <w:spacing w:after="0" w:line="265" w:lineRule="auto"/>
        <w:rPr>
          <w:sz w:val="20"/>
          <w:szCs w:val="20"/>
          <w:color w:val="auto"/>
        </w:rPr>
      </w:pPr>
      <w:r>
        <w:rPr>
          <w:rFonts w:ascii="Times New Roman" w:cs="Times New Roman" w:eastAsia="Times New Roman" w:hAnsi="Times New Roman"/>
          <w:sz w:val="19"/>
          <w:szCs w:val="19"/>
          <w:color w:val="auto"/>
        </w:rPr>
        <w:t>induce any officer, director or employee of the Company or any of its Affiliates with whom you had a direct business relationship or about whom you learned personnel information resulting from your employment with the Company to terminate their relationship with or leave the employ of the Company or any of its Affiliates, or in any way interfere with the relationship between Company or any of its Affiliates, on the one hand, and any such officer, director or employee thereof, on the other hand, (ii) hire (or other similar arrangement) any Person (in any capacity whether as an officer, director, employee or consultant) who is or at any time was an officer, director or employee of the Company or any of its Affiliates and with whom you had a direct business relationship or about whom you learned personnel information resulting from your employment with the Company until six (6) months after such individual’s relationship (whether as an officer, director or employee) with the Company or any of its Affiliates has ended, or (iii) induce or attempt to induce any customer, supplier, prospect, licensee or other business relation of the Company or any of its Affiliates with which you had a direct business relationship or about which you learned confidential information resulting from your employment with the Company to cease doing business with the Company or any of its Affiliates, or in any way interfere with the relationship between any such customer, supplier, prospect, licensee or business relation, on the one hand, and the Company or any of its Affiliates, on the other hand.</w:t>
      </w:r>
    </w:p>
    <w:p>
      <w:pPr>
        <w:spacing w:after="0" w:line="62" w:lineRule="exact"/>
        <w:rPr>
          <w:sz w:val="20"/>
          <w:szCs w:val="20"/>
          <w:color w:val="auto"/>
        </w:rPr>
      </w:pPr>
    </w:p>
    <w:p>
      <w:pPr>
        <w:jc w:val="both"/>
        <w:ind w:left="332" w:hanging="332"/>
        <w:spacing w:after="0" w:line="252" w:lineRule="auto"/>
        <w:tabs>
          <w:tab w:leader="none" w:pos="3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acknowledges and agrees that irreparable injury will result to the Company, and to its business, in the event of a breach by the Participant of any of the Participant’s covenants and commitments under this Agreement, including the covenants of confidentiality and non-solicitation. The Company reserves all rights to seek any and all remedies and damages permitted under law, including, but not limited to, injunctive relief, equitable relief and compensatory damages. The Participant acknowledges and agrees the non-solicitation provisions contained in this Agreement are expressly intended to benefit the Company (which includes all parents, subsidiaries and/or affiliated entities as third party beneficiaries) and its successors and assigns; and the Participant expressly authorizes the Company (including all third party beneficiaries) and its successors and assigns to enforce these provisions. In the event of any breach or violation by the Participant of any of the restrictive covenants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the time period of such covenant with respect to the Participant shall, to the fullest extent permitted by law, be tolled until such breach or violation is resolved.</w:t>
      </w:r>
    </w:p>
    <w:p>
      <w:pPr>
        <w:spacing w:after="0" w:line="67" w:lineRule="exact"/>
        <w:rPr>
          <w:rFonts w:ascii="Times New Roman" w:cs="Times New Roman" w:eastAsia="Times New Roman" w:hAnsi="Times New Roman"/>
          <w:sz w:val="20"/>
          <w:szCs w:val="20"/>
          <w:color w:val="auto"/>
        </w:rPr>
      </w:pPr>
    </w:p>
    <w:p>
      <w:pPr>
        <w:jc w:val="both"/>
        <w:ind w:left="332" w:hanging="332"/>
        <w:spacing w:after="0" w:line="257" w:lineRule="auto"/>
        <w:tabs>
          <w:tab w:leader="none" w:pos="3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covenants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are severable and separate, and the unenforceability of any specific covenant shall not affect the provisions of any other covenant. If any provision of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64" w:lineRule="exact"/>
        <w:rPr>
          <w:rFonts w:ascii="Times New Roman" w:cs="Times New Roman" w:eastAsia="Times New Roman" w:hAnsi="Times New Roman"/>
          <w:sz w:val="20"/>
          <w:szCs w:val="20"/>
          <w:color w:val="auto"/>
        </w:rPr>
      </w:pPr>
    </w:p>
    <w:p>
      <w:pPr>
        <w:jc w:val="both"/>
        <w:ind w:left="332" w:hanging="332"/>
        <w:spacing w:after="0" w:line="257" w:lineRule="auto"/>
        <w:tabs>
          <w:tab w:leader="none" w:pos="3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covenants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shall be construed as an agreement independent of any other provisions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the existence of any claim or cause of action the Participant may have against the Company (which includes all parents, subsidiaries and/or affiliated entities as third party beneficiaries), whether predicated on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otherwise, shall not constitute a defense to the enforcement by the Company (which includes all parents, subsidiaries and/or affiliated entities as third party beneficiaries) of such covenants.</w:t>
      </w:r>
    </w:p>
    <w:p>
      <w:pPr>
        <w:spacing w:after="0" w:line="64" w:lineRule="exact"/>
        <w:rPr>
          <w:rFonts w:ascii="Times New Roman" w:cs="Times New Roman" w:eastAsia="Times New Roman" w:hAnsi="Times New Roman"/>
          <w:sz w:val="20"/>
          <w:szCs w:val="20"/>
          <w:color w:val="auto"/>
        </w:rPr>
      </w:pPr>
    </w:p>
    <w:p>
      <w:pPr>
        <w:jc w:val="both"/>
        <w:ind w:left="332" w:right="20" w:hanging="332"/>
        <w:spacing w:after="0" w:line="268" w:lineRule="auto"/>
        <w:tabs>
          <w:tab w:leader="none" w:pos="3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has carefully read and considered the provisions of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having done so, agrees that the restrictive covenants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impose a fair and reasonable restraint on the Participant and are reasonably required to protect the interests of the</w:t>
      </w:r>
    </w:p>
    <w:p>
      <w:pPr>
        <w:sectPr>
          <w:pgSz w:w="11900" w:h="16838" w:orient="portrait"/>
          <w:cols w:equalWidth="0" w:num="1">
            <w:col w:w="11232"/>
          </w:cols>
          <w:pgMar w:left="328" w:top="1440" w:right="339" w:bottom="1440" w:gutter="0" w:footer="0" w:header="0"/>
        </w:sectPr>
      </w:pPr>
    </w:p>
    <w:bookmarkStart w:id="54" w:name="page55"/>
    <w:bookmarkEnd w:id="54"/>
    <w:p>
      <w:pPr>
        <w:spacing w:after="0" w:line="283" w:lineRule="auto"/>
        <w:rPr>
          <w:sz w:val="20"/>
          <w:szCs w:val="20"/>
          <w:color w:val="auto"/>
        </w:rPr>
      </w:pPr>
      <w:r>
        <w:rPr>
          <w:rFonts w:ascii="Times New Roman" w:cs="Times New Roman" w:eastAsia="Times New Roman" w:hAnsi="Times New Roman"/>
          <w:sz w:val="20"/>
          <w:szCs w:val="20"/>
          <w:color w:val="auto"/>
        </w:rPr>
        <w:t>Company (which includes all parents, subsidiaries and/or affiliated entities as third party beneficiaries) and their respective officers, directors, employees, and equityholders.</w:t>
      </w:r>
    </w:p>
    <w:p>
      <w:pPr>
        <w:sectPr>
          <w:pgSz w:w="11900" w:h="16838" w:orient="portrait"/>
          <w:cols w:equalWidth="0" w:num="1">
            <w:col w:w="10900"/>
          </w:cols>
          <w:pgMar w:left="660" w:top="14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Jude Bricker, certify that:</w:t>
      </w:r>
    </w:p>
    <w:p>
      <w:pPr>
        <w:spacing w:after="0" w:line="225" w:lineRule="exact"/>
        <w:rPr>
          <w:sz w:val="20"/>
          <w:szCs w:val="20"/>
          <w:color w:val="auto"/>
        </w:rPr>
      </w:pPr>
    </w:p>
    <w:p>
      <w:pPr>
        <w:ind w:left="660" w:right="40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three month period ended March 31, 2024;</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324"/>
        <w:spacing w:after="0" w:line="312" w:lineRule="auto"/>
        <w:tabs>
          <w:tab w:leader="none" w:pos="97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2024</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Davis, certify that:</w:t>
      </w:r>
    </w:p>
    <w:p>
      <w:pPr>
        <w:spacing w:after="0" w:line="225" w:lineRule="exact"/>
        <w:rPr>
          <w:sz w:val="20"/>
          <w:szCs w:val="20"/>
          <w:color w:val="auto"/>
        </w:rPr>
      </w:pPr>
    </w:p>
    <w:p>
      <w:pPr>
        <w:ind w:left="660" w:right="40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three month period ended March 31, 2024;</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324"/>
        <w:spacing w:after="0" w:line="312" w:lineRule="auto"/>
        <w:tabs>
          <w:tab w:leader="none" w:pos="97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2024</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Dave Davis</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ectPr>
          <w:pgSz w:w="11900" w:h="16838" w:orient="portrait"/>
          <w:cols w:equalWidth="0" w:num="1">
            <w:col w:w="11240"/>
          </w:cols>
          <w:pgMar w:left="320" w:top="114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2024</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March 31, 2024 (the "Report").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President and Chief Financial Officer, respectively, of Sun Country, hereby certifies that, as of the end of the period covered by the Report:</w:t>
      </w:r>
    </w:p>
    <w:p>
      <w:pPr>
        <w:spacing w:after="0" w:line="16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Sun Country.</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Dave Davis</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lvl w:ilvl="1">
      <w:lvlJc w:val="left"/>
      <w:lvlText w:val="(%2)"/>
      <w:numFmt w:val="decimal"/>
      <w:start w:val="1"/>
    </w:lvl>
  </w:abstractNum>
  <w:abstractNum w:abstractNumId="9">
    <w:nsid w:val="75A2A8D4"/>
    <w:multiLevelType w:val="hybridMultilevel"/>
    <w:lvl w:ilvl="0">
      <w:lvlJc w:val="left"/>
      <w:lvlText w:val="%1."/>
      <w:numFmt w:val="decimal"/>
      <w:start w:val="5"/>
    </w:lvl>
    <w:lvl w:ilvl="1">
      <w:lvlJc w:val="left"/>
      <w:lvlText w:val="%2"/>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8"/>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decimal"/>
      <w:start w:val="10"/>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2"/>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lvl w:ilvl="1">
      <w:lvlJc w:val="left"/>
      <w:lvlText w:val="(%2)"/>
      <w:numFmt w:val="lowerLetter"/>
      <w:start w:val="1"/>
    </w:lvl>
  </w:abstractNum>
  <w:abstractNum w:abstractNumId="23">
    <w:nsid w:val="7C3DBD3D"/>
    <w:multiLevelType w:val="hybridMultilevel"/>
    <w:lvl w:ilvl="0">
      <w:lvlJc w:val="left"/>
      <w:lvlText w:val="%1"/>
      <w:numFmt w:val="decimal"/>
      <w:start w:val="1"/>
    </w:lvl>
    <w:lvl w:ilvl="1">
      <w:lvlJc w:val="left"/>
      <w:lvlText w:val="(%2)"/>
      <w:numFmt w:val="lowerLetter"/>
      <w:start w:val="3"/>
    </w:lvl>
  </w:abstractNum>
  <w:abstractNum w:abstractNumId="24">
    <w:nsid w:val="737B8DDC"/>
    <w:multiLevelType w:val="hybridMultilevel"/>
    <w:lvl w:ilvl="0">
      <w:lvlJc w:val="left"/>
      <w:lvlText w:val="%1."/>
      <w:numFmt w:val="decimal"/>
      <w:start w:val="3"/>
    </w:lvl>
    <w:lvl w:ilvl="1">
      <w:lvlJc w:val="left"/>
      <w:lvlText w:val="(%2)"/>
      <w:numFmt w:val="lowerLetter"/>
      <w:start w:val="1"/>
    </w:lvl>
  </w:abstractNum>
  <w:abstractNum w:abstractNumId="25">
    <w:nsid w:val="6CEAF087"/>
    <w:multiLevelType w:val="hybridMultilevel"/>
    <w:lvl w:ilvl="0">
      <w:lvlJc w:val="left"/>
      <w:lvlText w:val="%1"/>
      <w:numFmt w:val="decimal"/>
      <w:start w:val="1"/>
    </w:lvl>
    <w:lvl w:ilvl="1">
      <w:lvlJc w:val="left"/>
      <w:lvlText w:val="(%2)"/>
      <w:numFmt w:val="lowerLetter"/>
      <w:start w:val="2"/>
    </w:lvl>
  </w:abstractNum>
  <w:abstractNum w:abstractNumId="26">
    <w:nsid w:val="22221A70"/>
    <w:multiLevelType w:val="hybridMultilevel"/>
    <w:lvl w:ilvl="0">
      <w:lvlJc w:val="left"/>
      <w:lvlText w:val="%1."/>
      <w:numFmt w:val="decimal"/>
      <w:start w:val="7"/>
    </w:lvl>
    <w:lvl w:ilvl="1">
      <w:lvlJc w:val="left"/>
      <w:lvlText w:val="(%2)"/>
      <w:numFmt w:val="lowerLetter"/>
      <w:start w:val="1"/>
    </w:lvl>
  </w:abstractNum>
  <w:abstractNum w:abstractNumId="27">
    <w:nsid w:val="4516DDE9"/>
    <w:multiLevelType w:val="hybridMultilevel"/>
    <w:lvl w:ilvl="0">
      <w:lvlJc w:val="left"/>
      <w:lvlText w:val="%1"/>
      <w:numFmt w:val="decimal"/>
      <w:start w:val="1"/>
    </w:lvl>
    <w:lvl w:ilvl="1">
      <w:lvlJc w:val="left"/>
      <w:lvlText w:val="(%2)"/>
      <w:numFmt w:val="lowerLetter"/>
      <w:start w:val="2"/>
    </w:lvl>
  </w:abstractNum>
  <w:abstractNum w:abstractNumId="28">
    <w:nsid w:val="3006C83E"/>
    <w:multiLevelType w:val="hybridMultilevel"/>
    <w:lvl w:ilvl="0">
      <w:lvlJc w:val="left"/>
      <w:lvlText w:val="%1."/>
      <w:numFmt w:val="decimal"/>
      <w:start w:val="9"/>
    </w:lvl>
    <w:lvl w:ilvl="1">
      <w:lvlJc w:val="left"/>
      <w:lvlText w:val="(%2)"/>
      <w:numFmt w:val="lowerLetter"/>
      <w:start w:val="1"/>
    </w:lvl>
  </w:abstractNum>
  <w:abstractNum w:abstractNumId="29">
    <w:nsid w:val="614FD4A1"/>
    <w:multiLevelType w:val="hybridMultilevel"/>
    <w:lvl w:ilvl="0">
      <w:lvlJc w:val="left"/>
      <w:lvlText w:val="(%1)"/>
      <w:numFmt w:val="lowerLetter"/>
      <w:start w:val="6"/>
    </w:lvl>
    <w:lvl w:ilvl="1">
      <w:lvlJc w:val="left"/>
      <w:lvlText w:val="(%2)"/>
      <w:numFmt w:val="lowerLetter"/>
      <w:start w:val="9"/>
    </w:lvl>
  </w:abstractNum>
  <w:abstractNum w:abstractNumId="30">
    <w:nsid w:val="419AC241"/>
    <w:multiLevelType w:val="hybridMultilevel"/>
    <w:lvl w:ilvl="0">
      <w:lvlJc w:val="left"/>
      <w:lvlText w:val="%1"/>
      <w:numFmt w:val="lowerLetter"/>
      <w:start w:val="1"/>
    </w:lvl>
    <w:lvl w:ilvl="1">
      <w:lvlJc w:val="left"/>
      <w:lvlText w:val="(%2)"/>
      <w:numFmt w:val="lowerLetter"/>
      <w:start w:val="35"/>
    </w:lvl>
  </w:abstractNum>
  <w:abstractNum w:abstractNumId="31">
    <w:nsid w:val="5577F8E1"/>
    <w:multiLevelType w:val="hybridMultilevel"/>
    <w:lvl w:ilvl="0">
      <w:lvlJc w:val="left"/>
      <w:lvlText w:val="(%1)"/>
      <w:numFmt w:val="lowerLetter"/>
      <w:start w:val="13"/>
    </w:lvl>
    <w:lvl w:ilvl="1">
      <w:lvlJc w:val="left"/>
      <w:lvlText w:val="%2"/>
      <w:numFmt w:val="lowerLetter"/>
      <w:start w:val="1"/>
    </w:lvl>
  </w:abstractNum>
  <w:abstractNum w:abstractNumId="32">
    <w:nsid w:val="440BADFC"/>
    <w:multiLevelType w:val="hybridMultilevel"/>
    <w:lvl w:ilvl="0">
      <w:lvlJc w:val="left"/>
      <w:lvlText w:val="1"/>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39" Type="http://schemas.openxmlformats.org/officeDocument/2006/relationships/hyperlink" Target="https://www.sec.gov/Archives/edgar/data/1743907/000174390724000005/sncy-20231231.htm#i42a5ae0bd2d24023a66a62469f4c25b4_46" TargetMode="External"/><Relationship Id="rId57" Type="http://schemas.openxmlformats.org/officeDocument/2006/relationships/hyperlink" Target="https://www.sec.gov/ix?doc=/Archives/edgar/data/1743907/000174390724000005/sncy-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2024-05-07T15:14:55Z</dcterms:created>
  <dcterms:modified xsi:type="dcterms:W3CDTF">2024-05-07T15:14:55Z</dcterms:modified>
</cp:coreProperties>
</file>