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44" w:lineRule="exact"/>
        <w:rPr>
          <w:sz w:val="24"/>
          <w:szCs w:val="24"/>
          <w:color w:val="auto"/>
        </w:rPr>
      </w:pPr>
    </w:p>
    <w:p>
      <w:pPr>
        <w:jc w:val="right"/>
        <w:ind w:right="559"/>
        <w:spacing w:after="0"/>
        <w:rPr>
          <w:sz w:val="20"/>
          <w:szCs w:val="20"/>
          <w:color w:val="auto"/>
        </w:rPr>
      </w:pPr>
      <w:r>
        <w:rPr>
          <w:rFonts w:ascii="Arial" w:cs="Arial" w:eastAsia="Arial" w:hAnsi="Arial"/>
          <w:sz w:val="15"/>
          <w:szCs w:val="15"/>
          <w:b w:val="1"/>
          <w:bCs w:val="1"/>
          <w:color w:val="auto"/>
        </w:rPr>
        <w:t>Filed Pursuant to Rule 424(b)(4)</w:t>
      </w:r>
    </w:p>
    <w:p>
      <w:pPr>
        <w:jc w:val="right"/>
        <w:ind w:right="559"/>
        <w:spacing w:after="0" w:line="198" w:lineRule="auto"/>
        <w:rPr>
          <w:sz w:val="20"/>
          <w:szCs w:val="20"/>
          <w:color w:val="auto"/>
        </w:rPr>
      </w:pPr>
      <w:r>
        <w:rPr>
          <w:rFonts w:ascii="Arial" w:cs="Arial" w:eastAsia="Arial" w:hAnsi="Arial"/>
          <w:sz w:val="15"/>
          <w:szCs w:val="15"/>
          <w:b w:val="1"/>
          <w:bCs w:val="1"/>
          <w:color w:val="auto"/>
        </w:rPr>
        <w:t>Registration No. 333-260195</w:t>
      </w:r>
    </w:p>
    <w:p>
      <w:pPr>
        <w:spacing w:after="0" w:line="1" w:lineRule="exact"/>
        <w:rPr>
          <w:sz w:val="24"/>
          <w:szCs w:val="24"/>
          <w:color w:val="auto"/>
        </w:rPr>
      </w:pPr>
    </w:p>
    <w:p>
      <w:pPr>
        <w:jc w:val="right"/>
        <w:ind w:right="559"/>
        <w:spacing w:after="0"/>
        <w:rPr>
          <w:sz w:val="20"/>
          <w:szCs w:val="20"/>
          <w:color w:val="auto"/>
        </w:rPr>
      </w:pPr>
      <w:r>
        <w:rPr>
          <w:rFonts w:ascii="Arial" w:cs="Arial" w:eastAsia="Arial" w:hAnsi="Arial"/>
          <w:sz w:val="15"/>
          <w:szCs w:val="15"/>
          <w:b w:val="1"/>
          <w:bCs w:val="1"/>
          <w:color w:val="auto"/>
        </w:rPr>
        <w:t>Registration No. 333-260262</w:t>
      </w:r>
    </w:p>
    <w:p>
      <w:pPr>
        <w:spacing w:after="0" w:line="16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74295</wp:posOffset>
            </wp:positionV>
            <wp:extent cx="5036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23"/>
          <w:szCs w:val="23"/>
          <w:color w:val="auto"/>
        </w:rPr>
        <w:t>8,500,000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1953260</wp:posOffset>
            </wp:positionH>
            <wp:positionV relativeFrom="paragraph">
              <wp:posOffset>57150</wp:posOffset>
            </wp:positionV>
            <wp:extent cx="1814195" cy="230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4195" cy="23050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6"/>
          <w:szCs w:val="26"/>
          <w:color w:val="auto"/>
        </w:rPr>
        <w:t>Sun Country Airlines Holdings, Inc.</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23"/>
          <w:szCs w:val="23"/>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50165</wp:posOffset>
            </wp:positionV>
            <wp:extent cx="50368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125" w:lineRule="exact"/>
        <w:rPr>
          <w:sz w:val="24"/>
          <w:szCs w:val="24"/>
          <w:color w:val="auto"/>
        </w:rPr>
      </w:pPr>
    </w:p>
    <w:p>
      <w:pPr>
        <w:jc w:val="both"/>
        <w:ind w:left="540" w:right="559"/>
        <w:spacing w:after="0" w:line="220" w:lineRule="auto"/>
        <w:rPr>
          <w:sz w:val="20"/>
          <w:szCs w:val="20"/>
          <w:color w:val="auto"/>
        </w:rPr>
      </w:pPr>
      <w:r>
        <w:rPr>
          <w:rFonts w:ascii="Arial" w:cs="Arial" w:eastAsia="Arial" w:hAnsi="Arial"/>
          <w:sz w:val="15"/>
          <w:szCs w:val="15"/>
          <w:color w:val="auto"/>
        </w:rPr>
        <w:t>The selling stockholders identified in this prospectus are selling 8,500,000 shares of common stock of Sun Country Airlines Holdings, Inc., a Delaware corporation. In addition, the selling stockholders have granted the underwriters an option to purchase up to an additional 1,275,000 shares of common stock. We are not selling any shares of our common stock, and we will not receive any of the proceeds from the sale of shares of our common stock offered by the selling stockholders.</w:t>
      </w:r>
    </w:p>
    <w:p>
      <w:pPr>
        <w:spacing w:after="0" w:line="19" w:lineRule="exact"/>
        <w:rPr>
          <w:sz w:val="24"/>
          <w:szCs w:val="24"/>
          <w:color w:val="auto"/>
        </w:rPr>
      </w:pPr>
    </w:p>
    <w:p>
      <w:pPr>
        <w:jc w:val="both"/>
        <w:ind w:left="540" w:right="559"/>
        <w:spacing w:after="0" w:line="239" w:lineRule="auto"/>
        <w:rPr>
          <w:sz w:val="20"/>
          <w:szCs w:val="20"/>
          <w:color w:val="auto"/>
        </w:rPr>
      </w:pPr>
      <w:r>
        <w:rPr>
          <w:rFonts w:ascii="Arial" w:cs="Arial" w:eastAsia="Arial" w:hAnsi="Arial"/>
          <w:sz w:val="15"/>
          <w:szCs w:val="15"/>
          <w:color w:val="auto"/>
        </w:rPr>
        <w:t>Our common stock is listed on the Nasdaq Global Select Market (</w:t>
      </w:r>
      <w:r>
        <w:rPr>
          <w:rFonts w:ascii="Arial" w:cs="Arial" w:eastAsia="Arial" w:hAnsi="Arial"/>
          <w:sz w:val="15"/>
          <w:szCs w:val="15"/>
          <w:i w:val="1"/>
          <w:iCs w:val="1"/>
          <w:color w:val="auto"/>
        </w:rPr>
        <w:t>“</w:t>
      </w:r>
      <w:r>
        <w:rPr>
          <w:rFonts w:ascii="Arial" w:cs="Arial" w:eastAsia="Arial" w:hAnsi="Arial"/>
          <w:sz w:val="15"/>
          <w:szCs w:val="15"/>
          <w:color w:val="auto"/>
        </w:rPr>
        <w:t>Nasdaq</w:t>
      </w:r>
      <w:r>
        <w:rPr>
          <w:rFonts w:ascii="Arial" w:cs="Arial" w:eastAsia="Arial" w:hAnsi="Arial"/>
          <w:sz w:val="15"/>
          <w:szCs w:val="15"/>
          <w:i w:val="1"/>
          <w:iCs w:val="1"/>
          <w:color w:val="auto"/>
        </w:rPr>
        <w:t>”</w:t>
      </w:r>
      <w:r>
        <w:rPr>
          <w:rFonts w:ascii="Arial" w:cs="Arial" w:eastAsia="Arial" w:hAnsi="Arial"/>
          <w:sz w:val="15"/>
          <w:szCs w:val="15"/>
          <w:color w:val="auto"/>
        </w:rPr>
        <w:t xml:space="preserve">) under the symbol </w:t>
      </w:r>
      <w:r>
        <w:rPr>
          <w:rFonts w:ascii="Arial" w:cs="Arial" w:eastAsia="Arial" w:hAnsi="Arial"/>
          <w:sz w:val="15"/>
          <w:szCs w:val="15"/>
          <w:i w:val="1"/>
          <w:iCs w:val="1"/>
          <w:color w:val="auto"/>
        </w:rPr>
        <w:t>“</w:t>
      </w:r>
      <w:r>
        <w:rPr>
          <w:rFonts w:ascii="Arial" w:cs="Arial" w:eastAsia="Arial" w:hAnsi="Arial"/>
          <w:sz w:val="15"/>
          <w:szCs w:val="15"/>
          <w:color w:val="auto"/>
        </w:rPr>
        <w:t>SNCY.</w:t>
      </w:r>
      <w:r>
        <w:rPr>
          <w:rFonts w:ascii="Arial" w:cs="Arial" w:eastAsia="Arial" w:hAnsi="Arial"/>
          <w:sz w:val="15"/>
          <w:szCs w:val="15"/>
          <w:i w:val="1"/>
          <w:iCs w:val="1"/>
          <w:color w:val="auto"/>
        </w:rPr>
        <w:t>”</w:t>
      </w:r>
      <w:r>
        <w:rPr>
          <w:rFonts w:ascii="Arial" w:cs="Arial" w:eastAsia="Arial" w:hAnsi="Arial"/>
          <w:sz w:val="15"/>
          <w:szCs w:val="15"/>
          <w:color w:val="auto"/>
        </w:rPr>
        <w:t xml:space="preserve"> The last reported sale price of our common stock on October 11, 2021 was $34.24 per share.</w:t>
      </w:r>
    </w:p>
    <w:p>
      <w:pPr>
        <w:spacing w:after="0" w:line="44" w:lineRule="exact"/>
        <w:rPr>
          <w:sz w:val="24"/>
          <w:szCs w:val="24"/>
          <w:color w:val="auto"/>
        </w:rPr>
      </w:pPr>
    </w:p>
    <w:p>
      <w:pPr>
        <w:jc w:val="both"/>
        <w:ind w:left="540" w:right="559"/>
        <w:spacing w:after="0" w:line="217" w:lineRule="auto"/>
        <w:rPr>
          <w:sz w:val="20"/>
          <w:szCs w:val="20"/>
          <w:color w:val="auto"/>
        </w:rPr>
      </w:pPr>
      <w:r>
        <w:rPr>
          <w:rFonts w:ascii="Arial" w:cs="Arial" w:eastAsia="Arial" w:hAnsi="Arial"/>
          <w:sz w:val="15"/>
          <w:szCs w:val="15"/>
          <w:color w:val="auto"/>
        </w:rPr>
        <w:t xml:space="preserve">SCA Horus Holdings, LLC (the "Apollo Stockholder"), which is an affiliate of certain investment funds managed by affiliates of Apollo Global Management, Inc., is currently our majority stockholder and is a selling stockholder in this offering. Following the completion of this offering, the Apollo Stockholder will no longer own a majority of the voting power of our outstanding common stock. As a result, we will no longer be a </w:t>
      </w:r>
      <w:r>
        <w:rPr>
          <w:rFonts w:ascii="Arial" w:cs="Arial" w:eastAsia="Arial" w:hAnsi="Arial"/>
          <w:sz w:val="15"/>
          <w:szCs w:val="15"/>
          <w:i w:val="1"/>
          <w:iCs w:val="1"/>
          <w:color w:val="auto"/>
        </w:rPr>
        <w:t>“</w:t>
      </w:r>
      <w:r>
        <w:rPr>
          <w:rFonts w:ascii="Arial" w:cs="Arial" w:eastAsia="Arial" w:hAnsi="Arial"/>
          <w:sz w:val="15"/>
          <w:szCs w:val="15"/>
          <w:color w:val="auto"/>
        </w:rPr>
        <w:t>controlled company</w:t>
      </w:r>
      <w:r>
        <w:rPr>
          <w:rFonts w:ascii="Arial" w:cs="Arial" w:eastAsia="Arial" w:hAnsi="Arial"/>
          <w:sz w:val="15"/>
          <w:szCs w:val="15"/>
          <w:i w:val="1"/>
          <w:iCs w:val="1"/>
          <w:color w:val="auto"/>
        </w:rPr>
        <w:t>”</w:t>
      </w:r>
      <w:r>
        <w:rPr>
          <w:rFonts w:ascii="Arial" w:cs="Arial" w:eastAsia="Arial" w:hAnsi="Arial"/>
          <w:sz w:val="15"/>
          <w:szCs w:val="15"/>
          <w:color w:val="auto"/>
        </w:rPr>
        <w:t xml:space="preserve"> under the corporate governance rules for Nasdaq-listed companies and we will be required to comply with additional corporate governance requirements of the Nasdaq rules, subject to the applicable phase-in periods. See </w:t>
      </w:r>
      <w:r>
        <w:rPr>
          <w:rFonts w:ascii="Arial" w:cs="Arial" w:eastAsia="Arial" w:hAnsi="Arial"/>
          <w:sz w:val="15"/>
          <w:szCs w:val="15"/>
          <w:i w:val="1"/>
          <w:iCs w:val="1"/>
          <w:color w:val="auto"/>
        </w:rPr>
        <w:t>“Risk Factors—Risks Related to this Offering and</w:t>
      </w:r>
      <w:r>
        <w:rPr>
          <w:rFonts w:ascii="Arial" w:cs="Arial" w:eastAsia="Arial" w:hAnsi="Arial"/>
          <w:sz w:val="15"/>
          <w:szCs w:val="15"/>
          <w:color w:val="auto"/>
        </w:rPr>
        <w:t xml:space="preserve"> </w:t>
      </w:r>
      <w:r>
        <w:rPr>
          <w:rFonts w:ascii="Arial" w:cs="Arial" w:eastAsia="Arial" w:hAnsi="Arial"/>
          <w:sz w:val="15"/>
          <w:szCs w:val="15"/>
          <w:i w:val="1"/>
          <w:iCs w:val="1"/>
          <w:color w:val="auto"/>
        </w:rPr>
        <w:t>Ownership of our Common Stock</w:t>
      </w:r>
      <w:r>
        <w:rPr>
          <w:rFonts w:ascii="Arial" w:cs="Arial" w:eastAsia="Arial" w:hAnsi="Arial"/>
          <w:sz w:val="15"/>
          <w:szCs w:val="15"/>
          <w:color w:val="auto"/>
        </w:rPr>
        <w:t>,</w:t>
      </w:r>
      <w:r>
        <w:rPr>
          <w:rFonts w:ascii="Arial" w:cs="Arial" w:eastAsia="Arial" w:hAnsi="Arial"/>
          <w:sz w:val="15"/>
          <w:szCs w:val="15"/>
          <w:i w:val="1"/>
          <w:iCs w:val="1"/>
          <w:color w:val="auto"/>
        </w:rPr>
        <w:t xml:space="preserve">” “Management—Loss of Controlled Company Status” </w:t>
      </w:r>
      <w:r>
        <w:rPr>
          <w:rFonts w:ascii="Arial" w:cs="Arial" w:eastAsia="Arial" w:hAnsi="Arial"/>
          <w:sz w:val="15"/>
          <w:szCs w:val="15"/>
          <w:color w:val="auto"/>
        </w:rPr>
        <w:t>and</w:t>
      </w:r>
      <w:r>
        <w:rPr>
          <w:rFonts w:ascii="Arial" w:cs="Arial" w:eastAsia="Arial" w:hAnsi="Arial"/>
          <w:sz w:val="15"/>
          <w:szCs w:val="15"/>
          <w:i w:val="1"/>
          <w:iCs w:val="1"/>
          <w:color w:val="auto"/>
        </w:rPr>
        <w:t xml:space="preserve"> “Principal and Selling Stockholders</w:t>
      </w: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24" w:lineRule="exact"/>
        <w:rPr>
          <w:sz w:val="24"/>
          <w:szCs w:val="24"/>
          <w:color w:val="auto"/>
        </w:rPr>
      </w:pPr>
    </w:p>
    <w:p>
      <w:pPr>
        <w:jc w:val="both"/>
        <w:ind w:left="540" w:right="559"/>
        <w:spacing w:after="0" w:line="231" w:lineRule="auto"/>
        <w:rPr>
          <w:sz w:val="20"/>
          <w:szCs w:val="20"/>
          <w:color w:val="auto"/>
        </w:rPr>
      </w:pPr>
      <w:r>
        <w:rPr>
          <w:rFonts w:ascii="Arial" w:cs="Arial" w:eastAsia="Arial" w:hAnsi="Arial"/>
          <w:sz w:val="15"/>
          <w:szCs w:val="15"/>
          <w:color w:val="auto"/>
        </w:rPr>
        <w:t xml:space="preserve">We are an </w:t>
      </w:r>
      <w:r>
        <w:rPr>
          <w:rFonts w:ascii="Arial" w:cs="Arial" w:eastAsia="Arial" w:hAnsi="Arial"/>
          <w:sz w:val="15"/>
          <w:szCs w:val="15"/>
          <w:i w:val="1"/>
          <w:iCs w:val="1"/>
          <w:color w:val="auto"/>
        </w:rPr>
        <w:t>“</w:t>
      </w:r>
      <w:r>
        <w:rPr>
          <w:rFonts w:ascii="Arial" w:cs="Arial" w:eastAsia="Arial" w:hAnsi="Arial"/>
          <w:sz w:val="15"/>
          <w:szCs w:val="15"/>
          <w:color w:val="auto"/>
        </w:rPr>
        <w:t>emerging growth company</w:t>
      </w:r>
      <w:r>
        <w:rPr>
          <w:rFonts w:ascii="Arial" w:cs="Arial" w:eastAsia="Arial" w:hAnsi="Arial"/>
          <w:sz w:val="15"/>
          <w:szCs w:val="15"/>
          <w:i w:val="1"/>
          <w:iCs w:val="1"/>
          <w:color w:val="auto"/>
        </w:rPr>
        <w:t>”</w:t>
      </w:r>
      <w:r>
        <w:rPr>
          <w:rFonts w:ascii="Arial" w:cs="Arial" w:eastAsia="Arial" w:hAnsi="Arial"/>
          <w:sz w:val="15"/>
          <w:szCs w:val="15"/>
          <w:color w:val="auto"/>
        </w:rPr>
        <w:t xml:space="preserve"> as defined in the Jumpstart Our Business Startups Act of 2012 and are eligible for reduced public company reporting requirements. Please see </w:t>
      </w:r>
      <w:r>
        <w:rPr>
          <w:rFonts w:ascii="Arial" w:cs="Arial" w:eastAsia="Arial" w:hAnsi="Arial"/>
          <w:sz w:val="15"/>
          <w:szCs w:val="15"/>
          <w:i w:val="1"/>
          <w:iCs w:val="1"/>
          <w:color w:val="auto"/>
        </w:rPr>
        <w:t>“Prospectus Summary—Implications of Being an Emerging</w:t>
      </w:r>
      <w:r>
        <w:rPr>
          <w:rFonts w:ascii="Arial" w:cs="Arial" w:eastAsia="Arial" w:hAnsi="Arial"/>
          <w:sz w:val="15"/>
          <w:szCs w:val="15"/>
          <w:color w:val="auto"/>
        </w:rPr>
        <w:t xml:space="preserve"> </w:t>
      </w:r>
      <w:r>
        <w:rPr>
          <w:rFonts w:ascii="Arial" w:cs="Arial" w:eastAsia="Arial" w:hAnsi="Arial"/>
          <w:sz w:val="15"/>
          <w:szCs w:val="15"/>
          <w:i w:val="1"/>
          <w:iCs w:val="1"/>
          <w:color w:val="auto"/>
        </w:rPr>
        <w:t>Growth Company</w:t>
      </w: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By participating in this offering, you are representing that you are a citizen of the United States, as defined in 49 U.S.C.</w:t>
      </w:r>
    </w:p>
    <w:p>
      <w:pPr>
        <w:ind w:left="660" w:hanging="121"/>
        <w:spacing w:after="0"/>
        <w:tabs>
          <w:tab w:leader="none" w:pos="66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40102(a)(15). See </w:t>
      </w:r>
      <w:r>
        <w:rPr>
          <w:rFonts w:ascii="Arial" w:cs="Arial" w:eastAsia="Arial" w:hAnsi="Arial"/>
          <w:sz w:val="15"/>
          <w:szCs w:val="15"/>
          <w:i w:val="1"/>
          <w:iCs w:val="1"/>
          <w:color w:val="auto"/>
        </w:rPr>
        <w:t>“Description of Capital Stock—Limited Ownership and Voting by Foreign Owners</w:t>
      </w: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29" w:lineRule="exact"/>
        <w:rPr>
          <w:sz w:val="24"/>
          <w:szCs w:val="24"/>
          <w:color w:val="auto"/>
        </w:rPr>
      </w:pPr>
    </w:p>
    <w:p>
      <w:pPr>
        <w:ind w:left="540" w:right="559"/>
        <w:spacing w:after="0" w:line="248"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Investing in our common stock involves risks that are described in the “Risk Factors” section beginning on page </w:t>
      </w:r>
      <w:hyperlink w:anchor="page30">
        <w:r>
          <w:rPr>
            <w:rFonts w:ascii="Arial" w:cs="Arial" w:eastAsia="Arial" w:hAnsi="Arial"/>
            <w:sz w:val="16"/>
            <w:szCs w:val="16"/>
            <w:i w:val="1"/>
            <w:iCs w:val="1"/>
            <w:u w:val="single" w:color="auto"/>
            <w:color w:val="0000EE"/>
          </w:rPr>
          <w:t>24</w:t>
        </w:r>
        <w:r>
          <w:rPr>
            <w:rFonts w:ascii="Arial" w:cs="Arial" w:eastAsia="Arial" w:hAnsi="Arial"/>
            <w:sz w:val="16"/>
            <w:szCs w:val="16"/>
            <w:i w:val="1"/>
            <w:iCs w:val="1"/>
            <w:color w:val="0000EE"/>
          </w:rPr>
          <w:t xml:space="preserve"> </w:t>
        </w:r>
      </w:hyperlink>
      <w:r>
        <w:rPr>
          <w:rFonts w:ascii="Arial" w:cs="Arial" w:eastAsia="Arial" w:hAnsi="Arial"/>
          <w:sz w:val="16"/>
          <w:szCs w:val="16"/>
          <w:i w:val="1"/>
          <w:iCs w:val="1"/>
          <w:color w:val="000000"/>
        </w:rPr>
        <w:t>of</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this prospectus.</w:t>
      </w:r>
    </w:p>
    <w:p>
      <w:pPr>
        <w:spacing w:after="0" w:line="24" w:lineRule="exact"/>
        <w:rPr>
          <w:sz w:val="24"/>
          <w:szCs w:val="24"/>
          <w:color w:val="auto"/>
        </w:rPr>
      </w:pPr>
    </w:p>
    <w:tbl>
      <w:tblPr>
        <w:tblLayout w:type="fixed"/>
        <w:tblInd w:w="540" w:type="dxa"/>
        <w:tblCellMar>
          <w:top w:w="0" w:type="dxa"/>
          <w:left w:w="0" w:type="dxa"/>
          <w:bottom w:w="0" w:type="dxa"/>
          <w:right w:w="0" w:type="dxa"/>
        </w:tblCellMar>
      </w:tblPr>
      <w:tr>
        <w:trPr>
          <w:trHeight w:val="159"/>
        </w:trPr>
        <w:tc>
          <w:tcPr>
            <w:tcW w:w="700" w:type="dxa"/>
            <w:vAlign w:val="bottom"/>
            <w:tcBorders>
              <w:bottom w:val="single" w:sz="8" w:color="CCEEFF"/>
            </w:tcBorders>
          </w:tcPr>
          <w:p>
            <w:pPr>
              <w:spacing w:after="0"/>
              <w:rPr>
                <w:sz w:val="13"/>
                <w:szCs w:val="13"/>
                <w:color w:val="auto"/>
              </w:rPr>
            </w:pPr>
          </w:p>
        </w:tc>
        <w:tc>
          <w:tcPr>
            <w:tcW w:w="54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Per Share</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Total</w:t>
            </w:r>
          </w:p>
        </w:tc>
      </w:tr>
      <w:tr>
        <w:trPr>
          <w:trHeight w:val="205"/>
        </w:trPr>
        <w:tc>
          <w:tcPr>
            <w:tcW w:w="6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276,250,000</w:t>
            </w:r>
          </w:p>
        </w:tc>
      </w:tr>
      <w:tr>
        <w:trPr>
          <w:trHeight w:val="231"/>
        </w:trPr>
        <w:tc>
          <w:tcPr>
            <w:tcW w:w="6100" w:type="dxa"/>
            <w:vAlign w:val="bottom"/>
            <w:gridSpan w:val="2"/>
          </w:tcPr>
          <w:p>
            <w:pPr>
              <w:spacing w:after="0"/>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19"/>
                <w:szCs w:val="1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1.21875</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10,359,375</w:t>
            </w:r>
          </w:p>
        </w:tc>
      </w:tr>
      <w:tr>
        <w:trPr>
          <w:trHeight w:val="209"/>
        </w:trPr>
        <w:tc>
          <w:tcPr>
            <w:tcW w:w="6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Proceeds, before expenses, to the selling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31.28125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265,890,625</w:t>
            </w:r>
          </w:p>
        </w:tc>
      </w:tr>
      <w:tr>
        <w:trPr>
          <w:trHeight w:val="187"/>
        </w:trPr>
        <w:tc>
          <w:tcPr>
            <w:tcW w:w="700" w:type="dxa"/>
            <w:vAlign w:val="bottom"/>
            <w:tcBorders>
              <w:bottom w:val="single" w:sz="8" w:color="auto"/>
            </w:tcBorders>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-543560</wp:posOffset>
            </wp:positionV>
            <wp:extent cx="44437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08" w:lineRule="exact"/>
        <w:rPr>
          <w:sz w:val="24"/>
          <w:szCs w:val="24"/>
          <w:color w:val="auto"/>
        </w:rPr>
      </w:pPr>
    </w:p>
    <w:p>
      <w:pPr>
        <w:ind w:left="840" w:right="559" w:hanging="301"/>
        <w:spacing w:after="0" w:line="269" w:lineRule="auto"/>
        <w:tabs>
          <w:tab w:leader="none" w:pos="840"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See </w:t>
      </w:r>
      <w:r>
        <w:rPr>
          <w:rFonts w:ascii="Arial" w:cs="Arial" w:eastAsia="Arial" w:hAnsi="Arial"/>
          <w:sz w:val="15"/>
          <w:szCs w:val="15"/>
          <w:i w:val="1"/>
          <w:iCs w:val="1"/>
          <w:color w:val="auto"/>
        </w:rPr>
        <w:t>“Underwriting (Conflict of Interest)”</w:t>
      </w:r>
      <w:r>
        <w:rPr>
          <w:rFonts w:ascii="Arial" w:cs="Arial" w:eastAsia="Arial" w:hAnsi="Arial"/>
          <w:sz w:val="15"/>
          <w:szCs w:val="15"/>
          <w:color w:val="auto"/>
        </w:rPr>
        <w:t xml:space="preserve"> for additional information regarding the underwriters’ compensation and reimbursement of expenses.</w:t>
      </w:r>
    </w:p>
    <w:p>
      <w:pPr>
        <w:spacing w:after="0" w:line="23" w:lineRule="exact"/>
        <w:rPr>
          <w:sz w:val="24"/>
          <w:szCs w:val="24"/>
          <w:color w:val="auto"/>
        </w:rPr>
      </w:pPr>
    </w:p>
    <w:p>
      <w:pPr>
        <w:jc w:val="both"/>
        <w:ind w:left="540" w:right="559"/>
        <w:spacing w:after="0" w:line="224" w:lineRule="auto"/>
        <w:rPr>
          <w:sz w:val="20"/>
          <w:szCs w:val="20"/>
          <w:color w:val="auto"/>
        </w:rPr>
      </w:pPr>
      <w:r>
        <w:rPr>
          <w:rFonts w:ascii="Arial" w:cs="Arial" w:eastAsia="Arial" w:hAnsi="Arial"/>
          <w:sz w:val="15"/>
          <w:szCs w:val="15"/>
          <w:color w:val="auto"/>
        </w:rPr>
        <w:t>The underwriters may also exercise their option to purchase up to an additional 1,275,000 shares from the selling stockholders at the public offering price, less underwriting discounts and commissions, for 30 days after the date of this prospectus.</w:t>
      </w:r>
    </w:p>
    <w:p>
      <w:pPr>
        <w:spacing w:after="0" w:line="44" w:lineRule="exact"/>
        <w:rPr>
          <w:sz w:val="24"/>
          <w:szCs w:val="24"/>
          <w:color w:val="auto"/>
        </w:rPr>
      </w:pPr>
    </w:p>
    <w:p>
      <w:pPr>
        <w:jc w:val="both"/>
        <w:ind w:left="540" w:right="559"/>
        <w:spacing w:after="0" w:line="224" w:lineRule="auto"/>
        <w:rPr>
          <w:sz w:val="20"/>
          <w:szCs w:val="20"/>
          <w:color w:val="auto"/>
        </w:rPr>
      </w:pPr>
      <w:r>
        <w:rPr>
          <w:rFonts w:ascii="Arial" w:cs="Arial" w:eastAsia="Arial" w:hAnsi="Arial"/>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3" w:lineRule="exact"/>
        <w:rPr>
          <w:sz w:val="24"/>
          <w:szCs w:val="24"/>
          <w:color w:val="auto"/>
        </w:rPr>
      </w:pPr>
    </w:p>
    <w:p>
      <w:pPr>
        <w:ind w:left="540"/>
        <w:spacing w:after="0"/>
        <w:rPr>
          <w:sz w:val="20"/>
          <w:szCs w:val="20"/>
          <w:color w:val="auto"/>
        </w:rPr>
      </w:pPr>
      <w:r>
        <w:rPr>
          <w:rFonts w:ascii="Arial" w:cs="Arial" w:eastAsia="Arial" w:hAnsi="Arial"/>
          <w:sz w:val="15"/>
          <w:szCs w:val="15"/>
          <w:color w:val="auto"/>
        </w:rPr>
        <w:t>The underwriters expect to deliver the shares of common stock against payment on or about October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44450</wp:posOffset>
            </wp:positionV>
            <wp:extent cx="50368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97" w:lineRule="exact"/>
        <w:rPr>
          <w:sz w:val="24"/>
          <w:szCs w:val="24"/>
          <w:color w:val="auto"/>
        </w:rPr>
      </w:pPr>
    </w:p>
    <w:p>
      <w:pPr>
        <w:ind w:left="3860"/>
        <w:spacing w:after="0"/>
        <w:rPr>
          <w:sz w:val="20"/>
          <w:szCs w:val="20"/>
          <w:color w:val="auto"/>
        </w:rPr>
      </w:pPr>
      <w:r>
        <w:rPr>
          <w:rFonts w:ascii="Arial" w:cs="Arial" w:eastAsia="Arial" w:hAnsi="Arial"/>
          <w:sz w:val="15"/>
          <w:szCs w:val="15"/>
          <w:b w:val="1"/>
          <w:bCs w:val="1"/>
          <w:i w:val="1"/>
          <w:iCs w:val="1"/>
          <w:color w:val="auto"/>
        </w:rPr>
        <w:t>Joint Bookrunners</w:t>
      </w:r>
    </w:p>
    <w:p>
      <w:pPr>
        <w:sectPr>
          <w:pgSz w:w="11900" w:h="16838" w:orient="portrait"/>
          <w:cols w:equalWidth="0" w:num="1">
            <w:col w:w="9019"/>
          </w:cols>
          <w:pgMar w:left="1440" w:top="220" w:right="1440" w:bottom="1440" w:gutter="0" w:footer="0" w:header="0"/>
        </w:sectPr>
      </w:pPr>
    </w:p>
    <w:p>
      <w:pPr>
        <w:spacing w:after="0" w:line="22" w:lineRule="exact"/>
        <w:rPr>
          <w:sz w:val="24"/>
          <w:szCs w:val="24"/>
          <w:color w:val="auto"/>
        </w:rPr>
      </w:pPr>
    </w:p>
    <w:p>
      <w:pPr>
        <w:ind w:left="540"/>
        <w:spacing w:after="0"/>
        <w:rPr>
          <w:sz w:val="20"/>
          <w:szCs w:val="20"/>
          <w:color w:val="auto"/>
        </w:rPr>
      </w:pPr>
      <w:r>
        <w:rPr>
          <w:rFonts w:ascii="Arial" w:cs="Arial" w:eastAsia="Arial" w:hAnsi="Arial"/>
          <w:sz w:val="26"/>
          <w:szCs w:val="26"/>
          <w:b w:val="1"/>
          <w:bCs w:val="1"/>
          <w:color w:val="auto"/>
        </w:rPr>
        <w:t>Barclays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26"/>
          <w:szCs w:val="26"/>
          <w:b w:val="1"/>
          <w:bCs w:val="1"/>
          <w:color w:val="auto"/>
        </w:rPr>
        <w:t>Morgan Stanley</w:t>
      </w:r>
    </w:p>
    <w:p>
      <w:pPr>
        <w:spacing w:after="0" w:line="37" w:lineRule="exact"/>
        <w:rPr>
          <w:sz w:val="24"/>
          <w:szCs w:val="24"/>
          <w:color w:val="auto"/>
        </w:rPr>
      </w:pPr>
    </w:p>
    <w:p>
      <w:pPr>
        <w:sectPr>
          <w:pgSz w:w="11900" w:h="16838" w:orient="portrait"/>
          <w:cols w:equalWidth="0" w:num="2">
            <w:col w:w="5780" w:space="720"/>
            <w:col w:w="2519"/>
          </w:cols>
          <w:pgMar w:left="1440" w:top="220" w:right="1440" w:bottom="1440" w:gutter="0" w:footer="0" w:header="0"/>
          <w:type w:val="continuous"/>
        </w:sectPr>
      </w:pPr>
    </w:p>
    <w:p>
      <w:pPr>
        <w:spacing w:after="0" w:line="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Deutsche Bank Securities  Evercore ISI</w:t>
      </w:r>
    </w:p>
    <w:p>
      <w:pPr>
        <w:spacing w:after="0" w:line="35" w:lineRule="exact"/>
        <w:rPr>
          <w:sz w:val="24"/>
          <w:szCs w:val="24"/>
          <w:color w:val="auto"/>
        </w:rPr>
      </w:pPr>
    </w:p>
    <w:p>
      <w:pPr>
        <w:ind w:left="3580"/>
        <w:spacing w:after="0"/>
        <w:rPr>
          <w:sz w:val="20"/>
          <w:szCs w:val="20"/>
          <w:color w:val="auto"/>
        </w:rPr>
      </w:pPr>
      <w:r>
        <w:rPr>
          <w:rFonts w:ascii="Arial" w:cs="Arial" w:eastAsia="Arial" w:hAnsi="Arial"/>
          <w:sz w:val="15"/>
          <w:szCs w:val="15"/>
          <w:b w:val="1"/>
          <w:bCs w:val="1"/>
          <w:i w:val="1"/>
          <w:iCs w:val="1"/>
          <w:color w:val="auto"/>
        </w:rPr>
        <w:t>Co-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3"/>
          <w:szCs w:val="23"/>
          <w:b w:val="1"/>
          <w:bCs w:val="1"/>
          <w:color w:val="auto"/>
        </w:rPr>
        <w:t>Goldman Sachs &amp; Co. LLC</w:t>
      </w:r>
    </w:p>
    <w:p>
      <w:pPr>
        <w:ind w:left="2280"/>
        <w:spacing w:after="0"/>
        <w:rPr>
          <w:sz w:val="20"/>
          <w:szCs w:val="20"/>
          <w:color w:val="auto"/>
        </w:rPr>
      </w:pPr>
      <w:r>
        <w:rPr>
          <w:rFonts w:ascii="Arial" w:cs="Arial" w:eastAsia="Arial" w:hAnsi="Arial"/>
          <w:sz w:val="23"/>
          <w:szCs w:val="23"/>
          <w:b w:val="1"/>
          <w:bCs w:val="1"/>
          <w:color w:val="auto"/>
        </w:rPr>
        <w:t>Nomura</w:t>
      </w:r>
    </w:p>
    <w:p>
      <w:pPr>
        <w:spacing w:after="0" w:line="1" w:lineRule="exact"/>
        <w:rPr>
          <w:sz w:val="24"/>
          <w:szCs w:val="24"/>
          <w:color w:val="auto"/>
        </w:rPr>
      </w:pPr>
    </w:p>
    <w:p>
      <w:pPr>
        <w:sectPr>
          <w:pgSz w:w="11900" w:h="16838" w:orient="portrait"/>
          <w:cols w:equalWidth="0" w:num="2">
            <w:col w:w="5140" w:space="160"/>
            <w:col w:w="3719"/>
          </w:cols>
          <w:pgMar w:left="1440" w:top="220" w:right="1440" w:bottom="1440" w:gutter="0" w:footer="0" w:header="0"/>
          <w:type w:val="continuous"/>
        </w:sectPr>
      </w:pPr>
    </w:p>
    <w:p>
      <w:pPr>
        <w:ind w:left="540"/>
        <w:spacing w:after="0" w:line="225" w:lineRule="auto"/>
        <w:tabs>
          <w:tab w:leader="none" w:pos="2880" w:val="left"/>
          <w:tab w:leader="none" w:pos="4860" w:val="left"/>
        </w:tabs>
        <w:rPr>
          <w:sz w:val="20"/>
          <w:szCs w:val="20"/>
          <w:color w:val="auto"/>
        </w:rPr>
      </w:pPr>
      <w:r>
        <w:rPr>
          <w:rFonts w:ascii="Arial" w:cs="Arial" w:eastAsia="Arial" w:hAnsi="Arial"/>
          <w:sz w:val="18"/>
          <w:szCs w:val="18"/>
          <w:b w:val="1"/>
          <w:bCs w:val="1"/>
          <w:color w:val="auto"/>
        </w:rPr>
        <w:t>Apollo Global Securities</w:t>
      </w:r>
      <w:r>
        <w:rPr>
          <w:sz w:val="20"/>
          <w:szCs w:val="20"/>
          <w:color w:val="auto"/>
        </w:rPr>
        <w:tab/>
      </w:r>
      <w:r>
        <w:rPr>
          <w:rFonts w:ascii="Arial" w:cs="Arial" w:eastAsia="Arial" w:hAnsi="Arial"/>
          <w:sz w:val="18"/>
          <w:szCs w:val="18"/>
          <w:b w:val="1"/>
          <w:bCs w:val="1"/>
          <w:color w:val="auto"/>
        </w:rPr>
        <w:t>AmeriVet Securities</w:t>
      </w:r>
      <w:r>
        <w:rPr>
          <w:sz w:val="20"/>
          <w:szCs w:val="20"/>
          <w:color w:val="auto"/>
        </w:rPr>
        <w:tab/>
      </w:r>
      <w:r>
        <w:rPr>
          <w:rFonts w:ascii="Arial" w:cs="Arial" w:eastAsia="Arial" w:hAnsi="Arial"/>
          <w:sz w:val="16"/>
          <w:szCs w:val="16"/>
          <w:b w:val="1"/>
          <w:bCs w:val="1"/>
          <w:color w:val="auto"/>
        </w:rPr>
        <w:t>Siebert Williams Shank</w:t>
      </w:r>
    </w:p>
    <w:p>
      <w:pPr>
        <w:spacing w:after="0" w:line="1" w:lineRule="exact"/>
        <w:rPr>
          <w:sz w:val="24"/>
          <w:szCs w:val="24"/>
          <w:color w:val="auto"/>
        </w:rPr>
      </w:pPr>
    </w:p>
    <w:p>
      <w:pPr>
        <w:jc w:val="right"/>
        <w:ind w:right="559"/>
        <w:spacing w:after="0"/>
        <w:rPr>
          <w:sz w:val="20"/>
          <w:szCs w:val="20"/>
          <w:color w:val="auto"/>
        </w:rPr>
      </w:pPr>
      <w:r>
        <w:rPr>
          <w:rFonts w:ascii="Arial" w:cs="Arial" w:eastAsia="Arial" w:hAnsi="Arial"/>
          <w:sz w:val="18"/>
          <w:szCs w:val="18"/>
          <w:b w:val="1"/>
          <w:bCs w:val="1"/>
          <w:color w:val="auto"/>
        </w:rPr>
        <w:t>Tribal Capital Markets</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Prospectus dated October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77470</wp:posOffset>
            </wp:positionH>
            <wp:positionV relativeFrom="paragraph">
              <wp:posOffset>185420</wp:posOffset>
            </wp:positionV>
            <wp:extent cx="556450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type w:val="continuous"/>
        </w:sectPr>
      </w:pPr>
    </w:p>
    <w:bookmarkStart w:id="1" w:name="page2"/>
    <w:bookmarkEnd w:id="1"/>
    <w:p>
      <w:pPr>
        <w:ind w:left="14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433070</wp:posOffset>
            </wp:positionV>
            <wp:extent cx="5564505" cy="6005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4505" cy="600519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 w:name="page3"/>
    <w:bookmarkEnd w:id="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For investors outside the United States: none of us, the selling stockholders 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42"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11"/>
          </w:tcPr>
          <w:p>
            <w:pPr>
              <w:ind w:left="160"/>
              <w:spacing w:after="0"/>
              <w:rPr>
                <w:sz w:val="20"/>
                <w:szCs w:val="20"/>
                <w:color w:val="auto"/>
              </w:rPr>
            </w:pPr>
            <w:r>
              <w:rPr>
                <w:rFonts w:ascii="Arial" w:cs="Arial" w:eastAsia="Arial" w:hAnsi="Arial"/>
                <w:sz w:val="15"/>
                <w:szCs w:val="15"/>
                <w:b w:val="1"/>
                <w:bCs w:val="1"/>
                <w:color w:val="auto"/>
              </w:rPr>
              <w:t>TABLE OF CONTENTS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4"/>
        </w:trPr>
        <w:tc>
          <w:tcPr>
            <w:tcW w:w="1760" w:type="dxa"/>
            <w:vAlign w:val="bottom"/>
            <w:tcBorders>
              <w:bottom w:val="single" w:sz="8" w:color="0000EE"/>
            </w:tcBorders>
            <w:gridSpan w:val="8"/>
            <w:shd w:val="clear" w:color="auto" w:fill="CCEEFF"/>
          </w:tcPr>
          <w:p>
            <w:pPr>
              <w:spacing w:after="0" w:line="132" w:lineRule="exact"/>
              <w:rPr>
                <w:rFonts w:ascii="Arial" w:cs="Arial" w:eastAsia="Arial" w:hAnsi="Arial"/>
                <w:sz w:val="15"/>
                <w:szCs w:val="15"/>
                <w:color w:val="0000EE"/>
                <w:w w:val="94"/>
              </w:rPr>
            </w:pPr>
            <w:hyperlink w:anchor="page7">
              <w:r>
                <w:rPr>
                  <w:rFonts w:ascii="Arial" w:cs="Arial" w:eastAsia="Arial" w:hAnsi="Arial"/>
                  <w:sz w:val="15"/>
                  <w:szCs w:val="15"/>
                  <w:color w:val="0000EE"/>
                  <w:w w:val="94"/>
                </w:rPr>
                <w:t>PROSPECTUS SUMMARY</w:t>
              </w:r>
            </w:hyperlink>
          </w:p>
        </w:tc>
        <w:tc>
          <w:tcPr>
            <w:tcW w:w="3860" w:type="dxa"/>
            <w:vAlign w:val="bottom"/>
            <w:tcBorders>
              <w:bottom w:val="single" w:sz="8" w:color="CCEEFF"/>
            </w:tcBorders>
            <w:gridSpan w:val="14"/>
            <w:shd w:val="clear" w:color="auto" w:fill="CCEEFF"/>
          </w:tcPr>
          <w:p>
            <w:pPr>
              <w:spacing w:after="0"/>
              <w:rPr>
                <w:sz w:val="11"/>
                <w:szCs w:val="11"/>
                <w:color w:val="auto"/>
              </w:rPr>
            </w:pPr>
          </w:p>
        </w:tc>
        <w:tc>
          <w:tcPr>
            <w:tcW w:w="920" w:type="dxa"/>
            <w:vAlign w:val="bottom"/>
            <w:tcBorders>
              <w:bottom w:val="single" w:sz="8" w:color="CCEEFF"/>
              <w:right w:val="single" w:sz="8" w:color="CCEEFF"/>
            </w:tcBorders>
            <w:shd w:val="clear" w:color="auto" w:fill="CCEEFF"/>
          </w:tcPr>
          <w:p>
            <w:pPr>
              <w:spacing w:after="0"/>
              <w:rPr>
                <w:sz w:val="11"/>
                <w:szCs w:val="11"/>
                <w:color w:val="auto"/>
              </w:rPr>
            </w:pPr>
          </w:p>
        </w:tc>
        <w:tc>
          <w:tcPr>
            <w:tcW w:w="140" w:type="dxa"/>
            <w:vAlign w:val="bottom"/>
            <w:tcBorders>
              <w:left w:val="single" w:sz="8" w:color="CCEEFF"/>
              <w:bottom w:val="single" w:sz="8" w:color="0000EE"/>
            </w:tcBorders>
            <w:shd w:val="clear" w:color="auto" w:fill="CCEEFF"/>
          </w:tcPr>
          <w:p>
            <w:pPr>
              <w:jc w:val="right"/>
              <w:spacing w:after="0" w:line="132" w:lineRule="exact"/>
              <w:rPr>
                <w:rFonts w:ascii="Arial" w:cs="Arial" w:eastAsia="Arial" w:hAnsi="Arial"/>
                <w:sz w:val="15"/>
                <w:szCs w:val="15"/>
                <w:color w:val="0000EE"/>
              </w:rPr>
            </w:pPr>
            <w:hyperlink w:anchor="page7">
              <w:r>
                <w:rPr>
                  <w:rFonts w:ascii="Arial" w:cs="Arial" w:eastAsia="Arial" w:hAnsi="Arial"/>
                  <w:sz w:val="15"/>
                  <w:szCs w:val="15"/>
                  <w:color w:val="0000EE"/>
                </w:rPr>
                <w:t>1</w:t>
              </w:r>
            </w:hyperlink>
          </w:p>
        </w:tc>
      </w:tr>
      <w:tr>
        <w:trPr>
          <w:trHeight w:val="176"/>
        </w:trPr>
        <w:tc>
          <w:tcPr>
            <w:tcW w:w="1060" w:type="dxa"/>
            <w:vAlign w:val="bottom"/>
            <w:gridSpan w:val="5"/>
          </w:tcPr>
          <w:p>
            <w:pPr>
              <w:spacing w:after="0"/>
              <w:rPr>
                <w:rFonts w:ascii="Arial" w:cs="Arial" w:eastAsia="Arial" w:hAnsi="Arial"/>
                <w:sz w:val="15"/>
                <w:szCs w:val="15"/>
                <w:color w:val="0000EE"/>
                <w:w w:val="91"/>
              </w:rPr>
            </w:pPr>
            <w:hyperlink w:anchor="page30">
              <w:r>
                <w:rPr>
                  <w:rFonts w:ascii="Arial" w:cs="Arial" w:eastAsia="Arial" w:hAnsi="Arial"/>
                  <w:sz w:val="15"/>
                  <w:szCs w:val="15"/>
                  <w:color w:val="0000EE"/>
                  <w:w w:val="91"/>
                </w:rPr>
                <w:t>RISK FACTORS</w:t>
              </w:r>
            </w:hyperlink>
          </w:p>
        </w:tc>
        <w:tc>
          <w:tcPr>
            <w:tcW w:w="4560" w:type="dxa"/>
            <w:vAlign w:val="bottom"/>
            <w:gridSpan w:val="17"/>
          </w:tcPr>
          <w:p>
            <w:pPr>
              <w:spacing w:after="0"/>
              <w:rPr>
                <w:sz w:val="15"/>
                <w:szCs w:val="15"/>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30">
              <w:r>
                <w:rPr>
                  <w:rFonts w:ascii="Arial" w:cs="Arial" w:eastAsia="Arial" w:hAnsi="Arial"/>
                  <w:sz w:val="15"/>
                  <w:szCs w:val="15"/>
                  <w:color w:val="0000EE"/>
                </w:rPr>
                <w:t>24</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2"/>
            <w:shd w:val="clear" w:color="auto" w:fill="CCEEFF"/>
          </w:tcPr>
          <w:p>
            <w:pPr>
              <w:spacing w:after="0"/>
              <w:rPr>
                <w:rFonts w:ascii="Arial" w:cs="Arial" w:eastAsia="Arial" w:hAnsi="Arial"/>
                <w:sz w:val="15"/>
                <w:szCs w:val="15"/>
                <w:color w:val="0000EE"/>
              </w:rPr>
            </w:pPr>
            <w:hyperlink w:anchor="page67">
              <w:r>
                <w:rPr>
                  <w:rFonts w:ascii="Arial" w:cs="Arial" w:eastAsia="Arial" w:hAnsi="Arial"/>
                  <w:sz w:val="15"/>
                  <w:szCs w:val="15"/>
                  <w:color w:val="0000EE"/>
                </w:rPr>
                <w:t>CAUTIONARY NOTE REGARDING FORWARD-LOOKING STATEMENTS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67">
              <w:r>
                <w:rPr>
                  <w:rFonts w:ascii="Arial" w:cs="Arial" w:eastAsia="Arial" w:hAnsi="Arial"/>
                  <w:sz w:val="15"/>
                  <w:szCs w:val="15"/>
                  <w:color w:val="0000EE"/>
                </w:rPr>
                <w:t>61</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1340" w:type="dxa"/>
            <w:vAlign w:val="bottom"/>
            <w:gridSpan w:val="7"/>
          </w:tcPr>
          <w:p>
            <w:pPr>
              <w:spacing w:after="0"/>
              <w:rPr>
                <w:rFonts w:ascii="Arial" w:cs="Arial" w:eastAsia="Arial" w:hAnsi="Arial"/>
                <w:sz w:val="15"/>
                <w:szCs w:val="15"/>
                <w:color w:val="0000EE"/>
                <w:w w:val="91"/>
              </w:rPr>
            </w:pPr>
            <w:hyperlink w:anchor="page69">
              <w:r>
                <w:rPr>
                  <w:rFonts w:ascii="Arial" w:cs="Arial" w:eastAsia="Arial" w:hAnsi="Arial"/>
                  <w:sz w:val="15"/>
                  <w:szCs w:val="15"/>
                  <w:color w:val="0000EE"/>
                  <w:w w:val="91"/>
                </w:rPr>
                <w:t>USE OF PROCEEDS</w:t>
              </w:r>
            </w:hyperlink>
          </w:p>
        </w:tc>
        <w:tc>
          <w:tcPr>
            <w:tcW w:w="3520" w:type="dxa"/>
            <w:vAlign w:val="bottom"/>
            <w:gridSpan w:val="14"/>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69">
              <w:r>
                <w:rPr>
                  <w:rFonts w:ascii="Arial" w:cs="Arial" w:eastAsia="Arial" w:hAnsi="Arial"/>
                  <w:sz w:val="15"/>
                  <w:szCs w:val="15"/>
                  <w:color w:val="0000EE"/>
                </w:rPr>
                <w:t>63</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340" w:type="dxa"/>
            <w:vAlign w:val="bottom"/>
            <w:gridSpan w:val="19"/>
            <w:shd w:val="clear" w:color="auto" w:fill="CCEEFF"/>
          </w:tcPr>
          <w:p>
            <w:pPr>
              <w:spacing w:after="0"/>
              <w:rPr>
                <w:rFonts w:ascii="Arial" w:cs="Arial" w:eastAsia="Arial" w:hAnsi="Arial"/>
                <w:sz w:val="15"/>
                <w:szCs w:val="15"/>
                <w:color w:val="0000EE"/>
                <w:w w:val="98"/>
              </w:rPr>
            </w:pPr>
            <w:hyperlink w:anchor="page70">
              <w:r>
                <w:rPr>
                  <w:rFonts w:ascii="Arial" w:cs="Arial" w:eastAsia="Arial" w:hAnsi="Arial"/>
                  <w:sz w:val="15"/>
                  <w:szCs w:val="15"/>
                  <w:color w:val="0000EE"/>
                  <w:w w:val="98"/>
                </w:rPr>
                <w:t>MARKET PRICE OF COMMON STOCK AND DIVIDEND POLICY</w:t>
              </w:r>
            </w:hyperlink>
          </w:p>
        </w:tc>
        <w:tc>
          <w:tcPr>
            <w:tcW w:w="1280" w:type="dxa"/>
            <w:vAlign w:val="bottom"/>
            <w:gridSpan w:val="3"/>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70">
              <w:r>
                <w:rPr>
                  <w:rFonts w:ascii="Arial" w:cs="Arial" w:eastAsia="Arial" w:hAnsi="Arial"/>
                  <w:sz w:val="15"/>
                  <w:szCs w:val="15"/>
                  <w:color w:val="0000EE"/>
                </w:rPr>
                <w:t>64</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4340" w:type="dxa"/>
            <w:vAlign w:val="bottom"/>
            <w:gridSpan w:val="19"/>
          </w:tcPr>
          <w:p>
            <w:pPr>
              <w:spacing w:after="0"/>
              <w:rPr>
                <w:rFonts w:ascii="Arial" w:cs="Arial" w:eastAsia="Arial" w:hAnsi="Arial"/>
                <w:sz w:val="15"/>
                <w:szCs w:val="15"/>
                <w:color w:val="0000EE"/>
              </w:rPr>
            </w:pPr>
            <w:hyperlink w:anchor="page71">
              <w:r>
                <w:rPr>
                  <w:rFonts w:ascii="Arial" w:cs="Arial" w:eastAsia="Arial" w:hAnsi="Arial"/>
                  <w:sz w:val="15"/>
                  <w:szCs w:val="15"/>
                  <w:color w:val="0000EE"/>
                </w:rPr>
                <w:t>CAPITALIZATION</w:t>
              </w:r>
            </w:hyperlink>
          </w:p>
        </w:tc>
        <w:tc>
          <w:tcPr>
            <w:tcW w:w="1280" w:type="dxa"/>
            <w:vAlign w:val="bottom"/>
            <w:gridSpan w:val="3"/>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71">
              <w:r>
                <w:rPr>
                  <w:rFonts w:ascii="Arial" w:cs="Arial" w:eastAsia="Arial" w:hAnsi="Arial"/>
                  <w:sz w:val="15"/>
                  <w:szCs w:val="15"/>
                  <w:color w:val="0000EE"/>
                </w:rPr>
                <w:t>65</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180" w:type="dxa"/>
            <w:vAlign w:val="bottom"/>
            <w:gridSpan w:val="18"/>
            <w:shd w:val="clear" w:color="auto" w:fill="CCEEFF"/>
          </w:tcPr>
          <w:p>
            <w:pPr>
              <w:spacing w:after="0"/>
              <w:rPr>
                <w:rFonts w:ascii="Arial" w:cs="Arial" w:eastAsia="Arial" w:hAnsi="Arial"/>
                <w:sz w:val="15"/>
                <w:szCs w:val="15"/>
                <w:color w:val="0000EE"/>
                <w:w w:val="98"/>
              </w:rPr>
            </w:pPr>
            <w:hyperlink w:anchor="page72">
              <w:r>
                <w:rPr>
                  <w:rFonts w:ascii="Arial" w:cs="Arial" w:eastAsia="Arial" w:hAnsi="Arial"/>
                  <w:sz w:val="15"/>
                  <w:szCs w:val="15"/>
                  <w:color w:val="0000EE"/>
                  <w:w w:val="98"/>
                </w:rPr>
                <w:t>SELECTED HISTORICAL CONSOLIDATED FINANCIAL DATA</w:t>
              </w:r>
            </w:hyperlink>
          </w:p>
        </w:tc>
        <w:tc>
          <w:tcPr>
            <w:tcW w:w="1440" w:type="dxa"/>
            <w:vAlign w:val="bottom"/>
            <w:gridSpan w:val="4"/>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72">
              <w:r>
                <w:rPr>
                  <w:rFonts w:ascii="Arial" w:cs="Arial" w:eastAsia="Arial" w:hAnsi="Arial"/>
                  <w:sz w:val="15"/>
                  <w:szCs w:val="15"/>
                  <w:color w:val="0000EE"/>
                </w:rPr>
                <w:t>66</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76"/>
        </w:trPr>
        <w:tc>
          <w:tcPr>
            <w:tcW w:w="5620" w:type="dxa"/>
            <w:vAlign w:val="bottom"/>
            <w:tcBorders>
              <w:bottom w:val="single" w:sz="8" w:color="0000EE"/>
            </w:tcBorders>
            <w:gridSpan w:val="22"/>
          </w:tcPr>
          <w:p>
            <w:pPr>
              <w:spacing w:after="0"/>
              <w:rPr>
                <w:rFonts w:ascii="Arial" w:cs="Arial" w:eastAsia="Arial" w:hAnsi="Arial"/>
                <w:sz w:val="15"/>
                <w:szCs w:val="15"/>
                <w:color w:val="0000EE"/>
                <w:w w:val="99"/>
              </w:rPr>
            </w:pPr>
            <w:hyperlink w:anchor="page75">
              <w:r>
                <w:rPr>
                  <w:rFonts w:ascii="Arial" w:cs="Arial" w:eastAsia="Arial" w:hAnsi="Arial"/>
                  <w:sz w:val="15"/>
                  <w:szCs w:val="15"/>
                  <w:color w:val="0000EE"/>
                  <w:w w:val="99"/>
                </w:rPr>
                <w:t>MANAGEMENT’S DISCUSSION AND ANALYSIS OF FINANCIAL CONDITION AND</w:t>
              </w:r>
            </w:hyperlink>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5620" w:type="dxa"/>
            <w:vAlign w:val="bottom"/>
            <w:gridSpan w:val="22"/>
          </w:tcPr>
          <w:p>
            <w:pPr>
              <w:ind w:left="160"/>
              <w:spacing w:after="0" w:line="156" w:lineRule="exact"/>
              <w:rPr>
                <w:rFonts w:ascii="Arial" w:cs="Arial" w:eastAsia="Arial" w:hAnsi="Arial"/>
                <w:sz w:val="15"/>
                <w:szCs w:val="15"/>
                <w:color w:val="0000EE"/>
              </w:rPr>
            </w:pPr>
            <w:hyperlink w:anchor="page75">
              <w:r>
                <w:rPr>
                  <w:rFonts w:ascii="Arial" w:cs="Arial" w:eastAsia="Arial" w:hAnsi="Arial"/>
                  <w:sz w:val="15"/>
                  <w:szCs w:val="15"/>
                  <w:color w:val="0000EE"/>
                </w:rPr>
                <w:t>RESULTS OF OPERATIONS</w:t>
              </w:r>
            </w:hyperlink>
          </w:p>
        </w:tc>
        <w:tc>
          <w:tcPr>
            <w:tcW w:w="1060" w:type="dxa"/>
            <w:vAlign w:val="bottom"/>
            <w:gridSpan w:val="2"/>
          </w:tcPr>
          <w:p>
            <w:pPr>
              <w:jc w:val="right"/>
              <w:spacing w:after="0" w:line="156" w:lineRule="exact"/>
              <w:rPr>
                <w:rFonts w:ascii="Arial" w:cs="Arial" w:eastAsia="Arial" w:hAnsi="Arial"/>
                <w:sz w:val="15"/>
                <w:szCs w:val="15"/>
                <w:color w:val="0000EE"/>
              </w:rPr>
            </w:pPr>
            <w:hyperlink w:anchor="page75">
              <w:r>
                <w:rPr>
                  <w:rFonts w:ascii="Arial" w:cs="Arial" w:eastAsia="Arial" w:hAnsi="Arial"/>
                  <w:sz w:val="15"/>
                  <w:szCs w:val="15"/>
                  <w:color w:val="0000EE"/>
                </w:rPr>
                <w:t>69</w:t>
              </w:r>
            </w:hyperlink>
          </w:p>
        </w:tc>
      </w:tr>
      <w:tr>
        <w:trPr>
          <w:trHeight w:val="24"/>
        </w:trPr>
        <w:tc>
          <w:tcPr>
            <w:tcW w:w="16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r>
      <w:tr>
        <w:trPr>
          <w:trHeight w:val="200"/>
        </w:trPr>
        <w:tc>
          <w:tcPr>
            <w:tcW w:w="760" w:type="dxa"/>
            <w:vAlign w:val="bottom"/>
            <w:tcBorders>
              <w:bottom w:val="single" w:sz="8" w:color="0000EE"/>
            </w:tcBorders>
            <w:gridSpan w:val="4"/>
            <w:shd w:val="clear" w:color="auto" w:fill="CCEEFF"/>
          </w:tcPr>
          <w:p>
            <w:pPr>
              <w:spacing w:after="0"/>
              <w:rPr>
                <w:rFonts w:ascii="Arial" w:cs="Arial" w:eastAsia="Arial" w:hAnsi="Arial"/>
                <w:sz w:val="15"/>
                <w:szCs w:val="15"/>
                <w:color w:val="0000EE"/>
                <w:w w:val="96"/>
              </w:rPr>
            </w:pPr>
            <w:hyperlink w:anchor="page118">
              <w:r>
                <w:rPr>
                  <w:rFonts w:ascii="Arial" w:cs="Arial" w:eastAsia="Arial" w:hAnsi="Arial"/>
                  <w:sz w:val="15"/>
                  <w:szCs w:val="15"/>
                  <w:color w:val="0000EE"/>
                  <w:w w:val="96"/>
                </w:rPr>
                <w:t>INDUSTRY</w:t>
              </w:r>
            </w:hyperlink>
          </w:p>
        </w:tc>
        <w:tc>
          <w:tcPr>
            <w:tcW w:w="4860" w:type="dxa"/>
            <w:vAlign w:val="bottom"/>
            <w:tcBorders>
              <w:bottom w:val="single" w:sz="8" w:color="CCEEFF"/>
            </w:tcBorders>
            <w:gridSpan w:val="18"/>
            <w:shd w:val="clear" w:color="auto" w:fill="CCEEFF"/>
          </w:tcPr>
          <w:p>
            <w:pPr>
              <w:spacing w:after="0"/>
              <w:rPr>
                <w:sz w:val="17"/>
                <w:szCs w:val="17"/>
                <w:color w:val="auto"/>
              </w:rPr>
            </w:pPr>
          </w:p>
        </w:tc>
        <w:tc>
          <w:tcPr>
            <w:tcW w:w="9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left w:val="single" w:sz="8" w:color="CCEEFF"/>
              <w:bottom w:val="single" w:sz="8" w:color="0000EE"/>
            </w:tcBorders>
            <w:shd w:val="clear" w:color="auto" w:fill="CCEEFF"/>
          </w:tcPr>
          <w:p>
            <w:pPr>
              <w:jc w:val="right"/>
              <w:spacing w:after="0"/>
              <w:rPr>
                <w:rFonts w:ascii="Arial" w:cs="Arial" w:eastAsia="Arial" w:hAnsi="Arial"/>
                <w:sz w:val="10"/>
                <w:szCs w:val="10"/>
                <w:color w:val="0000EE"/>
                <w:w w:val="71"/>
              </w:rPr>
            </w:pPr>
            <w:hyperlink w:anchor="page118">
              <w:r>
                <w:rPr>
                  <w:rFonts w:ascii="Arial" w:cs="Arial" w:eastAsia="Arial" w:hAnsi="Arial"/>
                  <w:sz w:val="10"/>
                  <w:szCs w:val="10"/>
                  <w:color w:val="0000EE"/>
                  <w:w w:val="71"/>
                </w:rPr>
                <w:t>112</w:t>
              </w:r>
            </w:hyperlink>
          </w:p>
        </w:tc>
      </w:tr>
      <w:tr>
        <w:trPr>
          <w:trHeight w:val="193"/>
        </w:trPr>
        <w:tc>
          <w:tcPr>
            <w:tcW w:w="720" w:type="dxa"/>
            <w:vAlign w:val="bottom"/>
            <w:tcBorders>
              <w:bottom w:val="single" w:sz="8" w:color="0000EE"/>
            </w:tcBorders>
            <w:gridSpan w:val="3"/>
          </w:tcPr>
          <w:p>
            <w:pPr>
              <w:spacing w:after="0"/>
              <w:rPr>
                <w:rFonts w:ascii="Arial" w:cs="Arial" w:eastAsia="Arial" w:hAnsi="Arial"/>
                <w:sz w:val="15"/>
                <w:szCs w:val="15"/>
                <w:color w:val="0000EE"/>
                <w:w w:val="92"/>
              </w:rPr>
            </w:pPr>
            <w:hyperlink w:anchor="page122">
              <w:r>
                <w:rPr>
                  <w:rFonts w:ascii="Arial" w:cs="Arial" w:eastAsia="Arial" w:hAnsi="Arial"/>
                  <w:sz w:val="15"/>
                  <w:szCs w:val="15"/>
                  <w:color w:val="0000EE"/>
                  <w:w w:val="92"/>
                </w:rPr>
                <w:t>BUSINESS</w:t>
              </w:r>
            </w:hyperlink>
          </w:p>
        </w:tc>
        <w:tc>
          <w:tcPr>
            <w:tcW w:w="4900" w:type="dxa"/>
            <w:vAlign w:val="bottom"/>
            <w:gridSpan w:val="19"/>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0"/>
                <w:szCs w:val="10"/>
                <w:color w:val="0000EE"/>
                <w:w w:val="71"/>
              </w:rPr>
            </w:pPr>
            <w:hyperlink w:anchor="page122">
              <w:r>
                <w:rPr>
                  <w:rFonts w:ascii="Arial" w:cs="Arial" w:eastAsia="Arial" w:hAnsi="Arial"/>
                  <w:sz w:val="10"/>
                  <w:szCs w:val="10"/>
                  <w:color w:val="0000EE"/>
                  <w:w w:val="71"/>
                </w:rPr>
                <w:t>116</w:t>
              </w:r>
            </w:hyperlink>
          </w:p>
        </w:tc>
      </w:tr>
      <w:tr>
        <w:trPr>
          <w:trHeight w:val="193"/>
        </w:trPr>
        <w:tc>
          <w:tcPr>
            <w:tcW w:w="1060" w:type="dxa"/>
            <w:vAlign w:val="bottom"/>
            <w:gridSpan w:val="5"/>
            <w:shd w:val="clear" w:color="auto" w:fill="CCEEFF"/>
          </w:tcPr>
          <w:p>
            <w:pPr>
              <w:spacing w:after="0"/>
              <w:rPr>
                <w:rFonts w:ascii="Arial" w:cs="Arial" w:eastAsia="Arial" w:hAnsi="Arial"/>
                <w:sz w:val="15"/>
                <w:szCs w:val="15"/>
                <w:color w:val="0000EE"/>
                <w:w w:val="94"/>
              </w:rPr>
            </w:pPr>
            <w:hyperlink w:anchor="page143">
              <w:r>
                <w:rPr>
                  <w:rFonts w:ascii="Arial" w:cs="Arial" w:eastAsia="Arial" w:hAnsi="Arial"/>
                  <w:sz w:val="15"/>
                  <w:szCs w:val="15"/>
                  <w:color w:val="0000EE"/>
                  <w:w w:val="94"/>
                </w:rPr>
                <w:t>MANAGEMENT</w:t>
              </w:r>
            </w:hyperlink>
          </w:p>
        </w:tc>
        <w:tc>
          <w:tcPr>
            <w:tcW w:w="4560" w:type="dxa"/>
            <w:vAlign w:val="bottom"/>
            <w:tcBorders>
              <w:left w:val="single" w:sz="8" w:color="CCEEFF"/>
            </w:tcBorders>
            <w:gridSpan w:val="17"/>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43">
              <w:r>
                <w:rPr>
                  <w:rFonts w:ascii="Arial" w:cs="Arial" w:eastAsia="Arial" w:hAnsi="Arial"/>
                  <w:sz w:val="15"/>
                  <w:szCs w:val="15"/>
                  <w:color w:val="0000EE"/>
                </w:rPr>
                <w:t>137</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060" w:type="dxa"/>
            <w:vAlign w:val="bottom"/>
            <w:gridSpan w:val="10"/>
          </w:tcPr>
          <w:p>
            <w:pPr>
              <w:spacing w:after="0"/>
              <w:rPr>
                <w:rFonts w:ascii="Arial" w:cs="Arial" w:eastAsia="Arial" w:hAnsi="Arial"/>
                <w:sz w:val="15"/>
                <w:szCs w:val="15"/>
                <w:color w:val="0000EE"/>
                <w:w w:val="96"/>
              </w:rPr>
            </w:pPr>
            <w:hyperlink w:anchor="page151">
              <w:r>
                <w:rPr>
                  <w:rFonts w:ascii="Arial" w:cs="Arial" w:eastAsia="Arial" w:hAnsi="Arial"/>
                  <w:sz w:val="15"/>
                  <w:szCs w:val="15"/>
                  <w:color w:val="0000EE"/>
                  <w:w w:val="96"/>
                </w:rPr>
                <w:t>EXECUTIVE COMPENSATION</w:t>
              </w:r>
            </w:hyperlink>
          </w:p>
        </w:tc>
        <w:tc>
          <w:tcPr>
            <w:tcW w:w="3560" w:type="dxa"/>
            <w:vAlign w:val="bottom"/>
            <w:gridSpan w:val="12"/>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51">
              <w:r>
                <w:rPr>
                  <w:rFonts w:ascii="Arial" w:cs="Arial" w:eastAsia="Arial" w:hAnsi="Arial"/>
                  <w:sz w:val="15"/>
                  <w:szCs w:val="15"/>
                  <w:color w:val="0000EE"/>
                </w:rPr>
                <w:t>145</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2"/>
            <w:shd w:val="clear" w:color="auto" w:fill="CCEEFF"/>
          </w:tcPr>
          <w:p>
            <w:pPr>
              <w:spacing w:after="0"/>
              <w:rPr>
                <w:rFonts w:ascii="Arial" w:cs="Arial" w:eastAsia="Arial" w:hAnsi="Arial"/>
                <w:sz w:val="15"/>
                <w:szCs w:val="15"/>
                <w:color w:val="0000EE"/>
              </w:rPr>
            </w:pPr>
            <w:hyperlink w:anchor="page162">
              <w:r>
                <w:rPr>
                  <w:rFonts w:ascii="Arial" w:cs="Arial" w:eastAsia="Arial" w:hAnsi="Arial"/>
                  <w:sz w:val="15"/>
                  <w:szCs w:val="15"/>
                  <w:color w:val="0000EE"/>
                </w:rPr>
                <w:t>CERTAIN RELATIONSHIPS AND RELATED PARTY TRANSACTIONS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62">
              <w:r>
                <w:rPr>
                  <w:rFonts w:ascii="Arial" w:cs="Arial" w:eastAsia="Arial" w:hAnsi="Arial"/>
                  <w:sz w:val="15"/>
                  <w:szCs w:val="15"/>
                  <w:color w:val="0000EE"/>
                </w:rPr>
                <w:t>156</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040" w:type="dxa"/>
            <w:vAlign w:val="bottom"/>
            <w:gridSpan w:val="14"/>
          </w:tcPr>
          <w:p>
            <w:pPr>
              <w:spacing w:after="0"/>
              <w:rPr>
                <w:rFonts w:ascii="Arial" w:cs="Arial" w:eastAsia="Arial" w:hAnsi="Arial"/>
                <w:sz w:val="15"/>
                <w:szCs w:val="15"/>
                <w:color w:val="0000EE"/>
                <w:w w:val="97"/>
              </w:rPr>
            </w:pPr>
            <w:hyperlink w:anchor="page168">
              <w:r>
                <w:rPr>
                  <w:rFonts w:ascii="Arial" w:cs="Arial" w:eastAsia="Arial" w:hAnsi="Arial"/>
                  <w:sz w:val="15"/>
                  <w:szCs w:val="15"/>
                  <w:color w:val="0000EE"/>
                  <w:w w:val="97"/>
                </w:rPr>
                <w:t>PRINCIPAL AND SELLING STOCKHOLDERS</w:t>
              </w:r>
            </w:hyperlink>
          </w:p>
        </w:tc>
        <w:tc>
          <w:tcPr>
            <w:tcW w:w="1560" w:type="dxa"/>
            <w:vAlign w:val="bottom"/>
            <w:gridSpan w:val="6"/>
          </w:tcPr>
          <w:p>
            <w:pPr>
              <w:spacing w:after="0"/>
              <w:rPr>
                <w:sz w:val="16"/>
                <w:szCs w:val="16"/>
                <w:color w:val="auto"/>
              </w:rPr>
            </w:pPr>
          </w:p>
        </w:tc>
        <w:tc>
          <w:tcPr>
            <w:tcW w:w="1020" w:type="dxa"/>
            <w:vAlign w:val="bottom"/>
            <w:gridSpan w:val="2"/>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68">
              <w:r>
                <w:rPr>
                  <w:rFonts w:ascii="Arial" w:cs="Arial" w:eastAsia="Arial" w:hAnsi="Arial"/>
                  <w:sz w:val="15"/>
                  <w:szCs w:val="15"/>
                  <w:color w:val="0000EE"/>
                </w:rPr>
                <w:t>162</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2420" w:type="dxa"/>
            <w:vAlign w:val="bottom"/>
            <w:gridSpan w:val="11"/>
            <w:shd w:val="clear" w:color="auto" w:fill="CCEEFF"/>
          </w:tcPr>
          <w:p>
            <w:pPr>
              <w:spacing w:after="0"/>
              <w:rPr>
                <w:rFonts w:ascii="Arial" w:cs="Arial" w:eastAsia="Arial" w:hAnsi="Arial"/>
                <w:sz w:val="15"/>
                <w:szCs w:val="15"/>
                <w:color w:val="0000EE"/>
                <w:w w:val="95"/>
              </w:rPr>
            </w:pPr>
            <w:hyperlink w:anchor="page170">
              <w:r>
                <w:rPr>
                  <w:rFonts w:ascii="Arial" w:cs="Arial" w:eastAsia="Arial" w:hAnsi="Arial"/>
                  <w:sz w:val="15"/>
                  <w:szCs w:val="15"/>
                  <w:color w:val="0000EE"/>
                  <w:w w:val="95"/>
                </w:rPr>
                <w:t>DESCRIPTION OF CAPITAL STOCK</w:t>
              </w:r>
            </w:hyperlink>
          </w:p>
        </w:tc>
        <w:tc>
          <w:tcPr>
            <w:tcW w:w="620" w:type="dxa"/>
            <w:vAlign w:val="bottom"/>
            <w:gridSpan w:val="3"/>
            <w:shd w:val="clear" w:color="auto" w:fill="CCEEFF"/>
          </w:tcPr>
          <w:p>
            <w:pPr>
              <w:spacing w:after="0"/>
              <w:rPr>
                <w:sz w:val="16"/>
                <w:szCs w:val="16"/>
                <w:color w:val="auto"/>
              </w:rPr>
            </w:pPr>
          </w:p>
        </w:tc>
        <w:tc>
          <w:tcPr>
            <w:tcW w:w="2580" w:type="dxa"/>
            <w:vAlign w:val="bottom"/>
            <w:gridSpan w:val="8"/>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70">
              <w:r>
                <w:rPr>
                  <w:rFonts w:ascii="Arial" w:cs="Arial" w:eastAsia="Arial" w:hAnsi="Arial"/>
                  <w:sz w:val="15"/>
                  <w:szCs w:val="15"/>
                  <w:color w:val="0000EE"/>
                </w:rPr>
                <w:t>164</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680" w:type="dxa"/>
            <w:vAlign w:val="bottom"/>
            <w:gridSpan w:val="13"/>
          </w:tcPr>
          <w:p>
            <w:pPr>
              <w:spacing w:after="0"/>
              <w:rPr>
                <w:rFonts w:ascii="Arial" w:cs="Arial" w:eastAsia="Arial" w:hAnsi="Arial"/>
                <w:sz w:val="15"/>
                <w:szCs w:val="15"/>
                <w:color w:val="0000EE"/>
                <w:w w:val="96"/>
              </w:rPr>
            </w:pPr>
            <w:hyperlink w:anchor="page179">
              <w:r>
                <w:rPr>
                  <w:rFonts w:ascii="Arial" w:cs="Arial" w:eastAsia="Arial" w:hAnsi="Arial"/>
                  <w:sz w:val="15"/>
                  <w:szCs w:val="15"/>
                  <w:color w:val="0000EE"/>
                  <w:w w:val="96"/>
                </w:rPr>
                <w:t>SHARES ELIGIBLE FOR FUTURE SALE</w:t>
              </w:r>
            </w:hyperlink>
          </w:p>
        </w:tc>
        <w:tc>
          <w:tcPr>
            <w:tcW w:w="2940" w:type="dxa"/>
            <w:vAlign w:val="bottom"/>
            <w:gridSpan w:val="9"/>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79">
              <w:r>
                <w:rPr>
                  <w:rFonts w:ascii="Arial" w:cs="Arial" w:eastAsia="Arial" w:hAnsi="Arial"/>
                  <w:sz w:val="15"/>
                  <w:szCs w:val="15"/>
                  <w:color w:val="0000EE"/>
                </w:rPr>
                <w:t>173</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2"/>
            <w:shd w:val="clear" w:color="auto" w:fill="CCEEFF"/>
          </w:tcPr>
          <w:p>
            <w:pPr>
              <w:spacing w:after="0"/>
              <w:rPr>
                <w:rFonts w:ascii="Arial" w:cs="Arial" w:eastAsia="Arial" w:hAnsi="Arial"/>
                <w:sz w:val="15"/>
                <w:szCs w:val="15"/>
                <w:color w:val="0000EE"/>
              </w:rPr>
            </w:pPr>
            <w:hyperlink w:anchor="page181">
              <w:r>
                <w:rPr>
                  <w:rFonts w:ascii="Arial" w:cs="Arial" w:eastAsia="Arial" w:hAnsi="Arial"/>
                  <w:sz w:val="15"/>
                  <w:szCs w:val="15"/>
                  <w:color w:val="0000EE"/>
                </w:rPr>
                <w:t>MATERIAL U.S. FEDERAL INCOME TAX CONSIDERATIONS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81">
              <w:r>
                <w:rPr>
                  <w:rFonts w:ascii="Arial" w:cs="Arial" w:eastAsia="Arial" w:hAnsi="Arial"/>
                  <w:sz w:val="15"/>
                  <w:szCs w:val="15"/>
                  <w:color w:val="0000EE"/>
                </w:rPr>
                <w:t>175</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040" w:type="dxa"/>
            <w:vAlign w:val="bottom"/>
            <w:gridSpan w:val="14"/>
          </w:tcPr>
          <w:p>
            <w:pPr>
              <w:spacing w:after="0"/>
              <w:rPr>
                <w:rFonts w:ascii="Arial" w:cs="Arial" w:eastAsia="Arial" w:hAnsi="Arial"/>
                <w:sz w:val="15"/>
                <w:szCs w:val="15"/>
                <w:color w:val="0000EE"/>
                <w:w w:val="97"/>
              </w:rPr>
            </w:pPr>
            <w:hyperlink w:anchor="page185">
              <w:r>
                <w:rPr>
                  <w:rFonts w:ascii="Arial" w:cs="Arial" w:eastAsia="Arial" w:hAnsi="Arial"/>
                  <w:sz w:val="15"/>
                  <w:szCs w:val="15"/>
                  <w:color w:val="0000EE"/>
                  <w:w w:val="97"/>
                </w:rPr>
                <w:t>UNDERWRITING (CONFLICT OF INTEREST)</w:t>
              </w:r>
            </w:hyperlink>
          </w:p>
        </w:tc>
        <w:tc>
          <w:tcPr>
            <w:tcW w:w="1060" w:type="dxa"/>
            <w:vAlign w:val="bottom"/>
            <w:gridSpan w:val="3"/>
          </w:tcPr>
          <w:p>
            <w:pPr>
              <w:spacing w:after="0"/>
              <w:rPr>
                <w:sz w:val="16"/>
                <w:szCs w:val="16"/>
                <w:color w:val="auto"/>
              </w:rPr>
            </w:pPr>
          </w:p>
        </w:tc>
        <w:tc>
          <w:tcPr>
            <w:tcW w:w="1520" w:type="dxa"/>
            <w:vAlign w:val="bottom"/>
            <w:gridSpan w:val="5"/>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85">
              <w:r>
                <w:rPr>
                  <w:rFonts w:ascii="Arial" w:cs="Arial" w:eastAsia="Arial" w:hAnsi="Arial"/>
                  <w:sz w:val="15"/>
                  <w:szCs w:val="15"/>
                  <w:color w:val="0000EE"/>
                </w:rPr>
                <w:t>179</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040" w:type="dxa"/>
            <w:vAlign w:val="bottom"/>
            <w:gridSpan w:val="14"/>
            <w:shd w:val="clear" w:color="auto" w:fill="CCEEFF"/>
          </w:tcPr>
          <w:p>
            <w:pPr>
              <w:spacing w:after="0"/>
              <w:rPr>
                <w:rFonts w:ascii="Arial" w:cs="Arial" w:eastAsia="Arial" w:hAnsi="Arial"/>
                <w:sz w:val="15"/>
                <w:szCs w:val="15"/>
                <w:color w:val="0000EE"/>
              </w:rPr>
            </w:pPr>
            <w:hyperlink w:anchor="page192">
              <w:r>
                <w:rPr>
                  <w:rFonts w:ascii="Arial" w:cs="Arial" w:eastAsia="Arial" w:hAnsi="Arial"/>
                  <w:sz w:val="15"/>
                  <w:szCs w:val="15"/>
                  <w:color w:val="0000EE"/>
                </w:rPr>
                <w:t>LEGAL MATTERS</w:t>
              </w:r>
            </w:hyperlink>
          </w:p>
        </w:tc>
        <w:tc>
          <w:tcPr>
            <w:tcW w:w="2580" w:type="dxa"/>
            <w:vAlign w:val="bottom"/>
            <w:gridSpan w:val="8"/>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92">
              <w:r>
                <w:rPr>
                  <w:rFonts w:ascii="Arial" w:cs="Arial" w:eastAsia="Arial" w:hAnsi="Arial"/>
                  <w:sz w:val="15"/>
                  <w:szCs w:val="15"/>
                  <w:color w:val="0000EE"/>
                </w:rPr>
                <w:t>186</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660" w:type="dxa"/>
            <w:vAlign w:val="bottom"/>
            <w:gridSpan w:val="2"/>
          </w:tcPr>
          <w:p>
            <w:pPr>
              <w:spacing w:after="0"/>
              <w:rPr>
                <w:rFonts w:ascii="Arial" w:cs="Arial" w:eastAsia="Arial" w:hAnsi="Arial"/>
                <w:sz w:val="15"/>
                <w:szCs w:val="15"/>
                <w:color w:val="0000EE"/>
                <w:w w:val="91"/>
              </w:rPr>
            </w:pPr>
            <w:hyperlink w:anchor="page193">
              <w:r>
                <w:rPr>
                  <w:rFonts w:ascii="Arial" w:cs="Arial" w:eastAsia="Arial" w:hAnsi="Arial"/>
                  <w:sz w:val="15"/>
                  <w:szCs w:val="15"/>
                  <w:color w:val="0000EE"/>
                  <w:w w:val="91"/>
                </w:rPr>
                <w:t>EXPERTS</w:t>
              </w:r>
            </w:hyperlink>
          </w:p>
        </w:tc>
        <w:tc>
          <w:tcPr>
            <w:tcW w:w="560" w:type="dxa"/>
            <w:vAlign w:val="bottom"/>
            <w:gridSpan w:val="4"/>
          </w:tcPr>
          <w:p>
            <w:pPr>
              <w:spacing w:after="0"/>
              <w:rPr>
                <w:sz w:val="16"/>
                <w:szCs w:val="16"/>
                <w:color w:val="auto"/>
              </w:rPr>
            </w:pPr>
          </w:p>
        </w:tc>
        <w:tc>
          <w:tcPr>
            <w:tcW w:w="4400" w:type="dxa"/>
            <w:vAlign w:val="bottom"/>
            <w:gridSpan w:val="16"/>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93">
              <w:r>
                <w:rPr>
                  <w:rFonts w:ascii="Arial" w:cs="Arial" w:eastAsia="Arial" w:hAnsi="Arial"/>
                  <w:sz w:val="15"/>
                  <w:szCs w:val="15"/>
                  <w:color w:val="0000EE"/>
                </w:rPr>
                <w:t>187</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220" w:type="dxa"/>
            <w:vAlign w:val="bottom"/>
            <w:gridSpan w:val="15"/>
            <w:shd w:val="clear" w:color="auto" w:fill="CCEEFF"/>
          </w:tcPr>
          <w:p>
            <w:pPr>
              <w:spacing w:after="0"/>
              <w:rPr>
                <w:rFonts w:ascii="Arial" w:cs="Arial" w:eastAsia="Arial" w:hAnsi="Arial"/>
                <w:sz w:val="15"/>
                <w:szCs w:val="15"/>
                <w:color w:val="0000EE"/>
                <w:w w:val="98"/>
              </w:rPr>
            </w:pPr>
            <w:hyperlink w:anchor="page194">
              <w:r>
                <w:rPr>
                  <w:rFonts w:ascii="Arial" w:cs="Arial" w:eastAsia="Arial" w:hAnsi="Arial"/>
                  <w:sz w:val="15"/>
                  <w:szCs w:val="15"/>
                  <w:color w:val="0000EE"/>
                  <w:w w:val="98"/>
                </w:rPr>
                <w:t>WHERE YOU CAN FIND MORE INFORMATION</w:t>
              </w:r>
            </w:hyperlink>
          </w:p>
        </w:tc>
        <w:tc>
          <w:tcPr>
            <w:tcW w:w="2400" w:type="dxa"/>
            <w:vAlign w:val="bottom"/>
            <w:gridSpan w:val="7"/>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94">
              <w:r>
                <w:rPr>
                  <w:rFonts w:ascii="Arial" w:cs="Arial" w:eastAsia="Arial" w:hAnsi="Arial"/>
                  <w:sz w:val="15"/>
                  <w:szCs w:val="15"/>
                  <w:color w:val="0000EE"/>
                </w:rPr>
                <w:t>188</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5620" w:type="dxa"/>
            <w:vAlign w:val="bottom"/>
            <w:gridSpan w:val="22"/>
          </w:tcPr>
          <w:p>
            <w:pPr>
              <w:spacing w:after="0"/>
              <w:rPr>
                <w:rFonts w:ascii="Arial" w:cs="Arial" w:eastAsia="Arial" w:hAnsi="Arial"/>
                <w:sz w:val="15"/>
                <w:szCs w:val="15"/>
                <w:color w:val="0000EE"/>
              </w:rPr>
            </w:pPr>
            <w:hyperlink w:anchor="page195">
              <w:r>
                <w:rPr>
                  <w:rFonts w:ascii="Arial" w:cs="Arial" w:eastAsia="Arial" w:hAnsi="Arial"/>
                  <w:sz w:val="15"/>
                  <w:szCs w:val="15"/>
                  <w:color w:val="0000EE"/>
                </w:rPr>
                <w:t>INDEX TO CONSOLIDATED FINANCIAL STATEMENTS</w:t>
              </w:r>
            </w:hyperlink>
          </w:p>
        </w:tc>
        <w:tc>
          <w:tcPr>
            <w:tcW w:w="920" w:type="dxa"/>
            <w:vAlign w:val="bottom"/>
          </w:tcPr>
          <w:p>
            <w:pPr>
              <w:spacing w:after="0"/>
              <w:rPr>
                <w:sz w:val="16"/>
                <w:szCs w:val="16"/>
                <w:color w:val="auto"/>
              </w:rPr>
            </w:pPr>
          </w:p>
        </w:tc>
        <w:tc>
          <w:tcPr>
            <w:tcW w:w="140" w:type="dxa"/>
            <w:vAlign w:val="bottom"/>
          </w:tcPr>
          <w:p>
            <w:pPr>
              <w:jc w:val="right"/>
              <w:spacing w:after="0"/>
              <w:rPr>
                <w:rFonts w:ascii="Arial" w:cs="Arial" w:eastAsia="Arial" w:hAnsi="Arial"/>
                <w:sz w:val="10"/>
                <w:szCs w:val="10"/>
                <w:color w:val="0000EE"/>
                <w:w w:val="79"/>
              </w:rPr>
            </w:pPr>
            <w:hyperlink w:anchor="page195">
              <w:r>
                <w:rPr>
                  <w:rFonts w:ascii="Arial" w:cs="Arial" w:eastAsia="Arial" w:hAnsi="Arial"/>
                  <w:sz w:val="10"/>
                  <w:szCs w:val="10"/>
                  <w:color w:val="0000EE"/>
                  <w:w w:val="79"/>
                </w:rPr>
                <w:t>F-1</w:t>
              </w:r>
            </w:hyperlink>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r>
    </w:tbl>
    <w:p>
      <w:pPr>
        <w:spacing w:after="0" w:line="132"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None of us, the selling stockholders or the underwriters have authorized any other person to provide you with any information or to make any representations other than those contained in this prospectus or in any free writing prospectuses we have prepared. We, the selling stockholders and the underwriters take no responsibility for, and can provide no assurance as to the reliability of, any other information that others may provide you. The stockholders are offering to sell, and seeking offers to buy, shares of common stock only in jurisdictions where offers and sales are permitted. You should assume that the information appearing in this prospectus is accurate only as of the date of this prospectus, regardless of the time of delivery of this prospectus or of any sale of the common stock.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TRADEMARKS, TRADE NAMES, AND SERVICE MARKS</w:t>
      </w:r>
    </w:p>
    <w:p>
      <w:pPr>
        <w:spacing w:after="0" w:line="117"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We use various trademarks, trade names and service marks in our business, including “Sun Country,” “Sun Country Airlines,” “Sun Country Connections,” “Sun Country Rewards,” “Sun Country Vacations,” “The Hometown Airline” and “UFLY,” as well as our signature “S” logo. This prospectus contains references to our trademarks, trade names and service marks. Solely for convenience, trademarks and trade names referred to in this prospectus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INDUSTRY AND MARKET DATA</w:t>
      </w:r>
    </w:p>
    <w:p>
      <w:pPr>
        <w:spacing w:after="0" w:line="128" w:lineRule="exact"/>
        <w:rPr>
          <w:sz w:val="20"/>
          <w:szCs w:val="20"/>
          <w:color w:val="auto"/>
        </w:rPr>
      </w:pPr>
    </w:p>
    <w:p>
      <w:pPr>
        <w:ind w:left="1160" w:right="1219" w:firstLine="293"/>
        <w:spacing w:after="0" w:line="287" w:lineRule="auto"/>
        <w:rPr>
          <w:sz w:val="20"/>
          <w:szCs w:val="20"/>
          <w:color w:val="auto"/>
        </w:rPr>
      </w:pPr>
      <w:r>
        <w:rPr>
          <w:rFonts w:ascii="Arial" w:cs="Arial" w:eastAsia="Arial" w:hAnsi="Arial"/>
          <w:sz w:val="13"/>
          <w:szCs w:val="13"/>
          <w:color w:val="auto"/>
        </w:rPr>
        <w:t>We include in this prospectus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herein, our estimates involve risks and uncertainties and are subject to change based on various factors, including those discussed under the caption “</w:t>
      </w:r>
      <w:r>
        <w:rPr>
          <w:rFonts w:ascii="Arial" w:cs="Arial" w:eastAsia="Arial" w:hAnsi="Arial"/>
          <w:sz w:val="13"/>
          <w:szCs w:val="13"/>
          <w:i w:val="1"/>
          <w:iCs w:val="1"/>
          <w:color w:val="auto"/>
        </w:rPr>
        <w:t>Risk Factors</w:t>
      </w:r>
      <w:r>
        <w:rPr>
          <w:rFonts w:ascii="Arial" w:cs="Arial" w:eastAsia="Arial" w:hAnsi="Arial"/>
          <w:sz w:val="13"/>
          <w:szCs w:val="13"/>
          <w:color w:val="auto"/>
        </w:rPr>
        <w:t>” in this prospectus.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BASIS OF PRESENTATION</w:t>
      </w:r>
    </w:p>
    <w:p>
      <w:pPr>
        <w:spacing w:after="0" w:line="128"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In this prospectus, unless otherwise indicated or the context otherwise requires, references to the “Company,” the “Issuer,” “Sun Country,” “we,” “us” and “our” refer, prior to our conversion to a corporation, to SCA Acquisition Holdings, LLC and its consolidated subsidiaries and, after our conversion to a corporation, to Sun Country Airlines Holdings, Inc. and its consolidated subsidiaries. See “</w:t>
      </w:r>
      <w:r>
        <w:rPr>
          <w:rFonts w:ascii="Arial" w:cs="Arial" w:eastAsia="Arial" w:hAnsi="Arial"/>
          <w:sz w:val="15"/>
          <w:szCs w:val="15"/>
          <w:i w:val="1"/>
          <w:iCs w:val="1"/>
          <w:color w:val="auto"/>
        </w:rPr>
        <w:t>Prospectus</w:t>
      </w:r>
      <w:r>
        <w:rPr>
          <w:rFonts w:ascii="Arial" w:cs="Arial" w:eastAsia="Arial" w:hAnsi="Arial"/>
          <w:sz w:val="15"/>
          <w:szCs w:val="15"/>
          <w:color w:val="auto"/>
        </w:rPr>
        <w:t xml:space="preserve"> </w:t>
      </w:r>
      <w:r>
        <w:rPr>
          <w:rFonts w:ascii="Arial" w:cs="Arial" w:eastAsia="Arial" w:hAnsi="Arial"/>
          <w:sz w:val="15"/>
          <w:szCs w:val="15"/>
          <w:i w:val="1"/>
          <w:iCs w:val="1"/>
          <w:color w:val="auto"/>
        </w:rPr>
        <w:t>Summary—The Reorganization Transactions</w:t>
      </w:r>
      <w:r>
        <w:rPr>
          <w:rFonts w:ascii="Arial" w:cs="Arial" w:eastAsia="Arial" w:hAnsi="Arial"/>
          <w:sz w:val="15"/>
          <w:szCs w:val="15"/>
          <w:color w:val="auto"/>
        </w:rPr>
        <w:t>.”</w:t>
      </w:r>
    </w:p>
    <w:p>
      <w:pPr>
        <w:spacing w:after="0" w:line="94"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On April 11, 2018, MN Airlines, LLC (d/b/a Sun Country Airlines and now known as Sun Country, Inc.) was indirectly acquired by certain investment funds (the “Apollo Funds”) managed by affiliates of Apollo Global Management, Inc. (together with its subsidiaries, “Apollo”).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Due to the change in the basis of accounting resulting from the acquisition, the consolidated financial statements for the Predecessor and Successor periods, included elsewhere in this prospectus, are not necessarily comparable.</w:t>
      </w:r>
    </w:p>
    <w:p>
      <w:pPr>
        <w:spacing w:after="0" w:line="110" w:lineRule="exact"/>
        <w:rPr>
          <w:sz w:val="20"/>
          <w:szCs w:val="20"/>
          <w:color w:val="auto"/>
        </w:rPr>
      </w:pPr>
    </w:p>
    <w:p>
      <w:pPr>
        <w:ind w:left="1160" w:right="1219" w:firstLine="293"/>
        <w:spacing w:after="0" w:line="300" w:lineRule="auto"/>
        <w:rPr>
          <w:sz w:val="20"/>
          <w:szCs w:val="20"/>
          <w:color w:val="auto"/>
        </w:rPr>
      </w:pPr>
      <w:r>
        <w:rPr>
          <w:rFonts w:ascii="Arial" w:cs="Arial" w:eastAsia="Arial" w:hAnsi="Arial"/>
          <w:sz w:val="14"/>
          <w:szCs w:val="14"/>
          <w:color w:val="auto"/>
        </w:rPr>
        <w:t>All consolidated financial statements presented in this prospectus have been prepared in U.S. dollars in accordance with generally accepted accounting principles in the United States of America (“GAAP”).</w:t>
      </w:r>
    </w:p>
    <w:p>
      <w:pPr>
        <w:spacing w:after="0" w:line="70"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For the years ended December 31, 2019 and 2018, we were managed as a single segment that provided scheduled service and charter air transportation to passengers. In May 2020, we began providing air cargo services under the ATSA (as defined in the “</w:t>
      </w:r>
      <w:r>
        <w:rPr>
          <w:rFonts w:ascii="Arial" w:cs="Arial" w:eastAsia="Arial" w:hAnsi="Arial"/>
          <w:sz w:val="15"/>
          <w:szCs w:val="15"/>
          <w:i w:val="1"/>
          <w:iCs w:val="1"/>
          <w:color w:val="auto"/>
        </w:rPr>
        <w:t>Glossary of Terms</w:t>
      </w:r>
      <w:r>
        <w:rPr>
          <w:rFonts w:ascii="Arial" w:cs="Arial" w:eastAsia="Arial" w:hAnsi="Arial"/>
          <w:sz w:val="15"/>
          <w:szCs w:val="15"/>
          <w:color w:val="auto"/>
        </w:rPr>
        <w:t>” below) and, during the fourth quarter of 2020, we determined that we have two reportable segments: passenger and cargo. As air cargo operations commenced in May 2020, the cargo segment had no comparable operations for any other prior period presented.</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GLOSSARY OF TERMS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Set forth below is a glossary of certain terms used in this prospectus:</w:t>
      </w:r>
    </w:p>
    <w:p>
      <w:pPr>
        <w:spacing w:after="0" w:line="12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“Adjusted CASM” means CASM excluding fuel costs, costs related to our cargo operations (starting in 2020 when we launched our cargo operations), certain commissions and other costs of selling our vacations product and excluding special items, income tax receivable expenses and other adjustments, as defined for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and is principally aimed at aligning their interests with those of our stockholders and at long -term employee retention, rather than to motivate or reward operational performance for any particular period. Thus, stock-based compensation expense varies for reasons that are generally unrelated to operational decisions and performance in any particular period. When Adjusted CASM is referenced or presented for other airlines, it has been adjusted to our average stage length for the period presented.</w:t>
      </w:r>
    </w:p>
    <w:p>
      <w:pPr>
        <w:spacing w:after="0" w:line="94"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“Aircraft miles” means miles flown by all of our aircraft, measured by summing up the miles for each completed flight segment.</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“Air traffic liability” means the value of tickets sold in advance of travel.</w:t>
      </w:r>
    </w:p>
    <w:p>
      <w:pPr>
        <w:spacing w:after="0" w:line="124"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“ALPA” means the Air Line Pilots Association, the union representing our pilots. “Amazon” means Amazon.com Services, LLC, together with its affiliates.</w:t>
      </w:r>
    </w:p>
    <w:p>
      <w:pPr>
        <w:spacing w:after="0" w:line="94" w:lineRule="exact"/>
        <w:rPr>
          <w:sz w:val="20"/>
          <w:szCs w:val="20"/>
          <w:color w:val="auto"/>
        </w:rPr>
      </w:pPr>
    </w:p>
    <w:p>
      <w:pPr>
        <w:ind w:left="1160" w:right="1439" w:firstLine="293"/>
        <w:spacing w:after="0" w:line="239" w:lineRule="auto"/>
        <w:rPr>
          <w:sz w:val="20"/>
          <w:szCs w:val="20"/>
          <w:color w:val="auto"/>
        </w:rPr>
      </w:pPr>
      <w:r>
        <w:rPr>
          <w:rFonts w:ascii="Arial" w:cs="Arial" w:eastAsia="Arial" w:hAnsi="Arial"/>
          <w:sz w:val="15"/>
          <w:szCs w:val="15"/>
          <w:color w:val="auto"/>
        </w:rPr>
        <w:t>“Ancillary revenue” consists primarily of revenue generated from air travel-related services such as baggage fees, seat selection and upgrade fees, itinerary service fees, on-board sales and sales of trip insurance.</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“Ancillary services” refers to the services that generate ancillary revenue.</w:t>
      </w:r>
    </w:p>
    <w:p>
      <w:pPr>
        <w:spacing w:after="0" w:line="124"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“ATSA” means the Air Transportation Services Agreement, dated as of December 13, 2019, as amended as of June 30, 2020, by and between Sun Country, Inc. and Amazon.com Services, LLC (successor to Amazon.com Services, Inc.), as amended or modified from time to time.</w:t>
      </w:r>
    </w:p>
    <w:p>
      <w:pPr>
        <w:spacing w:after="0" w:line="10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“Available seat miles” or “ASMs” means the number of seats available for passengers multiplied by the number of miles the seats are flown.</w:t>
      </w:r>
    </w:p>
    <w:p>
      <w:pPr>
        <w:spacing w:after="0" w:line="8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“Average aircraft” means the average number of aircraft used in flight operations, as calculated on a daily basis.</w:t>
      </w:r>
    </w:p>
    <w:p>
      <w:pPr>
        <w:spacing w:after="0" w:line="9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“Average daily aircraft utilization” means block hours divided by number of days in the period divided by average aircraft.</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“Average stage length” means the average number of statute miles flown per flight segment.</w:t>
      </w:r>
    </w:p>
    <w:p>
      <w:pPr>
        <w:spacing w:after="0" w:line="113" w:lineRule="exact"/>
        <w:rPr>
          <w:sz w:val="20"/>
          <w:szCs w:val="20"/>
          <w:color w:val="auto"/>
        </w:rPr>
      </w:pPr>
    </w:p>
    <w:p>
      <w:pPr>
        <w:ind w:left="1160" w:right="1459" w:firstLine="293"/>
        <w:spacing w:after="0" w:line="300" w:lineRule="auto"/>
        <w:rPr>
          <w:sz w:val="20"/>
          <w:szCs w:val="20"/>
          <w:color w:val="auto"/>
        </w:rPr>
      </w:pPr>
      <w:r>
        <w:rPr>
          <w:rFonts w:ascii="Arial" w:cs="Arial" w:eastAsia="Arial" w:hAnsi="Arial"/>
          <w:sz w:val="14"/>
          <w:szCs w:val="14"/>
          <w:color w:val="auto"/>
        </w:rPr>
        <w:t>“Block hours” means the number of hours during which the aircraft is in revenue service, measured from the time of gate departure before take-off until the time of gate arrival at the destination.</w:t>
      </w:r>
    </w:p>
    <w:p>
      <w:pPr>
        <w:spacing w:after="0" w:line="7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“Cargo service” includes our CMI service operations under the ATSA.</w:t>
      </w:r>
    </w:p>
    <w:p>
      <w:pPr>
        <w:spacing w:after="0" w:line="124" w:lineRule="exact"/>
        <w:rPr>
          <w:sz w:val="20"/>
          <w:szCs w:val="20"/>
          <w:color w:val="auto"/>
        </w:rPr>
      </w:pPr>
    </w:p>
    <w:p>
      <w:pPr>
        <w:ind w:left="1160" w:right="1279" w:firstLine="293"/>
        <w:spacing w:after="0" w:line="300" w:lineRule="auto"/>
        <w:rPr>
          <w:sz w:val="20"/>
          <w:szCs w:val="20"/>
          <w:color w:val="auto"/>
        </w:rPr>
      </w:pPr>
      <w:r>
        <w:rPr>
          <w:rFonts w:ascii="Arial" w:cs="Arial" w:eastAsia="Arial" w:hAnsi="Arial"/>
          <w:sz w:val="14"/>
          <w:szCs w:val="14"/>
          <w:color w:val="auto"/>
        </w:rPr>
        <w:t>“CASM” or “unit costs” means operating expenses divided by total ASMs. When CASM is referenced or presented for other airlines, it has been adjusted to our average stage length for the period presented.</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“CBA” means a collective bargaining agreement.</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“CBP” means the United States Customs and Border Protection.</w:t>
      </w:r>
    </w:p>
    <w:p>
      <w:pPr>
        <w:spacing w:after="0" w:line="113"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5"/>
          <w:szCs w:val="15"/>
          <w:color w:val="auto"/>
        </w:rPr>
        <w:t>“Charter service” means flights operated for specific customers who purchase the entire flight from us and specify the origination and destination.</w:t>
      </w:r>
    </w:p>
    <w:p>
      <w:pPr>
        <w:spacing w:after="0" w:line="93" w:lineRule="exact"/>
        <w:rPr>
          <w:sz w:val="20"/>
          <w:szCs w:val="20"/>
          <w:color w:val="auto"/>
        </w:rPr>
      </w:pPr>
    </w:p>
    <w:p>
      <w:pPr>
        <w:ind w:left="1160" w:right="1559" w:firstLine="293"/>
        <w:spacing w:after="0" w:line="254" w:lineRule="auto"/>
        <w:rPr>
          <w:sz w:val="20"/>
          <w:szCs w:val="20"/>
          <w:color w:val="auto"/>
        </w:rPr>
      </w:pPr>
      <w:r>
        <w:rPr>
          <w:rFonts w:ascii="Arial" w:cs="Arial" w:eastAsia="Arial" w:hAnsi="Arial"/>
          <w:sz w:val="15"/>
          <w:szCs w:val="15"/>
          <w:color w:val="auto"/>
        </w:rPr>
        <w:t>“Citizen of the United States” means (A) an individual who is a citizen of the United States; (B) a partnership each of whose partners is an individual who is a citizen of the United States; or (C) a corporation</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35" w:lineRule="auto"/>
        <w:rPr>
          <w:sz w:val="20"/>
          <w:szCs w:val="20"/>
          <w:color w:val="auto"/>
        </w:rPr>
      </w:pPr>
      <w:r>
        <w:rPr>
          <w:rFonts w:ascii="Arial" w:cs="Arial" w:eastAsia="Arial" w:hAnsi="Arial"/>
          <w:sz w:val="15"/>
          <w:szCs w:val="15"/>
          <w:color w:val="auto"/>
        </w:rPr>
        <w:t>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89"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“Completion factor” means the percentage of scheduled flights that are completed.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“COVID-19” means the novel coronavirus (SARS-CoV-2), which was first reported in December 2019.</w:t>
      </w:r>
    </w:p>
    <w:p>
      <w:pPr>
        <w:spacing w:after="0" w:line="12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“DOT” means the United States Department of Transportation.</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“EPA” means the United States Environmental Protection Agency.</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“FAA” means the United States Federal Aviation Administration.</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“Flight cycle” means a cycle consisting of one take-off and one landing.</w:t>
      </w:r>
    </w:p>
    <w:p>
      <w:pPr>
        <w:spacing w:after="0" w:line="124" w:lineRule="exact"/>
        <w:rPr>
          <w:sz w:val="20"/>
          <w:szCs w:val="20"/>
          <w:color w:val="auto"/>
        </w:rPr>
      </w:pPr>
    </w:p>
    <w:p>
      <w:pPr>
        <w:ind w:left="1160" w:right="1519" w:firstLine="293"/>
        <w:spacing w:after="0" w:line="248" w:lineRule="auto"/>
        <w:rPr>
          <w:sz w:val="20"/>
          <w:szCs w:val="20"/>
          <w:color w:val="auto"/>
        </w:rPr>
      </w:pPr>
      <w:r>
        <w:rPr>
          <w:rFonts w:ascii="Arial" w:cs="Arial" w:eastAsia="Arial" w:hAnsi="Arial"/>
          <w:sz w:val="15"/>
          <w:szCs w:val="15"/>
          <w:color w:val="auto"/>
        </w:rPr>
        <w:t>“Freighters” include the aircraft operated under the ATSA, which are configured entirely for cargo operations.</w:t>
      </w:r>
    </w:p>
    <w:p>
      <w:pPr>
        <w:spacing w:after="0" w:line="94"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“GDS” means a Global Distribution System such as Amadeus, Sabre and Travelport, used by travel agencies and corporations to purchase tickets on participating airlines.</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“IBT” means the International Brotherhood of Teamsters, the union representing our flight attendants.</w:t>
      </w:r>
    </w:p>
    <w:p>
      <w:pPr>
        <w:spacing w:after="0" w:line="13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“LCC” means low-cost carrier and includes JetBlue Airways and Southwest Airlines.</w:t>
      </w:r>
    </w:p>
    <w:p>
      <w:pPr>
        <w:spacing w:after="0" w:line="124"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“Load factor” means the percentage of aircraft seat miles actually occupied on a flight (RPMs divided by ASMs) for scheduled service.</w:t>
      </w:r>
    </w:p>
    <w:p>
      <w:pPr>
        <w:spacing w:after="0" w:line="83"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“Mainline U.S. passenger airlines” includes us, Alaska Airlines, Allegiant Travel Company, American Airlines, Delta Air Lines, Frontier Airlines, Hawaiian Airlines, JetBlue Airways, Southwest Airlines, Spirit Airlines and United Airlines.</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“NMB” means the National Mediation Board.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“OTAs” means online travel agents.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“Passengers” means the total number of passengers flown on all flight segments.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“PRASM” means scheduled service revenue divided by ASMs for scheduled service.</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“Revenue passenger miles” or “RPMs” means the number of miles flown by passengers.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“RLA” means the United States Railway Labor Act.</w:t>
      </w:r>
    </w:p>
    <w:p>
      <w:pPr>
        <w:spacing w:after="0" w:line="124" w:lineRule="exact"/>
        <w:rPr>
          <w:sz w:val="20"/>
          <w:szCs w:val="20"/>
          <w:color w:val="auto"/>
        </w:rPr>
      </w:pPr>
    </w:p>
    <w:p>
      <w:pPr>
        <w:jc w:val="both"/>
        <w:ind w:left="1160" w:right="1259" w:firstLine="293"/>
        <w:spacing w:after="0" w:line="264" w:lineRule="auto"/>
        <w:rPr>
          <w:sz w:val="20"/>
          <w:szCs w:val="20"/>
          <w:color w:val="auto"/>
        </w:rPr>
      </w:pPr>
      <w:r>
        <w:rPr>
          <w:rFonts w:ascii="Arial" w:cs="Arial" w:eastAsia="Arial" w:hAnsi="Arial"/>
          <w:sz w:val="15"/>
          <w:szCs w:val="15"/>
          <w:color w:val="auto"/>
        </w:rPr>
        <w:t>“Scheduled service” means transportation of passengers on flights we operate in and out of airports on a schedule of routes and flight times we provide for general sale.</w:t>
      </w:r>
    </w:p>
    <w:p>
      <w:pPr>
        <w:spacing w:after="0" w:line="82"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5"/>
          <w:szCs w:val="15"/>
          <w:color w:val="auto"/>
        </w:rPr>
        <w:t>“Scheduled service revenue” consists of base fares, unused and expired passenger credits and other expired travel credits for scheduled service.</w:t>
      </w:r>
    </w:p>
    <w:p>
      <w:pPr>
        <w:spacing w:after="0" w:line="93"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“Stage-length adjustment” refers to an adjustment that can be utilized to compare CASM, PRASM and TRASM across airlines with varying stage lengths. All other things being equal, the same airline will have lower CASM, PRASM and TRASM as stage length increases since fixed and departure related costs are spread over increasingly longer average flight lengths. Therefore, as one method to facilitate comparison of these quantities across airlines (or even across the same airline for two different periods if the airline’s average stage length has changed significantly), it is common in the airline industry to settle on a common assumed</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color w:val="auto"/>
        </w:rPr>
        <w:t>stage length and then to adjust CASM, PRASM and TRASM appropriately. Stage-length adjusted comparisons are achieved by multiplying the base metric by a quotient, the numerator of which is the square root of the carrier’s stage length and the denominator of which is the square root of the common stage length. Stage-length adjustment techniques require judgment and different observers may use different techniques. For stage-length PRASM or TRASM comparisons in this prospectus, the stage length being utilized is the aircraft stage length.</w:t>
      </w:r>
    </w:p>
    <w:p>
      <w:pPr>
        <w:spacing w:after="0" w:line="9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“TRASM” or “unit revenue” means total revenue divided by total ASMs. Starting in 2020, we exclude cargo revenue from total revenue as the freighters we operate under the ATSA do not contribute to our ASMs. When TRASM is referenced or presented for other airlines, it has been adjusted to our average stage length for the period presented.</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“TSA” means the United States Transportation Security Administration.</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“TWU” means the Transport Workers Union, the union representing our dispatchers.</w:t>
      </w:r>
    </w:p>
    <w:p>
      <w:pPr>
        <w:spacing w:after="0" w:line="113"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color w:val="auto"/>
        </w:rPr>
        <w:t>“ULCC” means ultra low-cost carrier and includes Allegiant Travel Company, Frontier Airlines and Spirit Airlines.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“VFR” means visiting friends and relatives.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PROSPECTUS SUMMARY</w:t>
      </w:r>
    </w:p>
    <w:p>
      <w:pPr>
        <w:spacing w:after="0" w:line="128" w:lineRule="exact"/>
        <w:rPr>
          <w:sz w:val="20"/>
          <w:szCs w:val="20"/>
          <w:color w:val="auto"/>
        </w:rPr>
      </w:pPr>
    </w:p>
    <w:p>
      <w:pPr>
        <w:ind w:left="1180" w:right="1179" w:firstLine="293"/>
        <w:spacing w:after="0" w:line="233" w:lineRule="auto"/>
        <w:rPr>
          <w:sz w:val="20"/>
          <w:szCs w:val="20"/>
          <w:color w:val="auto"/>
        </w:rPr>
      </w:pPr>
      <w:r>
        <w:rPr>
          <w:rFonts w:ascii="Arial" w:cs="Arial" w:eastAsia="Arial" w:hAnsi="Arial"/>
          <w:sz w:val="15"/>
          <w:szCs w:val="15"/>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thereto included elsewhere in this prospectus. Some of the statements in the following summary constitute forward-looking statements. See “Cautionary Note Regarding Forward-Looking Statements.” For definitions of certain terms used in this prospectus, see “Glossary of Terms” beginning on page iii.</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ind w:left="1180" w:right="115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Unique Business Model</w:t>
      </w:r>
    </w:p>
    <w:p>
      <w:pPr>
        <w:spacing w:after="0" w:line="113"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Scheduled Service. </w:t>
      </w:r>
      <w:r>
        <w:rPr>
          <w:rFonts w:ascii="Arial" w:cs="Arial" w:eastAsia="Arial" w:hAnsi="Arial"/>
          <w:sz w:val="14"/>
          <w:szCs w:val="14"/>
          <w:color w:val="auto"/>
        </w:rPr>
        <w:t>Our scheduled service business combines low costs with a high quality product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 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one of the early beneficiaries of the industry rebound following the COVID-19 pandemic.</w:t>
      </w:r>
    </w:p>
    <w:p>
      <w:pPr>
        <w:spacing w:after="0" w:line="101" w:lineRule="exact"/>
        <w:rPr>
          <w:sz w:val="20"/>
          <w:szCs w:val="20"/>
          <w:color w:val="auto"/>
        </w:rPr>
      </w:pPr>
    </w:p>
    <w:p>
      <w:pPr>
        <w:ind w:left="1180" w:right="1199" w:firstLine="293"/>
        <w:spacing w:after="0" w:line="287" w:lineRule="auto"/>
        <w:rPr>
          <w:sz w:val="20"/>
          <w:szCs w:val="20"/>
          <w:color w:val="auto"/>
        </w:rPr>
      </w:pPr>
      <w:r>
        <w:rPr>
          <w:rFonts w:ascii="Arial" w:cs="Arial" w:eastAsia="Arial" w:hAnsi="Arial"/>
          <w:sz w:val="13"/>
          <w:szCs w:val="13"/>
          <w:b w:val="1"/>
          <w:bCs w:val="1"/>
          <w:i w:val="1"/>
          <w:iCs w:val="1"/>
          <w:color w:val="auto"/>
        </w:rPr>
        <w:t xml:space="preserve">Charter. </w:t>
      </w:r>
      <w:r>
        <w:rPr>
          <w:rFonts w:ascii="Arial" w:cs="Arial" w:eastAsia="Arial" w:hAnsi="Arial"/>
          <w:sz w:val="13"/>
          <w:szCs w:val="13"/>
          <w:color w:val="auto"/>
        </w:rPr>
        <w:t>Our charter business, which is one of the largest narrow body charter operations in the United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299"/>
        <w:spacing w:after="0" w:line="286" w:lineRule="auto"/>
        <w:rPr>
          <w:sz w:val="20"/>
          <w:szCs w:val="20"/>
          <w:color w:val="auto"/>
        </w:rPr>
      </w:pPr>
      <w:r>
        <w:rPr>
          <w:rFonts w:ascii="Arial" w:cs="Arial" w:eastAsia="Arial" w:hAnsi="Arial"/>
          <w:sz w:val="13"/>
          <w:szCs w:val="13"/>
          <w:color w:val="auto"/>
        </w:rPr>
        <w:t>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w:t>
      </w:r>
    </w:p>
    <w:p>
      <w:pPr>
        <w:spacing w:after="0" w:line="1" w:lineRule="exact"/>
        <w:rPr>
          <w:sz w:val="20"/>
          <w:szCs w:val="20"/>
          <w:color w:val="auto"/>
        </w:rPr>
      </w:pPr>
    </w:p>
    <w:p>
      <w:pPr>
        <w:ind w:left="1180" w:right="1199"/>
        <w:spacing w:after="0" w:line="264" w:lineRule="auto"/>
        <w:rPr>
          <w:sz w:val="20"/>
          <w:szCs w:val="20"/>
          <w:color w:val="auto"/>
        </w:rPr>
      </w:pPr>
      <w:r>
        <w:rPr>
          <w:rFonts w:ascii="Arial" w:cs="Arial" w:eastAsia="Arial" w:hAnsi="Arial"/>
          <w:sz w:val="14"/>
          <w:szCs w:val="14"/>
          <w:color w:val="auto"/>
        </w:rPr>
        <w:t>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 second half of 2020 and into the second quarter of 2021. In the second quarter of 2021, our charter revenues were 30.7% lower when compared to the second quarter of 2019. In comparison, combined U.S. passenger airline revenues were 39.9% lower during the second quarter of 2021 when compared to the second quarter of 2019.</w:t>
      </w:r>
    </w:p>
    <w:p>
      <w:pPr>
        <w:spacing w:after="0" w:line="86" w:lineRule="exact"/>
        <w:rPr>
          <w:sz w:val="20"/>
          <w:szCs w:val="20"/>
          <w:color w:val="auto"/>
        </w:rPr>
      </w:pPr>
    </w:p>
    <w:p>
      <w:pPr>
        <w:ind w:left="1480"/>
        <w:spacing w:after="0"/>
        <w:tabs>
          <w:tab w:leader="none" w:pos="1960" w:val="left"/>
        </w:tabs>
        <w:rPr>
          <w:sz w:val="20"/>
          <w:szCs w:val="20"/>
          <w:color w:val="auto"/>
        </w:rPr>
      </w:pPr>
      <w:r>
        <w:rPr>
          <w:rFonts w:ascii="Arial" w:cs="Arial" w:eastAsia="Arial" w:hAnsi="Arial"/>
          <w:sz w:val="15"/>
          <w:szCs w:val="15"/>
          <w:b w:val="1"/>
          <w:bCs w:val="1"/>
          <w:i w:val="1"/>
          <w:iCs w:val="1"/>
          <w:color w:val="auto"/>
        </w:rPr>
        <w:t>Cargo</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On December 13, 2019, we signed a six-year contract (with two, two-year extension options,</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for a total term of 10 years), which we refer to as the “ATSA,” with Amazon to provide air cargo</w:t>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services. Flying under the ATSA began in May 2020 and, as of the date of this prospectus, we are flying 12</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Boeing 737-800 cargo aircraft for Amazon (having been awarded two additional aircraft in October and</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November 2020 after the initial contract for 10 aircraft). Our CMI service is asset-light from a Sun Country</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perspective, as Amazon supplies the aircraft and covers many of the operating expenses, including fuel, and</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provides all cargo loading and unloading services. We are responsible for flying the aircraft under our air</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carrier certificate, crew, aircraft line maintenance and insurance, all of which allow us to leverage our</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existing operational expertise from our scheduled service and charter businesses. The ATSA has generated</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consistent, positive cash flows through the COVID-19 induced downturn. The ATSA offers potential future</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growth opportunities by establishing a long-term partnership with Amazon. Our cargo business also enables</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us to leverage certain assets, capabilities and fixed costs to enhance profitability and promote growth across</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our company. For example, we believe that by deploying pilots across each of our business lines, we</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increase the efficiency of our operations.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Transformation</w:t>
      </w:r>
    </w:p>
    <w:p>
      <w:pPr>
        <w:spacing w:after="0" w:line="124" w:lineRule="exact"/>
        <w:rPr>
          <w:sz w:val="20"/>
          <w:szCs w:val="20"/>
          <w:color w:val="auto"/>
        </w:rPr>
      </w:pPr>
    </w:p>
    <w:p>
      <w:pPr>
        <w:ind w:left="1180" w:right="1259" w:firstLine="293"/>
        <w:spacing w:after="0" w:line="254" w:lineRule="auto"/>
        <w:rPr>
          <w:sz w:val="20"/>
          <w:szCs w:val="20"/>
          <w:color w:val="auto"/>
        </w:rPr>
      </w:pPr>
      <w:r>
        <w:rPr>
          <w:rFonts w:ascii="Arial" w:cs="Arial" w:eastAsia="Arial" w:hAnsi="Arial"/>
          <w:sz w:val="15"/>
          <w:szCs w:val="15"/>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68" w:lineRule="exact"/>
        <w:rPr>
          <w:sz w:val="20"/>
          <w:szCs w:val="20"/>
          <w:color w:val="auto"/>
        </w:rPr>
      </w:pPr>
    </w:p>
    <w:p>
      <w:pPr>
        <w:ind w:left="1620" w:right="1299" w:hanging="148"/>
        <w:spacing w:after="0" w:line="251"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69" w:lineRule="exact"/>
        <w:rPr>
          <w:rFonts w:ascii="Arial" w:cs="Arial" w:eastAsia="Arial" w:hAnsi="Arial"/>
          <w:sz w:val="15"/>
          <w:szCs w:val="15"/>
          <w:color w:val="auto"/>
        </w:rPr>
      </w:pPr>
    </w:p>
    <w:p>
      <w:pPr>
        <w:ind w:left="1620" w:right="1259" w:hanging="148"/>
        <w:spacing w:after="0" w:line="297"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3"/>
          <w:szCs w:val="13"/>
          <w:i w:val="1"/>
          <w:iCs w:val="1"/>
          <w:color w:val="auto"/>
        </w:rPr>
        <w:t>Navitaire</w:t>
      </w:r>
      <w:r>
        <w:rPr>
          <w:rFonts w:ascii="Arial" w:cs="Arial" w:eastAsia="Arial" w:hAnsi="Arial"/>
          <w:sz w:val="13"/>
          <w:szCs w:val="13"/>
          <w:color w:val="auto"/>
        </w:rPr>
        <w:t>, rebranded our product along with our website and invested in improving the customer support experience. We consolidated our corporate headquarters into an on-airport hangar.</w:t>
      </w:r>
    </w:p>
    <w:p>
      <w:pPr>
        <w:spacing w:after="0" w:line="41" w:lineRule="exact"/>
        <w:rPr>
          <w:rFonts w:ascii="Arial" w:cs="Arial" w:eastAsia="Arial" w:hAnsi="Arial"/>
          <w:sz w:val="13"/>
          <w:szCs w:val="13"/>
          <w:color w:val="auto"/>
        </w:rPr>
      </w:pPr>
    </w:p>
    <w:p>
      <w:pPr>
        <w:ind w:left="1620" w:right="1199" w:hanging="148"/>
        <w:spacing w:after="0" w:line="25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greatly expanded our ancillary products and services, which consist of baggage fees, seat assignment fees and other fees, increasing average ancillary revenue per scheduled service passenger by 148% from 2017 to 2019.</w:t>
      </w:r>
    </w:p>
    <w:p>
      <w:pPr>
        <w:spacing w:after="0" w:line="78" w:lineRule="exact"/>
        <w:rPr>
          <w:rFonts w:ascii="Arial" w:cs="Arial" w:eastAsia="Arial" w:hAnsi="Arial"/>
          <w:sz w:val="15"/>
          <w:szCs w:val="15"/>
          <w:color w:val="auto"/>
        </w:rPr>
      </w:pPr>
    </w:p>
    <w:p>
      <w:pPr>
        <w:ind w:left="1620" w:right="1379" w:hanging="148"/>
        <w:spacing w:after="0" w:line="26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launched and grew our asset light cargo business and fully integrated our pilot base across our scheduled service, charter and cargo businesses.</w:t>
      </w:r>
    </w:p>
    <w:p>
      <w:pPr>
        <w:spacing w:after="0" w:line="59" w:lineRule="exact"/>
        <w:rPr>
          <w:rFonts w:ascii="Arial" w:cs="Arial" w:eastAsia="Arial" w:hAnsi="Arial"/>
          <w:sz w:val="15"/>
          <w:szCs w:val="15"/>
          <w:color w:val="auto"/>
        </w:rPr>
      </w:pPr>
    </w:p>
    <w:p>
      <w:pPr>
        <w:ind w:left="1620" w:right="1179" w:hanging="148"/>
        <w:spacing w:after="0" w:line="251"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99" w:firstLine="293"/>
        <w:spacing w:after="0" w:line="236" w:lineRule="auto"/>
        <w:rPr>
          <w:sz w:val="20"/>
          <w:szCs w:val="20"/>
          <w:color w:val="auto"/>
        </w:rPr>
      </w:pPr>
      <w:r>
        <w:rPr>
          <w:rFonts w:ascii="Arial" w:cs="Arial" w:eastAsia="Arial" w:hAnsi="Arial"/>
          <w:sz w:val="15"/>
          <w:szCs w:val="15"/>
          <w:color w:val="auto"/>
        </w:rPr>
        <w:t>While the COVID-19 induced industry downturn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Initial Public Offering, Private Placements and Follow-On Offering</w:t>
      </w:r>
    </w:p>
    <w:p>
      <w:pPr>
        <w:spacing w:after="0" w:line="113" w:lineRule="exact"/>
        <w:rPr>
          <w:sz w:val="20"/>
          <w:szCs w:val="20"/>
          <w:color w:val="auto"/>
        </w:rPr>
      </w:pPr>
    </w:p>
    <w:p>
      <w:pPr>
        <w:ind w:left="1180" w:right="1179" w:firstLine="293"/>
        <w:spacing w:after="0" w:line="251" w:lineRule="auto"/>
        <w:rPr>
          <w:sz w:val="20"/>
          <w:szCs w:val="20"/>
          <w:color w:val="auto"/>
        </w:rPr>
      </w:pPr>
      <w:r>
        <w:rPr>
          <w:rFonts w:ascii="Arial" w:cs="Arial" w:eastAsia="Arial" w:hAnsi="Arial"/>
          <w:sz w:val="14"/>
          <w:szCs w:val="14"/>
          <w:color w:val="auto"/>
        </w:rPr>
        <w:t>On March 19, 2021, we completed our initial public offering (the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 portion of the proceeds was used to pay fees and expenses in connection with the initial public offering. The remaining net proceeds have been and will continue to be used for general corporate purposes, including to acquire additional aircraft.</w:t>
      </w:r>
    </w:p>
    <w:p>
      <w:pPr>
        <w:spacing w:after="0" w:line="92" w:lineRule="exact"/>
        <w:rPr>
          <w:sz w:val="20"/>
          <w:szCs w:val="20"/>
          <w:color w:val="auto"/>
        </w:rPr>
      </w:pPr>
    </w:p>
    <w:p>
      <w:pPr>
        <w:ind w:left="1180" w:right="1239" w:firstLine="293"/>
        <w:spacing w:after="0" w:line="249" w:lineRule="auto"/>
        <w:rPr>
          <w:sz w:val="20"/>
          <w:szCs w:val="20"/>
          <w:color w:val="auto"/>
        </w:rPr>
      </w:pPr>
      <w:r>
        <w:rPr>
          <w:rFonts w:ascii="Arial" w:cs="Arial" w:eastAsia="Arial" w:hAnsi="Arial"/>
          <w:sz w:val="14"/>
          <w:szCs w:val="14"/>
          <w:color w:val="auto"/>
        </w:rPr>
        <w:t>Additionally, each of PAR Investment Partners, L.P. (“PAR Capital”) and certain funds or accounts managed by an investment adviser subsidiary of Blackrock, Inc. (such funds and accounts, the “Blackrock Entities”) purchased shares of our common stock from the Apollo Stockholder in private placements that closed on March 19, 2021 concurrently with our initial public offering. The number of shares of common stock purchased by each of PAR Capital and the Blackrock Entities from the Apollo Stockholder was based on an aggregate purchase price of $50.0 million and a price per share equal to 94% of the initial public offering price. Based on the initial public offering price of $24.00 per share of common stock, PAR Capital purchased 2,216,312 shares of common stock from the Apollo Stockholder at a price per share of $22.56 and the Blackrock Entities purchased an aggregate of 2,216,308 shares of common stock from the Apollo Stockholder at a price per share of $22.56.</w:t>
      </w:r>
    </w:p>
    <w:p>
      <w:pPr>
        <w:spacing w:after="0" w:line="99" w:lineRule="exact"/>
        <w:rPr>
          <w:sz w:val="20"/>
          <w:szCs w:val="20"/>
          <w:color w:val="auto"/>
        </w:rPr>
      </w:pPr>
    </w:p>
    <w:p>
      <w:pPr>
        <w:ind w:left="1180" w:right="1499" w:firstLine="293"/>
        <w:spacing w:after="0" w:line="248" w:lineRule="auto"/>
        <w:rPr>
          <w:sz w:val="20"/>
          <w:szCs w:val="20"/>
          <w:color w:val="auto"/>
        </w:rPr>
      </w:pPr>
      <w:r>
        <w:rPr>
          <w:rFonts w:ascii="Arial" w:cs="Arial" w:eastAsia="Arial" w:hAnsi="Arial"/>
          <w:sz w:val="15"/>
          <w:szCs w:val="15"/>
          <w:color w:val="auto"/>
        </w:rPr>
        <w:t>On May 24, 2021, the Apollo Stockholder completed an underwritten public offering of 8,337,500 shares of common stock at a public offering price of $34.50 per share.</w:t>
      </w:r>
    </w:p>
    <w:p>
      <w:pPr>
        <w:spacing w:after="0" w:line="14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COVID-19 Induced Downturn</w:t>
      </w:r>
    </w:p>
    <w:p>
      <w:pPr>
        <w:spacing w:after="0" w:line="113" w:lineRule="exact"/>
        <w:rPr>
          <w:sz w:val="20"/>
          <w:szCs w:val="20"/>
          <w:color w:val="auto"/>
        </w:rPr>
      </w:pPr>
    </w:p>
    <w:p>
      <w:pPr>
        <w:ind w:left="1180" w:right="1179" w:firstLine="293"/>
        <w:spacing w:after="0" w:line="248" w:lineRule="auto"/>
        <w:rPr>
          <w:sz w:val="20"/>
          <w:szCs w:val="20"/>
          <w:color w:val="auto"/>
        </w:rPr>
      </w:pPr>
      <w:r>
        <w:rPr>
          <w:rFonts w:ascii="Arial" w:cs="Arial" w:eastAsia="Arial" w:hAnsi="Arial"/>
          <w:sz w:val="14"/>
          <w:szCs w:val="14"/>
          <w:color w:val="auto"/>
        </w:rPr>
        <w:t>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 -19 pandemic, and our business operations were adjusted in response to the pandemic as described below. However, we believe that our diversified and flexible business model allowed us to mitigate the impact of COVID -19 on our business in 2020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allowing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97" w:lineRule="exact"/>
        <w:rPr>
          <w:sz w:val="20"/>
          <w:szCs w:val="20"/>
          <w:color w:val="auto"/>
        </w:rPr>
      </w:pPr>
    </w:p>
    <w:p>
      <w:pPr>
        <w:ind w:left="1180" w:right="1199" w:firstLine="293"/>
        <w:spacing w:after="0" w:line="249" w:lineRule="auto"/>
        <w:rPr>
          <w:sz w:val="20"/>
          <w:szCs w:val="20"/>
          <w:color w:val="auto"/>
        </w:rPr>
      </w:pPr>
      <w:r>
        <w:rPr>
          <w:rFonts w:ascii="Arial" w:cs="Arial" w:eastAsia="Arial" w:hAnsi="Arial"/>
          <w:sz w:val="14"/>
          <w:szCs w:val="14"/>
          <w:color w:val="auto"/>
        </w:rPr>
        <w:t>Actions we took during 2020 to mitigate the impact of the COVID- 19 induced downturn preserved more than $152.0 million in liquidity and included: capacity reductions; a company -wide hiring freeze; headcount reductions; voluntary leave programs; reduced advertising expenditures; reduced capital expenditures; and deferred vendor payments. In February 2021, we entered into a new credit agreement (the “Credit Agreement”), which provides for a $25.0 million revolving credit facility (the “Revolving Credit Facility”), which is currently undrawn, and a $90.0 million delayed draw term loan facility (the “Delayed Draw Term Loan Facility” and, together with the Revolving Credit Facility, the “Credit Facilities”) to be used to finance the acquisition of aircraft and engines. Further, we have received grants from the United States Department of the Treasury (“Treasury”) through the Payroll Support Program (the “Payroll Support Program”) under the Coronavirus Aid, Relief, and Economic Security Act (the “CARES Act”) and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239"/>
        <w:spacing w:after="0" w:line="246" w:lineRule="auto"/>
        <w:rPr>
          <w:sz w:val="20"/>
          <w:szCs w:val="20"/>
          <w:color w:val="auto"/>
        </w:rPr>
      </w:pPr>
      <w:r>
        <w:rPr>
          <w:rFonts w:ascii="Arial" w:cs="Arial" w:eastAsia="Arial" w:hAnsi="Arial"/>
          <w:sz w:val="15"/>
          <w:szCs w:val="15"/>
          <w:color w:val="auto"/>
        </w:rPr>
        <w:t>American Rescue Plan Act of 2021 (“Payroll Support Program 3”), and accepted a loan from Treasury through the CARES Act Loan Program (the “CARES Act Loan”), which has now been repaid in full, without issuing any warrants, unlike nearly all other carriers with whom we compete that received government assistance. We have also maintained our pre-COVID-19 corporate credit ratings throughout the downturn. COVID-19 vaccines have become widely available in the United States with nearly 400 million doses administered and over 55% of the U.S. population fully vaccinated according to the Centers for Disease Control and Prevention (the “CDC”). As vaccines continue to become more widely distributed in 2021, we believe the airline industry will continue to rebound in the remainder of 2021 and normalize in 2022. Given our focus on low-cost domestic leisure travel, we believe we are rebounding faster than most other U.S. airlines.</w:t>
      </w:r>
    </w:p>
    <w:p>
      <w:pPr>
        <w:spacing w:after="0" w:line="100" w:lineRule="exact"/>
        <w:rPr>
          <w:sz w:val="20"/>
          <w:szCs w:val="20"/>
          <w:color w:val="auto"/>
        </w:rPr>
      </w:pPr>
    </w:p>
    <w:p>
      <w:pPr>
        <w:ind w:left="1180" w:right="1259" w:firstLine="293"/>
        <w:spacing w:after="0" w:line="248" w:lineRule="auto"/>
        <w:rPr>
          <w:sz w:val="20"/>
          <w:szCs w:val="20"/>
          <w:color w:val="auto"/>
        </w:rPr>
      </w:pPr>
      <w:r>
        <w:rPr>
          <w:rFonts w:ascii="Arial" w:cs="Arial" w:eastAsia="Arial" w:hAnsi="Arial"/>
          <w:sz w:val="15"/>
          <w:szCs w:val="15"/>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Recent Developments</w:t>
      </w:r>
    </w:p>
    <w:p>
      <w:pPr>
        <w:spacing w:after="0" w:line="124" w:lineRule="exact"/>
        <w:rPr>
          <w:sz w:val="20"/>
          <w:szCs w:val="20"/>
          <w:color w:val="auto"/>
        </w:rPr>
      </w:pPr>
    </w:p>
    <w:p>
      <w:pPr>
        <w:ind w:left="1180" w:right="1299" w:firstLine="293"/>
        <w:spacing w:after="0" w:line="270" w:lineRule="auto"/>
        <w:rPr>
          <w:sz w:val="20"/>
          <w:szCs w:val="20"/>
          <w:color w:val="auto"/>
        </w:rPr>
      </w:pPr>
      <w:r>
        <w:rPr>
          <w:rFonts w:ascii="Arial" w:cs="Arial" w:eastAsia="Arial" w:hAnsi="Arial"/>
          <w:sz w:val="14"/>
          <w:szCs w:val="14"/>
          <w:color w:val="auto"/>
        </w:rPr>
        <w:t>The following presents selected preliminary estimates of our consolidated financial and other data for the three months ended September 30, 2021 and actual unaudited financial and other data for the</w:t>
      </w:r>
    </w:p>
    <w:p>
      <w:pPr>
        <w:ind w:left="1180" w:right="1179"/>
        <w:spacing w:after="0" w:line="264" w:lineRule="auto"/>
        <w:rPr>
          <w:sz w:val="20"/>
          <w:szCs w:val="20"/>
          <w:color w:val="auto"/>
        </w:rPr>
      </w:pPr>
      <w:r>
        <w:rPr>
          <w:rFonts w:ascii="Arial" w:cs="Arial" w:eastAsia="Arial" w:hAnsi="Arial"/>
          <w:sz w:val="14"/>
          <w:szCs w:val="14"/>
          <w:color w:val="auto"/>
        </w:rPr>
        <w:t>three months ended September 30, 2020 and 2019. Our consolidated financial statements as of, and for the three months ended, September 30, 2021 are not yet available and are subject to completion of our financial closing procedures. The following information reflects our preliminary estimates based on currently available information and is subject to change. We have provided ranges, rather than specific amounts, for the preliminary results described below primarily because we are still in the process of finalizing our financial and operating results as of, and for the three months ended, September 30, 2021 and, as a result, our final reported results may vary materially from the preliminary estimates. The preliminary financial data included in this prospectus have been prepared by, and are the responsibility of, our management. KPMG LLP has not audited, reviewed, compiled or applied agreed-upon procedures with respect to the preliminary financial data. Accordingly, KPMG LLP does not express an opinion or any other form of assurance with respect thereto.</w:t>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50"/>
        </w:trPr>
        <w:tc>
          <w:tcPr>
            <w:tcW w:w="3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00" w:type="dxa"/>
            <w:vAlign w:val="bottom"/>
            <w:gridSpan w:val="4"/>
          </w:tcPr>
          <w:p>
            <w:pPr>
              <w:jc w:val="right"/>
              <w:ind w:right="33"/>
              <w:spacing w:after="0"/>
              <w:rPr>
                <w:sz w:val="20"/>
                <w:szCs w:val="20"/>
                <w:color w:val="auto"/>
              </w:rPr>
            </w:pPr>
            <w:r>
              <w:rPr>
                <w:rFonts w:ascii="Arial" w:cs="Arial" w:eastAsia="Arial" w:hAnsi="Arial"/>
                <w:sz w:val="12"/>
                <w:szCs w:val="12"/>
                <w:b w:val="1"/>
                <w:bCs w:val="1"/>
                <w:color w:val="auto"/>
                <w:w w:val="87"/>
              </w:rPr>
              <w:t>Three Months Ended September 30,</w:t>
            </w:r>
          </w:p>
        </w:tc>
        <w:tc>
          <w:tcPr>
            <w:tcW w:w="760" w:type="dxa"/>
            <w:vAlign w:val="bottom"/>
          </w:tcPr>
          <w:p>
            <w:pPr>
              <w:spacing w:after="0"/>
              <w:rPr>
                <w:sz w:val="13"/>
                <w:szCs w:val="13"/>
                <w:color w:val="auto"/>
              </w:rPr>
            </w:pPr>
          </w:p>
        </w:tc>
      </w:tr>
      <w:tr>
        <w:trPr>
          <w:trHeight w:val="21"/>
        </w:trPr>
        <w:tc>
          <w:tcPr>
            <w:tcW w:w="3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7"/>
        </w:trPr>
        <w:tc>
          <w:tcPr>
            <w:tcW w:w="3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gridSpan w:val="2"/>
          </w:tcPr>
          <w:p>
            <w:pPr>
              <w:jc w:val="right"/>
              <w:ind w:right="761"/>
              <w:spacing w:after="0"/>
              <w:rPr>
                <w:sz w:val="20"/>
                <w:szCs w:val="20"/>
                <w:color w:val="auto"/>
              </w:rPr>
            </w:pPr>
            <w:r>
              <w:rPr>
                <w:rFonts w:ascii="Arial" w:cs="Arial" w:eastAsia="Arial" w:hAnsi="Arial"/>
                <w:sz w:val="12"/>
                <w:szCs w:val="12"/>
                <w:b w:val="1"/>
                <w:bCs w:val="1"/>
                <w:color w:val="auto"/>
                <w:w w:val="82"/>
              </w:rPr>
              <w:t>2021</w:t>
            </w:r>
          </w:p>
        </w:tc>
        <w:tc>
          <w:tcPr>
            <w:tcW w:w="160" w:type="dxa"/>
            <w:vAlign w:val="bottom"/>
          </w:tcPr>
          <w:p>
            <w:pPr>
              <w:spacing w:after="0"/>
              <w:rPr>
                <w:sz w:val="13"/>
                <w:szCs w:val="13"/>
                <w:color w:val="auto"/>
              </w:rPr>
            </w:pPr>
          </w:p>
        </w:tc>
        <w:tc>
          <w:tcPr>
            <w:tcW w:w="680" w:type="dxa"/>
            <w:vAlign w:val="bottom"/>
          </w:tcPr>
          <w:p>
            <w:pPr>
              <w:jc w:val="right"/>
              <w:ind w:right="193"/>
              <w:spacing w:after="0"/>
              <w:rPr>
                <w:sz w:val="20"/>
                <w:szCs w:val="20"/>
                <w:color w:val="auto"/>
              </w:rPr>
            </w:pPr>
            <w:r>
              <w:rPr>
                <w:rFonts w:ascii="Arial" w:cs="Arial" w:eastAsia="Arial" w:hAnsi="Arial"/>
                <w:sz w:val="12"/>
                <w:szCs w:val="12"/>
                <w:b w:val="1"/>
                <w:bCs w:val="1"/>
                <w:color w:val="auto"/>
              </w:rPr>
              <w:t>2020</w:t>
            </w:r>
          </w:p>
        </w:tc>
        <w:tc>
          <w:tcPr>
            <w:tcW w:w="760" w:type="dxa"/>
            <w:vAlign w:val="bottom"/>
          </w:tcPr>
          <w:p>
            <w:pPr>
              <w:jc w:val="right"/>
              <w:ind w:right="150"/>
              <w:spacing w:after="0"/>
              <w:rPr>
                <w:sz w:val="20"/>
                <w:szCs w:val="20"/>
                <w:color w:val="auto"/>
              </w:rPr>
            </w:pPr>
            <w:r>
              <w:rPr>
                <w:rFonts w:ascii="Arial" w:cs="Arial" w:eastAsia="Arial" w:hAnsi="Arial"/>
                <w:sz w:val="12"/>
                <w:szCs w:val="12"/>
                <w:b w:val="1"/>
                <w:bCs w:val="1"/>
                <w:color w:val="auto"/>
              </w:rPr>
              <w:t>2019</w:t>
            </w:r>
          </w:p>
        </w:tc>
      </w:tr>
      <w:tr>
        <w:trPr>
          <w:trHeight w:val="21"/>
        </w:trPr>
        <w:tc>
          <w:tcPr>
            <w:tcW w:w="3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157"/>
        </w:trPr>
        <w:tc>
          <w:tcPr>
            <w:tcW w:w="3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w w:val="86"/>
              </w:rPr>
              <w:t>Low (Estimated)</w:t>
            </w:r>
          </w:p>
        </w:tc>
        <w:tc>
          <w:tcPr>
            <w:tcW w:w="18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High (Estimated)</w:t>
            </w:r>
          </w:p>
        </w:tc>
        <w:tc>
          <w:tcPr>
            <w:tcW w:w="1440" w:type="dxa"/>
            <w:vAlign w:val="bottom"/>
            <w:gridSpan w:val="2"/>
          </w:tcPr>
          <w:p>
            <w:pPr>
              <w:jc w:val="right"/>
              <w:ind w:right="490"/>
              <w:spacing w:after="0"/>
              <w:rPr>
                <w:sz w:val="20"/>
                <w:szCs w:val="20"/>
                <w:color w:val="auto"/>
              </w:rPr>
            </w:pPr>
            <w:r>
              <w:rPr>
                <w:rFonts w:ascii="Arial" w:cs="Arial" w:eastAsia="Arial" w:hAnsi="Arial"/>
                <w:sz w:val="12"/>
                <w:szCs w:val="12"/>
                <w:b w:val="1"/>
                <w:bCs w:val="1"/>
                <w:color w:val="auto"/>
              </w:rPr>
              <w:t>Actual</w:t>
            </w:r>
          </w:p>
        </w:tc>
      </w:tr>
      <w:tr>
        <w:trPr>
          <w:trHeight w:val="21"/>
        </w:trPr>
        <w:tc>
          <w:tcPr>
            <w:tcW w:w="3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0"/>
        </w:trPr>
        <w:tc>
          <w:tcPr>
            <w:tcW w:w="32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Unaudited</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5"/>
                <w:szCs w:val="15"/>
                <w:b w:val="1"/>
                <w:bCs w:val="1"/>
                <w:color w:val="auto"/>
              </w:rPr>
              <w:t>(In thousands)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Statement of Operations Data:</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5"/>
                <w:szCs w:val="15"/>
                <w:color w:val="auto"/>
              </w:rPr>
              <w:t>Revenue</w:t>
            </w:r>
          </w:p>
        </w:tc>
        <w:tc>
          <w:tcPr>
            <w:tcW w:w="820" w:type="dxa"/>
            <w:vAlign w:val="bottom"/>
          </w:tcPr>
          <w:p>
            <w:pPr>
              <w:jc w:val="right"/>
              <w:spacing w:after="0"/>
              <w:rPr>
                <w:sz w:val="20"/>
                <w:szCs w:val="20"/>
                <w:color w:val="auto"/>
              </w:rPr>
            </w:pPr>
            <w:r>
              <w:rPr>
                <w:rFonts w:ascii="Arial" w:cs="Arial" w:eastAsia="Arial" w:hAnsi="Arial"/>
                <w:sz w:val="15"/>
                <w:szCs w:val="15"/>
                <w:color w:val="auto"/>
              </w:rPr>
              <w:t>$  172,000</w:t>
            </w:r>
          </w:p>
        </w:tc>
        <w:tc>
          <w:tcPr>
            <w:tcW w:w="1060" w:type="dxa"/>
            <w:vAlign w:val="bottom"/>
            <w:gridSpan w:val="2"/>
          </w:tcPr>
          <w:p>
            <w:pPr>
              <w:jc w:val="right"/>
              <w:ind w:right="41"/>
              <w:spacing w:after="0"/>
              <w:rPr>
                <w:sz w:val="20"/>
                <w:szCs w:val="20"/>
                <w:color w:val="auto"/>
              </w:rPr>
            </w:pPr>
            <w:r>
              <w:rPr>
                <w:rFonts w:ascii="Arial" w:cs="Arial" w:eastAsia="Arial" w:hAnsi="Arial"/>
                <w:sz w:val="15"/>
                <w:szCs w:val="15"/>
                <w:color w:val="auto"/>
              </w:rPr>
              <w:t>$  175,000</w:t>
            </w:r>
          </w:p>
        </w:tc>
        <w:tc>
          <w:tcPr>
            <w:tcW w:w="16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Arial" w:cs="Arial" w:eastAsia="Arial" w:hAnsi="Arial"/>
                <w:sz w:val="15"/>
                <w:szCs w:val="15"/>
                <w:color w:val="auto"/>
                <w:w w:val="95"/>
              </w:rPr>
              <w:t>$ 77,973</w:t>
            </w:r>
          </w:p>
        </w:tc>
        <w:tc>
          <w:tcPr>
            <w:tcW w:w="760" w:type="dxa"/>
            <w:vAlign w:val="bottom"/>
          </w:tcPr>
          <w:p>
            <w:pPr>
              <w:jc w:val="right"/>
              <w:spacing w:after="0"/>
              <w:rPr>
                <w:sz w:val="20"/>
                <w:szCs w:val="20"/>
                <w:color w:val="auto"/>
              </w:rPr>
            </w:pPr>
            <w:r>
              <w:rPr>
                <w:rFonts w:ascii="Arial" w:cs="Arial" w:eastAsia="Arial" w:hAnsi="Arial"/>
                <w:sz w:val="15"/>
                <w:szCs w:val="15"/>
                <w:color w:val="auto"/>
              </w:rPr>
              <w:t>$  171,478</w:t>
            </w:r>
          </w:p>
        </w:tc>
      </w:tr>
      <w:tr>
        <w:trPr>
          <w:trHeight w:val="220"/>
        </w:trPr>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20,500</w:t>
            </w: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5"/>
                <w:szCs w:val="15"/>
                <w:color w:val="auto"/>
              </w:rPr>
              <w:t>23,500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8,817</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10,475</w:t>
            </w:r>
          </w:p>
        </w:tc>
      </w:tr>
      <w:tr>
        <w:trPr>
          <w:trHeight w:val="220"/>
        </w:trPr>
        <w:tc>
          <w:tcPr>
            <w:tcW w:w="3200" w:type="dxa"/>
            <w:vAlign w:val="bottom"/>
          </w:tcPr>
          <w:p>
            <w:pPr>
              <w:spacing w:after="0"/>
              <w:rPr>
                <w:sz w:val="20"/>
                <w:szCs w:val="20"/>
                <w:color w:val="auto"/>
              </w:rPr>
            </w:pPr>
            <w:r>
              <w:rPr>
                <w:rFonts w:ascii="Arial" w:cs="Arial" w:eastAsia="Arial" w:hAnsi="Arial"/>
                <w:sz w:val="15"/>
                <w:szCs w:val="15"/>
                <w:b w:val="1"/>
                <w:bCs w:val="1"/>
                <w:color w:val="auto"/>
              </w:rPr>
              <w:t>Other Operating Data:</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ASMs</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1,530,000</w:t>
            </w: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5"/>
                <w:szCs w:val="15"/>
                <w:color w:val="auto"/>
              </w:rPr>
              <w:t>1,560,000</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974,584</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1,851,793</w:t>
            </w:r>
          </w:p>
        </w:tc>
      </w:tr>
    </w:tbl>
    <w:p>
      <w:pPr>
        <w:spacing w:after="0" w:line="110" w:lineRule="exact"/>
        <w:rPr>
          <w:sz w:val="20"/>
          <w:szCs w:val="20"/>
          <w:color w:val="auto"/>
        </w:rPr>
      </w:pPr>
    </w:p>
    <w:p>
      <w:pPr>
        <w:ind w:left="1180" w:right="1199" w:firstLine="293"/>
        <w:spacing w:after="0" w:line="246" w:lineRule="auto"/>
        <w:rPr>
          <w:sz w:val="20"/>
          <w:szCs w:val="20"/>
          <w:color w:val="auto"/>
        </w:rPr>
      </w:pPr>
      <w:r>
        <w:rPr>
          <w:rFonts w:ascii="Arial" w:cs="Arial" w:eastAsia="Arial" w:hAnsi="Arial"/>
          <w:sz w:val="15"/>
          <w:szCs w:val="15"/>
          <w:color w:val="auto"/>
        </w:rPr>
        <w:t>For the third quarter of 2021 we expect revenue to be between $172 million and $175 million, which would be an increase of approximately 121% to 124% as compared to the third quarter of 2020 and an increase of approximately 0% to 2% as compared to the third quarter of 2019. Passenger revenue for the third quarter of 2021 is expected to be up approximately 136% from the third quarter of 2020 due to the strength of the COVID-19 pandemic recovery compared to the prior year. Passenger revenue for the third quarter of 2021 is estimated to be 13% lower than the third quarter of 2019, due to the COVID-19 pandemic impact on passenger air traffic, which has not yet recovered to 2019 levels despite the recovery underway. Cargo revenue is expected to be up approximately 71% versus the third quarter of 2020 largely due to the fact that in the prior period we were operating fewer freighter aircraft. Our cargo fleet was not fully ramped up</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354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91355" cy="65354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99"/>
        <w:spacing w:after="0" w:line="264" w:lineRule="auto"/>
        <w:rPr>
          <w:sz w:val="20"/>
          <w:szCs w:val="20"/>
          <w:color w:val="auto"/>
        </w:rPr>
      </w:pPr>
      <w:r>
        <w:rPr>
          <w:rFonts w:ascii="Arial" w:cs="Arial" w:eastAsia="Arial" w:hAnsi="Arial"/>
          <w:sz w:val="15"/>
          <w:szCs w:val="15"/>
          <w:color w:val="auto"/>
        </w:rPr>
        <w:t>to the full 12 aircraft until mid-fourth quarter of 2020. We did not receive any cargo revenue in 2019, as our cargo service commenced in May 2020.</w:t>
      </w:r>
    </w:p>
    <w:p>
      <w:pPr>
        <w:spacing w:after="0" w:line="8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third quarter of 2021 we expect operating income to be between $20.5 million and</w:t>
      </w:r>
    </w:p>
    <w:p>
      <w:pPr>
        <w:spacing w:after="0" w:line="14" w:lineRule="exact"/>
        <w:rPr>
          <w:sz w:val="20"/>
          <w:szCs w:val="20"/>
          <w:color w:val="auto"/>
        </w:rPr>
      </w:pPr>
    </w:p>
    <w:p>
      <w:pPr>
        <w:ind w:left="1180" w:right="1179"/>
        <w:spacing w:after="0" w:line="264" w:lineRule="auto"/>
        <w:rPr>
          <w:sz w:val="20"/>
          <w:szCs w:val="20"/>
          <w:color w:val="auto"/>
        </w:rPr>
      </w:pPr>
      <w:r>
        <w:rPr>
          <w:rFonts w:ascii="Arial" w:cs="Arial" w:eastAsia="Arial" w:hAnsi="Arial"/>
          <w:sz w:val="14"/>
          <w:szCs w:val="14"/>
          <w:color w:val="auto"/>
        </w:rPr>
        <w:t>$23.5 million, which would be an increase of approximately 133% to 167% as compared to the third quarter of 2020 and an increase of approximately 96% to 124% as compared to the third quarter of 2019. For the third quarter of 2021, operating expenses are expected to be up approximately 119% as compared to the third quarter of 2020, driven by increased flying from the COVID-19 pandemic recovery and increased cargo fleet, higher fuel prices, and a $32.9 million credit received in the third quarter of 2020 under the CARES Act. The increase in operating expenses is expected to be offset by the increase in revenue in the third quarter of 2021. Operating expenses in the third quarter of 2021 are expected to be approximately 6% lower than the third quarter of 2019, driven by lower fuel costs from reduced passenger service flying and a shift of aircraft ownership away from leased aircraft to debt financed aircraft. This shift is reducing our aircraft rent expense, but is increasing depreciation and amortization expenses, as well as interest expense in the non-operating portion of our income statement.</w:t>
      </w:r>
    </w:p>
    <w:p>
      <w:pPr>
        <w:spacing w:after="0" w:line="96" w:lineRule="exact"/>
        <w:rPr>
          <w:sz w:val="20"/>
          <w:szCs w:val="20"/>
          <w:color w:val="auto"/>
        </w:rPr>
      </w:pPr>
    </w:p>
    <w:p>
      <w:pPr>
        <w:ind w:left="1180" w:right="1219" w:firstLine="293"/>
        <w:spacing w:after="0" w:line="254" w:lineRule="auto"/>
        <w:rPr>
          <w:sz w:val="20"/>
          <w:szCs w:val="20"/>
          <w:color w:val="auto"/>
        </w:rPr>
      </w:pPr>
      <w:r>
        <w:rPr>
          <w:rFonts w:ascii="Arial" w:cs="Arial" w:eastAsia="Arial" w:hAnsi="Arial"/>
          <w:sz w:val="15"/>
          <w:szCs w:val="15"/>
          <w:color w:val="auto"/>
        </w:rPr>
        <w:t>For the third quarter of 2021, ASMs are expected to be between 1.53 billion and 1.56 billion, which would be an increase of approximately 57% to 60% as compared to the third quarter of 2020 and a decrease of approximately 16% to 17% as compared to the third quarter of 2019.</w:t>
      </w:r>
    </w:p>
    <w:p>
      <w:pPr>
        <w:spacing w:after="0" w:line="101" w:lineRule="exact"/>
        <w:rPr>
          <w:sz w:val="20"/>
          <w:szCs w:val="20"/>
          <w:color w:val="auto"/>
        </w:rPr>
      </w:pPr>
    </w:p>
    <w:p>
      <w:pPr>
        <w:ind w:left="1180" w:right="1219" w:firstLine="293"/>
        <w:spacing w:after="0" w:line="249" w:lineRule="auto"/>
        <w:rPr>
          <w:sz w:val="20"/>
          <w:szCs w:val="20"/>
          <w:color w:val="auto"/>
        </w:rPr>
      </w:pPr>
      <w:r>
        <w:rPr>
          <w:rFonts w:ascii="Arial" w:cs="Arial" w:eastAsia="Arial" w:hAnsi="Arial"/>
          <w:sz w:val="15"/>
          <w:szCs w:val="15"/>
          <w:color w:val="auto"/>
        </w:rPr>
        <w:t>Our financial and operating results and business operations for our scheduled service and charter businesses for the three months ended September 30, 2020 were materially and adversely impacted as a result of the COVID-19 pandemic. We believe that our financial and operating results for the three months ended September 30, 2019 are more useful indicators of our scheduled service and charter service operating performance during normal industry conditions.</w:t>
      </w:r>
    </w:p>
    <w:p>
      <w:pPr>
        <w:spacing w:after="0" w:line="94" w:lineRule="exact"/>
        <w:rPr>
          <w:sz w:val="20"/>
          <w:szCs w:val="20"/>
          <w:color w:val="auto"/>
        </w:rPr>
      </w:pPr>
    </w:p>
    <w:p>
      <w:pPr>
        <w:ind w:left="1180" w:right="1159" w:firstLine="293"/>
        <w:spacing w:after="0" w:line="246" w:lineRule="auto"/>
        <w:rPr>
          <w:sz w:val="20"/>
          <w:szCs w:val="20"/>
          <w:color w:val="auto"/>
        </w:rPr>
      </w:pPr>
      <w:r>
        <w:rPr>
          <w:rFonts w:ascii="Arial" w:cs="Arial" w:eastAsia="Arial" w:hAnsi="Arial"/>
          <w:sz w:val="15"/>
          <w:szCs w:val="15"/>
          <w:color w:val="auto"/>
        </w:rPr>
        <w:t>The information above should be read in conjunction with our consolidated financial statements and the related notes and “</w:t>
      </w:r>
      <w:r>
        <w:rPr>
          <w:rFonts w:ascii="Arial" w:cs="Arial" w:eastAsia="Arial" w:hAnsi="Arial"/>
          <w:sz w:val="15"/>
          <w:szCs w:val="15"/>
          <w:i w:val="1"/>
          <w:iCs w:val="1"/>
          <w:color w:val="auto"/>
        </w:rPr>
        <w:t>Management’s Discussion and Analysis of Financial Condition and Results of</w:t>
      </w:r>
      <w:r>
        <w:rPr>
          <w:rFonts w:ascii="Arial" w:cs="Arial" w:eastAsia="Arial" w:hAnsi="Arial"/>
          <w:sz w:val="15"/>
          <w:szCs w:val="15"/>
          <w:color w:val="auto"/>
        </w:rPr>
        <w:t xml:space="preserve"> </w:t>
      </w:r>
      <w:r>
        <w:rPr>
          <w:rFonts w:ascii="Arial" w:cs="Arial" w:eastAsia="Arial" w:hAnsi="Arial"/>
          <w:sz w:val="15"/>
          <w:szCs w:val="15"/>
          <w:i w:val="1"/>
          <w:iCs w:val="1"/>
          <w:color w:val="auto"/>
        </w:rPr>
        <w:t>Operations</w:t>
      </w:r>
      <w:r>
        <w:rPr>
          <w:rFonts w:ascii="Arial" w:cs="Arial" w:eastAsia="Arial" w:hAnsi="Arial"/>
          <w:sz w:val="15"/>
          <w:szCs w:val="15"/>
          <w:color w:val="auto"/>
        </w:rPr>
        <w:t>” for prior periods included elsewhere in this prospectus. Our actual results for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2021 are not yet available, may differ materially from our preliminary estimates (including as a result of quarter-end closing and review procedures) and are not necessarily indicative of the results to be expected for the remainder of 2021 or any future period. Accordingly, you should not place undue reliance upon these preliminary estimates, which are subject to risks and uncertainties, many of which are not within our control. Please see “</w:t>
      </w:r>
      <w:r>
        <w:rPr>
          <w:rFonts w:ascii="Arial" w:cs="Arial" w:eastAsia="Arial" w:hAnsi="Arial"/>
          <w:sz w:val="15"/>
          <w:szCs w:val="15"/>
          <w:i w:val="1"/>
          <w:iCs w:val="1"/>
          <w:color w:val="auto"/>
        </w:rPr>
        <w:t>Risk Factors</w:t>
      </w:r>
      <w:r>
        <w:rPr>
          <w:rFonts w:ascii="Arial" w:cs="Arial" w:eastAsia="Arial" w:hAnsi="Arial"/>
          <w:sz w:val="15"/>
          <w:szCs w:val="15"/>
          <w:color w:val="auto"/>
        </w:rPr>
        <w:t>” and “</w:t>
      </w:r>
      <w:r>
        <w:rPr>
          <w:rFonts w:ascii="Arial" w:cs="Arial" w:eastAsia="Arial" w:hAnsi="Arial"/>
          <w:sz w:val="15"/>
          <w:szCs w:val="15"/>
          <w:i w:val="1"/>
          <w:iCs w:val="1"/>
          <w:color w:val="auto"/>
        </w:rPr>
        <w:t>Cautionary Note Regarding Forward-Looking Statements</w:t>
      </w:r>
      <w:r>
        <w:rPr>
          <w:rFonts w:ascii="Arial" w:cs="Arial" w:eastAsia="Arial" w:hAnsi="Arial"/>
          <w:sz w:val="15"/>
          <w:szCs w:val="15"/>
          <w:color w:val="auto"/>
        </w:rPr>
        <w:t>” for additional information regarding factors that could result in differences between</w:t>
      </w:r>
      <w:r>
        <w:rPr>
          <w:rFonts w:ascii="Arial" w:cs="Arial" w:eastAsia="Arial" w:hAnsi="Arial"/>
          <w:sz w:val="15"/>
          <w:szCs w:val="15"/>
          <w:i w:val="1"/>
          <w:iCs w:val="1"/>
          <w:color w:val="auto"/>
        </w:rPr>
        <w:t xml:space="preserve"> </w:t>
      </w:r>
      <w:r>
        <w:rPr>
          <w:rFonts w:ascii="Arial" w:cs="Arial" w:eastAsia="Arial" w:hAnsi="Arial"/>
          <w:sz w:val="15"/>
          <w:szCs w:val="15"/>
          <w:color w:val="auto"/>
        </w:rPr>
        <w:t>the preliminary estimated ranges of certain of our financial results and other data presented above and the actual financial results and other information we will report as of and for the three months ended September 30, 2021.</w:t>
      </w:r>
    </w:p>
    <w:p>
      <w:pPr>
        <w:spacing w:after="0" w:line="109" w:lineRule="exact"/>
        <w:rPr>
          <w:sz w:val="20"/>
          <w:szCs w:val="20"/>
          <w:color w:val="auto"/>
        </w:rPr>
      </w:pPr>
    </w:p>
    <w:p>
      <w:pPr>
        <w:ind w:left="1180" w:right="1219" w:firstLine="293"/>
        <w:spacing w:after="0" w:line="269" w:lineRule="auto"/>
        <w:rPr>
          <w:sz w:val="20"/>
          <w:szCs w:val="20"/>
          <w:color w:val="auto"/>
        </w:rPr>
      </w:pPr>
      <w:r>
        <w:rPr>
          <w:rFonts w:ascii="Arial" w:cs="Arial" w:eastAsia="Arial" w:hAnsi="Arial"/>
          <w:sz w:val="14"/>
          <w:szCs w:val="14"/>
          <w:color w:val="auto"/>
        </w:rPr>
        <w:t>During 2021, we have continued to see recovery in demand from the COVID-19 pandemic relative to demand in 2020. However, the ongoing impact of the COVID-19 pandemic on overall demand for air travel remains uncertain and cannot be predicted at this time. In addition, the impact of COVID-19 vaccine mandates and uncertainties in pilot staffing, as well as higher fuel prices, could impact our business and results of operations in the near term. See “</w:t>
      </w:r>
      <w:r>
        <w:rPr>
          <w:rFonts w:ascii="Arial" w:cs="Arial" w:eastAsia="Arial" w:hAnsi="Arial"/>
          <w:sz w:val="14"/>
          <w:szCs w:val="14"/>
          <w:i w:val="1"/>
          <w:iCs w:val="1"/>
          <w:color w:val="auto"/>
        </w:rPr>
        <w:t>Risk Factors</w:t>
      </w:r>
      <w:r>
        <w:rPr>
          <w:rFonts w:ascii="Arial" w:cs="Arial" w:eastAsia="Arial" w:hAnsi="Arial"/>
          <w:sz w:val="14"/>
          <w:szCs w:val="14"/>
          <w:color w:val="auto"/>
        </w:rPr>
        <w:t>” and “</w:t>
      </w:r>
      <w:r>
        <w:rPr>
          <w:rFonts w:ascii="Arial" w:cs="Arial" w:eastAsia="Arial" w:hAnsi="Arial"/>
          <w:sz w:val="14"/>
          <w:szCs w:val="14"/>
          <w:i w:val="1"/>
          <w:iCs w:val="1"/>
          <w:color w:val="auto"/>
        </w:rPr>
        <w:t>Management's Discussion and Analysis of</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Condition and Results of Operations—Trends and Uncertainties Affecting Our Business</w:t>
      </w:r>
      <w:r>
        <w:rPr>
          <w:rFonts w:ascii="Arial" w:cs="Arial" w:eastAsia="Arial" w:hAnsi="Arial"/>
          <w:sz w:val="14"/>
          <w:szCs w:val="14"/>
          <w:color w:val="auto"/>
        </w:rPr>
        <w:t>.”</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Competitive Strengths</w:t>
      </w:r>
    </w:p>
    <w:p>
      <w:pPr>
        <w:spacing w:after="0" w:line="117" w:lineRule="exact"/>
        <w:rPr>
          <w:sz w:val="20"/>
          <w:szCs w:val="20"/>
          <w:color w:val="auto"/>
        </w:rPr>
      </w:pPr>
    </w:p>
    <w:p>
      <w:pPr>
        <w:ind w:left="1180" w:right="1419" w:firstLine="293"/>
        <w:spacing w:after="0" w:line="264" w:lineRule="auto"/>
        <w:rPr>
          <w:sz w:val="20"/>
          <w:szCs w:val="20"/>
          <w:color w:val="auto"/>
        </w:rPr>
      </w:pPr>
      <w:r>
        <w:rPr>
          <w:rFonts w:ascii="Arial" w:cs="Arial" w:eastAsia="Arial" w:hAnsi="Arial"/>
          <w:sz w:val="15"/>
          <w:szCs w:val="15"/>
          <w:color w:val="auto"/>
        </w:rPr>
        <w:t>We believe that the following key strengths allow us to compete successfully within the U.S. airline industry.</w:t>
      </w:r>
    </w:p>
    <w:p>
      <w:pPr>
        <w:spacing w:after="0" w:line="93" w:lineRule="exact"/>
        <w:rPr>
          <w:sz w:val="20"/>
          <w:szCs w:val="20"/>
          <w:color w:val="auto"/>
        </w:rPr>
      </w:pPr>
    </w:p>
    <w:p>
      <w:pPr>
        <w:ind w:left="1180" w:right="1199" w:firstLine="293"/>
        <w:spacing w:after="0" w:line="290" w:lineRule="auto"/>
        <w:rPr>
          <w:sz w:val="20"/>
          <w:szCs w:val="20"/>
          <w:color w:val="auto"/>
        </w:rPr>
      </w:pPr>
      <w:r>
        <w:rPr>
          <w:rFonts w:ascii="Arial" w:cs="Arial" w:eastAsia="Arial" w:hAnsi="Arial"/>
          <w:sz w:val="13"/>
          <w:szCs w:val="13"/>
          <w:b w:val="1"/>
          <w:bCs w:val="1"/>
          <w:i w:val="1"/>
          <w:iCs w:val="1"/>
          <w:color w:val="auto"/>
        </w:rPr>
        <w:t xml:space="preserve">Diversified and Resilient Business Model. </w:t>
      </w:r>
      <w:r>
        <w:rPr>
          <w:rFonts w:ascii="Arial" w:cs="Arial" w:eastAsia="Arial" w:hAnsi="Arial"/>
          <w:sz w:val="13"/>
          <w:szCs w:val="13"/>
          <w:color w:val="auto"/>
        </w:rPr>
        <w:t>Our diversified business model, which includes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leisure and VFR focused scheduled 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continued to fly in 2020, while our casino customers are subject to long-term contracts and began flying again in June 2020. Our cargo business exhibited steady growth in 2020 and into the first half of 2021 as flying ramped up and demand remained strong, driven by underlying secular growth in e-commerce.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Agile Peak Demand Scheduling Strategy. </w:t>
      </w:r>
      <w:r>
        <w:rPr>
          <w:rFonts w:ascii="Arial" w:cs="Arial" w:eastAsia="Arial" w:hAnsi="Arial"/>
          <w:sz w:val="14"/>
          <w:szCs w:val="14"/>
          <w:color w:val="auto"/>
        </w:rPr>
        <w:t>We flex our capacity by day of the week, month of the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line of business to capture what we believe are the most profitable flying opportunities available from both our Minneapolis-St. Paul home market, or MSP,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We have continued to become more seasonal in 2021 with our current planned schedule service from July 2021 through April 2022 containing only 1% daily year-round routes. The following charts demonstrate that our schedule is highly variable by day of the week and month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80" w:right="1159" w:firstLine="293"/>
        <w:spacing w:after="0" w:line="266" w:lineRule="auto"/>
        <w:rPr>
          <w:sz w:val="20"/>
          <w:szCs w:val="20"/>
          <w:color w:val="auto"/>
        </w:rPr>
      </w:pPr>
      <w:r>
        <w:rPr>
          <w:rFonts w:ascii="Arial" w:cs="Arial" w:eastAsia="Arial" w:hAnsi="Arial"/>
          <w:sz w:val="14"/>
          <w:szCs w:val="14"/>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4"/>
          <w:szCs w:val="14"/>
          <w:i w:val="1"/>
          <w:iCs w:val="1"/>
          <w:color w:val="auto"/>
        </w:rPr>
        <w:t>Power Patterns</w:t>
      </w:r>
      <w:r>
        <w:rPr>
          <w:rFonts w:ascii="Arial" w:cs="Arial" w:eastAsia="Arial" w:hAnsi="Arial"/>
          <w:sz w:val="14"/>
          <w:szCs w:val="14"/>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83" w:lineRule="exact"/>
        <w:rPr>
          <w:sz w:val="20"/>
          <w:szCs w:val="20"/>
          <w:color w:val="auto"/>
        </w:rPr>
      </w:pPr>
    </w:p>
    <w:p>
      <w:pPr>
        <w:ind w:left="1180" w:right="1259" w:firstLine="293"/>
        <w:spacing w:after="0" w:line="274" w:lineRule="auto"/>
        <w:rPr>
          <w:sz w:val="20"/>
          <w:szCs w:val="20"/>
          <w:color w:val="auto"/>
        </w:rPr>
      </w:pPr>
      <w:r>
        <w:rPr>
          <w:rFonts w:ascii="Arial" w:cs="Arial" w:eastAsia="Arial" w:hAnsi="Arial"/>
          <w:sz w:val="14"/>
          <w:szCs w:val="14"/>
          <w:b w:val="1"/>
          <w:bCs w:val="1"/>
          <w:i w:val="1"/>
          <w:iCs w:val="1"/>
          <w:color w:val="auto"/>
        </w:rPr>
        <w:t xml:space="preserve">Tactical Mid-Life Fleet with Flexible Operations. </w:t>
      </w:r>
      <w:r>
        <w:rPr>
          <w:rFonts w:ascii="Arial" w:cs="Arial" w:eastAsia="Arial" w:hAnsi="Arial"/>
          <w:sz w:val="14"/>
          <w:szCs w:val="14"/>
          <w:color w:val="auto"/>
        </w:rPr>
        <w:t>We maintain low aircraft ownership costs by acquiring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 w:name="page14"/>
    <w:bookmarkEnd w:id="1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79"/>
        <w:spacing w:after="0" w:line="265" w:lineRule="auto"/>
        <w:rPr>
          <w:sz w:val="20"/>
          <w:szCs w:val="20"/>
          <w:color w:val="auto"/>
        </w:rPr>
      </w:pPr>
      <w:r>
        <w:rPr>
          <w:rFonts w:ascii="Arial" w:cs="Arial" w:eastAsia="Arial" w:hAnsi="Arial"/>
          <w:sz w:val="14"/>
          <w:szCs w:val="14"/>
          <w:color w:val="auto"/>
        </w:rPr>
        <w:t>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86" w:lineRule="exact"/>
        <w:rPr>
          <w:sz w:val="20"/>
          <w:szCs w:val="20"/>
          <w:color w:val="auto"/>
        </w:rPr>
      </w:pPr>
    </w:p>
    <w:p>
      <w:pPr>
        <w:jc w:val="both"/>
        <w:ind w:left="1180" w:right="1179" w:firstLine="293"/>
        <w:spacing w:after="0" w:line="311" w:lineRule="auto"/>
        <w:rPr>
          <w:sz w:val="20"/>
          <w:szCs w:val="20"/>
          <w:color w:val="auto"/>
        </w:rPr>
      </w:pPr>
      <w:r>
        <w:rPr>
          <w:rFonts w:ascii="Arial" w:cs="Arial" w:eastAsia="Arial" w:hAnsi="Arial"/>
          <w:sz w:val="13"/>
          <w:szCs w:val="13"/>
          <w:b w:val="1"/>
          <w:bCs w:val="1"/>
          <w:i w:val="1"/>
          <w:iCs w:val="1"/>
          <w:color w:val="auto"/>
        </w:rPr>
        <w:t xml:space="preserve">Superior Low-Cost Product and Brand. </w:t>
      </w:r>
      <w:r>
        <w:rPr>
          <w:rFonts w:ascii="Arial" w:cs="Arial" w:eastAsia="Arial" w:hAnsi="Arial"/>
          <w:sz w:val="13"/>
          <w:szCs w:val="13"/>
          <w:color w:val="auto"/>
        </w:rPr>
        <w:t>We have invested in numerous projects to create a well-regarded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and brand that we believe is superior to ULCCs while maintaining lower fares than LCCs and larger full service carriers. Some of the reasons that we believe we have a superior brand to ULCCs include:</w:t>
      </w:r>
    </w:p>
    <w:p>
      <w:pPr>
        <w:spacing w:after="0" w:line="56" w:lineRule="exact"/>
        <w:rPr>
          <w:sz w:val="20"/>
          <w:szCs w:val="20"/>
          <w:color w:val="auto"/>
        </w:rPr>
      </w:pPr>
    </w:p>
    <w:p>
      <w:pPr>
        <w:ind w:left="1620" w:right="1159" w:hanging="148"/>
        <w:spacing w:after="0" w:line="247"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Our Cabin Experience</w:t>
      </w:r>
      <w:r>
        <w:rPr>
          <w:rFonts w:ascii="Arial" w:cs="Arial" w:eastAsia="Arial" w:hAnsi="Arial"/>
          <w:sz w:val="15"/>
          <w:szCs w:val="15"/>
          <w:color w:val="auto"/>
        </w:rPr>
        <w:t>. All of our 737-800 aircraft have new state-of-the-art seats that comfortably</w:t>
      </w:r>
      <w:r>
        <w:rPr>
          <w:rFonts w:ascii="Arial" w:cs="Arial" w:eastAsia="Arial" w:hAnsi="Arial"/>
          <w:sz w:val="15"/>
          <w:szCs w:val="15"/>
          <w:i w:val="1"/>
          <w:iCs w:val="1"/>
          <w:color w:val="auto"/>
        </w:rPr>
        <w:t xml:space="preserve"> </w:t>
      </w:r>
      <w:r>
        <w:rPr>
          <w:rFonts w:ascii="Arial" w:cs="Arial" w:eastAsia="Arial" w:hAnsi="Arial"/>
          <w:sz w:val="15"/>
          <w:szCs w:val="15"/>
          <w:color w:val="auto"/>
        </w:rPr>
        <w:t>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97" w:lineRule="exact"/>
        <w:rPr>
          <w:rFonts w:ascii="Arial" w:cs="Arial" w:eastAsia="Arial" w:hAnsi="Arial"/>
          <w:sz w:val="15"/>
          <w:szCs w:val="15"/>
          <w:color w:val="auto"/>
        </w:rPr>
      </w:pPr>
    </w:p>
    <w:p>
      <w:pPr>
        <w:ind w:left="1620" w:right="1179" w:hanging="148"/>
        <w:spacing w:after="0" w:line="264" w:lineRule="auto"/>
        <w:tabs>
          <w:tab w:leader="none" w:pos="16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Our Digital Experience</w:t>
      </w:r>
      <w:r>
        <w:rPr>
          <w:rFonts w:ascii="Arial" w:cs="Arial" w:eastAsia="Arial" w:hAnsi="Arial"/>
          <w:sz w:val="14"/>
          <w:szCs w:val="14"/>
          <w:color w:val="auto"/>
        </w:rPr>
        <w:t>. We have significantly improved the buying experience for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We overhauled our passenger service system in 2019 and transitioned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the premier passenger service system in the United States.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transition, 73% of our Minneapolis originating scheduled service passengers have checked in either online or at a kiosk. System wide over 67% of our scheduled service passengers have checked in electronically. These tools increase the chances that the passenger can skip the check in counter, which we believe improves our customers’ experience while also reducing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80" w:right="1199" w:firstLine="293"/>
        <w:spacing w:after="0" w:line="249" w:lineRule="auto"/>
        <w:rPr>
          <w:sz w:val="20"/>
          <w:szCs w:val="20"/>
          <w:color w:val="auto"/>
        </w:rPr>
      </w:pPr>
      <w:r>
        <w:rPr>
          <w:rFonts w:ascii="Arial" w:cs="Arial" w:eastAsia="Arial" w:hAnsi="Arial"/>
          <w:sz w:val="14"/>
          <w:szCs w:val="14"/>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83" w:lineRule="exact"/>
        <w:rPr>
          <w:sz w:val="20"/>
          <w:szCs w:val="20"/>
          <w:color w:val="auto"/>
        </w:rPr>
      </w:pPr>
    </w:p>
    <w:p>
      <w:pPr>
        <w:ind w:left="1180" w:right="1179" w:firstLine="293"/>
        <w:spacing w:after="0" w:line="265" w:lineRule="auto"/>
        <w:rPr>
          <w:sz w:val="20"/>
          <w:szCs w:val="20"/>
          <w:color w:val="auto"/>
        </w:rPr>
      </w:pPr>
      <w:r>
        <w:rPr>
          <w:rFonts w:ascii="Arial" w:cs="Arial" w:eastAsia="Arial" w:hAnsi="Arial"/>
          <w:sz w:val="14"/>
          <w:szCs w:val="14"/>
          <w:b w:val="1"/>
          <w:bCs w:val="1"/>
          <w:i w:val="1"/>
          <w:iCs w:val="1"/>
          <w:color w:val="auto"/>
        </w:rPr>
        <w:t xml:space="preserve">Competitive Low Cost Structure. </w:t>
      </w:r>
      <w:r>
        <w:rPr>
          <w:rFonts w:ascii="Arial" w:cs="Arial" w:eastAsia="Arial" w:hAnsi="Arial"/>
          <w:sz w:val="14"/>
          <w:szCs w:val="14"/>
          <w:color w:val="auto"/>
        </w:rPr>
        <w:t>Our CASM declined from 10.09 cents for the year ended December 31,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2017 to 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 7.57 cents and for the six months ended June 30, 2021 of 7.19 cents and 6.25 cents, respectively,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97" w:lineRule="exact"/>
        <w:rPr>
          <w:sz w:val="20"/>
          <w:szCs w:val="20"/>
          <w:color w:val="auto"/>
        </w:rPr>
      </w:pPr>
    </w:p>
    <w:p>
      <w:pPr>
        <w:ind w:left="1180" w:right="1179" w:firstLine="293"/>
        <w:spacing w:after="0" w:line="271" w:lineRule="auto"/>
        <w:rPr>
          <w:sz w:val="20"/>
          <w:szCs w:val="20"/>
          <w:color w:val="auto"/>
        </w:rPr>
      </w:pPr>
      <w:r>
        <w:rPr>
          <w:rFonts w:ascii="Arial" w:cs="Arial" w:eastAsia="Arial" w:hAnsi="Arial"/>
          <w:sz w:val="14"/>
          <w:szCs w:val="14"/>
          <w:b w:val="1"/>
          <w:bCs w:val="1"/>
          <w:i w:val="1"/>
          <w:iCs w:val="1"/>
          <w:color w:val="auto"/>
        </w:rPr>
        <w:t xml:space="preserve">Strong Position in Our Profitable MSP Home Market. </w:t>
      </w:r>
      <w:r>
        <w:rPr>
          <w:rFonts w:ascii="Arial" w:cs="Arial" w:eastAsia="Arial" w:hAnsi="Arial"/>
          <w:sz w:val="14"/>
          <w:szCs w:val="14"/>
          <w:color w:val="auto"/>
        </w:rPr>
        <w:t>We have been based in the Minneapolis-St. Paul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area since our founding over 35 years 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79"/>
        <w:spacing w:after="0" w:line="248" w:lineRule="auto"/>
        <w:rPr>
          <w:sz w:val="20"/>
          <w:szCs w:val="20"/>
          <w:color w:val="auto"/>
        </w:rPr>
      </w:pPr>
      <w:r>
        <w:rPr>
          <w:rFonts w:ascii="Arial" w:cs="Arial" w:eastAsia="Arial" w:hAnsi="Arial"/>
          <w:sz w:val="14"/>
          <w:szCs w:val="14"/>
          <w:color w:val="auto"/>
        </w:rPr>
        <w:t>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90" w:lineRule="exact"/>
        <w:rPr>
          <w:sz w:val="20"/>
          <w:szCs w:val="20"/>
          <w:color w:val="auto"/>
        </w:rPr>
      </w:pPr>
    </w:p>
    <w:p>
      <w:pPr>
        <w:ind w:left="1180" w:right="1199" w:firstLine="293"/>
        <w:spacing w:after="0" w:line="252" w:lineRule="auto"/>
        <w:rPr>
          <w:sz w:val="20"/>
          <w:szCs w:val="20"/>
          <w:color w:val="auto"/>
        </w:rPr>
      </w:pPr>
      <w:r>
        <w:rPr>
          <w:rFonts w:ascii="Arial" w:cs="Arial" w:eastAsia="Arial" w:hAnsi="Arial"/>
          <w:sz w:val="14"/>
          <w:szCs w:val="14"/>
          <w:b w:val="1"/>
          <w:bCs w:val="1"/>
          <w:i w:val="1"/>
          <w:iCs w:val="1"/>
          <w:color w:val="auto"/>
        </w:rPr>
        <w:t xml:space="preserve">Seasoned Management Team. </w:t>
      </w:r>
      <w:r>
        <w:rPr>
          <w:rFonts w:ascii="Arial" w:cs="Arial" w:eastAsia="Arial" w:hAnsi="Arial"/>
          <w:sz w:val="14"/>
          <w:szCs w:val="14"/>
          <w:color w:val="auto"/>
        </w:rPr>
        <w:t>Our Chief Executive Officer, Jude Bricker, joined Sun Country Airlines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July 2017 and has over 17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Growth Strategy</w:t>
      </w:r>
    </w:p>
    <w:p>
      <w:pPr>
        <w:spacing w:after="0" w:line="128" w:lineRule="exact"/>
        <w:rPr>
          <w:sz w:val="20"/>
          <w:szCs w:val="20"/>
          <w:color w:val="auto"/>
        </w:rPr>
      </w:pPr>
    </w:p>
    <w:p>
      <w:pPr>
        <w:jc w:val="both"/>
        <w:ind w:left="1180" w:right="1559" w:firstLine="293"/>
        <w:spacing w:after="0" w:line="239" w:lineRule="auto"/>
        <w:rPr>
          <w:sz w:val="20"/>
          <w:szCs w:val="20"/>
          <w:color w:val="auto"/>
        </w:rPr>
      </w:pPr>
      <w:r>
        <w:rPr>
          <w:rFonts w:ascii="Arial" w:cs="Arial" w:eastAsia="Arial" w:hAnsi="Arial"/>
          <w:sz w:val="15"/>
          <w:szCs w:val="15"/>
          <w:color w:val="auto"/>
        </w:rPr>
        <w:t>Since 2018, we have established the infrastructure to support our significant long-term profitable growth strategy that we plan to continue once the U.S. air travel market rebounds from the COVID-19 induced downturn.</w:t>
      </w:r>
    </w:p>
    <w:p>
      <w:pPr>
        <w:spacing w:after="0" w:line="56" w:lineRule="exact"/>
        <w:rPr>
          <w:sz w:val="20"/>
          <w:szCs w:val="20"/>
          <w:color w:val="auto"/>
        </w:rPr>
      </w:pPr>
    </w:p>
    <w:p>
      <w:pPr>
        <w:ind w:left="1620" w:right="1299" w:hanging="148"/>
        <w:spacing w:after="0" w:line="251"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Network. </w:t>
      </w:r>
      <w:r>
        <w:rPr>
          <w:rFonts w:ascii="Arial" w:cs="Arial" w:eastAsia="Arial" w:hAnsi="Arial"/>
          <w:sz w:val="15"/>
          <w:szCs w:val="15"/>
          <w:color w:val="auto"/>
        </w:rPr>
        <w:t>We launched 64 new markets from 2018 through 2019 and developed a repeatable</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growth strategy. Since the start of 2021, we have announced 35 new markets. Our network strategy is expected to support passenger fleet growth to approximately 50 aircraft by the end of 2023.</w:t>
      </w:r>
    </w:p>
    <w:p>
      <w:pPr>
        <w:spacing w:after="0" w:line="58" w:lineRule="exact"/>
        <w:rPr>
          <w:rFonts w:ascii="Arial" w:cs="Arial" w:eastAsia="Arial" w:hAnsi="Arial"/>
          <w:sz w:val="15"/>
          <w:szCs w:val="15"/>
          <w:color w:val="auto"/>
        </w:rPr>
      </w:pPr>
    </w:p>
    <w:p>
      <w:pPr>
        <w:ind w:left="1620" w:right="1339" w:hanging="148"/>
        <w:spacing w:after="0" w:line="251"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Fleet. </w:t>
      </w:r>
      <w:r>
        <w:rPr>
          <w:rFonts w:ascii="Arial" w:cs="Arial" w:eastAsia="Arial" w:hAnsi="Arial"/>
          <w:sz w:val="15"/>
          <w:szCs w:val="15"/>
          <w:color w:val="auto"/>
        </w:rPr>
        <w:t>We restructured our fleet with a focus on ownership of Boeing 737-800s with no planned</w:t>
      </w:r>
      <w:r>
        <w:rPr>
          <w:rFonts w:ascii="Arial" w:cs="Arial" w:eastAsia="Arial" w:hAnsi="Arial"/>
          <w:sz w:val="15"/>
          <w:szCs w:val="15"/>
          <w:i w:val="1"/>
          <w:iCs w:val="1"/>
          <w:color w:val="auto"/>
        </w:rPr>
        <w:t xml:space="preserve"> </w:t>
      </w:r>
      <w:r>
        <w:rPr>
          <w:rFonts w:ascii="Arial" w:cs="Arial" w:eastAsia="Arial" w:hAnsi="Arial"/>
          <w:sz w:val="15"/>
          <w:szCs w:val="15"/>
          <w:color w:val="auto"/>
        </w:rPr>
        <w:t>lease redeliveries prior to 2024, allowing us to focus on growth with low capital commitments. We believe the current dislocation in the aircraft market will enable us to access new aircraft at an attractive cost relative to our peers.</w:t>
      </w:r>
    </w:p>
    <w:p>
      <w:pPr>
        <w:spacing w:after="0" w:line="58" w:lineRule="exact"/>
        <w:rPr>
          <w:rFonts w:ascii="Arial" w:cs="Arial" w:eastAsia="Arial" w:hAnsi="Arial"/>
          <w:sz w:val="15"/>
          <w:szCs w:val="15"/>
          <w:color w:val="auto"/>
        </w:rPr>
      </w:pPr>
    </w:p>
    <w:p>
      <w:pPr>
        <w:ind w:left="1620" w:right="1239" w:hanging="148"/>
        <w:spacing w:after="0" w:line="25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Customer. </w:t>
      </w:r>
      <w:r>
        <w:rPr>
          <w:rFonts w:ascii="Arial" w:cs="Arial" w:eastAsia="Arial" w:hAnsi="Arial"/>
          <w:sz w:val="15"/>
          <w:szCs w:val="15"/>
          <w:color w:val="auto"/>
        </w:rPr>
        <w:t>We rebranded the airline around a leisure product with a significant ancillary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which we believe will allow us to stimulate demand during the rebound from COVID-19 earlier than airlines focused on business travelers.</w:t>
      </w:r>
    </w:p>
    <w:p>
      <w:pPr>
        <w:spacing w:after="0" w:line="56" w:lineRule="exact"/>
        <w:rPr>
          <w:rFonts w:ascii="Arial" w:cs="Arial" w:eastAsia="Arial" w:hAnsi="Arial"/>
          <w:sz w:val="15"/>
          <w:szCs w:val="15"/>
          <w:color w:val="auto"/>
        </w:rPr>
      </w:pPr>
    </w:p>
    <w:p>
      <w:pPr>
        <w:ind w:left="1620" w:right="1219" w:hanging="148"/>
        <w:spacing w:after="0" w:line="26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Culture. </w:t>
      </w:r>
      <w:r>
        <w:rPr>
          <w:rFonts w:ascii="Arial" w:cs="Arial" w:eastAsia="Arial" w:hAnsi="Arial"/>
          <w:sz w:val="15"/>
          <w:szCs w:val="15"/>
          <w:color w:val="auto"/>
        </w:rPr>
        <w:t>We installed a new management team with a cost-conscious ethos, which included moving</w:t>
      </w:r>
      <w:r>
        <w:rPr>
          <w:rFonts w:ascii="Arial" w:cs="Arial" w:eastAsia="Arial" w:hAnsi="Arial"/>
          <w:sz w:val="15"/>
          <w:szCs w:val="15"/>
          <w:i w:val="1"/>
          <w:iCs w:val="1"/>
          <w:color w:val="auto"/>
        </w:rPr>
        <w:t xml:space="preserve"> </w:t>
      </w:r>
      <w:r>
        <w:rPr>
          <w:rFonts w:ascii="Arial" w:cs="Arial" w:eastAsia="Arial" w:hAnsi="Arial"/>
          <w:sz w:val="15"/>
          <w:szCs w:val="15"/>
          <w:color w:val="auto"/>
        </w:rPr>
        <w:t>our headquarters into a hangar at MSP.</w:t>
      </w:r>
    </w:p>
    <w:p>
      <w:pPr>
        <w:spacing w:after="0" w:line="49" w:lineRule="exact"/>
        <w:rPr>
          <w:rFonts w:ascii="Arial" w:cs="Arial" w:eastAsia="Arial" w:hAnsi="Arial"/>
          <w:sz w:val="15"/>
          <w:szCs w:val="15"/>
          <w:color w:val="auto"/>
        </w:rPr>
      </w:pPr>
    </w:p>
    <w:p>
      <w:pPr>
        <w:ind w:left="1620" w:right="1799" w:hanging="148"/>
        <w:spacing w:after="0" w:line="264"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Operations. </w:t>
      </w:r>
      <w:r>
        <w:rPr>
          <w:rFonts w:ascii="Arial" w:cs="Arial" w:eastAsia="Arial" w:hAnsi="Arial"/>
          <w:sz w:val="15"/>
          <w:szCs w:val="15"/>
          <w:color w:val="auto"/>
        </w:rPr>
        <w:t>We maintained high standards of operational performance, including a 99.8%</w:t>
      </w:r>
      <w:r>
        <w:rPr>
          <w:rFonts w:ascii="Arial" w:cs="Arial" w:eastAsia="Arial" w:hAnsi="Arial"/>
          <w:sz w:val="15"/>
          <w:szCs w:val="15"/>
          <w:i w:val="1"/>
          <w:iCs w:val="1"/>
          <w:color w:val="auto"/>
        </w:rPr>
        <w:t xml:space="preserve"> </w:t>
      </w:r>
      <w:r>
        <w:rPr>
          <w:rFonts w:ascii="Arial" w:cs="Arial" w:eastAsia="Arial" w:hAnsi="Arial"/>
          <w:sz w:val="15"/>
          <w:szCs w:val="15"/>
          <w:color w:val="auto"/>
        </w:rPr>
        <w:t>completion factor for the year ended December 31, 2019.</w:t>
      </w:r>
    </w:p>
    <w:p>
      <w:pPr>
        <w:spacing w:after="0" w:line="93" w:lineRule="exact"/>
        <w:rPr>
          <w:sz w:val="20"/>
          <w:szCs w:val="20"/>
          <w:color w:val="auto"/>
        </w:rPr>
      </w:pPr>
    </w:p>
    <w:p>
      <w:pPr>
        <w:ind w:left="1180" w:right="1619" w:firstLine="293"/>
        <w:spacing w:after="0" w:line="248" w:lineRule="auto"/>
        <w:rPr>
          <w:sz w:val="20"/>
          <w:szCs w:val="20"/>
          <w:color w:val="auto"/>
        </w:rPr>
      </w:pPr>
      <w:r>
        <w:rPr>
          <w:rFonts w:ascii="Arial" w:cs="Arial" w:eastAsia="Arial" w:hAnsi="Arial"/>
          <w:sz w:val="15"/>
          <w:szCs w:val="15"/>
          <w:color w:val="auto"/>
        </w:rPr>
        <w:t>We believe our initiatives have provided us with a platform to profitably grow our business. Key elements of our growth strategy include:</w:t>
      </w:r>
    </w:p>
    <w:p>
      <w:pPr>
        <w:spacing w:after="0" w:line="94" w:lineRule="exact"/>
        <w:rPr>
          <w:sz w:val="20"/>
          <w:szCs w:val="20"/>
          <w:color w:val="auto"/>
        </w:rPr>
      </w:pPr>
    </w:p>
    <w:p>
      <w:pPr>
        <w:ind w:left="1180" w:right="1239" w:firstLine="293"/>
        <w:spacing w:after="0" w:line="251" w:lineRule="auto"/>
        <w:rPr>
          <w:sz w:val="20"/>
          <w:szCs w:val="20"/>
          <w:color w:val="auto"/>
        </w:rPr>
      </w:pPr>
      <w:r>
        <w:rPr>
          <w:rFonts w:ascii="Arial" w:cs="Arial" w:eastAsia="Arial" w:hAnsi="Arial"/>
          <w:sz w:val="14"/>
          <w:szCs w:val="14"/>
          <w:b w:val="1"/>
          <w:bCs w:val="1"/>
          <w:i w:val="1"/>
          <w:iCs w:val="1"/>
          <w:color w:val="auto"/>
        </w:rPr>
        <w:t xml:space="preserve">Leverage the Expected Rebound in Our Passenger Business. </w:t>
      </w:r>
      <w:r>
        <w:rPr>
          <w:rFonts w:ascii="Arial" w:cs="Arial" w:eastAsia="Arial" w:hAnsi="Arial"/>
          <w:sz w:val="14"/>
          <w:szCs w:val="14"/>
          <w:color w:val="auto"/>
        </w:rPr>
        <w:t>The number of domestic LCC and ULCC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 -19 levels. In previous economic downturns, leisure and VFR travelers have also been the first to return to flying at normalized levels.</w:t>
      </w:r>
    </w:p>
    <w:p>
      <w:pPr>
        <w:spacing w:after="0" w:line="81" w:lineRule="exact"/>
        <w:rPr>
          <w:sz w:val="20"/>
          <w:szCs w:val="20"/>
          <w:color w:val="auto"/>
        </w:rPr>
      </w:pPr>
    </w:p>
    <w:p>
      <w:pPr>
        <w:ind w:left="1180" w:right="1279" w:firstLine="293"/>
        <w:spacing w:after="0" w:line="323" w:lineRule="auto"/>
        <w:rPr>
          <w:sz w:val="20"/>
          <w:szCs w:val="20"/>
          <w:color w:val="auto"/>
        </w:rPr>
      </w:pPr>
      <w:r>
        <w:rPr>
          <w:rFonts w:ascii="Arial" w:cs="Arial" w:eastAsia="Arial" w:hAnsi="Arial"/>
          <w:sz w:val="13"/>
          <w:szCs w:val="13"/>
          <w:b w:val="1"/>
          <w:bCs w:val="1"/>
          <w:i w:val="1"/>
          <w:iCs w:val="1"/>
          <w:color w:val="auto"/>
        </w:rPr>
        <w:t xml:space="preserve">Grow Our Cargo Business. </w:t>
      </w:r>
      <w:r>
        <w:rPr>
          <w:rFonts w:ascii="Arial" w:cs="Arial" w:eastAsia="Arial" w:hAnsi="Arial"/>
          <w:sz w:val="13"/>
          <w:szCs w:val="13"/>
          <w:color w:val="auto"/>
        </w:rPr>
        <w:t>In December 2019, we signed the ATSA with Amazon to provide air cargo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transportation services flying 10 aircraft with agreed pricing. Since that time, Amazon requested, and we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219"/>
        <w:spacing w:after="0" w:line="254" w:lineRule="auto"/>
        <w:rPr>
          <w:sz w:val="20"/>
          <w:szCs w:val="20"/>
          <w:color w:val="auto"/>
        </w:rPr>
      </w:pPr>
      <w:r>
        <w:rPr>
          <w:rFonts w:ascii="Arial" w:cs="Arial" w:eastAsia="Arial" w:hAnsi="Arial"/>
          <w:sz w:val="15"/>
          <w:szCs w:val="15"/>
          <w:color w:val="auto"/>
        </w:rPr>
        <w:t>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90" w:lineRule="exact"/>
        <w:rPr>
          <w:sz w:val="20"/>
          <w:szCs w:val="20"/>
          <w:color w:val="auto"/>
        </w:rPr>
      </w:pPr>
    </w:p>
    <w:p>
      <w:pPr>
        <w:ind w:left="1180" w:right="1219" w:firstLine="293"/>
        <w:spacing w:after="0" w:line="265" w:lineRule="auto"/>
        <w:rPr>
          <w:sz w:val="20"/>
          <w:szCs w:val="20"/>
          <w:color w:val="auto"/>
        </w:rPr>
      </w:pPr>
      <w:r>
        <w:rPr>
          <w:rFonts w:ascii="Arial" w:cs="Arial" w:eastAsia="Arial" w:hAnsi="Arial"/>
          <w:sz w:val="14"/>
          <w:szCs w:val="14"/>
          <w:b w:val="1"/>
          <w:bCs w:val="1"/>
          <w:i w:val="1"/>
          <w:iCs w:val="1"/>
          <w:color w:val="auto"/>
        </w:rPr>
        <w:t xml:space="preserve">Expand our Peak Demand Flying in Minneapolis and Beyond. </w:t>
      </w:r>
      <w:r>
        <w:rPr>
          <w:rFonts w:ascii="Arial" w:cs="Arial" w:eastAsia="Arial" w:hAnsi="Arial"/>
          <w:sz w:val="14"/>
          <w:szCs w:val="14"/>
          <w:color w:val="auto"/>
        </w:rPr>
        <w:t>Following a rebound in U.S. air travel,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 to continue growing our 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95" w:lineRule="exact"/>
        <w:rPr>
          <w:sz w:val="20"/>
          <w:szCs w:val="20"/>
          <w:color w:val="auto"/>
        </w:rPr>
      </w:pPr>
    </w:p>
    <w:p>
      <w:pPr>
        <w:ind w:left="1180" w:right="1199" w:firstLine="293"/>
        <w:spacing w:after="0" w:line="265" w:lineRule="auto"/>
        <w:rPr>
          <w:sz w:val="20"/>
          <w:szCs w:val="20"/>
          <w:color w:val="auto"/>
        </w:rPr>
      </w:pPr>
      <w:r>
        <w:rPr>
          <w:rFonts w:ascii="Arial" w:cs="Arial" w:eastAsia="Arial" w:hAnsi="Arial"/>
          <w:sz w:val="14"/>
          <w:szCs w:val="14"/>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99" w:lineRule="exact"/>
        <w:rPr>
          <w:sz w:val="20"/>
          <w:szCs w:val="20"/>
          <w:color w:val="auto"/>
        </w:rPr>
      </w:pPr>
    </w:p>
    <w:p>
      <w:pPr>
        <w:ind w:left="1180" w:right="1199" w:firstLine="293"/>
        <w:spacing w:after="0" w:line="290" w:lineRule="auto"/>
        <w:rPr>
          <w:sz w:val="20"/>
          <w:szCs w:val="20"/>
          <w:color w:val="auto"/>
        </w:rPr>
      </w:pPr>
      <w:r>
        <w:rPr>
          <w:rFonts w:ascii="Arial" w:cs="Arial" w:eastAsia="Arial" w:hAnsi="Arial"/>
          <w:sz w:val="13"/>
          <w:szCs w:val="13"/>
          <w:b w:val="1"/>
          <w:bCs w:val="1"/>
          <w:i w:val="1"/>
          <w:iCs w:val="1"/>
          <w:color w:val="auto"/>
        </w:rPr>
        <w:t xml:space="preserve">Continue to Increase Our Margins and Free Cash Flow. </w:t>
      </w:r>
      <w:r>
        <w:rPr>
          <w:rFonts w:ascii="Arial" w:cs="Arial" w:eastAsia="Arial" w:hAnsi="Arial"/>
          <w:sz w:val="13"/>
          <w:szCs w:val="13"/>
          <w:color w:val="auto"/>
        </w:rPr>
        <w:t>From December 31, 2017 through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we reduced our CASM from 10.09 cents to 8.82 cents and our Adjusted CASM from 7.80 cents to</w:t>
      </w:r>
    </w:p>
    <w:p>
      <w:pPr>
        <w:spacing w:after="0" w:line="1" w:lineRule="exact"/>
        <w:rPr>
          <w:sz w:val="20"/>
          <w:szCs w:val="20"/>
          <w:color w:val="auto"/>
        </w:rPr>
      </w:pPr>
    </w:p>
    <w:p>
      <w:pPr>
        <w:ind w:left="1180" w:right="1179"/>
        <w:spacing w:after="0" w:line="286" w:lineRule="auto"/>
        <w:rPr>
          <w:sz w:val="20"/>
          <w:szCs w:val="20"/>
          <w:color w:val="auto"/>
        </w:rPr>
      </w:pPr>
      <w:r>
        <w:rPr>
          <w:rFonts w:ascii="Arial" w:cs="Arial" w:eastAsia="Arial" w:hAnsi="Arial"/>
          <w:sz w:val="13"/>
          <w:szCs w:val="13"/>
          <w:color w:val="auto"/>
        </w:rPr>
        <w:t>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Route Network</w:t>
      </w:r>
    </w:p>
    <w:p>
      <w:pPr>
        <w:spacing w:after="0" w:line="117" w:lineRule="exact"/>
        <w:rPr>
          <w:sz w:val="20"/>
          <w:szCs w:val="20"/>
          <w:color w:val="auto"/>
        </w:rPr>
      </w:pPr>
    </w:p>
    <w:p>
      <w:pPr>
        <w:ind w:left="1180" w:right="1199" w:firstLine="293"/>
        <w:spacing w:after="0" w:line="254" w:lineRule="auto"/>
        <w:rPr>
          <w:sz w:val="20"/>
          <w:szCs w:val="20"/>
          <w:color w:val="auto"/>
        </w:rPr>
      </w:pPr>
      <w:r>
        <w:rPr>
          <w:rFonts w:ascii="Arial" w:cs="Arial" w:eastAsia="Arial" w:hAnsi="Arial"/>
          <w:sz w:val="15"/>
          <w:szCs w:val="15"/>
          <w:color w:val="auto"/>
        </w:rPr>
        <w:t>During the twelve months ended June 30, 2021, we served 61 airports throughout the United States, Mexico, Central America and the Caribbean. In 2020 we operated 10 new routes and we have announced 35 new routes in 2021. The map below represents our current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Risk Factor Summary</w:t>
      </w:r>
    </w:p>
    <w:p>
      <w:pPr>
        <w:spacing w:after="0" w:line="117" w:lineRule="exact"/>
        <w:rPr>
          <w:sz w:val="20"/>
          <w:szCs w:val="20"/>
          <w:color w:val="auto"/>
        </w:rPr>
      </w:pPr>
    </w:p>
    <w:p>
      <w:pPr>
        <w:ind w:left="1180" w:right="1199" w:firstLine="293"/>
        <w:spacing w:after="0" w:line="235" w:lineRule="auto"/>
        <w:rPr>
          <w:sz w:val="20"/>
          <w:szCs w:val="20"/>
          <w:color w:val="auto"/>
        </w:rPr>
      </w:pPr>
      <w:r>
        <w:rPr>
          <w:rFonts w:ascii="Arial" w:cs="Arial" w:eastAsia="Arial" w:hAnsi="Arial"/>
          <w:sz w:val="15"/>
          <w:szCs w:val="15"/>
          <w:color w:val="auto"/>
        </w:rPr>
        <w:t>Participating in this offering involves substantial risk. Our ability to execute our strategy also is subject to certain risks. The risks described under the heading “</w:t>
      </w:r>
      <w:r>
        <w:rPr>
          <w:rFonts w:ascii="Arial" w:cs="Arial" w:eastAsia="Arial" w:hAnsi="Arial"/>
          <w:sz w:val="15"/>
          <w:szCs w:val="15"/>
          <w:i w:val="1"/>
          <w:iCs w:val="1"/>
          <w:color w:val="auto"/>
        </w:rPr>
        <w:t>Risk Factors</w:t>
      </w:r>
      <w:r>
        <w:rPr>
          <w:rFonts w:ascii="Arial" w:cs="Arial" w:eastAsia="Arial" w:hAnsi="Arial"/>
          <w:sz w:val="15"/>
          <w:szCs w:val="15"/>
          <w:color w:val="auto"/>
        </w:rPr>
        <w:t>” immediately following this summary may cause us not to realize the full benefits of our competitive strengths or may cause us to be unable to successfully execute all or part of our strategy. Some of the more significant challenges and risks we face include the following:</w:t>
      </w:r>
    </w:p>
    <w:p>
      <w:pPr>
        <w:spacing w:after="0" w:line="67" w:lineRule="exact"/>
        <w:rPr>
          <w:sz w:val="20"/>
          <w:szCs w:val="20"/>
          <w:color w:val="auto"/>
        </w:rPr>
      </w:pPr>
    </w:p>
    <w:p>
      <w:pPr>
        <w:ind w:left="1620" w:right="1519" w:hanging="148"/>
        <w:spacing w:after="0" w:line="264"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COVID-19 pandemic and its effects, including variants, travel restrictions, social distancing measures and decreased demand for air travel;</w:t>
      </w:r>
    </w:p>
    <w:p>
      <w:pPr>
        <w:spacing w:after="0" w:line="60" w:lineRule="exact"/>
        <w:rPr>
          <w:rFonts w:ascii="Arial" w:cs="Arial" w:eastAsia="Arial" w:hAnsi="Arial"/>
          <w:sz w:val="15"/>
          <w:szCs w:val="15"/>
          <w:color w:val="auto"/>
        </w:rPr>
      </w:pPr>
    </w:p>
    <w:p>
      <w:pPr>
        <w:ind w:left="1620" w:right="1259" w:hanging="148"/>
        <w:spacing w:after="0" w:line="254"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are depending upon continued uptake of the COVID-19 vaccine by the general public in order to normalize economic conditions, the airline industry and our business operations and to realize our planned financial and growth plans and business strategy;</w:t>
      </w:r>
    </w:p>
    <w:p>
      <w:pPr>
        <w:spacing w:after="0" w:line="56" w:lineRule="exact"/>
        <w:rPr>
          <w:rFonts w:ascii="Arial" w:cs="Arial" w:eastAsia="Arial" w:hAnsi="Arial"/>
          <w:sz w:val="15"/>
          <w:szCs w:val="15"/>
          <w:color w:val="auto"/>
        </w:rPr>
      </w:pPr>
    </w:p>
    <w:p>
      <w:pPr>
        <w:ind w:left="1620" w:hanging="148"/>
        <w:spacing w:after="0"/>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economic conditions;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price and availability of aircraft fuel and our ability to control other costs;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threatened or actual terrorist attacks or security concerns;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ability to operate in an exceedingly competitive industry;</w:t>
      </w:r>
    </w:p>
    <w:p>
      <w:pPr>
        <w:spacing w:after="0" w:line="80" w:lineRule="exact"/>
        <w:rPr>
          <w:rFonts w:ascii="Arial" w:cs="Arial" w:eastAsia="Arial" w:hAnsi="Arial"/>
          <w:sz w:val="15"/>
          <w:szCs w:val="15"/>
          <w:color w:val="auto"/>
        </w:rPr>
      </w:pPr>
    </w:p>
    <w:p>
      <w:pPr>
        <w:ind w:left="1620" w:right="1459" w:hanging="148"/>
        <w:spacing w:after="0" w:line="300" w:lineRule="auto"/>
        <w:tabs>
          <w:tab w:leader="none" w:pos="1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factors beyond our control, including air traffic congestion, adverse weather, federal government shutdowns, aircraft-type groundings, increased security measures or disease outbreaks;</w:t>
      </w:r>
    </w:p>
    <w:p>
      <w:pPr>
        <w:spacing w:after="0" w:line="36" w:lineRule="exact"/>
        <w:rPr>
          <w:rFonts w:ascii="Arial" w:cs="Arial" w:eastAsia="Arial" w:hAnsi="Arial"/>
          <w:sz w:val="14"/>
          <w:szCs w:val="14"/>
          <w:color w:val="auto"/>
        </w:rPr>
      </w:pPr>
    </w:p>
    <w:p>
      <w:pPr>
        <w:ind w:left="1620" w:hanging="148"/>
        <w:spacing w:after="0"/>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ability to realize the anticipated strategic and financial benefits of the ATSA with Amazon;</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any restrictions on or increased taxes applicable to charges for ancillary products and services;</w:t>
      </w:r>
    </w:p>
    <w:p>
      <w:pPr>
        <w:spacing w:after="0" w:line="91" w:lineRule="exact"/>
        <w:rPr>
          <w:rFonts w:ascii="Arial" w:cs="Arial" w:eastAsia="Arial" w:hAnsi="Arial"/>
          <w:sz w:val="14"/>
          <w:szCs w:val="14"/>
          <w:color w:val="auto"/>
        </w:rPr>
      </w:pPr>
    </w:p>
    <w:p>
      <w:pPr>
        <w:ind w:left="1620" w:hanging="148"/>
        <w:spacing w:after="0"/>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concentration in the Minneapolis-St. Paul market; or</w:t>
      </w:r>
    </w:p>
    <w:p>
      <w:pPr>
        <w:spacing w:after="0" w:line="91" w:lineRule="exact"/>
        <w:rPr>
          <w:rFonts w:ascii="Arial" w:cs="Arial" w:eastAsia="Arial" w:hAnsi="Arial"/>
          <w:sz w:val="15"/>
          <w:szCs w:val="15"/>
          <w:color w:val="auto"/>
        </w:rPr>
      </w:pPr>
    </w:p>
    <w:p>
      <w:pPr>
        <w:ind w:left="1620" w:right="1859" w:hanging="148"/>
        <w:spacing w:after="0" w:line="264"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attract and retain qualified personnel, including but not limited to, pilots and technicians, at a reasonable cost or maintain our company culture.</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Sponsor</w:t>
      </w:r>
    </w:p>
    <w:p>
      <w:pPr>
        <w:spacing w:after="0" w:line="128" w:lineRule="exact"/>
        <w:rPr>
          <w:sz w:val="20"/>
          <w:szCs w:val="20"/>
          <w:color w:val="auto"/>
        </w:rPr>
      </w:pPr>
    </w:p>
    <w:p>
      <w:pPr>
        <w:ind w:left="1180" w:right="1259" w:firstLine="293"/>
        <w:spacing w:after="0" w:line="258" w:lineRule="auto"/>
        <w:rPr>
          <w:sz w:val="20"/>
          <w:szCs w:val="20"/>
          <w:color w:val="auto"/>
        </w:rPr>
      </w:pPr>
      <w:r>
        <w:rPr>
          <w:rFonts w:ascii="Arial" w:cs="Arial" w:eastAsia="Arial" w:hAnsi="Arial"/>
          <w:sz w:val="14"/>
          <w:szCs w:val="14"/>
          <w:color w:val="auto"/>
        </w:rPr>
        <w:t>Founded in 1990, Apollo is a leading global alternative investment manager with offices in New York, Los Angeles, San Diego, Houston, Bethesda, London, Frankfurt, Madrid, Luxembourg, Mumbai, Delhi, Singapore, Hong Kong, Shanghai and Tokyo, among others. Apollo had assets under management of approximately $472 billion as of June 30, 2021 in credit, private equity and real assets funds.</w:t>
      </w:r>
    </w:p>
    <w:p>
      <w:pPr>
        <w:spacing w:after="0" w:line="77" w:lineRule="exact"/>
        <w:rPr>
          <w:sz w:val="20"/>
          <w:szCs w:val="20"/>
          <w:color w:val="auto"/>
        </w:rPr>
      </w:pPr>
    </w:p>
    <w:p>
      <w:pPr>
        <w:ind w:left="1180" w:right="1339" w:firstLine="293"/>
        <w:spacing w:after="0" w:line="283" w:lineRule="auto"/>
        <w:rPr>
          <w:sz w:val="20"/>
          <w:szCs w:val="20"/>
          <w:color w:val="auto"/>
        </w:rPr>
      </w:pPr>
      <w:r>
        <w:rPr>
          <w:rFonts w:ascii="Arial" w:cs="Arial" w:eastAsia="Arial" w:hAnsi="Arial"/>
          <w:sz w:val="14"/>
          <w:szCs w:val="14"/>
          <w:color w:val="auto"/>
        </w:rPr>
        <w:t>Upon the closing of this offering, the Apollo Stockholder will no longer own a majority of the voting power of our outstanding common stock. As a result, we will no longer be a “controlled company” within</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359"/>
        <w:spacing w:after="0" w:line="236" w:lineRule="auto"/>
        <w:rPr>
          <w:sz w:val="20"/>
          <w:szCs w:val="20"/>
          <w:color w:val="auto"/>
        </w:rPr>
      </w:pPr>
      <w:r>
        <w:rPr>
          <w:rFonts w:ascii="Arial" w:cs="Arial" w:eastAsia="Arial" w:hAnsi="Arial"/>
          <w:sz w:val="15"/>
          <w:szCs w:val="15"/>
          <w:color w:val="auto"/>
        </w:rPr>
        <w:t>the meaning of the Nasdaq corporate governance standards and we will be required to comply with additional corporate governance requirements of the Nasdaq rules, subject to the applicable phase- in periods. For further information, see “</w:t>
      </w:r>
      <w:r>
        <w:rPr>
          <w:rFonts w:ascii="Arial" w:cs="Arial" w:eastAsia="Arial" w:hAnsi="Arial"/>
          <w:sz w:val="15"/>
          <w:szCs w:val="15"/>
          <w:i w:val="1"/>
          <w:iCs w:val="1"/>
          <w:color w:val="auto"/>
        </w:rPr>
        <w:t>Risk Factors—Risks Related to this Offering and Ownership of Our</w:t>
      </w:r>
      <w:r>
        <w:rPr>
          <w:rFonts w:ascii="Arial" w:cs="Arial" w:eastAsia="Arial" w:hAnsi="Arial"/>
          <w:sz w:val="15"/>
          <w:szCs w:val="15"/>
          <w:color w:val="auto"/>
        </w:rPr>
        <w:t xml:space="preserve"> </w:t>
      </w:r>
      <w:r>
        <w:rPr>
          <w:rFonts w:ascii="Arial" w:cs="Arial" w:eastAsia="Arial" w:hAnsi="Arial"/>
          <w:sz w:val="15"/>
          <w:szCs w:val="15"/>
          <w:i w:val="1"/>
          <w:iCs w:val="1"/>
          <w:color w:val="auto"/>
        </w:rPr>
        <w:t>Common Stock</w:t>
      </w:r>
      <w:r>
        <w:rPr>
          <w:rFonts w:ascii="Arial" w:cs="Arial" w:eastAsia="Arial" w:hAnsi="Arial"/>
          <w:sz w:val="15"/>
          <w:szCs w:val="15"/>
          <w:color w:val="auto"/>
        </w:rPr>
        <w:t>” and “</w:t>
      </w:r>
      <w:r>
        <w:rPr>
          <w:rFonts w:ascii="Arial" w:cs="Arial" w:eastAsia="Arial" w:hAnsi="Arial"/>
          <w:sz w:val="15"/>
          <w:szCs w:val="15"/>
          <w:i w:val="1"/>
          <w:iCs w:val="1"/>
          <w:color w:val="auto"/>
        </w:rPr>
        <w:t>Management—Loss of Controlled Company Status</w:t>
      </w:r>
      <w:r>
        <w:rPr>
          <w:rFonts w:ascii="Arial" w:cs="Arial" w:eastAsia="Arial" w:hAnsi="Arial"/>
          <w:sz w:val="15"/>
          <w:szCs w:val="15"/>
          <w:color w:val="auto"/>
        </w:rPr>
        <w:t>.”</w:t>
      </w:r>
    </w:p>
    <w:p>
      <w:pPr>
        <w:spacing w:after="0" w:line="91" w:lineRule="exact"/>
        <w:rPr>
          <w:sz w:val="20"/>
          <w:szCs w:val="20"/>
          <w:color w:val="auto"/>
        </w:rPr>
      </w:pPr>
    </w:p>
    <w:p>
      <w:pPr>
        <w:ind w:left="1180" w:right="1239" w:firstLine="293"/>
        <w:spacing w:after="0" w:line="252" w:lineRule="auto"/>
        <w:rPr>
          <w:sz w:val="20"/>
          <w:szCs w:val="20"/>
          <w:color w:val="auto"/>
        </w:rPr>
      </w:pPr>
      <w:r>
        <w:rPr>
          <w:rFonts w:ascii="Arial" w:cs="Arial" w:eastAsia="Arial" w:hAnsi="Arial"/>
          <w:sz w:val="14"/>
          <w:szCs w:val="14"/>
          <w:color w:val="auto"/>
        </w:rPr>
        <w:t>The Apollo Stockholder has the right, at any time until Apollo and its affiliates, including the Apollo Stockholder, no longer beneficially own at least 5% of the voting power of our outstanding common stock, to nominate a number of directors comprising a percentage of our board of directors in accordance with their beneficial ownership of the voting power of our outstanding common stock (rounded up to the nearest whole number). See “</w:t>
      </w:r>
      <w:r>
        <w:rPr>
          <w:rFonts w:ascii="Arial" w:cs="Arial" w:eastAsia="Arial" w:hAnsi="Arial"/>
          <w:sz w:val="14"/>
          <w:szCs w:val="14"/>
          <w:i w:val="1"/>
          <w:iCs w:val="1"/>
          <w:color w:val="auto"/>
        </w:rPr>
        <w:t>Management—Board Composition</w:t>
      </w:r>
      <w:r>
        <w:rPr>
          <w:rFonts w:ascii="Arial" w:cs="Arial" w:eastAsia="Arial" w:hAnsi="Arial"/>
          <w:sz w:val="14"/>
          <w:szCs w:val="14"/>
          <w:color w:val="auto"/>
        </w:rPr>
        <w:t>,” “</w:t>
      </w:r>
      <w:r>
        <w:rPr>
          <w:rFonts w:ascii="Arial" w:cs="Arial" w:eastAsia="Arial" w:hAnsi="Arial"/>
          <w:sz w:val="14"/>
          <w:szCs w:val="14"/>
          <w:i w:val="1"/>
          <w:iCs w:val="1"/>
          <w:color w:val="auto"/>
        </w:rPr>
        <w:t>Certain Relationships and Related Party</w:t>
      </w:r>
      <w:r>
        <w:rPr>
          <w:rFonts w:ascii="Arial" w:cs="Arial" w:eastAsia="Arial" w:hAnsi="Arial"/>
          <w:sz w:val="14"/>
          <w:szCs w:val="14"/>
          <w:color w:val="auto"/>
        </w:rPr>
        <w:t xml:space="preserve"> </w:t>
      </w:r>
      <w:r>
        <w:rPr>
          <w:rFonts w:ascii="Arial" w:cs="Arial" w:eastAsia="Arial" w:hAnsi="Arial"/>
          <w:sz w:val="14"/>
          <w:szCs w:val="14"/>
          <w:i w:val="1"/>
          <w:iCs w:val="1"/>
          <w:color w:val="auto"/>
        </w:rPr>
        <w:t>Transactions—Stockholders Agreement</w:t>
      </w:r>
      <w:r>
        <w:rPr>
          <w:rFonts w:ascii="Arial" w:cs="Arial" w:eastAsia="Arial" w:hAnsi="Arial"/>
          <w:sz w:val="14"/>
          <w:szCs w:val="14"/>
          <w:color w:val="auto"/>
        </w:rPr>
        <w:t>” and “</w:t>
      </w:r>
      <w:r>
        <w:rPr>
          <w:rFonts w:ascii="Arial" w:cs="Arial" w:eastAsia="Arial" w:hAnsi="Arial"/>
          <w:sz w:val="14"/>
          <w:szCs w:val="14"/>
          <w:i w:val="1"/>
          <w:iCs w:val="1"/>
          <w:color w:val="auto"/>
        </w:rPr>
        <w:t>Description of Capital Stock—Composition of Board of Directors; Election and Removal of Directors</w:t>
      </w:r>
      <w:r>
        <w:rPr>
          <w:rFonts w:ascii="Arial" w:cs="Arial" w:eastAsia="Arial" w:hAnsi="Arial"/>
          <w:sz w:val="14"/>
          <w:szCs w:val="14"/>
          <w:color w:val="auto"/>
        </w:rPr>
        <w:t>” for more information.</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28" w:lineRule="exact"/>
        <w:rPr>
          <w:sz w:val="20"/>
          <w:szCs w:val="20"/>
          <w:color w:val="auto"/>
        </w:rPr>
      </w:pPr>
    </w:p>
    <w:p>
      <w:pPr>
        <w:ind w:left="1180" w:right="1299" w:firstLine="293"/>
        <w:spacing w:after="0" w:line="236" w:lineRule="auto"/>
        <w:rPr>
          <w:sz w:val="20"/>
          <w:szCs w:val="20"/>
          <w:color w:val="auto"/>
        </w:rPr>
      </w:pPr>
      <w:r>
        <w:rPr>
          <w:rFonts w:ascii="Arial" w:cs="Arial" w:eastAsia="Arial" w:hAnsi="Arial"/>
          <w:sz w:val="15"/>
          <w:szCs w:val="15"/>
          <w:color w:val="auto"/>
        </w:rPr>
        <w:t>We are an “emerging growth company” as defined in the Jumpstart Our Business Startups Act, or the JOBS Act, enacted in April 2012. As an “emerging growth company,” we may take advantage of specified reduced reporting and other requirements that are otherwise applicable to public companies. These provisions include, among other things:</w:t>
      </w:r>
    </w:p>
    <w:p>
      <w:pPr>
        <w:spacing w:after="0" w:line="69" w:lineRule="exact"/>
        <w:rPr>
          <w:sz w:val="20"/>
          <w:szCs w:val="20"/>
          <w:color w:val="auto"/>
        </w:rPr>
      </w:pPr>
    </w:p>
    <w:p>
      <w:pPr>
        <w:ind w:left="1620" w:right="1499" w:hanging="148"/>
        <w:spacing w:after="0" w:line="26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exemption from the auditor attestation requirement in the assessment on the effectiveness of our internal control over financial reporting;</w:t>
      </w:r>
    </w:p>
    <w:p>
      <w:pPr>
        <w:spacing w:after="0" w:line="59" w:lineRule="exact"/>
        <w:rPr>
          <w:rFonts w:ascii="Arial" w:cs="Arial" w:eastAsia="Arial" w:hAnsi="Arial"/>
          <w:sz w:val="15"/>
          <w:szCs w:val="15"/>
          <w:color w:val="auto"/>
        </w:rPr>
      </w:pPr>
    </w:p>
    <w:p>
      <w:pPr>
        <w:ind w:left="1620" w:right="1299" w:hanging="148"/>
        <w:spacing w:after="0" w:line="26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exemption from new or revised financial accounting standards applicable to public companies until such standards are also applicable to private companies;</w:t>
      </w:r>
    </w:p>
    <w:p>
      <w:pPr>
        <w:spacing w:after="0" w:line="60" w:lineRule="exact"/>
        <w:rPr>
          <w:rFonts w:ascii="Arial" w:cs="Arial" w:eastAsia="Arial" w:hAnsi="Arial"/>
          <w:sz w:val="15"/>
          <w:szCs w:val="15"/>
          <w:color w:val="auto"/>
        </w:rPr>
      </w:pPr>
    </w:p>
    <w:p>
      <w:pPr>
        <w:ind w:left="1620" w:right="1219" w:hanging="148"/>
        <w:spacing w:after="0" w:line="251"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exemption from compliance with any new requirements adopted by the Public Company Accounting Oversight Board (United States), requiring mandatory audit firm rotation or a supplement to our auditor’s report in which the auditor would be required to provide additional information about the audit and our financial statements;</w:t>
      </w:r>
    </w:p>
    <w:p>
      <w:pPr>
        <w:spacing w:after="0" w:line="69" w:lineRule="exact"/>
        <w:rPr>
          <w:rFonts w:ascii="Arial" w:cs="Arial" w:eastAsia="Arial" w:hAnsi="Arial"/>
          <w:sz w:val="15"/>
          <w:szCs w:val="15"/>
          <w:color w:val="auto"/>
        </w:rPr>
      </w:pPr>
    </w:p>
    <w:p>
      <w:pPr>
        <w:ind w:left="1620" w:right="1339" w:hanging="148"/>
        <w:spacing w:after="0" w:line="26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 exemption from the requirement to seek non-binding advisory votes on executive compensation and golden parachute arrangements; and</w:t>
      </w:r>
    </w:p>
    <w:p>
      <w:pPr>
        <w:spacing w:after="0" w:line="49" w:lineRule="exact"/>
        <w:rPr>
          <w:rFonts w:ascii="Arial" w:cs="Arial" w:eastAsia="Arial" w:hAnsi="Arial"/>
          <w:sz w:val="15"/>
          <w:szCs w:val="15"/>
          <w:color w:val="auto"/>
        </w:rPr>
      </w:pPr>
    </w:p>
    <w:p>
      <w:pPr>
        <w:ind w:left="1620" w:hanging="148"/>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reduced disclosure about executive compensation arrangements.</w:t>
      </w:r>
    </w:p>
    <w:p>
      <w:pPr>
        <w:spacing w:after="0" w:line="124" w:lineRule="exact"/>
        <w:rPr>
          <w:sz w:val="20"/>
          <w:szCs w:val="20"/>
          <w:color w:val="auto"/>
        </w:rPr>
      </w:pPr>
    </w:p>
    <w:p>
      <w:pPr>
        <w:ind w:left="1180" w:right="1179" w:firstLine="293"/>
        <w:spacing w:after="0" w:line="251" w:lineRule="auto"/>
        <w:rPr>
          <w:sz w:val="20"/>
          <w:szCs w:val="20"/>
          <w:color w:val="auto"/>
        </w:rPr>
      </w:pPr>
      <w:r>
        <w:rPr>
          <w:rFonts w:ascii="Arial" w:cs="Arial" w:eastAsia="Arial" w:hAnsi="Arial"/>
          <w:sz w:val="14"/>
          <w:szCs w:val="14"/>
          <w:color w:val="auto"/>
        </w:rPr>
        <w:t>We may take advantage of these provisions until the end of the fiscal year ending December 31, 2026 or such earlier time that we are no longer an “emerging growth company.” We will cease to be an “emerging growth company” if we have $1.07 billion or more in total annual gross revenues during our most recently completed fiscal year, if we become a “large accelerated filer,” which requires us to have been a public company for at least 12 months at the end of our most recently completed fiscal year and have the market value of our common stock held by non -affiliates exceeding $700 million as of the last business day of the second quarter of such fiscal year, or as of any date on which we have issued more than $1.0 billion in non-convertible debt over the three-year period to such date.</w:t>
      </w:r>
    </w:p>
    <w:p>
      <w:pPr>
        <w:spacing w:after="0" w:line="92" w:lineRule="exact"/>
        <w:rPr>
          <w:sz w:val="20"/>
          <w:szCs w:val="20"/>
          <w:color w:val="auto"/>
        </w:rPr>
      </w:pPr>
    </w:p>
    <w:p>
      <w:pPr>
        <w:ind w:left="1180" w:right="1199" w:firstLine="293"/>
        <w:spacing w:after="0" w:line="271" w:lineRule="auto"/>
        <w:rPr>
          <w:sz w:val="20"/>
          <w:szCs w:val="20"/>
          <w:color w:val="auto"/>
        </w:rPr>
      </w:pPr>
      <w:r>
        <w:rPr>
          <w:rFonts w:ascii="Arial" w:cs="Arial" w:eastAsia="Arial" w:hAnsi="Arial"/>
          <w:sz w:val="13"/>
          <w:szCs w:val="13"/>
          <w:color w:val="auto"/>
        </w:rPr>
        <w:t>We may choose to take advantage of some, but not all, of these reduced burdens. For example, we have taken advantage of the reduced reporting requirement with respect to disclosure regarding our executive compensation arrangements and expect to take advantage of the exemption from the auditor attestation requirement in the assessment on the effectiveness of our internal control over financial reporting. In addition, while we have elected to avail ourselves of the exemption to adopt new or revised accounting standards until those standards apply to private companies, we are permitted and have elected to early adopt certain new or revised accounting standards for which the respective standard allows for early adoption. See Note 2 to our audited consolidated financial statements included elsewhere in this prospectus for additional information. For as long as we take advantage of the reduced reporting obligations, the information that we provide stockholders may be different from information provided by other public companies.</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Reorganization Transactions</w:t>
      </w:r>
    </w:p>
    <w:p>
      <w:pPr>
        <w:spacing w:after="0" w:line="117" w:lineRule="exact"/>
        <w:rPr>
          <w:sz w:val="20"/>
          <w:szCs w:val="20"/>
          <w:color w:val="auto"/>
        </w:rPr>
      </w:pPr>
    </w:p>
    <w:p>
      <w:pPr>
        <w:ind w:left="1180" w:right="1559" w:firstLine="293"/>
        <w:spacing w:after="0" w:line="239" w:lineRule="auto"/>
        <w:rPr>
          <w:sz w:val="20"/>
          <w:szCs w:val="20"/>
          <w:color w:val="auto"/>
        </w:rPr>
      </w:pPr>
      <w:r>
        <w:rPr>
          <w:rFonts w:ascii="Arial" w:cs="Arial" w:eastAsia="Arial" w:hAnsi="Arial"/>
          <w:sz w:val="15"/>
          <w:szCs w:val="15"/>
          <w:color w:val="auto"/>
        </w:rPr>
        <w:t>We were formed in December 2017 as a Delaware limited liability company under the name SCA Acquisition Holdings, LLC in connection with the acquisition by the Apollo Funds. Following the acquisition</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459"/>
        <w:spacing w:after="0" w:line="297" w:lineRule="auto"/>
        <w:rPr>
          <w:sz w:val="20"/>
          <w:szCs w:val="20"/>
          <w:color w:val="auto"/>
        </w:rPr>
      </w:pPr>
      <w:r>
        <w:rPr>
          <w:rFonts w:ascii="Arial" w:cs="Arial" w:eastAsia="Arial" w:hAnsi="Arial"/>
          <w:sz w:val="13"/>
          <w:szCs w:val="13"/>
          <w:color w:val="auto"/>
        </w:rPr>
        <w:t>by the Apollo Funds in April 2018, one of the Apollo Funds beneficially owned 5,326,755 outstanding equity interests of SCA Acquisition Holdings, LLC, which historically were denominated as shares of common stock that we refer to as “SCA common stock,” which represented approximately 78.3% of the outstanding SCA common stock, and another Apollo Fund owned a warrant to purchase an additional 40,005,885 shares of SCA common stock at an exercise price of approximately $0.0005 per share.</w:t>
      </w:r>
    </w:p>
    <w:p>
      <w:pPr>
        <w:spacing w:after="0" w:line="64" w:lineRule="exact"/>
        <w:rPr>
          <w:sz w:val="20"/>
          <w:szCs w:val="20"/>
          <w:color w:val="auto"/>
        </w:rPr>
      </w:pPr>
    </w:p>
    <w:p>
      <w:pPr>
        <w:ind w:left="1180" w:right="1219" w:firstLine="293"/>
        <w:spacing w:after="0" w:line="248" w:lineRule="auto"/>
        <w:rPr>
          <w:sz w:val="20"/>
          <w:szCs w:val="20"/>
          <w:color w:val="auto"/>
        </w:rPr>
      </w:pPr>
      <w:r>
        <w:rPr>
          <w:rFonts w:ascii="Arial" w:cs="Arial" w:eastAsia="Arial" w:hAnsi="Arial"/>
          <w:sz w:val="15"/>
          <w:szCs w:val="15"/>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06" w:lineRule="exact"/>
        <w:rPr>
          <w:sz w:val="20"/>
          <w:szCs w:val="20"/>
          <w:color w:val="auto"/>
        </w:rPr>
      </w:pPr>
    </w:p>
    <w:p>
      <w:pPr>
        <w:ind w:left="1180" w:right="1159" w:firstLine="293"/>
        <w:spacing w:after="0" w:line="265" w:lineRule="auto"/>
        <w:rPr>
          <w:sz w:val="20"/>
          <w:szCs w:val="20"/>
          <w:color w:val="auto"/>
        </w:rPr>
      </w:pPr>
      <w:r>
        <w:rPr>
          <w:rFonts w:ascii="Arial" w:cs="Arial" w:eastAsia="Arial" w:hAnsi="Arial"/>
          <w:sz w:val="14"/>
          <w:szCs w:val="14"/>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99" w:lineRule="exact"/>
        <w:rPr>
          <w:sz w:val="20"/>
          <w:szCs w:val="20"/>
          <w:color w:val="auto"/>
        </w:rPr>
      </w:pPr>
    </w:p>
    <w:p>
      <w:pPr>
        <w:jc w:val="both"/>
        <w:ind w:left="1180" w:right="1179" w:firstLine="293"/>
        <w:spacing w:after="0" w:line="254" w:lineRule="auto"/>
        <w:rPr>
          <w:sz w:val="20"/>
          <w:szCs w:val="20"/>
          <w:color w:val="auto"/>
        </w:rPr>
      </w:pPr>
      <w:r>
        <w:rPr>
          <w:rFonts w:ascii="Arial" w:cs="Arial" w:eastAsia="Arial" w:hAnsi="Arial"/>
          <w:sz w:val="15"/>
          <w:szCs w:val="15"/>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90" w:lineRule="exact"/>
        <w:rPr>
          <w:sz w:val="20"/>
          <w:szCs w:val="20"/>
          <w:color w:val="auto"/>
        </w:rPr>
      </w:pPr>
    </w:p>
    <w:p>
      <w:pPr>
        <w:ind w:left="1180" w:right="1579" w:firstLine="293"/>
        <w:spacing w:after="0" w:line="254" w:lineRule="auto"/>
        <w:rPr>
          <w:sz w:val="20"/>
          <w:szCs w:val="20"/>
          <w:color w:val="auto"/>
        </w:rPr>
      </w:pPr>
      <w:r>
        <w:rPr>
          <w:rFonts w:ascii="Arial" w:cs="Arial" w:eastAsia="Arial" w:hAnsi="Arial"/>
          <w:sz w:val="15"/>
          <w:szCs w:val="15"/>
          <w:color w:val="auto"/>
        </w:rPr>
        <w:t>In this prospectus, we refer to the transactions described in this section as the “Reorganization Transactions.” The Reorganization Transactions were intended to simplify our capital structure and to facilitate our initial public offering.</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Corporate Information</w:t>
      </w:r>
    </w:p>
    <w:p>
      <w:pPr>
        <w:spacing w:after="0" w:line="128" w:lineRule="exact"/>
        <w:rPr>
          <w:sz w:val="20"/>
          <w:szCs w:val="20"/>
          <w:color w:val="auto"/>
        </w:rPr>
      </w:pPr>
    </w:p>
    <w:p>
      <w:pPr>
        <w:ind w:left="1180" w:right="1259" w:firstLine="293"/>
        <w:spacing w:after="0" w:line="292" w:lineRule="auto"/>
        <w:rPr>
          <w:sz w:val="20"/>
          <w:szCs w:val="20"/>
          <w:color w:val="auto"/>
        </w:rPr>
      </w:pPr>
      <w:r>
        <w:rPr>
          <w:rFonts w:ascii="Arial" w:cs="Arial" w:eastAsia="Arial" w:hAnsi="Arial"/>
          <w:sz w:val="13"/>
          <w:szCs w:val="13"/>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 w:name="page21"/>
    <w:bookmarkEnd w:id="2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Offering</w:t>
      </w:r>
    </w:p>
    <w:p>
      <w:pPr>
        <w:spacing w:after="0" w:line="128" w:lineRule="exact"/>
        <w:rPr>
          <w:sz w:val="20"/>
          <w:szCs w:val="20"/>
          <w:color w:val="auto"/>
        </w:rPr>
      </w:pPr>
    </w:p>
    <w:p>
      <w:pPr>
        <w:ind w:left="1180" w:right="1259" w:firstLine="293"/>
        <w:spacing w:after="0" w:line="254" w:lineRule="auto"/>
        <w:rPr>
          <w:sz w:val="20"/>
          <w:szCs w:val="20"/>
          <w:color w:val="auto"/>
        </w:rPr>
      </w:pPr>
      <w:r>
        <w:rPr>
          <w:rFonts w:ascii="Arial" w:cs="Arial" w:eastAsia="Arial" w:hAnsi="Arial"/>
          <w:sz w:val="15"/>
          <w:szCs w:val="15"/>
          <w:color w:val="auto"/>
        </w:rPr>
        <w:t>By participating in this offering, you are representing that you are a citizen of the United States, as defined in 49 U.S.C. § 40102(a)(15). See “</w:t>
      </w:r>
      <w:r>
        <w:rPr>
          <w:rFonts w:ascii="Arial" w:cs="Arial" w:eastAsia="Arial" w:hAnsi="Arial"/>
          <w:sz w:val="15"/>
          <w:szCs w:val="15"/>
          <w:i w:val="1"/>
          <w:iCs w:val="1"/>
          <w:color w:val="auto"/>
        </w:rPr>
        <w:t>Description of Capital Stock—Limited Ownership and Voting by</w:t>
      </w:r>
      <w:r>
        <w:rPr>
          <w:rFonts w:ascii="Arial" w:cs="Arial" w:eastAsia="Arial" w:hAnsi="Arial"/>
          <w:sz w:val="15"/>
          <w:szCs w:val="15"/>
          <w:color w:val="auto"/>
        </w:rPr>
        <w:t xml:space="preserve"> </w:t>
      </w:r>
      <w:r>
        <w:rPr>
          <w:rFonts w:ascii="Arial" w:cs="Arial" w:eastAsia="Arial" w:hAnsi="Arial"/>
          <w:sz w:val="15"/>
          <w:szCs w:val="15"/>
          <w:i w:val="1"/>
          <w:iCs w:val="1"/>
          <w:color w:val="auto"/>
        </w:rPr>
        <w:t>Foreign Owners</w:t>
      </w:r>
      <w:r>
        <w:rPr>
          <w:rFonts w:ascii="Arial" w:cs="Arial" w:eastAsia="Arial" w:hAnsi="Arial"/>
          <w:sz w:val="15"/>
          <w:szCs w:val="15"/>
          <w:color w:val="auto"/>
        </w:rPr>
        <w:t>.”</w:t>
      </w:r>
    </w:p>
    <w:p>
      <w:pPr>
        <w:sectPr>
          <w:pgSz w:w="11900" w:h="16838" w:orient="portrait"/>
          <w:cols w:equalWidth="0" w:num="1">
            <w:col w:w="9019"/>
          </w:cols>
          <w:pgMar w:left="1440" w:top="134" w:right="1440" w:bottom="1440" w:gutter="0" w:footer="0" w:header="0"/>
        </w:sectPr>
      </w:pPr>
    </w:p>
    <w:p>
      <w:pPr>
        <w:spacing w:after="0" w:line="68"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The Company</w:t>
      </w:r>
    </w:p>
    <w:p>
      <w:pPr>
        <w:spacing w:after="0" w:line="9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Common stock offered by us</w:t>
      </w:r>
    </w:p>
    <w:p>
      <w:pPr>
        <w:spacing w:after="0" w:line="91" w:lineRule="exact"/>
        <w:rPr>
          <w:sz w:val="20"/>
          <w:szCs w:val="20"/>
          <w:color w:val="auto"/>
        </w:rPr>
      </w:pPr>
    </w:p>
    <w:p>
      <w:pPr>
        <w:ind w:left="1320" w:right="180" w:hanging="145"/>
        <w:spacing w:after="0" w:line="264" w:lineRule="auto"/>
        <w:rPr>
          <w:sz w:val="20"/>
          <w:szCs w:val="20"/>
          <w:color w:val="auto"/>
        </w:rPr>
      </w:pPr>
      <w:r>
        <w:rPr>
          <w:rFonts w:ascii="Arial" w:cs="Arial" w:eastAsia="Arial" w:hAnsi="Arial"/>
          <w:sz w:val="15"/>
          <w:szCs w:val="15"/>
          <w:color w:val="auto"/>
        </w:rPr>
        <w:t>Common stock offered by the selling stockholders</w:t>
      </w:r>
    </w:p>
    <w:p>
      <w:pPr>
        <w:spacing w:after="0" w:line="236" w:lineRule="exact"/>
        <w:rPr>
          <w:sz w:val="20"/>
          <w:szCs w:val="20"/>
          <w:color w:val="auto"/>
        </w:rPr>
      </w:pPr>
    </w:p>
    <w:p>
      <w:pPr>
        <w:ind w:left="1320" w:hanging="145"/>
        <w:spacing w:after="0" w:line="264" w:lineRule="auto"/>
        <w:rPr>
          <w:sz w:val="20"/>
          <w:szCs w:val="20"/>
          <w:color w:val="auto"/>
        </w:rPr>
      </w:pPr>
      <w:r>
        <w:rPr>
          <w:rFonts w:ascii="Arial" w:cs="Arial" w:eastAsia="Arial" w:hAnsi="Arial"/>
          <w:sz w:val="15"/>
          <w:szCs w:val="15"/>
          <w:color w:val="auto"/>
        </w:rPr>
        <w:t>Common stock outstanding after this offering</w:t>
      </w:r>
    </w:p>
    <w:p>
      <w:pPr>
        <w:spacing w:after="0" w:line="200" w:lineRule="exact"/>
        <w:rPr>
          <w:sz w:val="20"/>
          <w:szCs w:val="20"/>
          <w:color w:val="auto"/>
        </w:rPr>
      </w:pPr>
    </w:p>
    <w:p>
      <w:pPr>
        <w:spacing w:after="0" w:line="212" w:lineRule="exact"/>
        <w:rPr>
          <w:sz w:val="20"/>
          <w:szCs w:val="20"/>
          <w:color w:val="auto"/>
        </w:rPr>
      </w:pPr>
    </w:p>
    <w:p>
      <w:pPr>
        <w:ind w:left="1320" w:right="180" w:hanging="145"/>
        <w:spacing w:after="0" w:line="264" w:lineRule="auto"/>
        <w:rPr>
          <w:sz w:val="20"/>
          <w:szCs w:val="20"/>
          <w:color w:val="auto"/>
        </w:rPr>
      </w:pPr>
      <w:r>
        <w:rPr>
          <w:rFonts w:ascii="Arial" w:cs="Arial" w:eastAsia="Arial" w:hAnsi="Arial"/>
          <w:sz w:val="15"/>
          <w:szCs w:val="15"/>
          <w:color w:val="auto"/>
        </w:rPr>
        <w:t>Option to purchase additional shares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Sun Country Airlines Holdings, Inc.</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67" w:lineRule="exact"/>
        <w:rPr>
          <w:sz w:val="20"/>
          <w:szCs w:val="20"/>
          <w:color w:val="auto"/>
        </w:rPr>
      </w:pPr>
    </w:p>
    <w:p>
      <w:pPr>
        <w:ind w:right="1239"/>
        <w:spacing w:after="0" w:line="341" w:lineRule="auto"/>
        <w:rPr>
          <w:sz w:val="20"/>
          <w:szCs w:val="20"/>
          <w:color w:val="auto"/>
        </w:rPr>
      </w:pPr>
      <w:r>
        <w:rPr>
          <w:rFonts w:ascii="Arial" w:cs="Arial" w:eastAsia="Arial" w:hAnsi="Arial"/>
          <w:sz w:val="13"/>
          <w:szCs w:val="13"/>
          <w:color w:val="auto"/>
        </w:rPr>
        <w:t>8,500,000 shares (or 9,775,000 shares if the underwriters exercise their option to purchase additional shares in full as described below).</w:t>
      </w:r>
    </w:p>
    <w:p>
      <w:pPr>
        <w:spacing w:after="0" w:line="190" w:lineRule="exact"/>
        <w:rPr>
          <w:sz w:val="20"/>
          <w:szCs w:val="20"/>
          <w:color w:val="auto"/>
        </w:rPr>
      </w:pPr>
    </w:p>
    <w:p>
      <w:pPr>
        <w:jc w:val="both"/>
        <w:ind w:right="1379"/>
        <w:spacing w:after="0" w:line="281" w:lineRule="auto"/>
        <w:rPr>
          <w:sz w:val="20"/>
          <w:szCs w:val="20"/>
          <w:color w:val="auto"/>
        </w:rPr>
      </w:pPr>
      <w:r>
        <w:rPr>
          <w:rFonts w:ascii="Arial" w:cs="Arial" w:eastAsia="Arial" w:hAnsi="Arial"/>
          <w:sz w:val="14"/>
          <w:szCs w:val="14"/>
          <w:color w:val="auto"/>
        </w:rPr>
        <w:t>57,551,741 (or 57,924,509 as a result of the exercise of options to facilitate sales if the underwriters exercise their option to purchase additional shares in full as described below)</w:t>
      </w:r>
    </w:p>
    <w:p>
      <w:pPr>
        <w:spacing w:after="0" w:line="226" w:lineRule="exact"/>
        <w:rPr>
          <w:sz w:val="20"/>
          <w:szCs w:val="20"/>
          <w:color w:val="auto"/>
        </w:rPr>
      </w:pPr>
    </w:p>
    <w:p>
      <w:pPr>
        <w:ind w:right="1239"/>
        <w:spacing w:after="0" w:line="274" w:lineRule="auto"/>
        <w:rPr>
          <w:sz w:val="20"/>
          <w:szCs w:val="20"/>
          <w:color w:val="auto"/>
        </w:rPr>
      </w:pPr>
      <w:r>
        <w:rPr>
          <w:rFonts w:ascii="Arial" w:cs="Arial" w:eastAsia="Arial" w:hAnsi="Arial"/>
          <w:sz w:val="14"/>
          <w:szCs w:val="14"/>
          <w:color w:val="auto"/>
        </w:rPr>
        <w:t>The selling stockholders have granted the underwriters an option to purchase up to an additional 1,275,000 shares. The underwriters may exercise this option at any time within 30 days from the date of this prospectus. See “</w:t>
      </w:r>
      <w:r>
        <w:rPr>
          <w:rFonts w:ascii="Arial" w:cs="Arial" w:eastAsia="Arial" w:hAnsi="Arial"/>
          <w:sz w:val="14"/>
          <w:szCs w:val="14"/>
          <w:i w:val="1"/>
          <w:iCs w:val="1"/>
          <w:color w:val="auto"/>
        </w:rPr>
        <w:t>Underwriting (Conflict of Interest)</w:t>
      </w:r>
      <w:r>
        <w:rPr>
          <w:rFonts w:ascii="Arial" w:cs="Arial" w:eastAsia="Arial" w:hAnsi="Arial"/>
          <w:sz w:val="14"/>
          <w:szCs w:val="14"/>
          <w:color w:val="auto"/>
        </w:rPr>
        <w:t>.”</w:t>
      </w:r>
    </w:p>
    <w:p>
      <w:pPr>
        <w:spacing w:after="0" w:line="56" w:lineRule="exact"/>
        <w:rPr>
          <w:sz w:val="20"/>
          <w:szCs w:val="20"/>
          <w:color w:val="auto"/>
        </w:rPr>
      </w:pPr>
    </w:p>
    <w:p>
      <w:pPr>
        <w:sectPr>
          <w:pgSz w:w="11900" w:h="16838" w:orient="portrait"/>
          <w:cols w:equalWidth="0" w:num="2">
            <w:col w:w="3180" w:space="360"/>
            <w:col w:w="5479"/>
          </w:cols>
          <w:pgMar w:left="1440" w:top="134" w:right="1440" w:bottom="1440" w:gutter="0" w:footer="0" w:header="0"/>
          <w:type w:val="continuous"/>
        </w:sectPr>
      </w:pPr>
    </w:p>
    <w:tbl>
      <w:tblPr>
        <w:tblLayout w:type="fixed"/>
        <w:tblInd w:w="140" w:type="dxa"/>
        <w:tblCellMar>
          <w:top w:w="0" w:type="dxa"/>
          <w:left w:w="0" w:type="dxa"/>
          <w:bottom w:w="0" w:type="dxa"/>
          <w:right w:w="0" w:type="dxa"/>
        </w:tblCellMar>
      </w:tblPr>
      <w:tr>
        <w:trPr>
          <w:trHeight w:val="176"/>
        </w:trPr>
        <w:tc>
          <w:tcPr>
            <w:tcW w:w="840" w:type="dxa"/>
            <w:vAlign w:val="bottom"/>
          </w:tcPr>
          <w:p>
            <w:pPr>
              <w:spacing w:after="0"/>
              <w:rPr>
                <w:sz w:val="15"/>
                <w:szCs w:val="15"/>
                <w:color w:val="auto"/>
              </w:rPr>
            </w:pPr>
          </w:p>
        </w:tc>
        <w:tc>
          <w:tcPr>
            <w:tcW w:w="2240" w:type="dxa"/>
            <w:vAlign w:val="bottom"/>
          </w:tcPr>
          <w:p>
            <w:pPr>
              <w:ind w:left="200"/>
              <w:spacing w:after="0"/>
              <w:rPr>
                <w:sz w:val="20"/>
                <w:szCs w:val="20"/>
                <w:color w:val="auto"/>
              </w:rPr>
            </w:pPr>
            <w:r>
              <w:rPr>
                <w:rFonts w:ascii="Arial" w:cs="Arial" w:eastAsia="Arial" w:hAnsi="Arial"/>
                <w:sz w:val="15"/>
                <w:szCs w:val="15"/>
                <w:color w:val="auto"/>
              </w:rPr>
              <w:t>Use of proceeds</w:t>
            </w:r>
          </w:p>
        </w:tc>
        <w:tc>
          <w:tcPr>
            <w:tcW w:w="4840" w:type="dxa"/>
            <w:vAlign w:val="bottom"/>
          </w:tcPr>
          <w:p>
            <w:pPr>
              <w:ind w:left="320"/>
              <w:spacing w:after="0"/>
              <w:rPr>
                <w:sz w:val="20"/>
                <w:szCs w:val="20"/>
                <w:color w:val="auto"/>
              </w:rPr>
            </w:pPr>
            <w:r>
              <w:rPr>
                <w:rFonts w:ascii="Arial" w:cs="Arial" w:eastAsia="Arial" w:hAnsi="Arial"/>
                <w:sz w:val="15"/>
                <w:szCs w:val="15"/>
                <w:color w:val="auto"/>
                <w:w w:val="98"/>
              </w:rPr>
              <w:t>The selling stockholders will receive all of the proceeds from the sale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of shares of our common stock in this offering. We will not receive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any proceeds from the sale of shares of our common stock in this</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offering. The selling stockholders will bear any underwriting</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discounts and commissions attributable to their sale of our common</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w w:val="97"/>
              </w:rPr>
              <w:t>stock and we will bear the remaining fees, costs and expenses of this</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offering, which we estimate to be approximately $0.7 million.</w:t>
            </w:r>
          </w:p>
        </w:tc>
        <w:tc>
          <w:tcPr>
            <w:tcW w:w="80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2240" w:type="dxa"/>
            <w:vAlign w:val="bottom"/>
          </w:tcPr>
          <w:p>
            <w:pPr>
              <w:ind w:left="200"/>
              <w:spacing w:after="0"/>
              <w:rPr>
                <w:sz w:val="20"/>
                <w:szCs w:val="20"/>
                <w:color w:val="auto"/>
              </w:rPr>
            </w:pPr>
            <w:r>
              <w:rPr>
                <w:rFonts w:ascii="Arial" w:cs="Arial" w:eastAsia="Arial" w:hAnsi="Arial"/>
                <w:sz w:val="15"/>
                <w:szCs w:val="15"/>
                <w:color w:val="auto"/>
              </w:rPr>
              <w:t>Loss of controlled company</w:t>
            </w:r>
          </w:p>
        </w:tc>
        <w:tc>
          <w:tcPr>
            <w:tcW w:w="48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76"/>
        </w:trPr>
        <w:tc>
          <w:tcPr>
            <w:tcW w:w="840" w:type="dxa"/>
            <w:vAlign w:val="bottom"/>
          </w:tcPr>
          <w:p>
            <w:pPr>
              <w:spacing w:after="0"/>
              <w:rPr>
                <w:sz w:val="15"/>
                <w:szCs w:val="15"/>
                <w:color w:val="auto"/>
              </w:rPr>
            </w:pPr>
          </w:p>
        </w:tc>
        <w:tc>
          <w:tcPr>
            <w:tcW w:w="2240" w:type="dxa"/>
            <w:vAlign w:val="bottom"/>
          </w:tcPr>
          <w:p>
            <w:pPr>
              <w:ind w:left="340"/>
              <w:spacing w:after="0"/>
              <w:rPr>
                <w:sz w:val="20"/>
                <w:szCs w:val="20"/>
                <w:color w:val="auto"/>
              </w:rPr>
            </w:pPr>
            <w:r>
              <w:rPr>
                <w:rFonts w:ascii="Arial" w:cs="Arial" w:eastAsia="Arial" w:hAnsi="Arial"/>
                <w:sz w:val="15"/>
                <w:szCs w:val="15"/>
                <w:color w:val="auto"/>
              </w:rPr>
              <w:t>status</w:t>
            </w:r>
          </w:p>
        </w:tc>
        <w:tc>
          <w:tcPr>
            <w:tcW w:w="4840" w:type="dxa"/>
            <w:vAlign w:val="bottom"/>
          </w:tcPr>
          <w:p>
            <w:pPr>
              <w:ind w:left="320"/>
              <w:spacing w:after="0"/>
              <w:rPr>
                <w:sz w:val="20"/>
                <w:szCs w:val="20"/>
                <w:color w:val="auto"/>
              </w:rPr>
            </w:pPr>
            <w:r>
              <w:rPr>
                <w:rFonts w:ascii="Arial" w:cs="Arial" w:eastAsia="Arial" w:hAnsi="Arial"/>
                <w:sz w:val="15"/>
                <w:szCs w:val="15"/>
                <w:color w:val="auto"/>
              </w:rPr>
              <w:t>Upon completion of this offering, the Apollo Stockholder will no</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longer beneficially own more than 50% of the voting power of our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outstanding common stock. As a result, we will no longer be a</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“controlled company” under the corporate governance rules for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Nasdaq-listed companies and we will be required to comply with</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additional corporate governance requirements of the Nadsaq rules,</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w w:val="95"/>
              </w:rPr>
              <w:t>subject to the applicable phase-in periods. See “</w:t>
            </w:r>
            <w:r>
              <w:rPr>
                <w:rFonts w:ascii="Arial" w:cs="Arial" w:eastAsia="Arial" w:hAnsi="Arial"/>
                <w:sz w:val="15"/>
                <w:szCs w:val="15"/>
                <w:i w:val="1"/>
                <w:iCs w:val="1"/>
                <w:color w:val="auto"/>
                <w:w w:val="95"/>
              </w:rPr>
              <w:t>Management—Loss of</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40" w:type="dxa"/>
            <w:vAlign w:val="bottom"/>
          </w:tcPr>
          <w:p>
            <w:pPr>
              <w:ind w:left="320"/>
              <w:spacing w:after="0"/>
              <w:rPr>
                <w:sz w:val="20"/>
                <w:szCs w:val="20"/>
                <w:color w:val="auto"/>
              </w:rPr>
            </w:pPr>
            <w:r>
              <w:rPr>
                <w:rFonts w:ascii="Arial" w:cs="Arial" w:eastAsia="Arial" w:hAnsi="Arial"/>
                <w:sz w:val="15"/>
                <w:szCs w:val="15"/>
                <w:i w:val="1"/>
                <w:iCs w:val="1"/>
                <w:color w:val="auto"/>
              </w:rPr>
              <w:t>Controlled Company Status</w:t>
            </w:r>
            <w:r>
              <w:rPr>
                <w:rFonts w:ascii="Arial" w:cs="Arial" w:eastAsia="Arial" w:hAnsi="Arial"/>
                <w:sz w:val="15"/>
                <w:szCs w:val="15"/>
                <w:color w:val="auto"/>
              </w:rPr>
              <w:t>.”</w:t>
            </w:r>
          </w:p>
        </w:tc>
        <w:tc>
          <w:tcPr>
            <w:tcW w:w="800" w:type="dxa"/>
            <w:vAlign w:val="bottom"/>
          </w:tcPr>
          <w:p>
            <w:pPr>
              <w:spacing w:after="0"/>
              <w:rPr>
                <w:sz w:val="16"/>
                <w:szCs w:val="16"/>
                <w:color w:val="auto"/>
              </w:rPr>
            </w:pPr>
          </w:p>
        </w:tc>
      </w:tr>
      <w:tr>
        <w:trPr>
          <w:trHeight w:val="253"/>
        </w:trPr>
        <w:tc>
          <w:tcPr>
            <w:tcW w:w="840" w:type="dxa"/>
            <w:vAlign w:val="bottom"/>
          </w:tcPr>
          <w:p>
            <w:pPr>
              <w:spacing w:after="0"/>
              <w:rPr>
                <w:sz w:val="21"/>
                <w:szCs w:val="21"/>
                <w:color w:val="auto"/>
              </w:rPr>
            </w:pPr>
          </w:p>
        </w:tc>
        <w:tc>
          <w:tcPr>
            <w:tcW w:w="2240" w:type="dxa"/>
            <w:vAlign w:val="bottom"/>
          </w:tcPr>
          <w:p>
            <w:pPr>
              <w:ind w:left="200"/>
              <w:spacing w:after="0"/>
              <w:rPr>
                <w:sz w:val="20"/>
                <w:szCs w:val="20"/>
                <w:color w:val="auto"/>
              </w:rPr>
            </w:pPr>
            <w:r>
              <w:rPr>
                <w:rFonts w:ascii="Arial" w:cs="Arial" w:eastAsia="Arial" w:hAnsi="Arial"/>
                <w:sz w:val="15"/>
                <w:szCs w:val="15"/>
                <w:color w:val="auto"/>
              </w:rPr>
              <w:t>Dividend policy</w:t>
            </w:r>
          </w:p>
        </w:tc>
        <w:tc>
          <w:tcPr>
            <w:tcW w:w="4840" w:type="dxa"/>
            <w:vAlign w:val="bottom"/>
          </w:tcPr>
          <w:p>
            <w:pPr>
              <w:ind w:left="320"/>
              <w:spacing w:after="0"/>
              <w:rPr>
                <w:sz w:val="20"/>
                <w:szCs w:val="20"/>
                <w:color w:val="auto"/>
              </w:rPr>
            </w:pPr>
            <w:r>
              <w:rPr>
                <w:rFonts w:ascii="Arial" w:cs="Arial" w:eastAsia="Arial" w:hAnsi="Arial"/>
                <w:sz w:val="15"/>
                <w:szCs w:val="15"/>
                <w:color w:val="auto"/>
              </w:rPr>
              <w:t>We have not to date paid any cash dividends on our common stock</w:t>
            </w:r>
          </w:p>
        </w:tc>
        <w:tc>
          <w:tcPr>
            <w:tcW w:w="800" w:type="dxa"/>
            <w:vAlign w:val="bottom"/>
          </w:tcPr>
          <w:p>
            <w:pPr>
              <w:spacing w:after="0"/>
              <w:rPr>
                <w:sz w:val="21"/>
                <w:szCs w:val="21"/>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w w:val="98"/>
              </w:rPr>
              <w:t>and we currently do not intend to pay cash dividends on our common</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stock in the foreseeable future. However, we may, in the future,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decide to pay dividends on our common stock. Any declaration and</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payment of cash dividends in the future, if any, will be at the</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w w:val="98"/>
              </w:rPr>
              <w:t>discretion of our board of directors and will depend upon such factors</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as earnings levels, cash flows, capital requirements, levels of</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indebtedness, restrictions imposed by applicable law, our overall</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w w:val="98"/>
              </w:rPr>
              <w:t>financial condition, restrictions in our debt agreements, and any other</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factors deemed relevant by our board of directors.</w:t>
            </w:r>
          </w:p>
        </w:tc>
        <w:tc>
          <w:tcPr>
            <w:tcW w:w="800" w:type="dxa"/>
            <w:vAlign w:val="bottom"/>
          </w:tcPr>
          <w:p>
            <w:pPr>
              <w:spacing w:after="0"/>
              <w:rPr>
                <w:sz w:val="16"/>
                <w:szCs w:val="16"/>
                <w:color w:val="auto"/>
              </w:rPr>
            </w:pPr>
          </w:p>
        </w:tc>
      </w:tr>
      <w:tr>
        <w:trPr>
          <w:trHeight w:val="286"/>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As a holding company, our ability to pay dividends also depends on</w:t>
            </w:r>
          </w:p>
        </w:tc>
        <w:tc>
          <w:tcPr>
            <w:tcW w:w="800" w:type="dxa"/>
            <w:vAlign w:val="bottom"/>
          </w:tcPr>
          <w:p>
            <w:pPr>
              <w:spacing w:after="0"/>
              <w:rPr>
                <w:sz w:val="24"/>
                <w:szCs w:val="24"/>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our receipt of cash dividends from our operating subsidiaries. Our</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ability to pay dividends will therefore be restricted as a result of</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restrictions on their ability to pay dividends to us under the CARES</w:t>
            </w:r>
          </w:p>
        </w:tc>
        <w:tc>
          <w:tcPr>
            <w:tcW w:w="8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Act and the Credit Agreement and may be restricted under future</w:t>
            </w:r>
          </w:p>
        </w:tc>
        <w:tc>
          <w:tcPr>
            <w:tcW w:w="800" w:type="dxa"/>
            <w:vAlign w:val="bottom"/>
          </w:tcPr>
          <w:p>
            <w:pPr>
              <w:spacing w:after="0"/>
              <w:rPr>
                <w:sz w:val="15"/>
                <w:szCs w:val="15"/>
                <w:color w:val="auto"/>
              </w:rPr>
            </w:pPr>
          </w:p>
        </w:tc>
      </w:tr>
      <w:tr>
        <w:trPr>
          <w:trHeight w:val="186"/>
        </w:trPr>
        <w:tc>
          <w:tcPr>
            <w:tcW w:w="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40" w:type="dxa"/>
            <w:vAlign w:val="bottom"/>
          </w:tcPr>
          <w:p>
            <w:pPr>
              <w:ind w:left="320"/>
              <w:spacing w:after="0"/>
              <w:rPr>
                <w:sz w:val="20"/>
                <w:szCs w:val="20"/>
                <w:color w:val="auto"/>
              </w:rPr>
            </w:pPr>
            <w:r>
              <w:rPr>
                <w:rFonts w:ascii="Arial" w:cs="Arial" w:eastAsia="Arial" w:hAnsi="Arial"/>
                <w:sz w:val="15"/>
                <w:szCs w:val="15"/>
                <w:color w:val="auto"/>
              </w:rPr>
              <w:t>indebtedness that we or they may incur.</w:t>
            </w:r>
          </w:p>
        </w:tc>
        <w:tc>
          <w:tcPr>
            <w:tcW w:w="800" w:type="dxa"/>
            <w:vAlign w:val="bottom"/>
          </w:tcPr>
          <w:p>
            <w:pPr>
              <w:spacing w:after="0"/>
              <w:rPr>
                <w:sz w:val="16"/>
                <w:szCs w:val="16"/>
                <w:color w:val="auto"/>
              </w:rPr>
            </w:pPr>
          </w:p>
        </w:tc>
      </w:tr>
      <w:tr>
        <w:trPr>
          <w:trHeight w:val="259"/>
        </w:trPr>
        <w:tc>
          <w:tcPr>
            <w:tcW w:w="840" w:type="dxa"/>
            <w:vAlign w:val="bottom"/>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840" w:type="dxa"/>
            <w:vAlign w:val="bottom"/>
            <w:tcBorders>
              <w:bottom w:val="single" w:sz="8" w:color="auto"/>
            </w:tcBorders>
          </w:tcPr>
          <w:p>
            <w:pPr>
              <w:spacing w:after="0"/>
              <w:rPr>
                <w:sz w:val="22"/>
                <w:szCs w:val="22"/>
                <w:color w:val="auto"/>
              </w:rPr>
            </w:pPr>
          </w:p>
        </w:tc>
        <w:tc>
          <w:tcPr>
            <w:tcW w:w="800" w:type="dxa"/>
            <w:vAlign w:val="bottom"/>
          </w:tcPr>
          <w:p>
            <w:pPr>
              <w:spacing w:after="0"/>
              <w:rPr>
                <w:sz w:val="22"/>
                <w:szCs w:val="22"/>
                <w:color w:val="auto"/>
              </w:rPr>
            </w:pPr>
          </w:p>
        </w:tc>
      </w:tr>
      <w:tr>
        <w:trPr>
          <w:trHeight w:val="248"/>
        </w:trPr>
        <w:tc>
          <w:tcPr>
            <w:tcW w:w="8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840" w:type="dxa"/>
            <w:vAlign w:val="bottom"/>
          </w:tcPr>
          <w:p>
            <w:pPr>
              <w:ind w:left="1180"/>
              <w:spacing w:after="0"/>
              <w:rPr>
                <w:sz w:val="20"/>
                <w:szCs w:val="20"/>
                <w:color w:val="auto"/>
              </w:rPr>
            </w:pPr>
            <w:r>
              <w:rPr>
                <w:rFonts w:ascii="Arial" w:cs="Arial" w:eastAsia="Arial" w:hAnsi="Arial"/>
                <w:sz w:val="15"/>
                <w:szCs w:val="15"/>
                <w:color w:val="auto"/>
              </w:rPr>
              <w:t>14</w:t>
            </w:r>
          </w:p>
        </w:tc>
        <w:tc>
          <w:tcPr>
            <w:tcW w:w="800" w:type="dxa"/>
            <w:vAlign w:val="bottom"/>
          </w:tcPr>
          <w:p>
            <w:pPr>
              <w:spacing w:after="0"/>
              <w:rPr>
                <w:sz w:val="21"/>
                <w:szCs w:val="21"/>
                <w:color w:val="auto"/>
              </w:rPr>
            </w:pPr>
          </w:p>
        </w:tc>
      </w:tr>
      <w:tr>
        <w:trPr>
          <w:trHeight w:val="321"/>
        </w:trPr>
        <w:tc>
          <w:tcPr>
            <w:tcW w:w="8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1" w:name="page22"/>
    <w:bookmarkEnd w:id="2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591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91355" cy="659130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See “</w:t>
      </w:r>
      <w:r>
        <w:rPr>
          <w:rFonts w:ascii="Arial" w:cs="Arial" w:eastAsia="Arial" w:hAnsi="Arial"/>
          <w:sz w:val="14"/>
          <w:szCs w:val="14"/>
          <w:i w:val="1"/>
          <w:iCs w:val="1"/>
          <w:color w:val="auto"/>
        </w:rPr>
        <w:t>Market Price of Common Stock and Dividend Policy</w:t>
      </w:r>
      <w:r>
        <w:rPr>
          <w:rFonts w:ascii="Arial" w:cs="Arial" w:eastAsia="Arial" w:hAnsi="Arial"/>
          <w:sz w:val="14"/>
          <w:szCs w:val="14"/>
          <w:color w:val="auto"/>
        </w:rPr>
        <w:t>.”</w:t>
      </w:r>
    </w:p>
    <w:p>
      <w:pPr>
        <w:sectPr>
          <w:pgSz w:w="11900" w:h="16838" w:orient="portrait"/>
          <w:cols w:equalWidth="0" w:num="1">
            <w:col w:w="9019"/>
          </w:cols>
          <w:pgMar w:left="1440" w:top="134" w:right="1440" w:bottom="1440" w:gutter="0" w:footer="0" w:header="0"/>
        </w:sectPr>
      </w:pP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Listing</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listed on Nasdaq under the symbol “SNCY.”</w:t>
      </w:r>
    </w:p>
    <w:p>
      <w:pPr>
        <w:spacing w:after="0" w:line="102" w:lineRule="exact"/>
        <w:rPr>
          <w:sz w:val="20"/>
          <w:szCs w:val="20"/>
          <w:color w:val="auto"/>
        </w:rPr>
      </w:pPr>
    </w:p>
    <w:p>
      <w:pPr>
        <w:sectPr>
          <w:pgSz w:w="11900" w:h="16838" w:orient="portrait"/>
          <w:cols w:equalWidth="0" w:num="2">
            <w:col w:w="2820" w:space="720"/>
            <w:col w:w="5479"/>
          </w:cols>
          <w:pgMar w:left="1440" w:top="134" w:right="1440" w:bottom="1440" w:gutter="0" w:footer="0" w:header="0"/>
          <w:type w:val="continuous"/>
        </w:sectPr>
      </w:pPr>
    </w:p>
    <w:p>
      <w:pPr>
        <w:ind w:left="1180"/>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ind w:right="1279"/>
        <w:spacing w:after="0" w:line="251" w:lineRule="auto"/>
        <w:rPr>
          <w:sz w:val="20"/>
          <w:szCs w:val="20"/>
          <w:color w:val="auto"/>
        </w:rPr>
      </w:pPr>
      <w:r>
        <w:rPr>
          <w:rFonts w:ascii="Arial" w:cs="Arial" w:eastAsia="Arial" w:hAnsi="Arial"/>
          <w:sz w:val="15"/>
          <w:szCs w:val="15"/>
          <w:color w:val="auto"/>
        </w:rPr>
        <w:t>You should read the section titled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 page 24 of this prospectus for a discussion of some of the risks and uncertainties you should carefully consider before deciding to invest in our common stock.</w:t>
      </w:r>
    </w:p>
    <w:p>
      <w:pPr>
        <w:spacing w:after="0" w:line="69" w:lineRule="exact"/>
        <w:rPr>
          <w:sz w:val="20"/>
          <w:szCs w:val="20"/>
          <w:color w:val="auto"/>
        </w:rPr>
      </w:pPr>
    </w:p>
    <w:p>
      <w:pPr>
        <w:sectPr>
          <w:pgSz w:w="11900" w:h="16838" w:orient="portrait"/>
          <w:cols w:equalWidth="0" w:num="2">
            <w:col w:w="2820" w:space="720"/>
            <w:col w:w="5479"/>
          </w:cols>
          <w:pgMar w:left="1440" w:top="134" w:right="1440" w:bottom="1440" w:gutter="0" w:footer="0" w:header="0"/>
          <w:type w:val="continuous"/>
        </w:sectPr>
      </w:pPr>
    </w:p>
    <w:p>
      <w:pPr>
        <w:jc w:val="center"/>
        <w:ind w:left="700"/>
        <w:spacing w:after="0"/>
        <w:rPr>
          <w:sz w:val="20"/>
          <w:szCs w:val="20"/>
          <w:color w:val="auto"/>
        </w:rPr>
      </w:pPr>
      <w:r>
        <w:rPr>
          <w:rFonts w:ascii="Arial" w:cs="Arial" w:eastAsia="Arial" w:hAnsi="Arial"/>
          <w:sz w:val="14"/>
          <w:szCs w:val="14"/>
          <w:color w:val="auto"/>
        </w:rPr>
        <w:t>Conflict of interest</w:t>
      </w:r>
    </w:p>
    <w:p>
      <w:pPr>
        <w:spacing w:after="0" w:line="20" w:lineRule="exact"/>
        <w:rPr>
          <w:sz w:val="20"/>
          <w:szCs w:val="20"/>
          <w:color w:val="auto"/>
        </w:rPr>
      </w:pPr>
      <w:r>
        <w:rPr>
          <w:sz w:val="20"/>
          <w:szCs w:val="20"/>
          <w:color w:val="auto"/>
        </w:rPr>
        <w:br w:type="column"/>
      </w:r>
    </w:p>
    <w:p>
      <w:pPr>
        <w:ind w:right="1179"/>
        <w:spacing w:after="0" w:line="264" w:lineRule="auto"/>
        <w:rPr>
          <w:sz w:val="20"/>
          <w:szCs w:val="20"/>
          <w:color w:val="auto"/>
        </w:rPr>
      </w:pPr>
      <w:r>
        <w:rPr>
          <w:rFonts w:ascii="Arial" w:cs="Arial" w:eastAsia="Arial" w:hAnsi="Arial"/>
          <w:sz w:val="14"/>
          <w:szCs w:val="14"/>
          <w:color w:val="auto"/>
        </w:rPr>
        <w:t>Apollo Global Securities, LLC, an affiliate of Apollo, is an underwriter in this offering and will receive a portion of the underwriting discounts and commissions in connection with this offering. Affiliates of Apollo beneficially own in excess of 10% of our issued and outstanding common stock. As a result, 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and meet the requirements of paragraph (f)(12)(E) of Rule 5121. Apollo Global Securities, LLC will not confirm sales of the securities to any account over which it exercises discretionary authority without the specific written approval of the account holder. See “</w:t>
      </w:r>
      <w:r>
        <w:rPr>
          <w:rFonts w:ascii="Arial" w:cs="Arial" w:eastAsia="Arial" w:hAnsi="Arial"/>
          <w:sz w:val="14"/>
          <w:szCs w:val="14"/>
          <w:i w:val="1"/>
          <w:iCs w:val="1"/>
          <w:color w:val="auto"/>
        </w:rPr>
        <w:t>Underwriting</w:t>
      </w:r>
      <w:r>
        <w:rPr>
          <w:rFonts w:ascii="Arial" w:cs="Arial" w:eastAsia="Arial" w:hAnsi="Arial"/>
          <w:sz w:val="14"/>
          <w:szCs w:val="14"/>
          <w:color w:val="auto"/>
        </w:rPr>
        <w:t xml:space="preserve"> </w:t>
      </w:r>
      <w:r>
        <w:rPr>
          <w:rFonts w:ascii="Arial" w:cs="Arial" w:eastAsia="Arial" w:hAnsi="Arial"/>
          <w:sz w:val="14"/>
          <w:szCs w:val="14"/>
          <w:i w:val="1"/>
          <w:iCs w:val="1"/>
          <w:color w:val="auto"/>
        </w:rPr>
        <w:t>(Conflict of Interest)</w:t>
      </w:r>
      <w:r>
        <w:rPr>
          <w:rFonts w:ascii="Arial" w:cs="Arial" w:eastAsia="Arial" w:hAnsi="Arial"/>
          <w:sz w:val="14"/>
          <w:szCs w:val="14"/>
          <w:color w:val="auto"/>
        </w:rPr>
        <w:t>.”</w:t>
      </w:r>
    </w:p>
    <w:p>
      <w:pPr>
        <w:spacing w:after="0" w:line="45" w:lineRule="exact"/>
        <w:rPr>
          <w:sz w:val="20"/>
          <w:szCs w:val="20"/>
          <w:color w:val="auto"/>
        </w:rPr>
      </w:pPr>
    </w:p>
    <w:p>
      <w:pPr>
        <w:sectPr>
          <w:pgSz w:w="11900" w:h="16838" w:orient="portrait"/>
          <w:cols w:equalWidth="0" w:num="2">
            <w:col w:w="2820" w:space="720"/>
            <w:col w:w="5479"/>
          </w:cols>
          <w:pgMar w:left="1440" w:top="134" w:right="1440"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Except as otherwise indicated, all of the information in this prospectus:</w:t>
      </w:r>
    </w:p>
    <w:p>
      <w:pPr>
        <w:spacing w:after="0" w:line="91" w:lineRule="exact"/>
        <w:rPr>
          <w:sz w:val="20"/>
          <w:szCs w:val="20"/>
          <w:color w:val="auto"/>
        </w:rPr>
      </w:pPr>
    </w:p>
    <w:p>
      <w:pPr>
        <w:ind w:left="1620" w:hanging="148"/>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is based on 57,551,741 shares of common stock outstanding as of September 30, 2021;</w:t>
      </w:r>
    </w:p>
    <w:p>
      <w:pPr>
        <w:spacing w:after="0" w:line="91" w:lineRule="exact"/>
        <w:rPr>
          <w:rFonts w:ascii="Arial" w:cs="Arial" w:eastAsia="Arial" w:hAnsi="Arial"/>
          <w:sz w:val="15"/>
          <w:szCs w:val="15"/>
          <w:color w:val="auto"/>
        </w:rPr>
      </w:pPr>
    </w:p>
    <w:p>
      <w:pPr>
        <w:ind w:left="1620" w:right="1479" w:hanging="148"/>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assumes no exercise of the underwriters’ option to purchase up to 1,275,000 additional shares of common stock from the selling stockholders;</w:t>
      </w:r>
    </w:p>
    <w:p>
      <w:pPr>
        <w:spacing w:after="0" w:line="60" w:lineRule="exact"/>
        <w:rPr>
          <w:rFonts w:ascii="Arial" w:cs="Arial" w:eastAsia="Arial" w:hAnsi="Arial"/>
          <w:sz w:val="15"/>
          <w:szCs w:val="15"/>
          <w:color w:val="auto"/>
        </w:rPr>
      </w:pPr>
    </w:p>
    <w:p>
      <w:pPr>
        <w:ind w:left="1620" w:right="1179" w:hanging="148"/>
        <w:spacing w:after="0" w:line="269" w:lineRule="auto"/>
        <w:tabs>
          <w:tab w:leader="none" w:pos="16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assumes no exercise of the warrants to purchase an aggregate of 9,482,606 shares of common stock issued to Amazon in connection with the ATSA (the “2019 Warrants”), approximately 15.3% of which have vested as of September 30, 2021. As is the case for investment in our company generally, the exercise of the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 Ownership and</w:t>
      </w:r>
      <w:r>
        <w:rPr>
          <w:rFonts w:ascii="Arial" w:cs="Arial" w:eastAsia="Arial" w:hAnsi="Arial"/>
          <w:sz w:val="14"/>
          <w:szCs w:val="14"/>
          <w:color w:val="auto"/>
        </w:rPr>
        <w:t xml:space="preserve"> </w:t>
      </w:r>
      <w:r>
        <w:rPr>
          <w:rFonts w:ascii="Arial" w:cs="Arial" w:eastAsia="Arial" w:hAnsi="Arial"/>
          <w:sz w:val="14"/>
          <w:szCs w:val="14"/>
          <w:i w:val="1"/>
          <w:iCs w:val="1"/>
          <w:color w:val="auto"/>
        </w:rPr>
        <w:t>Voting by Foreign Owners</w:t>
      </w:r>
      <w:r>
        <w:rPr>
          <w:rFonts w:ascii="Arial" w:cs="Arial" w:eastAsia="Arial" w:hAnsi="Arial"/>
          <w:sz w:val="14"/>
          <w:szCs w:val="14"/>
          <w:color w:val="auto"/>
        </w:rPr>
        <w:t>” and “</w:t>
      </w:r>
      <w:r>
        <w:rPr>
          <w:rFonts w:ascii="Arial" w:cs="Arial" w:eastAsia="Arial" w:hAnsi="Arial"/>
          <w:sz w:val="14"/>
          <w:szCs w:val="14"/>
          <w:i w:val="1"/>
          <w:iCs w:val="1"/>
          <w:color w:val="auto"/>
        </w:rPr>
        <w:t>Description of Capital Stock—Warrants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620" w:right="1179" w:hanging="148"/>
        <w:spacing w:after="0" w:line="271" w:lineRule="auto"/>
        <w:tabs>
          <w:tab w:leader="none" w:pos="16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does not reflect 3,600,000 shares of common stock reserved for grant or issuable in respect of awards granted under under the Sun Country Airlines Holdings, Inc. 2021 Omnibus Incentive Plan (the “Omnibus Incentive Plan”), including 7,634 shares of common stock that may be issued upon the vesting of restricted stock units (“RSUs”) outstanding as of September 30, 2021. See “</w:t>
      </w:r>
      <w:r>
        <w:rPr>
          <w:rFonts w:ascii="Arial" w:cs="Arial" w:eastAsia="Arial" w:hAnsi="Arial"/>
          <w:sz w:val="14"/>
          <w:szCs w:val="14"/>
          <w:i w:val="1"/>
          <w:iCs w:val="1"/>
          <w:color w:val="auto"/>
        </w:rPr>
        <w:t>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Compensation—Equity Compensation Plans—2021 Omnibus Incentive Plan</w:t>
      </w:r>
      <w:r>
        <w:rPr>
          <w:rFonts w:ascii="Arial" w:cs="Arial" w:eastAsia="Arial" w:hAnsi="Arial"/>
          <w:sz w:val="14"/>
          <w:szCs w:val="14"/>
          <w:color w:val="auto"/>
        </w:rPr>
        <w:t>”; and</w:t>
      </w:r>
    </w:p>
    <w:p>
      <w:pPr>
        <w:spacing w:after="0" w:line="57" w:lineRule="exact"/>
        <w:rPr>
          <w:rFonts w:ascii="Arial" w:cs="Arial" w:eastAsia="Arial" w:hAnsi="Arial"/>
          <w:sz w:val="14"/>
          <w:szCs w:val="14"/>
          <w:color w:val="auto"/>
        </w:rPr>
      </w:pPr>
    </w:p>
    <w:p>
      <w:pPr>
        <w:jc w:val="both"/>
        <w:ind w:left="1620" w:right="1459" w:hanging="148"/>
        <w:spacing w:after="0" w:line="25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does not reflect 5,592,191 shares of common stock that may be issued upon the exercise of stock options outstanding as of September 30, 2021 under the SCA Acquisition Holdings, LLC Equity Incentive Plan (the “SCA Acquisition Equity Plan”).</w:t>
      </w:r>
    </w:p>
    <w:p>
      <w:pPr>
        <w:spacing w:after="0" w:line="57" w:lineRule="exact"/>
        <w:rPr>
          <w:sz w:val="20"/>
          <w:szCs w:val="20"/>
          <w:color w:val="auto"/>
        </w:rPr>
      </w:pPr>
    </w:p>
    <w:p>
      <w:pPr>
        <w:ind w:left="1180" w:right="1419" w:firstLine="293"/>
        <w:spacing w:after="0" w:line="264" w:lineRule="auto"/>
        <w:rPr>
          <w:sz w:val="20"/>
          <w:szCs w:val="20"/>
          <w:color w:val="auto"/>
        </w:rPr>
      </w:pPr>
      <w:r>
        <w:rPr>
          <w:rFonts w:ascii="Arial" w:cs="Arial" w:eastAsia="Arial" w:hAnsi="Arial"/>
          <w:sz w:val="15"/>
          <w:szCs w:val="15"/>
          <w:color w:val="auto"/>
        </w:rPr>
        <w:t>The following table sets forth the outstanding stock options and RSUs under the Omnibus Incentive Plan and the SCA Acquisition Equity Plan as of September 30, 2021:</w:t>
      </w:r>
    </w:p>
    <w:p>
      <w:pPr>
        <w:spacing w:after="0" w:line="57"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426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Number of</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2"/>
              </w:rPr>
              <w:t>Weighted-</w:t>
            </w:r>
          </w:p>
        </w:tc>
      </w:tr>
      <w:tr>
        <w:trPr>
          <w:trHeight w:val="144"/>
        </w:trPr>
        <w:tc>
          <w:tcPr>
            <w:tcW w:w="4260" w:type="dxa"/>
            <w:vAlign w:val="bottom"/>
          </w:tcPr>
          <w:p>
            <w:pPr>
              <w:spacing w:after="0"/>
              <w:rPr>
                <w:sz w:val="12"/>
                <w:szCs w:val="12"/>
                <w:color w:val="auto"/>
              </w:rPr>
            </w:pPr>
          </w:p>
        </w:tc>
        <w:tc>
          <w:tcPr>
            <w:tcW w:w="1080" w:type="dxa"/>
            <w:vAlign w:val="bottom"/>
            <w:gridSpan w:val="2"/>
          </w:tcPr>
          <w:p>
            <w:pPr>
              <w:jc w:val="center"/>
              <w:ind w:right="180"/>
              <w:spacing w:after="0" w:line="144" w:lineRule="exact"/>
              <w:rPr>
                <w:sz w:val="20"/>
                <w:szCs w:val="20"/>
                <w:color w:val="auto"/>
              </w:rPr>
            </w:pPr>
            <w:r>
              <w:rPr>
                <w:rFonts w:ascii="Arial" w:cs="Arial" w:eastAsia="Arial" w:hAnsi="Arial"/>
                <w:sz w:val="12"/>
                <w:szCs w:val="12"/>
                <w:b w:val="1"/>
                <w:bCs w:val="1"/>
                <w:color w:val="auto"/>
                <w:w w:val="80"/>
              </w:rPr>
              <w:t>Options</w:t>
            </w:r>
            <w:r>
              <w:rPr>
                <w:rFonts w:ascii="Arial" w:cs="Arial" w:eastAsia="Arial" w:hAnsi="Arial"/>
                <w:sz w:val="14"/>
                <w:szCs w:val="14"/>
                <w:b w:val="1"/>
                <w:bCs w:val="1"/>
                <w:color w:val="auto"/>
                <w:w w:val="80"/>
                <w:vertAlign w:val="superscript"/>
              </w:rPr>
              <w:t>(1)</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1"/>
              </w:rPr>
              <w:t>Average Exercise</w:t>
            </w:r>
          </w:p>
        </w:tc>
      </w:tr>
      <w:tr>
        <w:trPr>
          <w:trHeight w:val="155"/>
        </w:trPr>
        <w:tc>
          <w:tcPr>
            <w:tcW w:w="426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or RSUs</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5"/>
              </w:rPr>
              <w:t>Price Per Share</w:t>
            </w:r>
          </w:p>
        </w:tc>
      </w:tr>
      <w:tr>
        <w:trPr>
          <w:trHeight w:val="172"/>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stock options (time-based vesting)</w:t>
            </w:r>
          </w:p>
        </w:tc>
        <w:tc>
          <w:tcPr>
            <w:tcW w:w="9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5"/>
                <w:szCs w:val="15"/>
                <w:color w:val="auto"/>
              </w:rPr>
              <w:t>1,186,421</w:t>
            </w:r>
          </w:p>
        </w:tc>
        <w:tc>
          <w:tcPr>
            <w:tcW w:w="1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$5.74</w:t>
            </w:r>
          </w:p>
        </w:tc>
      </w:tr>
      <w:tr>
        <w:trPr>
          <w:trHeight w:val="176"/>
        </w:trPr>
        <w:tc>
          <w:tcPr>
            <w:tcW w:w="4260" w:type="dxa"/>
            <w:vAlign w:val="bottom"/>
          </w:tcPr>
          <w:p>
            <w:pPr>
              <w:spacing w:after="0"/>
              <w:rPr>
                <w:sz w:val="20"/>
                <w:szCs w:val="20"/>
                <w:color w:val="auto"/>
              </w:rPr>
            </w:pPr>
            <w:r>
              <w:rPr>
                <w:rFonts w:ascii="Arial" w:cs="Arial" w:eastAsia="Arial" w:hAnsi="Arial"/>
                <w:sz w:val="15"/>
                <w:szCs w:val="15"/>
                <w:color w:val="auto"/>
              </w:rPr>
              <w:t>Unvested stock options (time-based vesting)</w:t>
            </w:r>
          </w:p>
        </w:tc>
        <w:tc>
          <w:tcPr>
            <w:tcW w:w="900" w:type="dxa"/>
            <w:vAlign w:val="bottom"/>
          </w:tcPr>
          <w:p>
            <w:pPr>
              <w:jc w:val="right"/>
              <w:ind w:right="73"/>
              <w:spacing w:after="0"/>
              <w:rPr>
                <w:sz w:val="20"/>
                <w:szCs w:val="20"/>
                <w:color w:val="auto"/>
              </w:rPr>
            </w:pPr>
            <w:r>
              <w:rPr>
                <w:rFonts w:ascii="Arial" w:cs="Arial" w:eastAsia="Arial" w:hAnsi="Arial"/>
                <w:sz w:val="15"/>
                <w:szCs w:val="15"/>
                <w:color w:val="auto"/>
              </w:rPr>
              <w:t>778,919</w:t>
            </w: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0"/>
              </w:rPr>
              <w:t>$9.23</w:t>
            </w:r>
          </w:p>
        </w:tc>
      </w:tr>
      <w:tr>
        <w:trPr>
          <w:trHeight w:val="176"/>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Unvested stock options (performance-based vesting)</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5"/>
                <w:szCs w:val="15"/>
                <w:color w:val="auto"/>
              </w:rPr>
              <w:t>3,626,851</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$6.98</w:t>
            </w:r>
          </w:p>
        </w:tc>
      </w:tr>
      <w:tr>
        <w:trPr>
          <w:trHeight w:val="209"/>
        </w:trPr>
        <w:tc>
          <w:tcPr>
            <w:tcW w:w="4260" w:type="dxa"/>
            <w:vAlign w:val="bottom"/>
          </w:tcPr>
          <w:p>
            <w:pPr>
              <w:spacing w:after="0"/>
              <w:rPr>
                <w:sz w:val="20"/>
                <w:szCs w:val="20"/>
                <w:color w:val="auto"/>
              </w:rPr>
            </w:pPr>
            <w:r>
              <w:rPr>
                <w:rFonts w:ascii="Arial" w:cs="Arial" w:eastAsia="Arial" w:hAnsi="Arial"/>
                <w:sz w:val="15"/>
                <w:szCs w:val="15"/>
                <w:color w:val="auto"/>
              </w:rPr>
              <w:t>Unvested RSUs (time-based vesting)</w:t>
            </w:r>
          </w:p>
        </w:tc>
        <w:tc>
          <w:tcPr>
            <w:tcW w:w="900" w:type="dxa"/>
            <w:vAlign w:val="bottom"/>
          </w:tcPr>
          <w:p>
            <w:pPr>
              <w:jc w:val="right"/>
              <w:ind w:right="73"/>
              <w:spacing w:after="0"/>
              <w:rPr>
                <w:sz w:val="20"/>
                <w:szCs w:val="20"/>
                <w:color w:val="auto"/>
              </w:rPr>
            </w:pPr>
            <w:r>
              <w:rPr>
                <w:rFonts w:ascii="Arial" w:cs="Arial" w:eastAsia="Arial" w:hAnsi="Arial"/>
                <w:sz w:val="15"/>
                <w:szCs w:val="15"/>
                <w:color w:val="auto"/>
              </w:rPr>
              <w:t>7,634</w:t>
            </w:r>
          </w:p>
        </w:tc>
        <w:tc>
          <w:tcPr>
            <w:tcW w:w="18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5"/>
                <w:szCs w:val="15"/>
                <w:color w:val="auto"/>
              </w:rPr>
              <w:t>N/A</w:t>
            </w:r>
          </w:p>
        </w:tc>
      </w:tr>
    </w:tbl>
    <w:p>
      <w:pPr>
        <w:spacing w:after="0" w:line="253" w:lineRule="exact"/>
        <w:rPr>
          <w:sz w:val="20"/>
          <w:szCs w:val="20"/>
          <w:color w:val="auto"/>
        </w:rPr>
      </w:pPr>
    </w:p>
    <w:p>
      <w:pPr>
        <w:jc w:val="center"/>
        <w:ind w:left="4400" w:right="1699" w:hanging="3221"/>
        <w:spacing w:after="0" w:line="753" w:lineRule="auto"/>
        <w:tabs>
          <w:tab w:leader="none" w:pos="1462" w:val="left"/>
        </w:tabs>
        <w:numPr>
          <w:ilvl w:val="0"/>
          <w:numId w:val="9"/>
        </w:numPr>
        <w:rPr>
          <w:rFonts w:ascii="Arial" w:cs="Arial" w:eastAsia="Arial" w:hAnsi="Arial"/>
          <w:sz w:val="15"/>
          <w:szCs w:val="15"/>
          <w:color w:val="auto"/>
        </w:rPr>
      </w:pPr>
      <w:r>
        <w:rPr>
          <w:rFonts w:ascii="Arial" w:cs="Arial" w:eastAsia="Arial" w:hAnsi="Arial"/>
          <w:sz w:val="15"/>
          <w:szCs w:val="15"/>
          <w:color w:val="auto"/>
        </w:rPr>
        <w:t>Upon a holder’s exercise of one option, we will issue to the holder one share of common stock.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-43815</wp:posOffset>
            </wp:positionV>
            <wp:extent cx="556450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2" w:name="page23"/>
    <w:bookmarkEnd w:id="2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Summary Consolidated Financial and Operating Information</w:t>
      </w:r>
    </w:p>
    <w:p>
      <w:pPr>
        <w:spacing w:after="0" w:line="128" w:lineRule="exact"/>
        <w:rPr>
          <w:sz w:val="20"/>
          <w:szCs w:val="20"/>
          <w:color w:val="auto"/>
        </w:rPr>
      </w:pPr>
    </w:p>
    <w:p>
      <w:pPr>
        <w:ind w:left="1180" w:right="1299" w:firstLine="293"/>
        <w:spacing w:after="0" w:line="290" w:lineRule="auto"/>
        <w:rPr>
          <w:sz w:val="20"/>
          <w:szCs w:val="20"/>
          <w:color w:val="auto"/>
        </w:rPr>
      </w:pPr>
      <w:r>
        <w:rPr>
          <w:rFonts w:ascii="Arial" w:cs="Arial" w:eastAsia="Arial" w:hAnsi="Arial"/>
          <w:sz w:val="13"/>
          <w:szCs w:val="13"/>
          <w:color w:val="auto"/>
        </w:rPr>
        <w:t>The following tables present our summary consolidated financial and operating information for the periods indicated. We have derived our summary historical consolidated statement of operations data for the years ended December 31, 2020 and 2019 and for the periods January 1, 2018 through April 10, 2018 (Predecessor) and April 11, 2018 through December 31, 2018 (Successor). We have derived our summary historical consolidated statement of operations data for the six months ended June 30, 2021 and 2020 from our unaudited condensed consolidated financial statements included elsewhere in this prospectus. We have derived our summary historical consolidated balance sheet data as of June 30, 2021 from our unaudited interim condensed consolidated financial statements included elsewhere in this prospectus.</w:t>
      </w:r>
    </w:p>
    <w:p>
      <w:pPr>
        <w:spacing w:after="0" w:line="82"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w:t>
      </w:r>
    </w:p>
    <w:p>
      <w:pPr>
        <w:spacing w:after="0" w:line="3" w:lineRule="exact"/>
        <w:rPr>
          <w:sz w:val="20"/>
          <w:szCs w:val="20"/>
          <w:color w:val="auto"/>
        </w:rPr>
      </w:pPr>
    </w:p>
    <w:p>
      <w:pPr>
        <w:ind w:left="1180" w:right="1179" w:hanging="1"/>
        <w:spacing w:after="0" w:line="265" w:lineRule="auto"/>
        <w:tabs>
          <w:tab w:leader="none" w:pos="1399"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depreciation and amortization, due to the recognition of our property and equipment and other intangible assets at fair value at the time of the acquisition, which will be amortized through depreciation and amortization on a straight-line basis over their respective useful lives. Our historical results are not necessarily indicative of our results that may be expected for any future period. The following summary consolidated financial and operating information should be read in conjunction with the section titled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the related notes included elsewhere in this prospectus.</w:t>
      </w:r>
    </w:p>
    <w:p>
      <w:pPr>
        <w:spacing w:after="0" w:line="111" w:lineRule="exact"/>
        <w:rPr>
          <w:sz w:val="20"/>
          <w:szCs w:val="20"/>
          <w:color w:val="auto"/>
        </w:rPr>
      </w:pPr>
    </w:p>
    <w:tbl>
      <w:tblPr>
        <w:tblLayout w:type="fixed"/>
        <w:tblInd w:w="1180" w:type="dxa"/>
        <w:tblCellMar>
          <w:top w:w="0" w:type="dxa"/>
          <w:left w:w="0" w:type="dxa"/>
          <w:bottom w:w="0" w:type="dxa"/>
          <w:right w:w="0" w:type="dxa"/>
        </w:tblCellMar>
      </w:tblPr>
      <w:tr>
        <w:trPr>
          <w:trHeight w:val="155"/>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78"/>
              </w:rPr>
              <w:t>Successor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0"/>
              </w:rPr>
              <w:t>Predecessor</w:t>
            </w:r>
          </w:p>
        </w:tc>
      </w:tr>
      <w:tr>
        <w:trPr>
          <w:trHeight w:val="121"/>
        </w:trPr>
        <w:tc>
          <w:tcPr>
            <w:tcW w:w="1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right w:val="single" w:sz="8" w:color="auto"/>
            </w:tcBorders>
            <w:gridSpan w:val="3"/>
          </w:tcPr>
          <w:p>
            <w:pPr>
              <w:jc w:val="center"/>
              <w:spacing w:after="0" w:line="121" w:lineRule="exact"/>
              <w:rPr>
                <w:sz w:val="20"/>
                <w:szCs w:val="20"/>
                <w:color w:val="auto"/>
              </w:rPr>
            </w:pPr>
            <w:r>
              <w:rPr>
                <w:rFonts w:ascii="Arial" w:cs="Arial" w:eastAsia="Arial" w:hAnsi="Arial"/>
                <w:sz w:val="12"/>
                <w:szCs w:val="12"/>
                <w:b w:val="1"/>
                <w:bCs w:val="1"/>
                <w:color w:val="auto"/>
                <w:w w:val="86"/>
              </w:rPr>
              <w:t>For the period</w:t>
            </w:r>
          </w:p>
        </w:tc>
        <w:tc>
          <w:tcPr>
            <w:tcW w:w="20" w:type="dxa"/>
            <w:vAlign w:val="bottom"/>
          </w:tcPr>
          <w:p>
            <w:pPr>
              <w:spacing w:after="0"/>
              <w:rPr>
                <w:sz w:val="10"/>
                <w:szCs w:val="10"/>
                <w:color w:val="auto"/>
              </w:rPr>
            </w:pPr>
          </w:p>
        </w:tc>
        <w:tc>
          <w:tcPr>
            <w:tcW w:w="70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w w:val="84"/>
              </w:rPr>
              <w:t>For the period</w:t>
            </w:r>
          </w:p>
        </w:tc>
        <w:tc>
          <w:tcPr>
            <w:tcW w:w="60" w:type="dxa"/>
            <w:vAlign w:val="bottom"/>
          </w:tcPr>
          <w:p>
            <w:pPr>
              <w:spacing w:after="0"/>
              <w:rPr>
                <w:sz w:val="10"/>
                <w:szCs w:val="10"/>
                <w:color w:val="auto"/>
              </w:rPr>
            </w:pPr>
          </w:p>
        </w:tc>
      </w:tr>
      <w:tr>
        <w:trPr>
          <w:trHeight w:val="132"/>
        </w:trPr>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For the six</w:t>
            </w:r>
          </w:p>
        </w:tc>
        <w:tc>
          <w:tcPr>
            <w:tcW w:w="100" w:type="dxa"/>
            <w:vAlign w:val="bottom"/>
          </w:tcPr>
          <w:p>
            <w:pPr>
              <w:spacing w:after="0"/>
              <w:rPr>
                <w:sz w:val="11"/>
                <w:szCs w:val="11"/>
                <w:color w:val="auto"/>
              </w:rPr>
            </w:pPr>
          </w:p>
        </w:tc>
        <w:tc>
          <w:tcPr>
            <w:tcW w:w="6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For the six</w:t>
            </w:r>
          </w:p>
        </w:tc>
        <w:tc>
          <w:tcPr>
            <w:tcW w:w="78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8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820" w:type="dxa"/>
            <w:vAlign w:val="bottom"/>
            <w:tcBorders>
              <w:right w:val="single" w:sz="8" w:color="auto"/>
            </w:tcBorders>
            <w:gridSpan w:val="3"/>
          </w:tcPr>
          <w:p>
            <w:pPr>
              <w:jc w:val="center"/>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January 1,</w:t>
            </w:r>
          </w:p>
        </w:tc>
      </w:tr>
      <w:tr>
        <w:trPr>
          <w:trHeight w:val="132"/>
        </w:trPr>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jc w:val="center"/>
              <w:ind w:right="60"/>
              <w:spacing w:after="0" w:line="132" w:lineRule="exact"/>
              <w:rPr>
                <w:sz w:val="20"/>
                <w:szCs w:val="20"/>
                <w:color w:val="auto"/>
              </w:rPr>
            </w:pPr>
            <w:r>
              <w:rPr>
                <w:rFonts w:ascii="Arial" w:cs="Arial" w:eastAsia="Arial" w:hAnsi="Arial"/>
                <w:sz w:val="12"/>
                <w:szCs w:val="12"/>
                <w:b w:val="1"/>
                <w:bCs w:val="1"/>
                <w:color w:val="auto"/>
                <w:w w:val="75"/>
              </w:rPr>
              <w:t>months ended</w:t>
            </w:r>
          </w:p>
        </w:tc>
        <w:tc>
          <w:tcPr>
            <w:tcW w:w="78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79"/>
              </w:rPr>
              <w:t>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tcPr>
          <w:p>
            <w:pPr>
              <w:jc w:val="center"/>
              <w:ind w:right="158"/>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18"/>
              <w:spacing w:after="0" w:line="132" w:lineRule="exact"/>
              <w:rPr>
                <w:sz w:val="20"/>
                <w:szCs w:val="20"/>
                <w:color w:val="auto"/>
              </w:rPr>
            </w:pPr>
            <w:r>
              <w:rPr>
                <w:rFonts w:ascii="Arial" w:cs="Arial" w:eastAsia="Arial" w:hAnsi="Arial"/>
                <w:sz w:val="12"/>
                <w:szCs w:val="12"/>
                <w:b w:val="1"/>
                <w:bCs w:val="1"/>
                <w:color w:val="auto"/>
                <w:w w:val="89"/>
              </w:rPr>
              <w:t>2018</w:t>
            </w:r>
          </w:p>
        </w:tc>
        <w:tc>
          <w:tcPr>
            <w:tcW w:w="60" w:type="dxa"/>
            <w:vAlign w:val="bottom"/>
          </w:tcPr>
          <w:p>
            <w:pPr>
              <w:spacing w:after="0"/>
              <w:rPr>
                <w:sz w:val="11"/>
                <w:szCs w:val="11"/>
                <w:color w:val="auto"/>
              </w:rPr>
            </w:pPr>
          </w:p>
        </w:tc>
      </w:tr>
      <w:tr>
        <w:trPr>
          <w:trHeight w:val="132"/>
        </w:trPr>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June 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83"/>
              </w:rPr>
              <w:t>June 30,</w:t>
            </w:r>
          </w:p>
        </w:tc>
        <w:tc>
          <w:tcPr>
            <w:tcW w:w="78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8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20" w:type="dxa"/>
            <w:vAlign w:val="bottom"/>
            <w:tcBorders>
              <w:right w:val="single" w:sz="8" w:color="auto"/>
            </w:tcBorders>
            <w:gridSpan w:val="3"/>
          </w:tcPr>
          <w:p>
            <w:pPr>
              <w:jc w:val="center"/>
              <w:spacing w:after="0" w:line="132" w:lineRule="exact"/>
              <w:rPr>
                <w:sz w:val="20"/>
                <w:szCs w:val="20"/>
                <w:color w:val="auto"/>
              </w:rPr>
            </w:pPr>
            <w:r>
              <w:rPr>
                <w:rFonts w:ascii="Arial" w:cs="Arial" w:eastAsia="Arial" w:hAnsi="Arial"/>
                <w:sz w:val="12"/>
                <w:szCs w:val="12"/>
                <w:b w:val="1"/>
                <w:bCs w:val="1"/>
                <w:color w:val="auto"/>
                <w:w w:val="84"/>
              </w:rPr>
              <w:t>December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through</w:t>
            </w:r>
          </w:p>
        </w:tc>
      </w:tr>
      <w:tr>
        <w:trPr>
          <w:trHeight w:val="155"/>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ind w:right="18"/>
              <w:spacing w:after="0"/>
              <w:rPr>
                <w:sz w:val="20"/>
                <w:szCs w:val="20"/>
                <w:color w:val="auto"/>
              </w:rPr>
            </w:pPr>
            <w:r>
              <w:rPr>
                <w:rFonts w:ascii="Arial" w:cs="Arial" w:eastAsia="Arial" w:hAnsi="Arial"/>
                <w:sz w:val="12"/>
                <w:szCs w:val="12"/>
                <w:b w:val="1"/>
                <w:bCs w:val="1"/>
                <w:color w:val="auto"/>
                <w:w w:val="82"/>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center"/>
              <w:ind w:right="18"/>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38"/>
              <w:spacing w:after="0"/>
              <w:rPr>
                <w:sz w:val="20"/>
                <w:szCs w:val="20"/>
                <w:color w:val="auto"/>
              </w:rPr>
            </w:pPr>
            <w:r>
              <w:rPr>
                <w:rFonts w:ascii="Arial" w:cs="Arial" w:eastAsia="Arial" w:hAnsi="Arial"/>
                <w:sz w:val="12"/>
                <w:szCs w:val="12"/>
                <w:b w:val="1"/>
                <w:bCs w:val="1"/>
                <w:color w:val="auto"/>
                <w:w w:val="82"/>
              </w:rPr>
              <w:t>2019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jc w:val="center"/>
              <w:ind w:right="118"/>
              <w:spacing w:after="0"/>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3"/>
                <w:szCs w:val="13"/>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April 10, 2018</w:t>
            </w:r>
          </w:p>
        </w:tc>
      </w:tr>
      <w:tr>
        <w:trPr>
          <w:trHeight w:val="150"/>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12"/>
          </w:tcPr>
          <w:p>
            <w:pPr>
              <w:jc w:val="center"/>
              <w:spacing w:after="0"/>
              <w:rPr>
                <w:sz w:val="20"/>
                <w:szCs w:val="20"/>
                <w:color w:val="auto"/>
              </w:rPr>
            </w:pPr>
            <w:r>
              <w:rPr>
                <w:rFonts w:ascii="Arial" w:cs="Arial" w:eastAsia="Arial" w:hAnsi="Arial"/>
                <w:sz w:val="12"/>
                <w:szCs w:val="12"/>
                <w:b w:val="1"/>
                <w:bCs w:val="1"/>
                <w:color w:val="auto"/>
                <w:w w:val="82"/>
              </w:rPr>
              <w:t>(in thousands, except share and per share data)</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9"/>
        </w:trPr>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Statement of</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r>
      <w:tr>
        <w:trPr>
          <w:trHeight w:val="158"/>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Operations Data:</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r>
      <w:tr>
        <w:trPr>
          <w:trHeight w:val="165"/>
        </w:trPr>
        <w:tc>
          <w:tcPr>
            <w:tcW w:w="1920" w:type="dxa"/>
            <w:vAlign w:val="bottom"/>
          </w:tcPr>
          <w:p>
            <w:pPr>
              <w:spacing w:after="0"/>
              <w:rPr>
                <w:sz w:val="20"/>
                <w:szCs w:val="20"/>
                <w:color w:val="auto"/>
              </w:rPr>
            </w:pPr>
            <w:r>
              <w:rPr>
                <w:rFonts w:ascii="Arial" w:cs="Arial" w:eastAsia="Arial" w:hAnsi="Arial"/>
                <w:sz w:val="12"/>
                <w:szCs w:val="12"/>
                <w:b w:val="1"/>
                <w:bCs w:val="1"/>
                <w:color w:val="auto"/>
              </w:rPr>
              <w:t>Operating Revenues</w:t>
            </w: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5"/>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Passenger</w:t>
            </w: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229,325</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209,827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359,232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688,833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335,824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172,897</w:t>
            </w:r>
          </w:p>
        </w:tc>
        <w:tc>
          <w:tcPr>
            <w:tcW w:w="60" w:type="dxa"/>
            <w:vAlign w:val="bottom"/>
            <w:tcBorders>
              <w:left w:val="single" w:sz="8" w:color="CCEEFF"/>
            </w:tcBorders>
          </w:tcPr>
          <w:p>
            <w:pPr>
              <w:spacing w:after="0"/>
              <w:rPr>
                <w:sz w:val="14"/>
                <w:szCs w:val="14"/>
                <w:color w:val="auto"/>
              </w:rPr>
            </w:pPr>
          </w:p>
        </w:tc>
      </w:tr>
      <w:tr>
        <w:trPr>
          <w:trHeight w:val="165"/>
        </w:trPr>
        <w:tc>
          <w:tcPr>
            <w:tcW w:w="1920" w:type="dxa"/>
            <w:vAlign w:val="bottom"/>
          </w:tcPr>
          <w:p>
            <w:pPr>
              <w:ind w:left="120"/>
              <w:spacing w:after="0"/>
              <w:rPr>
                <w:sz w:val="20"/>
                <w:szCs w:val="20"/>
                <w:color w:val="auto"/>
              </w:rPr>
            </w:pPr>
            <w:r>
              <w:rPr>
                <w:rFonts w:ascii="Arial" w:cs="Arial" w:eastAsia="Arial" w:hAnsi="Arial"/>
                <w:sz w:val="12"/>
                <w:szCs w:val="12"/>
                <w:color w:val="auto"/>
              </w:rPr>
              <w:t>Cargo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43,684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3,219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36,809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87"/>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12,551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49,107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24,555</w:t>
            </w:r>
          </w:p>
        </w:tc>
        <w:tc>
          <w:tcPr>
            <w:tcW w:w="60" w:type="dxa"/>
            <w:vAlign w:val="bottom"/>
            <w:tcBorders>
              <w:left w:val="single" w:sz="8" w:color="CCEEFF"/>
            </w:tcBorders>
          </w:tcPr>
          <w:p>
            <w:pPr>
              <w:spacing w:after="0"/>
              <w:rPr>
                <w:sz w:val="16"/>
                <w:szCs w:val="16"/>
                <w:color w:val="auto"/>
              </w:rPr>
            </w:pPr>
          </w:p>
        </w:tc>
      </w:tr>
      <w:tr>
        <w:trPr>
          <w:trHeight w:val="20"/>
        </w:trPr>
        <w:tc>
          <w:tcPr>
            <w:tcW w:w="19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1920" w:type="dxa"/>
            <w:vAlign w:val="bottom"/>
          </w:tcPr>
          <w:p>
            <w:pPr>
              <w:ind w:left="240"/>
              <w:spacing w:after="0"/>
              <w:rPr>
                <w:sz w:val="20"/>
                <w:szCs w:val="20"/>
                <w:color w:val="auto"/>
              </w:rPr>
            </w:pPr>
            <w:r>
              <w:rPr>
                <w:rFonts w:ascii="Arial" w:cs="Arial" w:eastAsia="Arial" w:hAnsi="Arial"/>
                <w:sz w:val="12"/>
                <w:szCs w:val="12"/>
                <w:color w:val="auto"/>
              </w:rPr>
              <w:t>Total Operating Revenue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276,802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215,706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401,486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701,384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384,931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197,452</w:t>
            </w:r>
          </w:p>
        </w:tc>
        <w:tc>
          <w:tcPr>
            <w:tcW w:w="60" w:type="dxa"/>
            <w:vAlign w:val="bottom"/>
          </w:tcPr>
          <w:p>
            <w:pPr>
              <w:spacing w:after="0"/>
              <w:rPr>
                <w:sz w:val="14"/>
                <w:szCs w:val="14"/>
                <w:color w:val="auto"/>
              </w:rPr>
            </w:pPr>
          </w:p>
        </w:tc>
      </w:tr>
      <w:tr>
        <w:trPr>
          <w:trHeight w:val="145"/>
        </w:trPr>
        <w:tc>
          <w:tcPr>
            <w:tcW w:w="1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Operating Expenses</w:t>
            </w:r>
            <w:r>
              <w:rPr>
                <w:rFonts w:ascii="Arial" w:cs="Arial" w:eastAsia="Arial" w:hAnsi="Arial"/>
                <w:sz w:val="12"/>
                <w:szCs w:val="12"/>
                <w:color w:val="auto"/>
              </w:rPr>
              <w:t>:</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r>
      <w:tr>
        <w:trPr>
          <w:trHeight w:val="165"/>
        </w:trPr>
        <w:tc>
          <w:tcPr>
            <w:tcW w:w="1920" w:type="dxa"/>
            <w:vAlign w:val="bottom"/>
          </w:tcPr>
          <w:p>
            <w:pPr>
              <w:ind w:left="120"/>
              <w:spacing w:after="0"/>
              <w:rPr>
                <w:sz w:val="20"/>
                <w:szCs w:val="20"/>
                <w:color w:val="auto"/>
              </w:rPr>
            </w:pPr>
            <w:r>
              <w:rPr>
                <w:rFonts w:ascii="Arial" w:cs="Arial" w:eastAsia="Arial" w:hAnsi="Arial"/>
                <w:sz w:val="12"/>
                <w:szCs w:val="12"/>
                <w:color w:val="auto"/>
              </w:rPr>
              <w:t>Aircraft Fuel</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53,984</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56,238</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83,392</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165,666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119,553</w:t>
            </w: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45,790</w:t>
            </w:r>
          </w:p>
        </w:tc>
        <w:tc>
          <w:tcPr>
            <w:tcW w:w="60" w:type="dxa"/>
            <w:vAlign w:val="bottom"/>
          </w:tcPr>
          <w:p>
            <w:pPr>
              <w:spacing w:after="0"/>
              <w:rPr>
                <w:sz w:val="14"/>
                <w:szCs w:val="14"/>
                <w:color w:val="auto"/>
              </w:rPr>
            </w:pPr>
          </w:p>
        </w:tc>
      </w:tr>
      <w:tr>
        <w:trPr>
          <w:trHeight w:val="165"/>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Salaries, Wages, and Benefits.</w:t>
            </w: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86,392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70,575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141,641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140,739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90,263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36,964</w:t>
            </w:r>
          </w:p>
        </w:tc>
        <w:tc>
          <w:tcPr>
            <w:tcW w:w="60" w:type="dxa"/>
            <w:vAlign w:val="bottom"/>
            <w:tcBorders>
              <w:left w:val="single" w:sz="8" w:color="CCEEFF"/>
            </w:tcBorders>
          </w:tcPr>
          <w:p>
            <w:pPr>
              <w:spacing w:after="0"/>
              <w:rPr>
                <w:sz w:val="14"/>
                <w:szCs w:val="14"/>
                <w:color w:val="auto"/>
              </w:rPr>
            </w:pPr>
          </w:p>
        </w:tc>
      </w:tr>
      <w:tr>
        <w:trPr>
          <w:trHeight w:val="187"/>
        </w:trPr>
        <w:tc>
          <w:tcPr>
            <w:tcW w:w="1920" w:type="dxa"/>
            <w:vAlign w:val="bottom"/>
          </w:tcPr>
          <w:p>
            <w:pPr>
              <w:ind w:left="120"/>
              <w:spacing w:after="0"/>
              <w:rPr>
                <w:sz w:val="20"/>
                <w:szCs w:val="20"/>
                <w:color w:val="auto"/>
              </w:rPr>
            </w:pPr>
            <w:r>
              <w:rPr>
                <w:rFonts w:ascii="Arial" w:cs="Arial" w:eastAsia="Arial" w:hAnsi="Arial"/>
                <w:sz w:val="12"/>
                <w:szCs w:val="12"/>
                <w:color w:val="auto"/>
              </w:rPr>
              <w:t>Aircraft Rent</w:t>
            </w:r>
            <w:r>
              <w:rPr>
                <w:rFonts w:ascii="Arial" w:cs="Arial" w:eastAsia="Arial" w:hAnsi="Arial"/>
                <w:sz w:val="16"/>
                <w:szCs w:val="16"/>
                <w:color w:val="auto"/>
                <w:vertAlign w:val="superscript"/>
              </w:rPr>
              <w:t>(1)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9,414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16,966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30,989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49,908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36,831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28,329</w:t>
            </w:r>
          </w:p>
        </w:tc>
        <w:tc>
          <w:tcPr>
            <w:tcW w:w="60" w:type="dxa"/>
            <w:vAlign w:val="bottom"/>
          </w:tcPr>
          <w:p>
            <w:pPr>
              <w:spacing w:after="0"/>
              <w:rPr>
                <w:sz w:val="16"/>
                <w:szCs w:val="16"/>
                <w:color w:val="auto"/>
              </w:rPr>
            </w:pPr>
          </w:p>
        </w:tc>
      </w:tr>
      <w:tr>
        <w:trPr>
          <w:trHeight w:val="187"/>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Maintenance</w:t>
            </w:r>
            <w:r>
              <w:rPr>
                <w:rFonts w:ascii="Arial" w:cs="Arial" w:eastAsia="Arial" w:hAnsi="Arial"/>
                <w:sz w:val="16"/>
                <w:szCs w:val="16"/>
                <w:color w:val="auto"/>
                <w:vertAlign w:val="superscript"/>
              </w:rPr>
              <w:t>(2)</w:t>
            </w: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20,510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8,904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27,416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35,286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15,491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9,508</w:t>
            </w:r>
          </w:p>
        </w:tc>
        <w:tc>
          <w:tcPr>
            <w:tcW w:w="60" w:type="dxa"/>
            <w:vAlign w:val="bottom"/>
            <w:tcBorders>
              <w:left w:val="single" w:sz="8" w:color="CCEEFF"/>
            </w:tcBorders>
          </w:tcPr>
          <w:p>
            <w:pPr>
              <w:spacing w:after="0"/>
              <w:rPr>
                <w:sz w:val="16"/>
                <w:szCs w:val="16"/>
                <w:color w:val="auto"/>
              </w:rPr>
            </w:pPr>
          </w:p>
        </w:tc>
      </w:tr>
      <w:tr>
        <w:trPr>
          <w:trHeight w:val="176"/>
        </w:trPr>
        <w:tc>
          <w:tcPr>
            <w:tcW w:w="1920" w:type="dxa"/>
            <w:vAlign w:val="bottom"/>
          </w:tcPr>
          <w:p>
            <w:pPr>
              <w:ind w:left="120"/>
              <w:spacing w:after="0"/>
              <w:rPr>
                <w:sz w:val="20"/>
                <w:szCs w:val="20"/>
                <w:color w:val="auto"/>
              </w:rPr>
            </w:pPr>
            <w:r>
              <w:rPr>
                <w:rFonts w:ascii="Arial" w:cs="Arial" w:eastAsia="Arial" w:hAnsi="Arial"/>
                <w:sz w:val="12"/>
                <w:szCs w:val="12"/>
                <w:color w:val="auto"/>
              </w:rPr>
              <w:t>Sales and Marketing.</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10,932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10,202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16,570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35,388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17,180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10,854</w:t>
            </w:r>
          </w:p>
        </w:tc>
        <w:tc>
          <w:tcPr>
            <w:tcW w:w="60" w:type="dxa"/>
            <w:vAlign w:val="bottom"/>
          </w:tcPr>
          <w:p>
            <w:pPr>
              <w:spacing w:after="0"/>
              <w:rPr>
                <w:sz w:val="15"/>
                <w:szCs w:val="15"/>
                <w:color w:val="auto"/>
              </w:rPr>
            </w:pPr>
          </w:p>
        </w:tc>
      </w:tr>
      <w:tr>
        <w:trPr>
          <w:trHeight w:val="142"/>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r>
      <w:tr>
        <w:trPr>
          <w:trHeight w:val="177"/>
        </w:trPr>
        <w:tc>
          <w:tcPr>
            <w:tcW w:w="1920" w:type="dxa"/>
            <w:vAlign w:val="bottom"/>
            <w:shd w:val="clear" w:color="auto" w:fill="CCEEFF"/>
          </w:tcPr>
          <w:p>
            <w:pPr>
              <w:ind w:left="240"/>
              <w:spacing w:after="0" w:line="177" w:lineRule="exact"/>
              <w:rPr>
                <w:sz w:val="20"/>
                <w:szCs w:val="20"/>
                <w:color w:val="auto"/>
              </w:rPr>
            </w:pPr>
            <w:r>
              <w:rPr>
                <w:rFonts w:ascii="Arial" w:cs="Arial" w:eastAsia="Arial" w:hAnsi="Arial"/>
                <w:sz w:val="12"/>
                <w:szCs w:val="12"/>
                <w:color w:val="auto"/>
              </w:rPr>
              <w:t>Amortization</w:t>
            </w:r>
            <w:r>
              <w:rPr>
                <w:rFonts w:ascii="Arial" w:cs="Arial" w:eastAsia="Arial" w:hAnsi="Arial"/>
                <w:sz w:val="16"/>
                <w:szCs w:val="16"/>
                <w:color w:val="auto"/>
                <w:vertAlign w:val="superscript"/>
              </w:rPr>
              <w:t>(3)</w:t>
            </w: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26,075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22,702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48,086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34,877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14,405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2,526</w:t>
            </w:r>
          </w:p>
        </w:tc>
        <w:tc>
          <w:tcPr>
            <w:tcW w:w="60" w:type="dxa"/>
            <w:vAlign w:val="bottom"/>
            <w:tcBorders>
              <w:left w:val="single" w:sz="8" w:color="CCEEFF"/>
            </w:tcBorders>
          </w:tcPr>
          <w:p>
            <w:pPr>
              <w:spacing w:after="0"/>
              <w:rPr>
                <w:sz w:val="15"/>
                <w:szCs w:val="15"/>
                <w:color w:val="auto"/>
              </w:rPr>
            </w:pPr>
          </w:p>
        </w:tc>
      </w:tr>
      <w:tr>
        <w:trPr>
          <w:trHeight w:val="176"/>
        </w:trPr>
        <w:tc>
          <w:tcPr>
            <w:tcW w:w="1920" w:type="dxa"/>
            <w:vAlign w:val="bottom"/>
          </w:tcPr>
          <w:p>
            <w:pPr>
              <w:ind w:left="120"/>
              <w:spacing w:after="0"/>
              <w:rPr>
                <w:sz w:val="20"/>
                <w:szCs w:val="20"/>
                <w:color w:val="auto"/>
              </w:rPr>
            </w:pPr>
            <w:r>
              <w:rPr>
                <w:rFonts w:ascii="Arial" w:cs="Arial" w:eastAsia="Arial" w:hAnsi="Arial"/>
                <w:sz w:val="12"/>
                <w:szCs w:val="12"/>
                <w:color w:val="auto"/>
              </w:rPr>
              <w:t>Ground Handling</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11,781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10,906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20,596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41,719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23,828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8,619</w:t>
            </w:r>
          </w:p>
        </w:tc>
        <w:tc>
          <w:tcPr>
            <w:tcW w:w="60" w:type="dxa"/>
            <w:vAlign w:val="bottom"/>
          </w:tcPr>
          <w:p>
            <w:pPr>
              <w:spacing w:after="0"/>
              <w:rPr>
                <w:sz w:val="15"/>
                <w:szCs w:val="15"/>
                <w:color w:val="auto"/>
              </w:rPr>
            </w:pPr>
          </w:p>
        </w:tc>
      </w:tr>
      <w:tr>
        <w:trPr>
          <w:trHeight w:val="154"/>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Landing Fees and Airport</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r>
      <w:tr>
        <w:trPr>
          <w:trHeight w:val="154"/>
        </w:trPr>
        <w:tc>
          <w:tcPr>
            <w:tcW w:w="1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Rent.</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17,537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13,781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31,256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44,400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25,977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10,481</w:t>
            </w:r>
          </w:p>
        </w:tc>
        <w:tc>
          <w:tcPr>
            <w:tcW w:w="60" w:type="dxa"/>
            <w:vAlign w:val="bottom"/>
            <w:tcBorders>
              <w:left w:val="single" w:sz="8" w:color="CCEEFF"/>
            </w:tcBorders>
          </w:tcPr>
          <w:p>
            <w:pPr>
              <w:spacing w:after="0"/>
              <w:rPr>
                <w:sz w:val="13"/>
                <w:szCs w:val="13"/>
                <w:color w:val="auto"/>
              </w:rPr>
            </w:pPr>
          </w:p>
        </w:tc>
      </w:tr>
      <w:tr>
        <w:trPr>
          <w:trHeight w:val="187"/>
        </w:trPr>
        <w:tc>
          <w:tcPr>
            <w:tcW w:w="1920" w:type="dxa"/>
            <w:vAlign w:val="bottom"/>
          </w:tcPr>
          <w:p>
            <w:pPr>
              <w:ind w:left="120"/>
              <w:spacing w:after="0"/>
              <w:rPr>
                <w:sz w:val="20"/>
                <w:szCs w:val="20"/>
                <w:color w:val="auto"/>
              </w:rPr>
            </w:pPr>
            <w:r>
              <w:rPr>
                <w:rFonts w:ascii="Arial" w:cs="Arial" w:eastAsia="Arial" w:hAnsi="Arial"/>
                <w:sz w:val="12"/>
                <w:szCs w:val="12"/>
                <w:color w:val="auto"/>
              </w:rPr>
              <w:t>Special Items, net</w:t>
            </w:r>
            <w:r>
              <w:rPr>
                <w:rFonts w:ascii="Arial" w:cs="Arial" w:eastAsia="Arial" w:hAnsi="Arial"/>
                <w:sz w:val="16"/>
                <w:szCs w:val="16"/>
                <w:color w:val="auto"/>
                <w:vertAlign w:val="superscript"/>
              </w:rPr>
              <w:t>(4)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(65,392)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(31,481)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(64,563)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7,092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(6,706)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271</w:t>
            </w:r>
          </w:p>
        </w:tc>
        <w:tc>
          <w:tcPr>
            <w:tcW w:w="60" w:type="dxa"/>
            <w:vAlign w:val="bottom"/>
          </w:tcPr>
          <w:p>
            <w:pPr>
              <w:spacing w:after="0"/>
              <w:rPr>
                <w:sz w:val="16"/>
                <w:szCs w:val="16"/>
                <w:color w:val="auto"/>
              </w:rPr>
            </w:pPr>
          </w:p>
        </w:tc>
      </w:tr>
      <w:tr>
        <w:trPr>
          <w:trHeight w:val="198"/>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Operating, net</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23,917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48,718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68,187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40,877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17,994</w:t>
            </w:r>
          </w:p>
        </w:tc>
        <w:tc>
          <w:tcPr>
            <w:tcW w:w="60" w:type="dxa"/>
            <w:vAlign w:val="bottom"/>
            <w:tcBorders>
              <w:left w:val="single" w:sz="8" w:color="CCEEFF"/>
            </w:tcBorders>
          </w:tcPr>
          <w:p>
            <w:pPr>
              <w:spacing w:after="0"/>
              <w:rPr>
                <w:sz w:val="17"/>
                <w:szCs w:val="17"/>
                <w:color w:val="auto"/>
              </w:rPr>
            </w:pPr>
          </w:p>
        </w:tc>
      </w:tr>
      <w:tr>
        <w:trPr>
          <w:trHeight w:val="20"/>
        </w:trPr>
        <w:tc>
          <w:tcPr>
            <w:tcW w:w="19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1920" w:type="dxa"/>
            <w:vAlign w:val="bottom"/>
          </w:tcPr>
          <w:p>
            <w:pPr>
              <w:ind w:left="120"/>
              <w:spacing w:after="0"/>
              <w:rPr>
                <w:sz w:val="20"/>
                <w:szCs w:val="20"/>
                <w:color w:val="auto"/>
              </w:rPr>
            </w:pPr>
            <w:r>
              <w:rPr>
                <w:rFonts w:ascii="Arial" w:cs="Arial" w:eastAsia="Arial" w:hAnsi="Arial"/>
                <w:sz w:val="12"/>
                <w:szCs w:val="12"/>
                <w:color w:val="auto"/>
              </w:rPr>
              <w:t>Total Operating Expenses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202,630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202,710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384,101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623,262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377,699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171,336</w:t>
            </w:r>
          </w:p>
        </w:tc>
        <w:tc>
          <w:tcPr>
            <w:tcW w:w="60" w:type="dxa"/>
            <w:vAlign w:val="bottom"/>
          </w:tcPr>
          <w:p>
            <w:pPr>
              <w:spacing w:after="0"/>
              <w:rPr>
                <w:sz w:val="15"/>
                <w:szCs w:val="15"/>
                <w:color w:val="auto"/>
              </w:rPr>
            </w:pPr>
          </w:p>
        </w:tc>
      </w:tr>
      <w:tr>
        <w:trPr>
          <w:trHeight w:val="20"/>
        </w:trPr>
        <w:tc>
          <w:tcPr>
            <w:tcW w:w="19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156"/>
        </w:trPr>
        <w:tc>
          <w:tcPr>
            <w:tcW w:w="192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74,172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12,996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17,385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78,122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7,232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26,116</w:t>
            </w:r>
          </w:p>
        </w:tc>
        <w:tc>
          <w:tcPr>
            <w:tcW w:w="60" w:type="dxa"/>
            <w:vAlign w:val="bottom"/>
            <w:tcBorders>
              <w:left w:val="single" w:sz="8" w:color="CCEEFF"/>
            </w:tcBorders>
          </w:tcPr>
          <w:p>
            <w:pPr>
              <w:spacing w:after="0"/>
              <w:rPr>
                <w:sz w:val="13"/>
                <w:szCs w:val="13"/>
                <w:color w:val="auto"/>
              </w:rPr>
            </w:pPr>
          </w:p>
        </w:tc>
      </w:tr>
      <w:tr>
        <w:trPr>
          <w:trHeight w:val="176"/>
        </w:trPr>
        <w:tc>
          <w:tcPr>
            <w:tcW w:w="1920" w:type="dxa"/>
            <w:vAlign w:val="bottom"/>
          </w:tcPr>
          <w:p>
            <w:pPr>
              <w:spacing w:after="0"/>
              <w:rPr>
                <w:sz w:val="20"/>
                <w:szCs w:val="20"/>
                <w:color w:val="auto"/>
              </w:rPr>
            </w:pPr>
            <w:r>
              <w:rPr>
                <w:rFonts w:ascii="Arial" w:cs="Arial" w:eastAsia="Arial" w:hAnsi="Arial"/>
                <w:sz w:val="12"/>
                <w:szCs w:val="12"/>
                <w:b w:val="1"/>
                <w:bCs w:val="1"/>
                <w:color w:val="auto"/>
                <w:w w:val="99"/>
              </w:rPr>
              <w:t>Non-operating Income (Expense)</w:t>
            </w:r>
            <w:r>
              <w:rPr>
                <w:rFonts w:ascii="Arial" w:cs="Arial" w:eastAsia="Arial" w:hAnsi="Arial"/>
                <w:sz w:val="12"/>
                <w:szCs w:val="12"/>
                <w:color w:val="auto"/>
                <w:w w:val="99"/>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w:t>
            </w: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258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60" w:type="dxa"/>
            <w:vAlign w:val="bottom"/>
            <w:tcBorders>
              <w:left w:val="single" w:sz="8" w:color="CCEEFF"/>
            </w:tcBorders>
          </w:tcPr>
          <w:p>
            <w:pPr>
              <w:spacing w:after="0"/>
              <w:rPr>
                <w:sz w:val="15"/>
                <w:szCs w:val="15"/>
                <w:color w:val="auto"/>
              </w:rPr>
            </w:pPr>
          </w:p>
        </w:tc>
      </w:tr>
      <w:tr>
        <w:trPr>
          <w:trHeight w:val="187"/>
        </w:trPr>
        <w:tc>
          <w:tcPr>
            <w:tcW w:w="192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(13,201)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(11,058)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(22,073)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(17,170)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(6,060)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(339)</w:t>
            </w:r>
          </w:p>
        </w:tc>
      </w:tr>
    </w:tbl>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78"/>
              </w:rPr>
              <w:t>Successor</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gridSpan w:val="3"/>
          </w:tcPr>
          <w:p>
            <w:pPr>
              <w:jc w:val="center"/>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20" w:type="dxa"/>
            <w:vAlign w:val="bottom"/>
          </w:tcPr>
          <w:p>
            <w:pPr>
              <w:spacing w:after="0"/>
              <w:rPr>
                <w:sz w:val="11"/>
                <w:szCs w:val="11"/>
                <w:color w:val="auto"/>
              </w:rPr>
            </w:pPr>
          </w:p>
        </w:tc>
        <w:tc>
          <w:tcPr>
            <w:tcW w:w="7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w w:val="89"/>
              </w:rPr>
              <w:t>For the period</w:t>
            </w:r>
          </w:p>
        </w:tc>
        <w:tc>
          <w:tcPr>
            <w:tcW w:w="0" w:type="dxa"/>
            <w:vAlign w:val="bottom"/>
          </w:tcPr>
          <w:p>
            <w:pPr>
              <w:spacing w:after="0"/>
              <w:rPr>
                <w:sz w:val="1"/>
                <w:szCs w:val="1"/>
                <w:color w:val="auto"/>
              </w:rPr>
            </w:pPr>
          </w:p>
        </w:tc>
      </w:tr>
      <w:tr>
        <w:trPr>
          <w:trHeight w:val="132"/>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85"/>
              </w:rPr>
              <w:t>For the six</w:t>
            </w:r>
          </w:p>
        </w:tc>
        <w:tc>
          <w:tcPr>
            <w:tcW w:w="80" w:type="dxa"/>
            <w:vAlign w:val="bottom"/>
          </w:tcPr>
          <w:p>
            <w:pPr>
              <w:spacing w:after="0"/>
              <w:rPr>
                <w:sz w:val="11"/>
                <w:szCs w:val="11"/>
                <w:color w:val="auto"/>
              </w:rPr>
            </w:pPr>
          </w:p>
        </w:tc>
        <w:tc>
          <w:tcPr>
            <w:tcW w:w="80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5"/>
              </w:rPr>
              <w:t>For the six</w:t>
            </w:r>
          </w:p>
        </w:tc>
        <w:tc>
          <w:tcPr>
            <w:tcW w:w="8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For the year</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8"/>
              </w:rPr>
              <w:t>For the year</w:t>
            </w:r>
          </w:p>
        </w:tc>
        <w:tc>
          <w:tcPr>
            <w:tcW w:w="820" w:type="dxa"/>
            <w:vAlign w:val="bottom"/>
            <w:tcBorders>
              <w:right w:val="single" w:sz="8" w:color="auto"/>
            </w:tcBorders>
            <w:gridSpan w:val="3"/>
          </w:tcPr>
          <w:p>
            <w:pPr>
              <w:jc w:val="center"/>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center"/>
              <w:ind w:right="60"/>
              <w:spacing w:after="0" w:line="132" w:lineRule="exact"/>
              <w:rPr>
                <w:sz w:val="20"/>
                <w:szCs w:val="20"/>
                <w:color w:val="auto"/>
              </w:rPr>
            </w:pPr>
            <w:r>
              <w:rPr>
                <w:rFonts w:ascii="Arial" w:cs="Arial" w:eastAsia="Arial" w:hAnsi="Arial"/>
                <w:sz w:val="12"/>
                <w:szCs w:val="12"/>
                <w:b w:val="1"/>
                <w:bCs w:val="1"/>
                <w:color w:val="auto"/>
                <w:w w:val="77"/>
              </w:rPr>
              <w:t>months ended</w:t>
            </w:r>
          </w:p>
        </w:tc>
        <w:tc>
          <w:tcPr>
            <w:tcW w:w="88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80" w:type="dxa"/>
            <w:vAlign w:val="bottom"/>
          </w:tcPr>
          <w:p>
            <w:pPr>
              <w:spacing w:after="0"/>
              <w:rPr>
                <w:sz w:val="11"/>
                <w:szCs w:val="11"/>
                <w:color w:val="auto"/>
              </w:rPr>
            </w:pPr>
          </w:p>
        </w:tc>
        <w:tc>
          <w:tcPr>
            <w:tcW w:w="720" w:type="dxa"/>
            <w:vAlign w:val="bottom"/>
            <w:gridSpan w:val="2"/>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64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ended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jc w:val="center"/>
              <w:ind w:right="118"/>
              <w:spacing w:after="0" w:line="132" w:lineRule="exact"/>
              <w:rPr>
                <w:sz w:val="20"/>
                <w:szCs w:val="20"/>
                <w:color w:val="auto"/>
              </w:rPr>
            </w:pPr>
            <w:r>
              <w:rPr>
                <w:rFonts w:ascii="Arial" w:cs="Arial" w:eastAsia="Arial" w:hAnsi="Arial"/>
                <w:sz w:val="12"/>
                <w:szCs w:val="12"/>
                <w:b w:val="1"/>
                <w:bCs w:val="1"/>
                <w:color w:val="auto"/>
                <w:w w:val="88"/>
              </w:rPr>
              <w:t>through</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9"/>
              <w:spacing w:after="0" w:line="132" w:lineRule="exact"/>
              <w:rPr>
                <w:sz w:val="20"/>
                <w:szCs w:val="20"/>
                <w:color w:val="auto"/>
              </w:rPr>
            </w:pPr>
            <w:r>
              <w:rPr>
                <w:rFonts w:ascii="Arial" w:cs="Arial" w:eastAsia="Arial" w:hAnsi="Arial"/>
                <w:sz w:val="12"/>
                <w:szCs w:val="12"/>
                <w:b w:val="1"/>
                <w:bCs w:val="1"/>
                <w:color w:val="auto"/>
                <w:w w:val="82"/>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83"/>
              </w:rPr>
              <w:t>June 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83"/>
              </w:rPr>
              <w:t>June 30,</w:t>
            </w:r>
          </w:p>
        </w:tc>
        <w:tc>
          <w:tcPr>
            <w:tcW w:w="800" w:type="dxa"/>
            <w:vAlign w:val="bottom"/>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20" w:type="dxa"/>
            <w:vAlign w:val="bottom"/>
            <w:tcBorders>
              <w:right w:val="single" w:sz="8" w:color="auto"/>
            </w:tcBorders>
            <w:gridSpan w:val="3"/>
          </w:tcPr>
          <w:p>
            <w:pPr>
              <w:jc w:val="center"/>
              <w:spacing w:after="0" w:line="132" w:lineRule="exact"/>
              <w:rPr>
                <w:sz w:val="20"/>
                <w:szCs w:val="20"/>
                <w:color w:val="auto"/>
              </w:rPr>
            </w:pPr>
            <w:r>
              <w:rPr>
                <w:rFonts w:ascii="Arial" w:cs="Arial" w:eastAsia="Arial" w:hAnsi="Arial"/>
                <w:sz w:val="12"/>
                <w:szCs w:val="12"/>
                <w:b w:val="1"/>
                <w:bCs w:val="1"/>
                <w:color w:val="auto"/>
                <w:w w:val="81"/>
              </w:rPr>
              <w:t>December 31,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138"/>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right w:val="single" w:sz="8" w:color="auto"/>
            </w:tcBorders>
          </w:tcPr>
          <w:p>
            <w:pPr>
              <w:jc w:val="center"/>
              <w:ind w:right="98"/>
              <w:spacing w:after="0"/>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9"/>
          </w:tcPr>
          <w:p>
            <w:pPr>
              <w:ind w:left="20"/>
              <w:spacing w:after="0"/>
              <w:rPr>
                <w:sz w:val="20"/>
                <w:szCs w:val="20"/>
                <w:color w:val="auto"/>
              </w:rPr>
            </w:pPr>
            <w:r>
              <w:rPr>
                <w:rFonts w:ascii="Arial" w:cs="Arial" w:eastAsia="Arial" w:hAnsi="Arial"/>
                <w:sz w:val="12"/>
                <w:szCs w:val="12"/>
                <w:b w:val="1"/>
                <w:bCs w:val="1"/>
                <w:color w:val="auto"/>
                <w:w w:val="83"/>
              </w:rPr>
              <w:t>(in thousands, except share and per share data)</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net</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18,049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(494)</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(371)</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(1,729)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880" w:type="dxa"/>
            <w:vAlign w:val="bottom"/>
            <w:tcBorders>
              <w:top w:val="single" w:sz="8" w:color="CCEEFF"/>
            </w:tcBorders>
          </w:tcPr>
          <w:p>
            <w:pPr>
              <w:ind w:left="120"/>
              <w:spacing w:after="0"/>
              <w:rPr>
                <w:sz w:val="20"/>
                <w:szCs w:val="20"/>
                <w:color w:val="auto"/>
              </w:rPr>
            </w:pPr>
            <w:r>
              <w:rPr>
                <w:rFonts w:ascii="Arial" w:cs="Arial" w:eastAsia="Arial" w:hAnsi="Arial"/>
                <w:sz w:val="12"/>
                <w:szCs w:val="12"/>
                <w:color w:val="auto"/>
              </w:rPr>
              <w:t>Total Non-operating Income</w:t>
            </w: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880" w:type="dxa"/>
            <w:vAlign w:val="bottom"/>
          </w:tcPr>
          <w:p>
            <w:pPr>
              <w:ind w:left="240"/>
              <w:spacing w:after="0"/>
              <w:rPr>
                <w:sz w:val="20"/>
                <w:szCs w:val="20"/>
                <w:color w:val="auto"/>
              </w:rPr>
            </w:pPr>
            <w:r>
              <w:rPr>
                <w:rFonts w:ascii="Arial" w:cs="Arial" w:eastAsia="Arial" w:hAnsi="Arial"/>
                <w:sz w:val="12"/>
                <w:szCs w:val="12"/>
                <w:color w:val="auto"/>
              </w:rPr>
              <w:t>(Expense)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4,872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(11,238)</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(22,067)</w:t>
            </w:r>
          </w:p>
        </w:tc>
        <w:tc>
          <w:tcPr>
            <w:tcW w:w="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(17,962)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(7,438)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spacing w:after="0"/>
              <w:rPr>
                <w:sz w:val="20"/>
                <w:szCs w:val="20"/>
                <w:color w:val="auto"/>
              </w:rPr>
            </w:pPr>
            <w:r>
              <w:rPr>
                <w:rFonts w:ascii="Arial" w:cs="Arial" w:eastAsia="Arial" w:hAnsi="Arial"/>
                <w:sz w:val="12"/>
                <w:szCs w:val="12"/>
                <w:color w:val="auto"/>
              </w:rPr>
              <w:t>Income (Loss) before Income Tax</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79,044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1,758</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(4,682)</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60,160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25,910</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880" w:type="dxa"/>
            <w:vAlign w:val="bottom"/>
            <w:tcBorders>
              <w:top w:val="single" w:sz="8" w:color="CCEEFF"/>
            </w:tcBorders>
          </w:tcPr>
          <w:p>
            <w:pPr>
              <w:ind w:left="120"/>
              <w:spacing w:after="0"/>
              <w:rPr>
                <w:sz w:val="20"/>
                <w:szCs w:val="20"/>
                <w:color w:val="auto"/>
              </w:rPr>
            </w:pPr>
            <w:r>
              <w:rPr>
                <w:rFonts w:ascii="Arial" w:cs="Arial" w:eastAsia="Arial" w:hAnsi="Arial"/>
                <w:sz w:val="12"/>
                <w:szCs w:val="12"/>
                <w:color w:val="auto"/>
              </w:rPr>
              <w:t>Income Tax Expense (Benefit)</w:t>
            </w: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14,875</w:t>
            </w: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547</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(778)</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14,088</w:t>
            </w: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2"/>
                <w:szCs w:val="12"/>
                <w:color w:val="auto"/>
              </w:rPr>
              <w:t>161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64,169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1,211</w:t>
            </w: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(3,904)</w:t>
            </w: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46,072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right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(367)</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25,910</w:t>
            </w:r>
          </w:p>
        </w:tc>
        <w:tc>
          <w:tcPr>
            <w:tcW w:w="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2"/>
                <w:szCs w:val="12"/>
                <w:color w:val="auto"/>
              </w:rPr>
              <w:t>Net Income (Loss) per share to</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tcPr>
          <w:p>
            <w:pPr>
              <w:ind w:left="120"/>
              <w:spacing w:after="0"/>
              <w:rPr>
                <w:sz w:val="20"/>
                <w:szCs w:val="20"/>
                <w:color w:val="auto"/>
              </w:rPr>
            </w:pPr>
            <w:r>
              <w:rPr>
                <w:rFonts w:ascii="Arial" w:cs="Arial" w:eastAsia="Arial" w:hAnsi="Arial"/>
                <w:sz w:val="12"/>
                <w:szCs w:val="12"/>
                <w:color w:val="auto"/>
              </w:rPr>
              <w:t>common stockholders: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0.03</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(0.08)</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0.26</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80" w:type="dxa"/>
            <w:vAlign w:val="bottom"/>
          </w:tcPr>
          <w:p>
            <w:pPr>
              <w:spacing w:after="0"/>
              <w:rPr>
                <w:sz w:val="20"/>
                <w:szCs w:val="20"/>
                <w:color w:val="auto"/>
              </w:rPr>
            </w:pPr>
            <w:r>
              <w:rPr>
                <w:rFonts w:ascii="Arial" w:cs="Arial" w:eastAsia="Arial" w:hAnsi="Arial"/>
                <w:sz w:val="12"/>
                <w:szCs w:val="12"/>
                <w:color w:val="auto"/>
              </w:rPr>
              <w:t>Diluted</w:t>
            </w: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1.12</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0.02</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(0.08)</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0.96</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(0.01)</w:t>
            </w:r>
          </w:p>
        </w:tc>
        <w:tc>
          <w:tcPr>
            <w:tcW w:w="120" w:type="dxa"/>
            <w:vAlign w:val="bottom"/>
            <w:gridSpan w:val="3"/>
          </w:tcPr>
          <w:p>
            <w:pPr>
              <w:ind w:left="4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0.26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 average shares</w:t>
            </w: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outstanding:</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20"/>
                <w:szCs w:val="20"/>
                <w:color w:val="auto"/>
              </w:rPr>
            </w:pPr>
            <w:r>
              <w:rPr>
                <w:rFonts w:ascii="Arial" w:cs="Arial" w:eastAsia="Arial" w:hAnsi="Arial"/>
                <w:sz w:val="12"/>
                <w:szCs w:val="12"/>
                <w:color w:val="auto"/>
              </w:rPr>
              <w:t>Basic</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52,850,041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46,805,950</w:t>
            </w:r>
          </w:p>
        </w:tc>
        <w:tc>
          <w:tcPr>
            <w:tcW w:w="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46,805,951</w:t>
            </w: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46,773,038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tcPr>
          <w:p>
            <w:pPr>
              <w:jc w:val="right"/>
              <w:ind w:right="38"/>
              <w:spacing w:after="0"/>
              <w:rPr>
                <w:sz w:val="20"/>
                <w:szCs w:val="20"/>
                <w:color w:val="auto"/>
              </w:rPr>
            </w:pPr>
            <w:r>
              <w:rPr>
                <w:rFonts w:ascii="Arial" w:cs="Arial" w:eastAsia="Arial" w:hAnsi="Arial"/>
                <w:sz w:val="12"/>
                <w:szCs w:val="12"/>
                <w:color w:val="auto"/>
                <w:w w:val="89"/>
              </w:rPr>
              <w:t>46,700,990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89"/>
              </w:rPr>
              <w:t>100,000,000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80" w:type="dxa"/>
            <w:vAlign w:val="bottom"/>
            <w:shd w:val="clear" w:color="auto" w:fill="CCEEFF"/>
          </w:tcPr>
          <w:p>
            <w:pPr>
              <w:spacing w:after="0"/>
              <w:rPr>
                <w:sz w:val="20"/>
                <w:szCs w:val="20"/>
                <w:color w:val="auto"/>
              </w:rPr>
            </w:pPr>
            <w:r>
              <w:rPr>
                <w:rFonts w:ascii="Arial" w:cs="Arial" w:eastAsia="Arial" w:hAnsi="Arial"/>
                <w:sz w:val="12"/>
                <w:szCs w:val="12"/>
                <w:color w:val="auto"/>
              </w:rPr>
              <w:t>Diluted</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57,403,593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48,243,146</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46,805,951</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47,909,413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46,700,990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100,000,000</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480" w:right="1279" w:hanging="301"/>
        <w:spacing w:after="0" w:line="235" w:lineRule="auto"/>
        <w:tabs>
          <w:tab w:leader="none" w:pos="1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38" w:lineRule="exact"/>
        <w:rPr>
          <w:rFonts w:ascii="Arial" w:cs="Arial" w:eastAsia="Arial" w:hAnsi="Arial"/>
          <w:sz w:val="12"/>
          <w:szCs w:val="12"/>
          <w:color w:val="auto"/>
        </w:rPr>
      </w:pPr>
    </w:p>
    <w:p>
      <w:pPr>
        <w:ind w:left="1480" w:right="1359" w:hanging="301"/>
        <w:spacing w:after="0" w:line="260" w:lineRule="auto"/>
        <w:tabs>
          <w:tab w:leader="none" w:pos="14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29" w:lineRule="exact"/>
        <w:rPr>
          <w:rFonts w:ascii="Arial" w:cs="Arial" w:eastAsia="Arial" w:hAnsi="Arial"/>
          <w:sz w:val="11"/>
          <w:szCs w:val="11"/>
          <w:color w:val="auto"/>
        </w:rPr>
      </w:pPr>
    </w:p>
    <w:p>
      <w:pPr>
        <w:ind w:left="1480" w:right="1159" w:hanging="301"/>
        <w:spacing w:after="0" w:line="238" w:lineRule="auto"/>
        <w:tabs>
          <w:tab w:leader="none" w:pos="1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50" w:lineRule="exact"/>
        <w:rPr>
          <w:rFonts w:ascii="Arial" w:cs="Arial" w:eastAsia="Arial" w:hAnsi="Arial"/>
          <w:sz w:val="12"/>
          <w:szCs w:val="12"/>
          <w:color w:val="auto"/>
        </w:rPr>
      </w:pPr>
    </w:p>
    <w:p>
      <w:pPr>
        <w:ind w:left="1480" w:right="1459" w:hanging="301"/>
        <w:spacing w:after="0" w:line="265" w:lineRule="auto"/>
        <w:tabs>
          <w:tab w:leader="none" w:pos="14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See Note 16 to our audited consolidated financial statements and Note 11 to our unaudited condensed consolidated financial statements included elsewhere in this prospectus for additional information on the components of Special items, net.</w:t>
      </w:r>
    </w:p>
    <w:tbl>
      <w:tblPr>
        <w:tblLayout w:type="fixed"/>
        <w:tblInd w:w="1180" w:type="dxa"/>
        <w:tblCellMar>
          <w:top w:w="0" w:type="dxa"/>
          <w:left w:w="0" w:type="dxa"/>
          <w:bottom w:w="0" w:type="dxa"/>
          <w:right w:w="0" w:type="dxa"/>
        </w:tblCellMar>
      </w:tblPr>
      <w:tr>
        <w:trPr>
          <w:trHeight w:val="125"/>
        </w:trPr>
        <w:tc>
          <w:tcPr>
            <w:tcW w:w="5920" w:type="dxa"/>
            <w:vAlign w:val="bottom"/>
          </w:tcPr>
          <w:p>
            <w:pPr>
              <w:spacing w:after="0"/>
              <w:rPr>
                <w:sz w:val="10"/>
                <w:szCs w:val="10"/>
                <w:color w:val="auto"/>
              </w:rPr>
            </w:pPr>
          </w:p>
        </w:tc>
        <w:tc>
          <w:tcPr>
            <w:tcW w:w="7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6"/>
              </w:rPr>
              <w:t>As of</w:t>
            </w:r>
          </w:p>
        </w:tc>
        <w:tc>
          <w:tcPr>
            <w:tcW w:w="0" w:type="dxa"/>
            <w:vAlign w:val="bottom"/>
          </w:tcPr>
          <w:p>
            <w:pPr>
              <w:spacing w:after="0"/>
              <w:rPr>
                <w:sz w:val="1"/>
                <w:szCs w:val="1"/>
                <w:color w:val="auto"/>
              </w:rPr>
            </w:pPr>
          </w:p>
        </w:tc>
      </w:tr>
      <w:tr>
        <w:trPr>
          <w:trHeight w:val="132"/>
        </w:trPr>
        <w:tc>
          <w:tcPr>
            <w:tcW w:w="592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3"/>
              </w:rPr>
              <w:t>June 30,</w:t>
            </w:r>
          </w:p>
        </w:tc>
        <w:tc>
          <w:tcPr>
            <w:tcW w:w="0" w:type="dxa"/>
            <w:vAlign w:val="bottom"/>
          </w:tcPr>
          <w:p>
            <w:pPr>
              <w:spacing w:after="0"/>
              <w:rPr>
                <w:sz w:val="1"/>
                <w:szCs w:val="1"/>
                <w:color w:val="auto"/>
              </w:rPr>
            </w:pPr>
          </w:p>
        </w:tc>
      </w:tr>
      <w:tr>
        <w:trPr>
          <w:trHeight w:val="150"/>
        </w:trPr>
        <w:tc>
          <w:tcPr>
            <w:tcW w:w="59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9"/>
              </w:rPr>
              <w:t>2021</w:t>
            </w:r>
          </w:p>
        </w:tc>
        <w:tc>
          <w:tcPr>
            <w:tcW w:w="0" w:type="dxa"/>
            <w:vAlign w:val="bottom"/>
          </w:tcPr>
          <w:p>
            <w:pPr>
              <w:spacing w:after="0"/>
              <w:rPr>
                <w:sz w:val="1"/>
                <w:szCs w:val="1"/>
                <w:color w:val="auto"/>
              </w:rPr>
            </w:pPr>
          </w:p>
        </w:tc>
      </w:tr>
      <w:tr>
        <w:trPr>
          <w:trHeight w:val="21"/>
        </w:trPr>
        <w:tc>
          <w:tcPr>
            <w:tcW w:w="592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9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r>
              <w:rPr>
                <w:rFonts w:ascii="Arial" w:cs="Arial" w:eastAsia="Arial" w:hAnsi="Arial"/>
                <w:sz w:val="15"/>
                <w:szCs w:val="15"/>
                <w:color w:val="auto"/>
              </w:rPr>
              <w:t>:</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5"/>
                <w:szCs w:val="15"/>
                <w:color w:val="auto"/>
              </w:rPr>
              <w:t>Cash and equivalents</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  310,723</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1,309,964</w:t>
            </w:r>
          </w:p>
        </w:tc>
        <w:tc>
          <w:tcPr>
            <w:tcW w:w="0" w:type="dxa"/>
            <w:vAlign w:val="bottom"/>
          </w:tcPr>
          <w:p>
            <w:pPr>
              <w:spacing w:after="0"/>
              <w:rPr>
                <w:sz w:val="1"/>
                <w:szCs w:val="1"/>
                <w:color w:val="auto"/>
              </w:rPr>
            </w:pPr>
          </w:p>
        </w:tc>
      </w:tr>
      <w:tr>
        <w:trPr>
          <w:trHeight w:val="220"/>
        </w:trPr>
        <w:tc>
          <w:tcPr>
            <w:tcW w:w="5920" w:type="dxa"/>
            <w:vAlign w:val="bottom"/>
          </w:tcPr>
          <w:p>
            <w:pPr>
              <w:spacing w:after="0"/>
              <w:rPr>
                <w:sz w:val="20"/>
                <w:szCs w:val="20"/>
                <w:color w:val="auto"/>
              </w:rPr>
            </w:pPr>
            <w:r>
              <w:rPr>
                <w:rFonts w:ascii="Arial" w:cs="Arial" w:eastAsia="Arial" w:hAnsi="Arial"/>
                <w:sz w:val="15"/>
                <w:szCs w:val="15"/>
                <w:color w:val="auto"/>
              </w:rPr>
              <w:t>Long-term debt and finance leases, including current portion</w:t>
            </w:r>
          </w:p>
        </w:tc>
        <w:tc>
          <w:tcPr>
            <w:tcW w:w="760" w:type="dxa"/>
            <w:vAlign w:val="bottom"/>
          </w:tcPr>
          <w:p>
            <w:pPr>
              <w:jc w:val="right"/>
              <w:spacing w:after="0"/>
              <w:rPr>
                <w:sz w:val="20"/>
                <w:szCs w:val="20"/>
                <w:color w:val="auto"/>
              </w:rPr>
            </w:pPr>
            <w:r>
              <w:rPr>
                <w:rFonts w:ascii="Arial" w:cs="Arial" w:eastAsia="Arial" w:hAnsi="Arial"/>
                <w:sz w:val="15"/>
                <w:szCs w:val="15"/>
                <w:color w:val="auto"/>
              </w:rPr>
              <w:t>432,171</w:t>
            </w:r>
          </w:p>
        </w:tc>
        <w:tc>
          <w:tcPr>
            <w:tcW w:w="0" w:type="dxa"/>
            <w:vAlign w:val="bottom"/>
          </w:tcPr>
          <w:p>
            <w:pPr>
              <w:spacing w:after="0"/>
              <w:rPr>
                <w:sz w:val="1"/>
                <w:szCs w:val="1"/>
                <w:color w:val="auto"/>
              </w:rPr>
            </w:pPr>
          </w:p>
        </w:tc>
      </w:tr>
      <w:tr>
        <w:trPr>
          <w:trHeight w:val="220"/>
        </w:trPr>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464,233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75"/>
              </w:rPr>
              <w:t>Successor</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1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For the</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8"/>
              </w:rPr>
              <w:t>For the</w:t>
            </w: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3"/>
              </w:rPr>
              <w:t>For the</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8"/>
              </w:rPr>
              <w:t>For the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7"/>
              </w:rPr>
              <w:t>period</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period</w:t>
            </w: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2"/>
              </w:rPr>
              <w:t>six months</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2"/>
              </w:rPr>
              <w:t>six months</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8"/>
              </w:rPr>
              <w:t>For the</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8"/>
              </w:rPr>
              <w:t>For the</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8"/>
              </w:rPr>
              <w:t>April 11,</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ended</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79"/>
              </w:rPr>
              <w:t>ended</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year ended</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year ended</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3"/>
              </w:rPr>
              <w:t>June 30,</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3"/>
              </w:rPr>
              <w:t>June 30,</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204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2021</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60" w:type="dxa"/>
            <w:vAlign w:val="bottom"/>
          </w:tcPr>
          <w:p>
            <w:pPr>
              <w:spacing w:after="0"/>
              <w:rPr>
                <w:sz w:val="13"/>
                <w:szCs w:val="13"/>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Adjusted Net Income (Loss)</w:t>
            </w:r>
            <w:r>
              <w:rPr>
                <w:rFonts w:ascii="Arial" w:cs="Arial" w:eastAsia="Arial" w:hAnsi="Arial"/>
                <w:sz w:val="19"/>
                <w:szCs w:val="19"/>
                <w:color w:val="auto"/>
                <w:vertAlign w:val="superscript"/>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(423)</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$(20,196)</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$(47,916)</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$ 53,734</w:t>
            </w:r>
          </w:p>
        </w:tc>
        <w:tc>
          <w:tcPr>
            <w:tcW w:w="6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rPr>
              <w:t>$ (5,871)</w:t>
            </w:r>
          </w:p>
        </w:tc>
        <w:tc>
          <w:tcPr>
            <w:tcW w:w="74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rPr>
              <w:t>$26,181</w:t>
            </w:r>
          </w:p>
        </w:tc>
        <w:tc>
          <w:tcPr>
            <w:tcW w:w="0" w:type="dxa"/>
            <w:vAlign w:val="bottom"/>
          </w:tcPr>
          <w:p>
            <w:pPr>
              <w:spacing w:after="0"/>
              <w:rPr>
                <w:sz w:val="1"/>
                <w:szCs w:val="1"/>
                <w:color w:val="auto"/>
              </w:rPr>
            </w:pPr>
          </w:p>
        </w:tc>
      </w:tr>
      <w:tr>
        <w:trPr>
          <w:trHeight w:val="242"/>
        </w:trPr>
        <w:tc>
          <w:tcPr>
            <w:tcW w:w="2040" w:type="dxa"/>
            <w:vAlign w:val="bottom"/>
            <w:gridSpan w:val="2"/>
          </w:tcPr>
          <w:p>
            <w:pPr>
              <w:spacing w:after="0"/>
              <w:rPr>
                <w:sz w:val="20"/>
                <w:szCs w:val="20"/>
                <w:color w:val="auto"/>
              </w:rPr>
            </w:pPr>
            <w:r>
              <w:rPr>
                <w:rFonts w:ascii="Arial" w:cs="Arial" w:eastAsia="Arial" w:hAnsi="Arial"/>
                <w:sz w:val="15"/>
                <w:szCs w:val="15"/>
                <w:color w:val="auto"/>
              </w:rPr>
              <w:t>Adjusted EBITDAR</w:t>
            </w:r>
            <w:r>
              <w:rPr>
                <w:rFonts w:ascii="Arial" w:cs="Arial" w:eastAsia="Arial" w:hAnsi="Arial"/>
                <w:sz w:val="19"/>
                <w:szCs w:val="19"/>
                <w:color w:val="auto"/>
                <w:vertAlign w:val="superscript"/>
              </w:rPr>
              <w:t>(1)</w:t>
            </w:r>
          </w:p>
        </w:tc>
        <w:tc>
          <w:tcPr>
            <w:tcW w:w="720" w:type="dxa"/>
            <w:vAlign w:val="bottom"/>
          </w:tcPr>
          <w:p>
            <w:pPr>
              <w:jc w:val="right"/>
              <w:ind w:right="57"/>
              <w:spacing w:after="0"/>
              <w:rPr>
                <w:sz w:val="20"/>
                <w:szCs w:val="20"/>
                <w:color w:val="auto"/>
              </w:rPr>
            </w:pPr>
            <w:r>
              <w:rPr>
                <w:rFonts w:ascii="Arial" w:cs="Arial" w:eastAsia="Arial" w:hAnsi="Arial"/>
                <w:sz w:val="15"/>
                <w:szCs w:val="15"/>
                <w:color w:val="auto"/>
              </w:rPr>
              <w:t>48,186</w:t>
            </w:r>
          </w:p>
        </w:tc>
        <w:tc>
          <w:tcPr>
            <w:tcW w:w="60" w:type="dxa"/>
            <w:vAlign w:val="bottom"/>
          </w:tcPr>
          <w:p>
            <w:pPr>
              <w:spacing w:after="0"/>
              <w:rPr>
                <w:sz w:val="21"/>
                <w:szCs w:val="21"/>
                <w:color w:val="auto"/>
              </w:rPr>
            </w:pPr>
          </w:p>
        </w:tc>
        <w:tc>
          <w:tcPr>
            <w:tcW w:w="720" w:type="dxa"/>
            <w:vAlign w:val="bottom"/>
          </w:tcPr>
          <w:p>
            <w:pPr>
              <w:jc w:val="right"/>
              <w:ind w:right="17"/>
              <w:spacing w:after="0"/>
              <w:rPr>
                <w:sz w:val="20"/>
                <w:szCs w:val="20"/>
                <w:color w:val="auto"/>
              </w:rPr>
            </w:pPr>
            <w:r>
              <w:rPr>
                <w:rFonts w:ascii="Arial" w:cs="Arial" w:eastAsia="Arial" w:hAnsi="Arial"/>
                <w:sz w:val="15"/>
                <w:szCs w:val="15"/>
                <w:color w:val="auto"/>
              </w:rPr>
              <w:t>24,368</w:t>
            </w:r>
          </w:p>
        </w:tc>
        <w:tc>
          <w:tcPr>
            <w:tcW w:w="60" w:type="dxa"/>
            <w:vAlign w:val="bottom"/>
          </w:tcPr>
          <w:p>
            <w:pPr>
              <w:spacing w:after="0"/>
              <w:rPr>
                <w:sz w:val="21"/>
                <w:szCs w:val="21"/>
                <w:color w:val="auto"/>
              </w:rPr>
            </w:pPr>
          </w:p>
        </w:tc>
        <w:tc>
          <w:tcPr>
            <w:tcW w:w="720" w:type="dxa"/>
            <w:vAlign w:val="bottom"/>
          </w:tcPr>
          <w:p>
            <w:pPr>
              <w:jc w:val="right"/>
              <w:ind w:right="17"/>
              <w:spacing w:after="0"/>
              <w:rPr>
                <w:sz w:val="20"/>
                <w:szCs w:val="20"/>
                <w:color w:val="auto"/>
              </w:rPr>
            </w:pPr>
            <w:r>
              <w:rPr>
                <w:rFonts w:ascii="Arial" w:cs="Arial" w:eastAsia="Arial" w:hAnsi="Arial"/>
                <w:sz w:val="15"/>
                <w:szCs w:val="15"/>
                <w:color w:val="auto"/>
              </w:rPr>
              <w:t>38,930</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171,129</w:t>
            </w:r>
          </w:p>
        </w:tc>
        <w:tc>
          <w:tcPr>
            <w:tcW w:w="60" w:type="dxa"/>
            <w:vAlign w:val="bottom"/>
          </w:tcPr>
          <w:p>
            <w:pPr>
              <w:spacing w:after="0"/>
              <w:rPr>
                <w:sz w:val="21"/>
                <w:szCs w:val="21"/>
                <w:color w:val="auto"/>
              </w:rPr>
            </w:pPr>
          </w:p>
        </w:tc>
        <w:tc>
          <w:tcPr>
            <w:tcW w:w="780" w:type="dxa"/>
            <w:vAlign w:val="bottom"/>
            <w:tcBorders>
              <w:right w:val="single" w:sz="8" w:color="auto"/>
            </w:tcBorders>
          </w:tcPr>
          <w:p>
            <w:pPr>
              <w:jc w:val="right"/>
              <w:ind w:right="98"/>
              <w:spacing w:after="0"/>
              <w:rPr>
                <w:sz w:val="20"/>
                <w:szCs w:val="20"/>
                <w:color w:val="auto"/>
              </w:rPr>
            </w:pPr>
            <w:r>
              <w:rPr>
                <w:rFonts w:ascii="Arial" w:cs="Arial" w:eastAsia="Arial" w:hAnsi="Arial"/>
                <w:sz w:val="15"/>
                <w:szCs w:val="15"/>
                <w:color w:val="auto"/>
              </w:rPr>
              <w:t>49,688</w:t>
            </w:r>
          </w:p>
        </w:tc>
        <w:tc>
          <w:tcPr>
            <w:tcW w:w="740" w:type="dxa"/>
            <w:vAlign w:val="bottom"/>
          </w:tcPr>
          <w:p>
            <w:pPr>
              <w:jc w:val="right"/>
              <w:ind w:right="58"/>
              <w:spacing w:after="0"/>
              <w:rPr>
                <w:sz w:val="20"/>
                <w:szCs w:val="20"/>
                <w:color w:val="auto"/>
              </w:rPr>
            </w:pPr>
            <w:r>
              <w:rPr>
                <w:rFonts w:ascii="Arial" w:cs="Arial" w:eastAsia="Arial" w:hAnsi="Arial"/>
                <w:sz w:val="15"/>
                <w:szCs w:val="15"/>
                <w:color w:val="auto"/>
              </w:rPr>
              <w:t>57,279</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1480" w:right="1199" w:hanging="301"/>
        <w:spacing w:after="0" w:line="252" w:lineRule="auto"/>
        <w:tabs>
          <w:tab w:leader="none" w:pos="14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Adjusted Net Income (Loss) is a non-GAAP measure included as supplemental disclosure because we believe it is a useful indicator of our operating performance. Derivations of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39" w:lineRule="exact"/>
        <w:rPr>
          <w:rFonts w:ascii="Arial" w:cs="Arial" w:eastAsia="Arial" w:hAnsi="Arial"/>
          <w:sz w:val="11"/>
          <w:szCs w:val="11"/>
          <w:color w:val="auto"/>
        </w:rPr>
      </w:pPr>
    </w:p>
    <w:p>
      <w:pPr>
        <w:ind w:left="1480" w:right="1239"/>
        <w:spacing w:after="0" w:line="254" w:lineRule="auto"/>
        <w:rPr>
          <w:rFonts w:ascii="Arial" w:cs="Arial" w:eastAsia="Arial" w:hAnsi="Arial"/>
          <w:sz w:val="11"/>
          <w:szCs w:val="11"/>
          <w:color w:val="auto"/>
        </w:rPr>
      </w:pPr>
      <w:r>
        <w:rPr>
          <w:rFonts w:ascii="Arial" w:cs="Arial" w:eastAsia="Arial" w:hAnsi="Arial"/>
          <w:sz w:val="11"/>
          <w:szCs w:val="11"/>
          <w:color w:val="auto"/>
        </w:rPr>
        <w:t>Adjusted Net Income (Loss) and Adjusted EBITDAR have limitations as analytical tools. Some of the limitations applicable to these measures include: Adjusted Net Income (Loss)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Adjusted Net Income (Loss) and Adjusted EBITDAR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Net Income (Loss) and Adjusted EBITDAR differently than we do, limiting each measure’s usefulness as a comparative measure. Because of these limitations Adjusted Net Income (Loss) and Adjusted EBITDAR should not be considered in isolation or as a substitute for performance measures calculated in accordance with GAAP.</w:t>
      </w:r>
    </w:p>
    <w:p>
      <w:pPr>
        <w:spacing w:after="0" w:line="43" w:lineRule="exact"/>
        <w:rPr>
          <w:rFonts w:ascii="Arial" w:cs="Arial" w:eastAsia="Arial" w:hAnsi="Arial"/>
          <w:sz w:val="11"/>
          <w:szCs w:val="11"/>
          <w:color w:val="auto"/>
        </w:rPr>
      </w:pPr>
    </w:p>
    <w:p>
      <w:pPr>
        <w:ind w:left="1480" w:right="1279"/>
        <w:spacing w:after="0" w:line="258" w:lineRule="auto"/>
        <w:rPr>
          <w:rFonts w:ascii="Arial" w:cs="Arial" w:eastAsia="Arial" w:hAnsi="Arial"/>
          <w:sz w:val="11"/>
          <w:szCs w:val="11"/>
          <w:color w:val="auto"/>
        </w:rPr>
      </w:pPr>
      <w:r>
        <w:rPr>
          <w:rFonts w:ascii="Arial" w:cs="Arial" w:eastAsia="Arial" w:hAnsi="Arial"/>
          <w:sz w:val="11"/>
          <w:szCs w:val="11"/>
          <w:color w:val="auto"/>
        </w:rPr>
        <w:t>As derivations of Adjusted Net Income (Loss) and Adjusted EBITDAR are not determined in accordance with GAAP, such measures are susceptible to varying calculations and not all companies calculate the measures in the same manner. As a result, derivations of net income, including Adjusted Net Income (Loss) and Adjusted EBITDAR, as presented may not be directly comparable to similarly titled measures presented by other companies. For the foregoing reasons, each of Adjusted Net Income (Loss) and Adjusted EBITDAR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179" w:firstLine="293"/>
        <w:spacing w:after="0" w:line="264" w:lineRule="auto"/>
        <w:rPr>
          <w:sz w:val="20"/>
          <w:szCs w:val="20"/>
          <w:color w:val="auto"/>
        </w:rPr>
      </w:pPr>
      <w:r>
        <w:rPr>
          <w:rFonts w:ascii="Arial" w:cs="Arial" w:eastAsia="Arial" w:hAnsi="Arial"/>
          <w:sz w:val="15"/>
          <w:szCs w:val="15"/>
          <w:color w:val="auto"/>
        </w:rPr>
        <w:t>The following table presents the reconciliation of Net Income (Loss) to Adjusted Net Income (Loss) for the periods presented below.</w:t>
      </w:r>
    </w:p>
    <w:p>
      <w:pPr>
        <w:spacing w:after="0" w:line="97"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8"/>
              </w:rPr>
              <w:t>Successor</w:t>
            </w: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4"/>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740" w:type="dxa"/>
            <w:vAlign w:val="bottom"/>
            <w:gridSpan w:val="3"/>
          </w:tcPr>
          <w:p>
            <w:pPr>
              <w:jc w:val="center"/>
              <w:ind w:right="20"/>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5"/>
              </w:rPr>
              <w:t>For the six</w:t>
            </w:r>
          </w:p>
        </w:tc>
        <w:tc>
          <w:tcPr>
            <w:tcW w:w="100" w:type="dxa"/>
            <w:vAlign w:val="bottom"/>
          </w:tcPr>
          <w:p>
            <w:pPr>
              <w:spacing w:after="0"/>
              <w:rPr>
                <w:sz w:val="11"/>
                <w:szCs w:val="11"/>
                <w:color w:val="auto"/>
              </w:rPr>
            </w:pPr>
          </w:p>
        </w:tc>
        <w:tc>
          <w:tcPr>
            <w:tcW w:w="66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2"/>
              </w:rPr>
              <w:t>For the six</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6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620" w:type="dxa"/>
            <w:vAlign w:val="bottom"/>
            <w:gridSpan w:val="2"/>
          </w:tcPr>
          <w:p>
            <w:pPr>
              <w:jc w:val="center"/>
              <w:ind w:left="56"/>
              <w:spacing w:after="0" w:line="132" w:lineRule="exact"/>
              <w:rPr>
                <w:sz w:val="20"/>
                <w:szCs w:val="20"/>
                <w:color w:val="auto"/>
              </w:rPr>
            </w:pPr>
            <w:r>
              <w:rPr>
                <w:rFonts w:ascii="Arial" w:cs="Arial" w:eastAsia="Arial" w:hAnsi="Arial"/>
                <w:sz w:val="12"/>
                <w:szCs w:val="12"/>
                <w:b w:val="1"/>
                <w:bCs w:val="1"/>
                <w:color w:val="auto"/>
                <w:w w:val="82"/>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center"/>
              <w:ind w:right="240"/>
              <w:spacing w:after="0" w:line="132" w:lineRule="exact"/>
              <w:rPr>
                <w:sz w:val="20"/>
                <w:szCs w:val="20"/>
                <w:color w:val="auto"/>
              </w:rPr>
            </w:pPr>
            <w:r>
              <w:rPr>
                <w:rFonts w:ascii="Arial" w:cs="Arial" w:eastAsia="Arial" w:hAnsi="Arial"/>
                <w:sz w:val="12"/>
                <w:szCs w:val="12"/>
                <w:b w:val="1"/>
                <w:bCs w:val="1"/>
                <w:color w:val="auto"/>
                <w:w w:val="84"/>
              </w:rPr>
              <w:t>ended</w:t>
            </w:r>
          </w:p>
        </w:tc>
        <w:tc>
          <w:tcPr>
            <w:tcW w:w="120" w:type="dxa"/>
            <w:vAlign w:val="bottom"/>
          </w:tcPr>
          <w:p>
            <w:pPr>
              <w:spacing w:after="0"/>
              <w:rPr>
                <w:sz w:val="11"/>
                <w:szCs w:val="11"/>
                <w:color w:val="auto"/>
              </w:rPr>
            </w:pPr>
          </w:p>
        </w:tc>
        <w:tc>
          <w:tcPr>
            <w:tcW w:w="6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ended</w:t>
            </w:r>
          </w:p>
        </w:tc>
        <w:tc>
          <w:tcPr>
            <w:tcW w:w="140" w:type="dxa"/>
            <w:vAlign w:val="bottom"/>
          </w:tcPr>
          <w:p>
            <w:pPr>
              <w:spacing w:after="0"/>
              <w:rPr>
                <w:sz w:val="11"/>
                <w:szCs w:val="11"/>
                <w:color w:val="auto"/>
              </w:rPr>
            </w:pPr>
          </w:p>
        </w:tc>
        <w:tc>
          <w:tcPr>
            <w:tcW w:w="640" w:type="dxa"/>
            <w:vAlign w:val="bottom"/>
            <w:tcBorders>
              <w:right w:val="single" w:sz="8" w:color="auto"/>
            </w:tcBorders>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140" w:type="dxa"/>
            <w:vAlign w:val="bottom"/>
          </w:tcPr>
          <w:p>
            <w:pPr>
              <w:spacing w:after="0"/>
              <w:rPr>
                <w:sz w:val="11"/>
                <w:szCs w:val="11"/>
                <w:color w:val="auto"/>
              </w:rPr>
            </w:pPr>
          </w:p>
        </w:tc>
        <w:tc>
          <w:tcPr>
            <w:tcW w:w="60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June 30,</w:t>
            </w:r>
          </w:p>
        </w:tc>
        <w:tc>
          <w:tcPr>
            <w:tcW w:w="100" w:type="dxa"/>
            <w:vAlign w:val="bottom"/>
          </w:tcPr>
          <w:p>
            <w:pPr>
              <w:spacing w:after="0"/>
              <w:rPr>
                <w:sz w:val="11"/>
                <w:szCs w:val="11"/>
                <w:color w:val="auto"/>
              </w:rPr>
            </w:pPr>
          </w:p>
        </w:tc>
        <w:tc>
          <w:tcPr>
            <w:tcW w:w="66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June 30,</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80" w:type="dxa"/>
            <w:vAlign w:val="bottom"/>
            <w:tcBorders>
              <w:right w:val="single" w:sz="8" w:color="auto"/>
            </w:tcBorders>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140" w:type="dxa"/>
            <w:vAlign w:val="bottom"/>
          </w:tcPr>
          <w:p>
            <w:pPr>
              <w:spacing w:after="0"/>
              <w:rPr>
                <w:sz w:val="11"/>
                <w:szCs w:val="11"/>
                <w:color w:val="auto"/>
              </w:rPr>
            </w:pPr>
          </w:p>
        </w:tc>
        <w:tc>
          <w:tcPr>
            <w:tcW w:w="60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20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8"/>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center"/>
              <w:ind w:left="71"/>
              <w:spacing w:after="0"/>
              <w:rPr>
                <w:sz w:val="20"/>
                <w:szCs w:val="20"/>
                <w:color w:val="auto"/>
              </w:rPr>
            </w:pPr>
            <w:r>
              <w:rPr>
                <w:rFonts w:ascii="Arial" w:cs="Arial" w:eastAsia="Arial" w:hAnsi="Arial"/>
                <w:sz w:val="12"/>
                <w:szCs w:val="12"/>
                <w:b w:val="1"/>
                <w:bCs w:val="1"/>
                <w:color w:val="auto"/>
                <w:w w:val="82"/>
              </w:rPr>
              <w:t>2019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180" w:type="dxa"/>
            <w:vAlign w:val="bottom"/>
            <w:tcBorders>
              <w:right w:val="single" w:sz="8" w:color="auto"/>
            </w:tcBorders>
          </w:tcPr>
          <w:p>
            <w:pPr>
              <w:spacing w:after="0"/>
              <w:rPr>
                <w:sz w:val="13"/>
                <w:szCs w:val="13"/>
                <w:color w:val="auto"/>
              </w:rPr>
            </w:pPr>
          </w:p>
        </w:tc>
        <w:tc>
          <w:tcPr>
            <w:tcW w:w="620" w:type="dxa"/>
            <w:vAlign w:val="bottom"/>
            <w:gridSpan w:val="2"/>
          </w:tcPr>
          <w:p>
            <w:pPr>
              <w:jc w:val="center"/>
              <w:ind w:left="76"/>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64,169</w:t>
            </w: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1,211</w:t>
            </w: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(3,904)</w:t>
            </w:r>
          </w:p>
        </w:tc>
        <w:tc>
          <w:tcPr>
            <w:tcW w:w="4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80" w:type="dxa"/>
            <w:vAlign w:val="bottom"/>
            <w:gridSpan w:val="2"/>
          </w:tcPr>
          <w:p>
            <w:pPr>
              <w:spacing w:after="0"/>
              <w:rPr>
                <w:sz w:val="20"/>
                <w:szCs w:val="20"/>
                <w:color w:val="auto"/>
              </w:rPr>
            </w:pPr>
            <w:r>
              <w:rPr>
                <w:rFonts w:ascii="Arial" w:cs="Arial" w:eastAsia="Arial" w:hAnsi="Arial"/>
                <w:sz w:val="15"/>
                <w:szCs w:val="15"/>
                <w:color w:val="auto"/>
              </w:rPr>
              <w:t>Special items, net</w:t>
            </w:r>
            <w:r>
              <w:rPr>
                <w:rFonts w:ascii="Arial" w:cs="Arial" w:eastAsia="Arial" w:hAnsi="Arial"/>
                <w:sz w:val="19"/>
                <w:szCs w:val="19"/>
                <w:color w:val="auto"/>
                <w:vertAlign w:val="superscript"/>
              </w:rPr>
              <w:t>(a)</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(65,392)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(31,481)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(64,563)</w:t>
            </w:r>
          </w:p>
        </w:tc>
        <w:tc>
          <w:tcPr>
            <w:tcW w:w="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(6,706)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 compensation expense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3,613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2,110</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1,888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373</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tcPr>
          <w:p>
            <w:pPr>
              <w:spacing w:after="0"/>
              <w:rPr>
                <w:sz w:val="20"/>
                <w:szCs w:val="20"/>
                <w:color w:val="auto"/>
              </w:rPr>
            </w:pPr>
            <w:r>
              <w:rPr>
                <w:rFonts w:ascii="Arial" w:cs="Arial" w:eastAsia="Arial" w:hAnsi="Arial"/>
                <w:sz w:val="15"/>
                <w:szCs w:val="15"/>
                <w:color w:val="auto"/>
                <w:w w:val="91"/>
              </w:rPr>
              <w:t>Loss (gain) on asset transactions,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net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381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413</w:t>
            </w:r>
          </w:p>
        </w:tc>
        <w:tc>
          <w:tcPr>
            <w:tcW w:w="4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745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(811)</w:t>
            </w:r>
          </w:p>
        </w:tc>
        <w:tc>
          <w:tcPr>
            <w:tcW w:w="1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9"/>
              </w:rPr>
              <w:t>Early repayment of CARES Act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Loan</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80" w:type="dxa"/>
            <w:vAlign w:val="bottom"/>
            <w:gridSpan w:val="2"/>
          </w:tcPr>
          <w:p>
            <w:pPr>
              <w:spacing w:after="0"/>
              <w:rPr>
                <w:sz w:val="20"/>
                <w:szCs w:val="20"/>
                <w:color w:val="auto"/>
              </w:rPr>
            </w:pPr>
            <w:r>
              <w:rPr>
                <w:rFonts w:ascii="Arial" w:cs="Arial" w:eastAsia="Arial" w:hAnsi="Arial"/>
                <w:sz w:val="15"/>
                <w:szCs w:val="15"/>
                <w:color w:val="auto"/>
              </w:rPr>
              <w:t>Secondary offering costs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640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w w:val="92"/>
              </w:rPr>
              <w:t>Income tax receivable agreement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80" w:type="dxa"/>
            <w:vAlign w:val="bottom"/>
            <w:gridSpan w:val="2"/>
            <w:shd w:val="clear" w:color="auto" w:fill="CCEEFF"/>
          </w:tcPr>
          <w:p>
            <w:pPr>
              <w:ind w:left="140"/>
              <w:spacing w:after="0" w:line="214" w:lineRule="exact"/>
              <w:rPr>
                <w:sz w:val="20"/>
                <w:szCs w:val="20"/>
                <w:color w:val="auto"/>
              </w:rPr>
            </w:pPr>
            <w:r>
              <w:rPr>
                <w:rFonts w:ascii="Arial" w:cs="Arial" w:eastAsia="Arial" w:hAnsi="Arial"/>
                <w:sz w:val="15"/>
                <w:szCs w:val="15"/>
                <w:color w:val="auto"/>
              </w:rPr>
              <w:t>expense</w:t>
            </w:r>
            <w:r>
              <w:rPr>
                <w:rFonts w:ascii="Arial" w:cs="Arial" w:eastAsia="Arial" w:hAnsi="Arial"/>
                <w:sz w:val="19"/>
                <w:szCs w:val="19"/>
                <w:color w:val="auto"/>
                <w:vertAlign w:val="superscript"/>
              </w:rPr>
              <w:t>(b)</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80" w:type="dxa"/>
            <w:vAlign w:val="bottom"/>
            <w:gridSpan w:val="2"/>
          </w:tcPr>
          <w:p>
            <w:pPr>
              <w:spacing w:after="0" w:line="171" w:lineRule="exact"/>
              <w:rPr>
                <w:sz w:val="20"/>
                <w:szCs w:val="20"/>
                <w:color w:val="auto"/>
              </w:rPr>
            </w:pPr>
            <w:r>
              <w:rPr>
                <w:rFonts w:ascii="Arial" w:cs="Arial" w:eastAsia="Arial" w:hAnsi="Arial"/>
                <w:sz w:val="15"/>
                <w:szCs w:val="15"/>
                <w:color w:val="auto"/>
                <w:w w:val="92"/>
              </w:rPr>
              <w:t>Income tax receivable agreement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80" w:type="dxa"/>
            <w:vAlign w:val="bottom"/>
            <w:gridSpan w:val="2"/>
          </w:tcPr>
          <w:p>
            <w:pPr>
              <w:ind w:left="140"/>
              <w:spacing w:after="0" w:line="214" w:lineRule="exact"/>
              <w:rPr>
                <w:sz w:val="20"/>
                <w:szCs w:val="20"/>
                <w:color w:val="auto"/>
              </w:rPr>
            </w:pPr>
            <w:r>
              <w:rPr>
                <w:rFonts w:ascii="Arial" w:cs="Arial" w:eastAsia="Arial" w:hAnsi="Arial"/>
                <w:sz w:val="15"/>
                <w:szCs w:val="15"/>
                <w:color w:val="auto"/>
              </w:rPr>
              <w:t>adjustment</w:t>
            </w:r>
            <w:r>
              <w:rPr>
                <w:rFonts w:ascii="Arial" w:cs="Arial" w:eastAsia="Arial" w:hAnsi="Arial"/>
                <w:sz w:val="19"/>
                <w:szCs w:val="19"/>
                <w:color w:val="auto"/>
                <w:vertAlign w:val="superscript"/>
              </w:rPr>
              <w:t>(c)</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(18,700)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Loss on refinancing credit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facility</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080" w:type="dxa"/>
            <w:vAlign w:val="bottom"/>
            <w:gridSpan w:val="2"/>
          </w:tcPr>
          <w:p>
            <w:pPr>
              <w:spacing w:after="0"/>
              <w:rPr>
                <w:sz w:val="20"/>
                <w:szCs w:val="20"/>
                <w:color w:val="auto"/>
              </w:rPr>
            </w:pPr>
            <w:r>
              <w:rPr>
                <w:rFonts w:ascii="Arial" w:cs="Arial" w:eastAsia="Arial" w:hAnsi="Arial"/>
                <w:sz w:val="15"/>
                <w:szCs w:val="15"/>
                <w:color w:val="auto"/>
              </w:rPr>
              <w:t>Other adjustments</w:t>
            </w:r>
            <w:r>
              <w:rPr>
                <w:rFonts w:ascii="Arial" w:cs="Arial" w:eastAsia="Arial" w:hAnsi="Arial"/>
                <w:sz w:val="19"/>
                <w:szCs w:val="19"/>
                <w:color w:val="auto"/>
                <w:vertAlign w:val="superscript"/>
              </w:rPr>
              <w:t>(d)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2,541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8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Income tax effect of adjusting</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items, net</w:t>
            </w:r>
            <w:r>
              <w:rPr>
                <w:rFonts w:ascii="Arial" w:cs="Arial" w:eastAsia="Arial" w:hAnsi="Arial"/>
                <w:sz w:val="19"/>
                <w:szCs w:val="19"/>
                <w:color w:val="auto"/>
                <w:vertAlign w:val="superscript"/>
              </w:rPr>
              <w:t>(e)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13,708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13,147</w:t>
            </w: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(2,289)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1,640</w:t>
            </w: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tcPr>
          <w:p>
            <w:pPr>
              <w:spacing w:after="0"/>
              <w:rPr>
                <w:sz w:val="20"/>
                <w:szCs w:val="20"/>
                <w:color w:val="auto"/>
              </w:rPr>
            </w:pPr>
            <w:r>
              <w:rPr>
                <w:rFonts w:ascii="Arial" w:cs="Arial" w:eastAsia="Arial" w:hAnsi="Arial"/>
                <w:sz w:val="15"/>
                <w:szCs w:val="15"/>
                <w:color w:val="auto"/>
              </w:rPr>
              <w:t>Adjusted Net Income (Loss).</w:t>
            </w:r>
          </w:p>
        </w:tc>
        <w:tc>
          <w:tcPr>
            <w:tcW w:w="1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(423)</w:t>
            </w:r>
          </w:p>
        </w:tc>
        <w:tc>
          <w:tcPr>
            <w:tcW w:w="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(20,196)</w:t>
            </w:r>
          </w:p>
        </w:tc>
        <w:tc>
          <w:tcPr>
            <w:tcW w:w="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(47,916)</w:t>
            </w:r>
          </w:p>
        </w:tc>
        <w:tc>
          <w:tcPr>
            <w:tcW w:w="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53,734</w:t>
            </w: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(5,871)</w:t>
            </w:r>
          </w:p>
        </w:tc>
        <w:tc>
          <w:tcPr>
            <w:tcW w:w="6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26,181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1480" w:right="1459" w:hanging="301"/>
        <w:spacing w:after="0" w:line="291" w:lineRule="auto"/>
        <w:tabs>
          <w:tab w:leader="none" w:pos="14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33" w:lineRule="exact"/>
        <w:rPr>
          <w:rFonts w:ascii="Arial" w:cs="Arial" w:eastAsia="Arial" w:hAnsi="Arial"/>
          <w:sz w:val="11"/>
          <w:szCs w:val="11"/>
          <w:color w:val="auto"/>
        </w:rPr>
      </w:pPr>
    </w:p>
    <w:p>
      <w:pPr>
        <w:ind w:left="1480" w:right="1339" w:hanging="301"/>
        <w:spacing w:after="0" w:line="247" w:lineRule="auto"/>
        <w:tabs>
          <w:tab w:leader="none" w:pos="1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one-time costs to establish the income tax receivable agreement with our pre-IPO stockholders. See Note 10 to our unaudited condensed consolidated financial statements included elsewhere in this prospectus.</w:t>
      </w:r>
    </w:p>
    <w:p>
      <w:pPr>
        <w:spacing w:after="0" w:line="45" w:lineRule="exact"/>
        <w:rPr>
          <w:rFonts w:ascii="Arial" w:cs="Arial" w:eastAsia="Arial" w:hAnsi="Arial"/>
          <w:sz w:val="12"/>
          <w:szCs w:val="12"/>
          <w:color w:val="auto"/>
        </w:rPr>
      </w:pPr>
    </w:p>
    <w:p>
      <w:pPr>
        <w:ind w:left="1480" w:right="1399" w:hanging="301"/>
        <w:spacing w:after="0" w:line="291" w:lineRule="auto"/>
        <w:tabs>
          <w:tab w:leader="none" w:pos="14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Represents the adjustment to the income tax receivable agreement for the period, which is recorded in Non-operating Income (Expense). See Note 10 to our unaudited condensed consolidated financial statements included elsewhere in this prospectus.</w:t>
      </w:r>
    </w:p>
    <w:p>
      <w:pPr>
        <w:spacing w:after="0" w:line="33" w:lineRule="exact"/>
        <w:rPr>
          <w:rFonts w:ascii="Arial" w:cs="Arial" w:eastAsia="Arial" w:hAnsi="Arial"/>
          <w:sz w:val="11"/>
          <w:szCs w:val="11"/>
          <w:color w:val="auto"/>
        </w:rPr>
      </w:pPr>
    </w:p>
    <w:p>
      <w:pPr>
        <w:ind w:left="1480" w:right="1339" w:hanging="301"/>
        <w:spacing w:after="0" w:line="263" w:lineRule="auto"/>
        <w:tabs>
          <w:tab w:leader="none" w:pos="14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Other adjustments for the six months ended June 30, 2020 and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49" w:lineRule="exact"/>
        <w:rPr>
          <w:rFonts w:ascii="Arial" w:cs="Arial" w:eastAsia="Arial" w:hAnsi="Arial"/>
          <w:sz w:val="11"/>
          <w:szCs w:val="11"/>
          <w:color w:val="auto"/>
        </w:rPr>
      </w:pPr>
    </w:p>
    <w:p>
      <w:pPr>
        <w:ind w:left="1480" w:hanging="301"/>
        <w:spacing w:after="0"/>
        <w:tabs>
          <w:tab w:leader="none" w:pos="14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tax effect of adjusting items, net is calculated at the Company’s statutory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241300</wp:posOffset>
            </wp:positionV>
            <wp:extent cx="4491355" cy="6480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80" w:right="1439" w:firstLine="293"/>
        <w:spacing w:after="0" w:line="264" w:lineRule="auto"/>
        <w:rPr>
          <w:sz w:val="20"/>
          <w:szCs w:val="20"/>
          <w:color w:val="auto"/>
        </w:rPr>
      </w:pPr>
      <w:r>
        <w:rPr>
          <w:rFonts w:ascii="Arial" w:cs="Arial" w:eastAsia="Arial" w:hAnsi="Arial"/>
          <w:sz w:val="15"/>
          <w:szCs w:val="15"/>
          <w:color w:val="auto"/>
        </w:rPr>
        <w:t>The following table presents the reconciliation of Net Income (Loss) to Adjusted EBITDAR for the periods presented below.</w:t>
      </w:r>
    </w:p>
    <w:p>
      <w:pPr>
        <w:spacing w:after="0" w:line="97"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Successor</w:t>
            </w: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4"/>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40" w:type="dxa"/>
            <w:vAlign w:val="bottom"/>
            <w:gridSpan w:val="3"/>
          </w:tcPr>
          <w:p>
            <w:pPr>
              <w:jc w:val="center"/>
              <w:ind w:right="20"/>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82"/>
              </w:rPr>
              <w:t>For the six</w:t>
            </w:r>
          </w:p>
        </w:tc>
        <w:tc>
          <w:tcPr>
            <w:tcW w:w="80" w:type="dxa"/>
            <w:vAlign w:val="bottom"/>
          </w:tcPr>
          <w:p>
            <w:pPr>
              <w:spacing w:after="0"/>
              <w:rPr>
                <w:sz w:val="11"/>
                <w:szCs w:val="11"/>
                <w:color w:val="auto"/>
              </w:rPr>
            </w:pPr>
          </w:p>
        </w:tc>
        <w:tc>
          <w:tcPr>
            <w:tcW w:w="68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5"/>
              </w:rPr>
              <w:t>For the six</w:t>
            </w:r>
          </w:p>
        </w:tc>
        <w:tc>
          <w:tcPr>
            <w:tcW w:w="820" w:type="dxa"/>
            <w:vAlign w:val="bottom"/>
            <w:gridSpan w:val="5"/>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68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620" w:type="dxa"/>
            <w:vAlign w:val="bottom"/>
            <w:gridSpan w:val="2"/>
          </w:tcPr>
          <w:p>
            <w:pPr>
              <w:jc w:val="center"/>
              <w:ind w:left="53"/>
              <w:spacing w:after="0" w:line="132" w:lineRule="exact"/>
              <w:rPr>
                <w:sz w:val="20"/>
                <w:szCs w:val="20"/>
                <w:color w:val="auto"/>
              </w:rPr>
            </w:pPr>
            <w:r>
              <w:rPr>
                <w:rFonts w:ascii="Arial" w:cs="Arial" w:eastAsia="Arial" w:hAnsi="Arial"/>
                <w:sz w:val="12"/>
                <w:szCs w:val="12"/>
                <w:b w:val="1"/>
                <w:bCs w:val="1"/>
                <w:color w:val="auto"/>
                <w:w w:val="82"/>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6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300"/>
              <w:spacing w:after="0" w:line="132" w:lineRule="exact"/>
              <w:rPr>
                <w:sz w:val="20"/>
                <w:szCs w:val="20"/>
                <w:color w:val="auto"/>
              </w:rPr>
            </w:pPr>
            <w:r>
              <w:rPr>
                <w:rFonts w:ascii="Arial" w:cs="Arial" w:eastAsia="Arial" w:hAnsi="Arial"/>
                <w:sz w:val="12"/>
                <w:szCs w:val="12"/>
                <w:b w:val="1"/>
                <w:bCs w:val="1"/>
                <w:color w:val="auto"/>
                <w:w w:val="79"/>
              </w:rPr>
              <w:t>ended</w:t>
            </w:r>
          </w:p>
        </w:tc>
        <w:tc>
          <w:tcPr>
            <w:tcW w:w="100" w:type="dxa"/>
            <w:vAlign w:val="bottom"/>
          </w:tcPr>
          <w:p>
            <w:pPr>
              <w:spacing w:after="0"/>
              <w:rPr>
                <w:sz w:val="11"/>
                <w:szCs w:val="11"/>
                <w:color w:val="auto"/>
              </w:rPr>
            </w:pPr>
          </w:p>
        </w:tc>
        <w:tc>
          <w:tcPr>
            <w:tcW w:w="58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79"/>
              </w:rPr>
              <w:t>ended</w:t>
            </w:r>
          </w:p>
        </w:tc>
        <w:tc>
          <w:tcPr>
            <w:tcW w:w="140" w:type="dxa"/>
            <w:vAlign w:val="bottom"/>
          </w:tcPr>
          <w:p>
            <w:pPr>
              <w:spacing w:after="0"/>
              <w:rPr>
                <w:sz w:val="11"/>
                <w:szCs w:val="11"/>
                <w:color w:val="auto"/>
              </w:rPr>
            </w:pPr>
          </w:p>
        </w:tc>
        <w:tc>
          <w:tcPr>
            <w:tcW w:w="640" w:type="dxa"/>
            <w:vAlign w:val="bottom"/>
            <w:tcBorders>
              <w:right w:val="single" w:sz="8" w:color="auto"/>
            </w:tcBorders>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140" w:type="dxa"/>
            <w:vAlign w:val="bottom"/>
          </w:tcPr>
          <w:p>
            <w:pPr>
              <w:spacing w:after="0"/>
              <w:rPr>
                <w:sz w:val="11"/>
                <w:szCs w:val="11"/>
                <w:color w:val="auto"/>
              </w:rPr>
            </w:pPr>
          </w:p>
        </w:tc>
        <w:tc>
          <w:tcPr>
            <w:tcW w:w="60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83"/>
              </w:rPr>
              <w:t>June 30,</w:t>
            </w:r>
          </w:p>
        </w:tc>
        <w:tc>
          <w:tcPr>
            <w:tcW w:w="80" w:type="dxa"/>
            <w:vAlign w:val="bottom"/>
          </w:tcPr>
          <w:p>
            <w:pPr>
              <w:spacing w:after="0"/>
              <w:rPr>
                <w:sz w:val="11"/>
                <w:szCs w:val="11"/>
                <w:color w:val="auto"/>
              </w:rPr>
            </w:pPr>
          </w:p>
        </w:tc>
        <w:tc>
          <w:tcPr>
            <w:tcW w:w="680" w:type="dxa"/>
            <w:vAlign w:val="bottom"/>
            <w:gridSpan w:val="4"/>
          </w:tcPr>
          <w:p>
            <w:pPr>
              <w:jc w:val="center"/>
              <w:ind w:right="160"/>
              <w:spacing w:after="0" w:line="132" w:lineRule="exact"/>
              <w:rPr>
                <w:sz w:val="20"/>
                <w:szCs w:val="20"/>
                <w:color w:val="auto"/>
              </w:rPr>
            </w:pPr>
            <w:r>
              <w:rPr>
                <w:rFonts w:ascii="Arial" w:cs="Arial" w:eastAsia="Arial" w:hAnsi="Arial"/>
                <w:sz w:val="12"/>
                <w:szCs w:val="12"/>
                <w:b w:val="1"/>
                <w:bCs w:val="1"/>
                <w:color w:val="auto"/>
                <w:w w:val="83"/>
              </w:rPr>
              <w:t>June 30,</w:t>
            </w:r>
          </w:p>
        </w:tc>
        <w:tc>
          <w:tcPr>
            <w:tcW w:w="820" w:type="dxa"/>
            <w:vAlign w:val="bottom"/>
            <w:gridSpan w:val="5"/>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6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780" w:type="dxa"/>
            <w:vAlign w:val="bottom"/>
            <w:tcBorders>
              <w:right w:val="single" w:sz="8" w:color="auto"/>
            </w:tcBorders>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140" w:type="dxa"/>
            <w:vAlign w:val="bottom"/>
          </w:tcPr>
          <w:p>
            <w:pPr>
              <w:spacing w:after="0"/>
              <w:rPr>
                <w:sz w:val="11"/>
                <w:szCs w:val="11"/>
                <w:color w:val="auto"/>
              </w:rPr>
            </w:pPr>
          </w:p>
        </w:tc>
        <w:tc>
          <w:tcPr>
            <w:tcW w:w="60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21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60" w:type="dxa"/>
            <w:vAlign w:val="bottom"/>
            <w:gridSpan w:val="3"/>
          </w:tcPr>
          <w:p>
            <w:pPr>
              <w:jc w:val="center"/>
              <w:ind w:left="68"/>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Borders>
              <w:right w:val="single" w:sz="8" w:color="auto"/>
            </w:tcBorders>
          </w:tcPr>
          <w:p>
            <w:pPr>
              <w:spacing w:after="0"/>
              <w:rPr>
                <w:sz w:val="13"/>
                <w:szCs w:val="13"/>
                <w:color w:val="auto"/>
              </w:rPr>
            </w:pPr>
          </w:p>
        </w:tc>
        <w:tc>
          <w:tcPr>
            <w:tcW w:w="620" w:type="dxa"/>
            <w:vAlign w:val="bottom"/>
            <w:gridSpan w:val="2"/>
          </w:tcPr>
          <w:p>
            <w:pPr>
              <w:jc w:val="center"/>
              <w:ind w:left="73"/>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$ 64,169</w:t>
            </w: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1,211</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(3,904)</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100" w:type="dxa"/>
            <w:vAlign w:val="bottom"/>
            <w:gridSpan w:val="2"/>
          </w:tcPr>
          <w:p>
            <w:pPr>
              <w:ind w:left="140"/>
              <w:spacing w:after="0"/>
              <w:rPr>
                <w:sz w:val="20"/>
                <w:szCs w:val="20"/>
                <w:color w:val="auto"/>
              </w:rPr>
            </w:pPr>
            <w:r>
              <w:rPr>
                <w:rFonts w:ascii="Arial" w:cs="Arial" w:eastAsia="Arial" w:hAnsi="Arial"/>
                <w:sz w:val="15"/>
                <w:szCs w:val="15"/>
                <w:color w:val="auto"/>
              </w:rPr>
              <w:t>Special items, net</w:t>
            </w:r>
            <w:r>
              <w:rPr>
                <w:rFonts w:ascii="Arial" w:cs="Arial" w:eastAsia="Arial" w:hAnsi="Arial"/>
                <w:sz w:val="19"/>
                <w:szCs w:val="19"/>
                <w:color w:val="auto"/>
                <w:vertAlign w:val="superscript"/>
              </w:rPr>
              <w:t>(a)</w:t>
            </w:r>
          </w:p>
        </w:tc>
        <w:tc>
          <w:tcPr>
            <w:tcW w:w="760" w:type="dxa"/>
            <w:vAlign w:val="bottom"/>
            <w:gridSpan w:val="4"/>
          </w:tcPr>
          <w:p>
            <w:pPr>
              <w:jc w:val="right"/>
              <w:ind w:right="40"/>
              <w:spacing w:after="0"/>
              <w:rPr>
                <w:sz w:val="20"/>
                <w:szCs w:val="20"/>
                <w:color w:val="auto"/>
              </w:rPr>
            </w:pPr>
            <w:r>
              <w:rPr>
                <w:rFonts w:ascii="Arial" w:cs="Arial" w:eastAsia="Arial" w:hAnsi="Arial"/>
                <w:sz w:val="15"/>
                <w:szCs w:val="15"/>
                <w:color w:val="auto"/>
              </w:rPr>
              <w:t>(65,392)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(31,481)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(64,563)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(6,706)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13,201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11,058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22,073</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17,170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6,060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00" w:type="dxa"/>
            <w:vAlign w:val="bottom"/>
            <w:gridSpan w:val="2"/>
          </w:tcPr>
          <w:p>
            <w:pPr>
              <w:ind w:left="140"/>
              <w:spacing w:after="0"/>
              <w:rPr>
                <w:sz w:val="20"/>
                <w:szCs w:val="20"/>
                <w:color w:val="auto"/>
              </w:rPr>
            </w:pPr>
            <w:r>
              <w:rPr>
                <w:rFonts w:ascii="Arial" w:cs="Arial" w:eastAsia="Arial" w:hAnsi="Arial"/>
                <w:sz w:val="15"/>
                <w:szCs w:val="15"/>
                <w:color w:val="auto"/>
                <w:w w:val="98"/>
              </w:rPr>
              <w:t>Stock compensation expense</w:t>
            </w:r>
          </w:p>
        </w:tc>
        <w:tc>
          <w:tcPr>
            <w:tcW w:w="760" w:type="dxa"/>
            <w:vAlign w:val="bottom"/>
            <w:gridSpan w:val="4"/>
          </w:tcPr>
          <w:p>
            <w:pPr>
              <w:jc w:val="right"/>
              <w:ind w:right="100"/>
              <w:spacing w:after="0"/>
              <w:rPr>
                <w:sz w:val="20"/>
                <w:szCs w:val="20"/>
                <w:color w:val="auto"/>
              </w:rPr>
            </w:pPr>
            <w:r>
              <w:rPr>
                <w:rFonts w:ascii="Arial" w:cs="Arial" w:eastAsia="Arial" w:hAnsi="Arial"/>
                <w:sz w:val="15"/>
                <w:szCs w:val="15"/>
                <w:color w:val="auto"/>
              </w:rPr>
              <w:t>3,613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757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2,110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1,888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373</w:t>
            </w:r>
          </w:p>
        </w:tc>
        <w:tc>
          <w:tcPr>
            <w:tcW w:w="1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Loss (gain) on asset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transactions, net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413</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(811)</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100" w:type="dxa"/>
            <w:vAlign w:val="bottom"/>
            <w:gridSpan w:val="2"/>
          </w:tcPr>
          <w:p>
            <w:pPr>
              <w:ind w:left="140"/>
              <w:spacing w:after="0"/>
              <w:rPr>
                <w:sz w:val="20"/>
                <w:szCs w:val="20"/>
                <w:color w:val="auto"/>
              </w:rPr>
            </w:pPr>
            <w:r>
              <w:rPr>
                <w:rFonts w:ascii="Arial" w:cs="Arial" w:eastAsia="Arial" w:hAnsi="Arial"/>
                <w:sz w:val="15"/>
                <w:szCs w:val="15"/>
                <w:color w:val="auto"/>
              </w:rPr>
              <w:t>Other adjustments</w:t>
            </w:r>
            <w:r>
              <w:rPr>
                <w:rFonts w:ascii="Arial" w:cs="Arial" w:eastAsia="Arial" w:hAnsi="Arial"/>
                <w:sz w:val="19"/>
                <w:szCs w:val="19"/>
                <w:color w:val="auto"/>
                <w:vertAlign w:val="superscript"/>
              </w:rPr>
              <w:t>(b)</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2,541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(24)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(377)</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(258)</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98"/>
        </w:trPr>
        <w:tc>
          <w:tcPr>
            <w:tcW w:w="2100" w:type="dxa"/>
            <w:vAlign w:val="bottom"/>
            <w:gridSpan w:val="2"/>
          </w:tcPr>
          <w:p>
            <w:pPr>
              <w:ind w:left="140"/>
              <w:spacing w:after="0"/>
              <w:rPr>
                <w:sz w:val="20"/>
                <w:szCs w:val="20"/>
                <w:color w:val="auto"/>
              </w:rPr>
            </w:pPr>
            <w:r>
              <w:rPr>
                <w:rFonts w:ascii="Arial" w:cs="Arial" w:eastAsia="Arial" w:hAnsi="Arial"/>
                <w:sz w:val="15"/>
                <w:szCs w:val="15"/>
                <w:color w:val="auto"/>
              </w:rPr>
              <w:t>Provision for income taxes</w:t>
            </w:r>
          </w:p>
        </w:tc>
        <w:tc>
          <w:tcPr>
            <w:tcW w:w="760" w:type="dxa"/>
            <w:vAlign w:val="bottom"/>
            <w:gridSpan w:val="4"/>
          </w:tcPr>
          <w:p>
            <w:pPr>
              <w:jc w:val="right"/>
              <w:ind w:right="100"/>
              <w:spacing w:after="0"/>
              <w:rPr>
                <w:sz w:val="20"/>
                <w:szCs w:val="20"/>
                <w:color w:val="auto"/>
              </w:rPr>
            </w:pPr>
            <w:r>
              <w:rPr>
                <w:rFonts w:ascii="Arial" w:cs="Arial" w:eastAsia="Arial" w:hAnsi="Arial"/>
                <w:sz w:val="15"/>
                <w:szCs w:val="15"/>
                <w:color w:val="auto"/>
              </w:rPr>
              <w:t>14,875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547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(778)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14,088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161</w:t>
            </w:r>
          </w:p>
        </w:tc>
        <w:tc>
          <w:tcPr>
            <w:tcW w:w="1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7"/>
              </w:rPr>
              <w:t>Depreciation and amortization</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26,075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22,702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48,086</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34,877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14,405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00" w:type="dxa"/>
            <w:vAlign w:val="bottom"/>
            <w:gridSpan w:val="2"/>
          </w:tcPr>
          <w:p>
            <w:pPr>
              <w:ind w:left="140"/>
              <w:spacing w:after="0"/>
              <w:rPr>
                <w:sz w:val="20"/>
                <w:szCs w:val="20"/>
                <w:color w:val="auto"/>
              </w:rPr>
            </w:pPr>
            <w:r>
              <w:rPr>
                <w:rFonts w:ascii="Arial" w:cs="Arial" w:eastAsia="Arial" w:hAnsi="Arial"/>
                <w:sz w:val="15"/>
                <w:szCs w:val="15"/>
                <w:color w:val="auto"/>
              </w:rPr>
              <w:t>Aircraft rent</w:t>
            </w:r>
          </w:p>
        </w:tc>
        <w:tc>
          <w:tcPr>
            <w:tcW w:w="760" w:type="dxa"/>
            <w:vAlign w:val="bottom"/>
            <w:gridSpan w:val="4"/>
          </w:tcPr>
          <w:p>
            <w:pPr>
              <w:jc w:val="right"/>
              <w:ind w:right="100"/>
              <w:spacing w:after="0"/>
              <w:rPr>
                <w:sz w:val="20"/>
                <w:szCs w:val="20"/>
                <w:color w:val="auto"/>
              </w:rPr>
            </w:pPr>
            <w:r>
              <w:rPr>
                <w:rFonts w:ascii="Arial" w:cs="Arial" w:eastAsia="Arial" w:hAnsi="Arial"/>
                <w:sz w:val="15"/>
                <w:szCs w:val="15"/>
                <w:color w:val="auto"/>
              </w:rPr>
              <w:t>9,414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16,966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30,989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49,908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36,831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28,329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line="171" w:lineRule="exact"/>
              <w:rPr>
                <w:sz w:val="20"/>
                <w:szCs w:val="20"/>
                <w:color w:val="auto"/>
              </w:rPr>
            </w:pPr>
            <w:r>
              <w:rPr>
                <w:rFonts w:ascii="Arial" w:cs="Arial" w:eastAsia="Arial" w:hAnsi="Arial"/>
                <w:sz w:val="15"/>
                <w:szCs w:val="15"/>
                <w:color w:val="auto"/>
              </w:rPr>
              <w:t>Income tax receivable</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00" w:type="dxa"/>
            <w:vAlign w:val="bottom"/>
            <w:gridSpan w:val="2"/>
            <w:shd w:val="clear" w:color="auto" w:fill="CCEEFF"/>
          </w:tcPr>
          <w:p>
            <w:pPr>
              <w:ind w:left="300"/>
              <w:spacing w:after="0" w:line="214" w:lineRule="exact"/>
              <w:rPr>
                <w:sz w:val="20"/>
                <w:szCs w:val="20"/>
                <w:color w:val="auto"/>
              </w:rPr>
            </w:pPr>
            <w:r>
              <w:rPr>
                <w:rFonts w:ascii="Arial" w:cs="Arial" w:eastAsia="Arial" w:hAnsi="Arial"/>
                <w:sz w:val="15"/>
                <w:szCs w:val="15"/>
                <w:color w:val="auto"/>
              </w:rPr>
              <w:t>agreement expense</w:t>
            </w:r>
            <w:r>
              <w:rPr>
                <w:rFonts w:ascii="Arial" w:cs="Arial" w:eastAsia="Arial" w:hAnsi="Arial"/>
                <w:sz w:val="19"/>
                <w:szCs w:val="19"/>
                <w:color w:val="auto"/>
                <w:vertAlign w:val="superscript"/>
              </w:rPr>
              <w:t>(c)</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315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line="171" w:lineRule="exact"/>
              <w:rPr>
                <w:sz w:val="20"/>
                <w:szCs w:val="20"/>
                <w:color w:val="auto"/>
              </w:rPr>
            </w:pPr>
            <w:r>
              <w:rPr>
                <w:rFonts w:ascii="Arial" w:cs="Arial" w:eastAsia="Arial" w:hAnsi="Arial"/>
                <w:sz w:val="15"/>
                <w:szCs w:val="15"/>
                <w:color w:val="auto"/>
              </w:rPr>
              <w:t>Income tax receivable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00" w:type="dxa"/>
            <w:vAlign w:val="bottom"/>
            <w:gridSpan w:val="2"/>
          </w:tcPr>
          <w:p>
            <w:pPr>
              <w:ind w:left="300"/>
              <w:spacing w:after="0" w:line="214" w:lineRule="exact"/>
              <w:rPr>
                <w:sz w:val="20"/>
                <w:szCs w:val="20"/>
                <w:color w:val="auto"/>
              </w:rPr>
            </w:pPr>
            <w:r>
              <w:rPr>
                <w:rFonts w:ascii="Arial" w:cs="Arial" w:eastAsia="Arial" w:hAnsi="Arial"/>
                <w:sz w:val="15"/>
                <w:szCs w:val="15"/>
                <w:color w:val="auto"/>
              </w:rPr>
              <w:t>agreement adjustment</w:t>
            </w:r>
            <w:r>
              <w:rPr>
                <w:rFonts w:ascii="Arial" w:cs="Arial" w:eastAsia="Arial" w:hAnsi="Arial"/>
                <w:sz w:val="19"/>
                <w:szCs w:val="19"/>
                <w:color w:val="auto"/>
                <w:vertAlign w:val="superscript"/>
              </w:rPr>
              <w:t>(d)</w:t>
            </w:r>
          </w:p>
        </w:tc>
        <w:tc>
          <w:tcPr>
            <w:tcW w:w="760" w:type="dxa"/>
            <w:vAlign w:val="bottom"/>
            <w:gridSpan w:val="4"/>
          </w:tcPr>
          <w:p>
            <w:pPr>
              <w:jc w:val="right"/>
              <w:ind w:right="40"/>
              <w:spacing w:after="0"/>
              <w:rPr>
                <w:sz w:val="20"/>
                <w:szCs w:val="20"/>
                <w:color w:val="auto"/>
              </w:rPr>
            </w:pPr>
            <w:r>
              <w:rPr>
                <w:rFonts w:ascii="Arial" w:cs="Arial" w:eastAsia="Arial" w:hAnsi="Arial"/>
                <w:sz w:val="15"/>
                <w:szCs w:val="15"/>
                <w:color w:val="auto"/>
              </w:rPr>
              <w:t>(18,700)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Secondary offering costs</w:t>
            </w:r>
          </w:p>
        </w:tc>
        <w:tc>
          <w:tcPr>
            <w:tcW w:w="12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5"/>
                <w:szCs w:val="15"/>
                <w:color w:val="auto"/>
              </w:rPr>
              <w:t>Adjusted EBITDAR</w:t>
            </w:r>
          </w:p>
        </w:tc>
        <w:tc>
          <w:tcPr>
            <w:tcW w:w="120" w:type="dxa"/>
            <w:vAlign w:val="bottom"/>
            <w:gridSpan w:val="2"/>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w w:val="88"/>
              </w:rPr>
              <w:t>$ 48,186</w:t>
            </w:r>
          </w:p>
        </w:tc>
        <w:tc>
          <w:tcPr>
            <w:tcW w:w="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24,368</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38,930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171,129</w:t>
            </w: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49,688</w:t>
            </w:r>
          </w:p>
        </w:tc>
        <w:tc>
          <w:tcPr>
            <w:tcW w:w="6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57,279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480" w:right="1459" w:hanging="301"/>
        <w:spacing w:after="0" w:line="291" w:lineRule="auto"/>
        <w:tabs>
          <w:tab w:leader="none" w:pos="14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22" w:lineRule="exact"/>
        <w:rPr>
          <w:rFonts w:ascii="Arial" w:cs="Arial" w:eastAsia="Arial" w:hAnsi="Arial"/>
          <w:sz w:val="11"/>
          <w:szCs w:val="11"/>
          <w:color w:val="auto"/>
        </w:rPr>
      </w:pPr>
    </w:p>
    <w:p>
      <w:pPr>
        <w:ind w:left="1480" w:right="1339" w:hanging="301"/>
        <w:spacing w:after="0" w:line="263" w:lineRule="auto"/>
        <w:tabs>
          <w:tab w:leader="none" w:pos="14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Other adjustments for the six months ended June 30, 2020 and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7" w:lineRule="exact"/>
        <w:rPr>
          <w:rFonts w:ascii="Arial" w:cs="Arial" w:eastAsia="Arial" w:hAnsi="Arial"/>
          <w:sz w:val="11"/>
          <w:szCs w:val="11"/>
          <w:color w:val="auto"/>
        </w:rPr>
      </w:pPr>
    </w:p>
    <w:p>
      <w:pPr>
        <w:ind w:left="1480" w:right="1339" w:hanging="301"/>
        <w:spacing w:after="0" w:line="247" w:lineRule="auto"/>
        <w:tabs>
          <w:tab w:leader="none" w:pos="14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one-time costs to establish the income tax receivable agreement with our pre-IPO stockholders. See Note 10 to our unaudited condensed consolidated financial statements included elsewhere in this prospectus.</w:t>
      </w:r>
    </w:p>
    <w:p>
      <w:pPr>
        <w:spacing w:after="0" w:line="34" w:lineRule="exact"/>
        <w:rPr>
          <w:rFonts w:ascii="Arial" w:cs="Arial" w:eastAsia="Arial" w:hAnsi="Arial"/>
          <w:sz w:val="12"/>
          <w:szCs w:val="12"/>
          <w:color w:val="auto"/>
        </w:rPr>
      </w:pPr>
    </w:p>
    <w:p>
      <w:pPr>
        <w:ind w:left="1480" w:right="1399" w:hanging="301"/>
        <w:spacing w:after="0" w:line="247" w:lineRule="auto"/>
        <w:tabs>
          <w:tab w:leader="none" w:pos="14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the adjustment to the income tax receivable agreement for the period, which is recorded in Non-operating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 w:name="page28"/>
    <w:bookmarkEnd w:id="27"/>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60"/>
        <w:spacing w:after="0"/>
        <w:rPr>
          <w:sz w:val="20"/>
          <w:szCs w:val="20"/>
          <w:color w:val="auto"/>
        </w:rPr>
      </w:pPr>
      <w:r>
        <w:rPr>
          <w:rFonts w:ascii="Arial" w:cs="Arial" w:eastAsia="Arial" w:hAnsi="Arial"/>
          <w:sz w:val="15"/>
          <w:szCs w:val="15"/>
          <w:b w:val="1"/>
          <w:bCs w:val="1"/>
          <w:color w:val="auto"/>
        </w:rPr>
        <w:t>Key Operating Statistics and Metrics</w:t>
      </w:r>
    </w:p>
    <w:p>
      <w:pPr>
        <w:spacing w:after="0" w:line="3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7"/>
          </w:tcPr>
          <w:p>
            <w:pPr>
              <w:spacing w:after="0"/>
              <w:rPr>
                <w:sz w:val="20"/>
                <w:szCs w:val="20"/>
                <w:color w:val="auto"/>
              </w:rPr>
            </w:pPr>
            <w:r>
              <w:rPr>
                <w:rFonts w:ascii="Arial" w:cs="Arial" w:eastAsia="Arial" w:hAnsi="Arial"/>
                <w:sz w:val="12"/>
                <w:szCs w:val="12"/>
                <w:b w:val="1"/>
                <w:bCs w:val="1"/>
                <w:color w:val="auto"/>
                <w:w w:val="84"/>
              </w:rPr>
              <w:t>Six Months Ended June 30, 2021</w:t>
            </w: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8"/>
          </w:tcPr>
          <w:p>
            <w:pPr>
              <w:jc w:val="right"/>
              <w:spacing w:after="0"/>
              <w:rPr>
                <w:sz w:val="20"/>
                <w:szCs w:val="20"/>
                <w:color w:val="auto"/>
              </w:rPr>
            </w:pPr>
            <w:r>
              <w:rPr>
                <w:rFonts w:ascii="Arial" w:cs="Arial" w:eastAsia="Arial" w:hAnsi="Arial"/>
                <w:sz w:val="12"/>
                <w:szCs w:val="12"/>
                <w:b w:val="1"/>
                <w:bCs w:val="1"/>
                <w:color w:val="auto"/>
              </w:rPr>
              <w:t>Six Months Ended June 30, 2020</w:t>
            </w:r>
          </w:p>
        </w:tc>
        <w:tc>
          <w:tcPr>
            <w:tcW w:w="520" w:type="dxa"/>
            <w:vAlign w:val="bottom"/>
            <w:tcBorders>
              <w:bottom w:val="single" w:sz="8" w:color="auto"/>
            </w:tcBorders>
          </w:tcPr>
          <w:p>
            <w:pPr>
              <w:spacing w:after="0"/>
              <w:rPr>
                <w:sz w:val="12"/>
                <w:szCs w:val="12"/>
                <w:color w:val="auto"/>
              </w:rPr>
            </w:pPr>
          </w:p>
        </w:tc>
      </w:tr>
      <w:tr>
        <w:trPr>
          <w:trHeight w:val="105"/>
        </w:trPr>
        <w:tc>
          <w:tcPr>
            <w:tcW w:w="4400" w:type="dxa"/>
            <w:vAlign w:val="bottom"/>
          </w:tcPr>
          <w:p>
            <w:pPr>
              <w:spacing w:after="0"/>
              <w:rPr>
                <w:sz w:val="9"/>
                <w:szCs w:val="9"/>
                <w:color w:val="auto"/>
              </w:rPr>
            </w:pPr>
          </w:p>
        </w:tc>
        <w:tc>
          <w:tcPr>
            <w:tcW w:w="780" w:type="dxa"/>
            <w:vAlign w:val="bottom"/>
            <w:gridSpan w:val="3"/>
          </w:tcPr>
          <w:p>
            <w:pPr>
              <w:jc w:val="right"/>
              <w:ind w:right="181"/>
              <w:spacing w:after="0" w:line="106" w:lineRule="exact"/>
              <w:rPr>
                <w:sz w:val="20"/>
                <w:szCs w:val="20"/>
                <w:color w:val="auto"/>
              </w:rPr>
            </w:pPr>
            <w:r>
              <w:rPr>
                <w:rFonts w:ascii="Arial" w:cs="Arial" w:eastAsia="Arial" w:hAnsi="Arial"/>
                <w:sz w:val="12"/>
                <w:szCs w:val="12"/>
                <w:b w:val="1"/>
                <w:bCs w:val="1"/>
                <w:color w:val="auto"/>
                <w:w w:val="85"/>
              </w:rPr>
              <w:t>Scheduled</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3"/>
          </w:tcPr>
          <w:p>
            <w:pPr>
              <w:ind w:left="20"/>
              <w:spacing w:after="0" w:line="106" w:lineRule="exact"/>
              <w:rPr>
                <w:sz w:val="20"/>
                <w:szCs w:val="20"/>
                <w:color w:val="auto"/>
              </w:rPr>
            </w:pPr>
            <w:r>
              <w:rPr>
                <w:rFonts w:ascii="Arial" w:cs="Arial" w:eastAsia="Arial" w:hAnsi="Arial"/>
                <w:sz w:val="12"/>
                <w:szCs w:val="12"/>
                <w:b w:val="1"/>
                <w:bCs w:val="1"/>
                <w:color w:val="auto"/>
              </w:rPr>
              <w:t>Scheduled</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49"/>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2"/>
                <w:szCs w:val="12"/>
                <w:b w:val="1"/>
                <w:bCs w:val="1"/>
                <w:color w:val="auto"/>
                <w:w w:val="88"/>
              </w:rPr>
              <w:t>Service</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4"/>
              </w:rPr>
              <w:t>Charter</w:t>
            </w:r>
          </w:p>
        </w:tc>
        <w:tc>
          <w:tcPr>
            <w:tcW w:w="680" w:type="dxa"/>
            <w:vAlign w:val="bottom"/>
            <w:gridSpan w:val="3"/>
          </w:tcPr>
          <w:p>
            <w:pPr>
              <w:ind w:left="100"/>
              <w:spacing w:after="0"/>
              <w:rPr>
                <w:sz w:val="20"/>
                <w:szCs w:val="20"/>
                <w:color w:val="auto"/>
              </w:rPr>
            </w:pPr>
            <w:r>
              <w:rPr>
                <w:rFonts w:ascii="Arial" w:cs="Arial" w:eastAsia="Arial" w:hAnsi="Arial"/>
                <w:sz w:val="12"/>
                <w:szCs w:val="12"/>
                <w:b w:val="1"/>
                <w:bCs w:val="1"/>
                <w:color w:val="auto"/>
              </w:rPr>
              <w:t>Cargo</w:t>
            </w:r>
          </w:p>
        </w:tc>
        <w:tc>
          <w:tcPr>
            <w:tcW w:w="6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4"/>
              </w:rPr>
              <w:t>Service</w:t>
            </w:r>
          </w:p>
        </w:tc>
        <w:tc>
          <w:tcPr>
            <w:tcW w:w="8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Charter</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7"/>
              </w:rPr>
              <w:t>Cargo</w:t>
            </w:r>
          </w:p>
        </w:tc>
        <w:tc>
          <w:tcPr>
            <w:tcW w:w="80" w:type="dxa"/>
            <w:vAlign w:val="bottom"/>
          </w:tcPr>
          <w:p>
            <w:pPr>
              <w:spacing w:after="0"/>
              <w:rPr>
                <w:sz w:val="12"/>
                <w:szCs w:val="12"/>
                <w:color w:val="auto"/>
              </w:rPr>
            </w:pPr>
          </w:p>
        </w:tc>
        <w:tc>
          <w:tcPr>
            <w:tcW w:w="520" w:type="dxa"/>
            <w:vAlign w:val="bottom"/>
          </w:tcPr>
          <w:p>
            <w:pPr>
              <w:jc w:val="right"/>
              <w:ind w:right="101"/>
              <w:spacing w:after="0"/>
              <w:rPr>
                <w:sz w:val="20"/>
                <w:szCs w:val="20"/>
                <w:color w:val="auto"/>
              </w:rPr>
            </w:pPr>
            <w:r>
              <w:rPr>
                <w:rFonts w:ascii="Arial" w:cs="Arial" w:eastAsia="Arial" w:hAnsi="Arial"/>
                <w:sz w:val="12"/>
                <w:szCs w:val="12"/>
                <w:b w:val="1"/>
                <w:bCs w:val="1"/>
                <w:color w:val="auto"/>
              </w:rPr>
              <w:t>Total</w:t>
            </w:r>
          </w:p>
        </w:tc>
      </w:tr>
      <w:tr>
        <w:trPr>
          <w:trHeight w:val="123"/>
        </w:trPr>
        <w:tc>
          <w:tcPr>
            <w:tcW w:w="4400" w:type="dxa"/>
            <w:vAlign w:val="bottom"/>
            <w:tcBorders>
              <w:top w:val="single" w:sz="8" w:color="CCEEFF"/>
            </w:tcBorders>
            <w:shd w:val="clear" w:color="auto" w:fill="CCEEFF"/>
          </w:tcPr>
          <w:p>
            <w:pPr>
              <w:ind w:left="20"/>
              <w:spacing w:after="0" w:line="123" w:lineRule="exact"/>
              <w:rPr>
                <w:sz w:val="20"/>
                <w:szCs w:val="20"/>
                <w:color w:val="auto"/>
              </w:rPr>
            </w:pPr>
            <w:r>
              <w:rPr>
                <w:rFonts w:ascii="Arial" w:cs="Arial" w:eastAsia="Arial" w:hAnsi="Arial"/>
                <w:sz w:val="12"/>
                <w:szCs w:val="12"/>
                <w:color w:val="auto"/>
              </w:rPr>
              <w:t>Departures</w:t>
            </w:r>
            <w:r>
              <w:rPr>
                <w:rFonts w:ascii="Arial" w:cs="Arial" w:eastAsia="Arial" w:hAnsi="Arial"/>
                <w:sz w:val="14"/>
                <w:szCs w:val="14"/>
                <w:color w:val="auto"/>
                <w:vertAlign w:val="superscript"/>
              </w:rPr>
              <w:t>(1)</w:t>
            </w: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9,244</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3,238</w:t>
            </w:r>
          </w:p>
        </w:tc>
        <w:tc>
          <w:tcPr>
            <w:tcW w:w="1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5,317</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17,897</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7,182</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2,156</w:t>
            </w: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413</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9,847</w:t>
            </w:r>
          </w:p>
        </w:tc>
      </w:tr>
      <w:tr>
        <w:trPr>
          <w:trHeight w:val="132"/>
        </w:trPr>
        <w:tc>
          <w:tcPr>
            <w:tcW w:w="4400" w:type="dxa"/>
            <w:vAlign w:val="bottom"/>
          </w:tcPr>
          <w:p>
            <w:pPr>
              <w:ind w:left="20"/>
              <w:spacing w:after="0" w:line="132" w:lineRule="exact"/>
              <w:rPr>
                <w:sz w:val="20"/>
                <w:szCs w:val="20"/>
                <w:color w:val="auto"/>
              </w:rPr>
            </w:pPr>
            <w:r>
              <w:rPr>
                <w:rFonts w:ascii="Arial" w:cs="Arial" w:eastAsia="Arial" w:hAnsi="Arial"/>
                <w:sz w:val="12"/>
                <w:szCs w:val="12"/>
                <w:color w:val="auto"/>
              </w:rPr>
              <w:t>Block hours</w:t>
            </w:r>
            <w:r>
              <w:rPr>
                <w:rFonts w:ascii="Arial" w:cs="Arial" w:eastAsia="Arial" w:hAnsi="Arial"/>
                <w:sz w:val="14"/>
                <w:szCs w:val="14"/>
                <w:color w:val="auto"/>
                <w:vertAlign w:val="superscript"/>
              </w:rPr>
              <w:t>(1)</w:t>
            </w:r>
          </w:p>
        </w:tc>
        <w:tc>
          <w:tcPr>
            <w:tcW w:w="80" w:type="dxa"/>
            <w:vAlign w:val="bottom"/>
          </w:tcPr>
          <w:p>
            <w:pPr>
              <w:spacing w:after="0"/>
              <w:rPr>
                <w:sz w:val="11"/>
                <w:szCs w:val="11"/>
                <w:color w:val="auto"/>
              </w:rPr>
            </w:pPr>
          </w:p>
        </w:tc>
        <w:tc>
          <w:tcPr>
            <w:tcW w:w="700" w:type="dxa"/>
            <w:vAlign w:val="bottom"/>
            <w:gridSpan w:val="2"/>
          </w:tcPr>
          <w:p>
            <w:pPr>
              <w:jc w:val="right"/>
              <w:ind w:right="121"/>
              <w:spacing w:after="0" w:line="132" w:lineRule="exact"/>
              <w:rPr>
                <w:sz w:val="20"/>
                <w:szCs w:val="20"/>
                <w:color w:val="auto"/>
              </w:rPr>
            </w:pPr>
            <w:r>
              <w:rPr>
                <w:rFonts w:ascii="Arial" w:cs="Arial" w:eastAsia="Arial" w:hAnsi="Arial"/>
                <w:sz w:val="12"/>
                <w:szCs w:val="12"/>
                <w:color w:val="auto"/>
              </w:rPr>
              <w:t>31,107</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6,987</w:t>
            </w:r>
          </w:p>
        </w:tc>
        <w:tc>
          <w:tcPr>
            <w:tcW w:w="6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16,440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54,806</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24,419</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4,933</w:t>
            </w:r>
          </w:p>
        </w:tc>
        <w:tc>
          <w:tcPr>
            <w:tcW w:w="58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1,076</w:t>
            </w:r>
          </w:p>
        </w:tc>
        <w:tc>
          <w:tcPr>
            <w:tcW w:w="80" w:type="dxa"/>
            <w:vAlign w:val="bottom"/>
          </w:tcPr>
          <w:p>
            <w:pPr>
              <w:spacing w:after="0"/>
              <w:rPr>
                <w:sz w:val="11"/>
                <w:szCs w:val="11"/>
                <w:color w:val="auto"/>
              </w:rPr>
            </w:pPr>
          </w:p>
        </w:tc>
        <w:tc>
          <w:tcPr>
            <w:tcW w:w="520" w:type="dxa"/>
            <w:vAlign w:val="bottom"/>
          </w:tcPr>
          <w:p>
            <w:pPr>
              <w:jc w:val="right"/>
              <w:spacing w:after="0" w:line="132" w:lineRule="exact"/>
              <w:rPr>
                <w:sz w:val="20"/>
                <w:szCs w:val="20"/>
                <w:color w:val="auto"/>
              </w:rPr>
            </w:pPr>
            <w:r>
              <w:rPr>
                <w:rFonts w:ascii="Arial" w:cs="Arial" w:eastAsia="Arial" w:hAnsi="Arial"/>
                <w:sz w:val="12"/>
                <w:szCs w:val="12"/>
                <w:color w:val="auto"/>
              </w:rPr>
              <w:t>30,691</w:t>
            </w:r>
          </w:p>
        </w:tc>
      </w:tr>
      <w:tr>
        <w:trPr>
          <w:trHeight w:val="132"/>
        </w:trPr>
        <w:tc>
          <w:tcPr>
            <w:tcW w:w="44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Aircraft miles</w:t>
            </w:r>
            <w:r>
              <w:rPr>
                <w:rFonts w:ascii="Arial" w:cs="Arial" w:eastAsia="Arial" w:hAnsi="Arial"/>
                <w:sz w:val="14"/>
                <w:szCs w:val="14"/>
                <w:color w:val="auto"/>
                <w:vertAlign w:val="superscript"/>
              </w:rPr>
              <w:t>(1)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1"/>
              <w:spacing w:after="0" w:line="132" w:lineRule="exact"/>
              <w:rPr>
                <w:sz w:val="20"/>
                <w:szCs w:val="20"/>
                <w:color w:val="auto"/>
              </w:rPr>
            </w:pPr>
            <w:r>
              <w:rPr>
                <w:rFonts w:ascii="Arial" w:cs="Arial" w:eastAsia="Arial" w:hAnsi="Arial"/>
                <w:sz w:val="12"/>
                <w:szCs w:val="12"/>
                <w:color w:val="auto"/>
                <w:w w:val="83"/>
              </w:rPr>
              <w:t>12,711,512</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w w:val="82"/>
              </w:rPr>
              <w:t>2,582,494</w:t>
            </w:r>
          </w:p>
        </w:tc>
        <w:tc>
          <w:tcPr>
            <w:tcW w:w="6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w w:val="86"/>
              </w:rPr>
              <w:t>6,508,492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w w:val="83"/>
              </w:rPr>
              <w:t>21,883,259</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w w:val="86"/>
              </w:rPr>
              <w:t>9,867,739</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w w:val="86"/>
              </w:rPr>
              <w:t>1,837,794</w:t>
            </w:r>
          </w:p>
        </w:tc>
        <w:tc>
          <w:tcPr>
            <w:tcW w:w="5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w w:val="87"/>
              </w:rPr>
              <w:t>454,980</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3"/>
              </w:rPr>
              <w:t>12,234,888</w:t>
            </w:r>
          </w:p>
        </w:tc>
      </w:tr>
      <w:tr>
        <w:trPr>
          <w:trHeight w:val="132"/>
        </w:trPr>
        <w:tc>
          <w:tcPr>
            <w:tcW w:w="4400" w:type="dxa"/>
            <w:vAlign w:val="bottom"/>
          </w:tcPr>
          <w:p>
            <w:pPr>
              <w:ind w:left="20"/>
              <w:spacing w:after="0" w:line="132" w:lineRule="exact"/>
              <w:rPr>
                <w:sz w:val="20"/>
                <w:szCs w:val="20"/>
                <w:color w:val="auto"/>
              </w:rPr>
            </w:pPr>
            <w:r>
              <w:rPr>
                <w:rFonts w:ascii="Arial" w:cs="Arial" w:eastAsia="Arial" w:hAnsi="Arial"/>
                <w:sz w:val="12"/>
                <w:szCs w:val="12"/>
                <w:color w:val="auto"/>
              </w:rPr>
              <w:t>ASMs (in thousands)</w:t>
            </w:r>
            <w:r>
              <w:rPr>
                <w:rFonts w:ascii="Arial" w:cs="Arial" w:eastAsia="Arial" w:hAnsi="Arial"/>
                <w:sz w:val="14"/>
                <w:szCs w:val="14"/>
                <w:color w:val="auto"/>
                <w:vertAlign w:val="superscript"/>
              </w:rPr>
              <w:t>(1)</w:t>
            </w:r>
          </w:p>
        </w:tc>
        <w:tc>
          <w:tcPr>
            <w:tcW w:w="80" w:type="dxa"/>
            <w:vAlign w:val="bottom"/>
          </w:tcPr>
          <w:p>
            <w:pPr>
              <w:spacing w:after="0"/>
              <w:rPr>
                <w:sz w:val="11"/>
                <w:szCs w:val="11"/>
                <w:color w:val="auto"/>
              </w:rPr>
            </w:pPr>
          </w:p>
        </w:tc>
        <w:tc>
          <w:tcPr>
            <w:tcW w:w="700" w:type="dxa"/>
            <w:vAlign w:val="bottom"/>
            <w:gridSpan w:val="2"/>
          </w:tcPr>
          <w:p>
            <w:pPr>
              <w:jc w:val="right"/>
              <w:ind w:right="121"/>
              <w:spacing w:after="0" w:line="132" w:lineRule="exact"/>
              <w:rPr>
                <w:sz w:val="20"/>
                <w:szCs w:val="20"/>
                <w:color w:val="auto"/>
              </w:rPr>
            </w:pPr>
            <w:r>
              <w:rPr>
                <w:rFonts w:ascii="Arial" w:cs="Arial" w:eastAsia="Arial" w:hAnsi="Arial"/>
                <w:sz w:val="12"/>
                <w:szCs w:val="12"/>
                <w:color w:val="auto"/>
                <w:w w:val="93"/>
              </w:rPr>
              <w:t>2,356,780</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449,444</w:t>
            </w:r>
          </w:p>
        </w:tc>
        <w:tc>
          <w:tcPr>
            <w:tcW w:w="6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w w:val="93"/>
              </w:rPr>
              <w:t>2,819,540</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w w:val="86"/>
              </w:rPr>
              <w:t>1,826,245</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334,690</w:t>
            </w:r>
          </w:p>
        </w:tc>
        <w:tc>
          <w:tcPr>
            <w:tcW w:w="58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spacing w:after="0" w:line="132" w:lineRule="exact"/>
              <w:rPr>
                <w:sz w:val="20"/>
                <w:szCs w:val="20"/>
                <w:color w:val="auto"/>
              </w:rPr>
            </w:pPr>
            <w:r>
              <w:rPr>
                <w:rFonts w:ascii="Arial" w:cs="Arial" w:eastAsia="Arial" w:hAnsi="Arial"/>
                <w:sz w:val="12"/>
                <w:szCs w:val="12"/>
                <w:color w:val="auto"/>
                <w:w w:val="93"/>
              </w:rPr>
              <w:t>2,174,605</w:t>
            </w:r>
          </w:p>
        </w:tc>
      </w:tr>
      <w:tr>
        <w:trPr>
          <w:trHeight w:val="132"/>
        </w:trPr>
        <w:tc>
          <w:tcPr>
            <w:tcW w:w="44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TRASM (in cents)</w:t>
            </w:r>
            <w:r>
              <w:rPr>
                <w:rFonts w:ascii="Arial" w:cs="Arial" w:eastAsia="Arial" w:hAnsi="Arial"/>
                <w:sz w:val="14"/>
                <w:szCs w:val="14"/>
                <w:color w:val="auto"/>
                <w:vertAlign w:val="superscript"/>
              </w:rPr>
              <w:t>(2)</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1"/>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8.27</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9.77</w:t>
            </w:r>
          </w:p>
        </w:tc>
      </w:tr>
      <w:tr>
        <w:trPr>
          <w:trHeight w:val="132"/>
        </w:trPr>
        <w:tc>
          <w:tcPr>
            <w:tcW w:w="4400" w:type="dxa"/>
            <w:vAlign w:val="bottom"/>
          </w:tcPr>
          <w:p>
            <w:pPr>
              <w:ind w:left="20"/>
              <w:spacing w:after="0" w:line="132" w:lineRule="exact"/>
              <w:rPr>
                <w:sz w:val="20"/>
                <w:szCs w:val="20"/>
                <w:color w:val="auto"/>
              </w:rPr>
            </w:pPr>
            <w:r>
              <w:rPr>
                <w:rFonts w:ascii="Arial" w:cs="Arial" w:eastAsia="Arial" w:hAnsi="Arial"/>
                <w:sz w:val="12"/>
                <w:szCs w:val="12"/>
                <w:color w:val="auto"/>
              </w:rPr>
              <w:t>Average passenger aircraft during the period</w:t>
            </w:r>
            <w:r>
              <w:rPr>
                <w:rFonts w:ascii="Arial" w:cs="Arial" w:eastAsia="Arial" w:hAnsi="Arial"/>
                <w:sz w:val="14"/>
                <w:szCs w:val="14"/>
                <w:color w:val="auto"/>
                <w:vertAlign w:val="superscript"/>
              </w:rPr>
              <w:t>(2)</w:t>
            </w:r>
          </w:p>
        </w:tc>
        <w:tc>
          <w:tcPr>
            <w:tcW w:w="80" w:type="dxa"/>
            <w:vAlign w:val="bottom"/>
          </w:tcPr>
          <w:p>
            <w:pPr>
              <w:spacing w:after="0"/>
              <w:rPr>
                <w:sz w:val="11"/>
                <w:szCs w:val="11"/>
                <w:color w:val="auto"/>
              </w:rPr>
            </w:pPr>
          </w:p>
        </w:tc>
        <w:tc>
          <w:tcPr>
            <w:tcW w:w="700" w:type="dxa"/>
            <w:vAlign w:val="bottom"/>
            <w:gridSpan w:val="2"/>
          </w:tcPr>
          <w:p>
            <w:pPr>
              <w:jc w:val="right"/>
              <w:ind w:right="121"/>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31.0</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spacing w:after="0" w:line="132" w:lineRule="exact"/>
              <w:rPr>
                <w:sz w:val="20"/>
                <w:szCs w:val="20"/>
                <w:color w:val="auto"/>
              </w:rPr>
            </w:pPr>
            <w:r>
              <w:rPr>
                <w:rFonts w:ascii="Arial" w:cs="Arial" w:eastAsia="Arial" w:hAnsi="Arial"/>
                <w:sz w:val="12"/>
                <w:szCs w:val="12"/>
                <w:color w:val="auto"/>
              </w:rPr>
              <w:t>31.5</w:t>
            </w:r>
          </w:p>
        </w:tc>
      </w:tr>
      <w:tr>
        <w:trPr>
          <w:trHeight w:val="132"/>
        </w:trPr>
        <w:tc>
          <w:tcPr>
            <w:tcW w:w="44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Passenger aircraft at end of period</w:t>
            </w:r>
            <w:r>
              <w:rPr>
                <w:rFonts w:ascii="Arial" w:cs="Arial" w:eastAsia="Arial" w:hAnsi="Arial"/>
                <w:sz w:val="14"/>
                <w:szCs w:val="14"/>
                <w:color w:val="auto"/>
                <w:vertAlign w:val="superscript"/>
              </w:rPr>
              <w:t>(2)</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1"/>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31</w:t>
            </w:r>
          </w:p>
        </w:tc>
      </w:tr>
      <w:tr>
        <w:trPr>
          <w:trHeight w:val="121"/>
        </w:trPr>
        <w:tc>
          <w:tcPr>
            <w:tcW w:w="4400" w:type="dxa"/>
            <w:vAlign w:val="bottom"/>
          </w:tcPr>
          <w:p>
            <w:pPr>
              <w:ind w:left="20"/>
              <w:spacing w:after="0" w:line="121" w:lineRule="exact"/>
              <w:rPr>
                <w:sz w:val="20"/>
                <w:szCs w:val="20"/>
                <w:color w:val="auto"/>
              </w:rPr>
            </w:pPr>
            <w:r>
              <w:rPr>
                <w:rFonts w:ascii="Arial" w:cs="Arial" w:eastAsia="Arial" w:hAnsi="Arial"/>
                <w:sz w:val="12"/>
                <w:szCs w:val="12"/>
                <w:color w:val="auto"/>
              </w:rPr>
              <w:t>Cargo aircraft at end of period</w:t>
            </w:r>
          </w:p>
        </w:tc>
        <w:tc>
          <w:tcPr>
            <w:tcW w:w="80" w:type="dxa"/>
            <w:vAlign w:val="bottom"/>
          </w:tcPr>
          <w:p>
            <w:pPr>
              <w:spacing w:after="0"/>
              <w:rPr>
                <w:sz w:val="10"/>
                <w:szCs w:val="10"/>
                <w:color w:val="auto"/>
              </w:rPr>
            </w:pPr>
          </w:p>
        </w:tc>
        <w:tc>
          <w:tcPr>
            <w:tcW w:w="700" w:type="dxa"/>
            <w:vAlign w:val="bottom"/>
            <w:gridSpan w:val="2"/>
          </w:tcPr>
          <w:p>
            <w:pPr>
              <w:jc w:val="right"/>
              <w:ind w:right="121"/>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line="121"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80"/>
              <w:spacing w:after="0" w:line="121" w:lineRule="exact"/>
              <w:rPr>
                <w:sz w:val="20"/>
                <w:szCs w:val="20"/>
                <w:color w:val="auto"/>
              </w:rPr>
            </w:pPr>
            <w:r>
              <w:rPr>
                <w:rFonts w:ascii="Arial" w:cs="Arial" w:eastAsia="Arial" w:hAnsi="Arial"/>
                <w:sz w:val="12"/>
                <w:szCs w:val="12"/>
                <w:color w:val="auto"/>
              </w:rPr>
              <w:t>12</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line="121"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2"/>
                <w:szCs w:val="12"/>
                <w:color w:val="auto"/>
              </w:rPr>
              <w:t>7</w:t>
            </w:r>
          </w:p>
        </w:tc>
      </w:tr>
      <w:tr>
        <w:trPr>
          <w:trHeight w:val="132"/>
        </w:trPr>
        <w:tc>
          <w:tcPr>
            <w:tcW w:w="44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Average daily aircraft utilization (in hours)</w:t>
            </w:r>
            <w:r>
              <w:rPr>
                <w:rFonts w:ascii="Arial" w:cs="Arial" w:eastAsia="Arial" w:hAnsi="Arial"/>
                <w:sz w:val="14"/>
                <w:szCs w:val="14"/>
                <w:color w:val="auto"/>
                <w:vertAlign w:val="superscript"/>
              </w:rPr>
              <w:t>(2)</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1"/>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6.8</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5.2</w:t>
            </w:r>
          </w:p>
        </w:tc>
      </w:tr>
      <w:tr>
        <w:trPr>
          <w:trHeight w:val="121"/>
        </w:trPr>
        <w:tc>
          <w:tcPr>
            <w:tcW w:w="4400" w:type="dxa"/>
            <w:vAlign w:val="bottom"/>
          </w:tcPr>
          <w:p>
            <w:pPr>
              <w:ind w:left="20"/>
              <w:spacing w:after="0" w:line="121" w:lineRule="exact"/>
              <w:rPr>
                <w:sz w:val="20"/>
                <w:szCs w:val="20"/>
                <w:color w:val="auto"/>
              </w:rPr>
            </w:pPr>
            <w:r>
              <w:rPr>
                <w:rFonts w:ascii="Arial" w:cs="Arial" w:eastAsia="Arial" w:hAnsi="Arial"/>
                <w:sz w:val="12"/>
                <w:szCs w:val="12"/>
                <w:color w:val="auto"/>
              </w:rPr>
              <w:t>Average stage length</w:t>
            </w:r>
          </w:p>
        </w:tc>
        <w:tc>
          <w:tcPr>
            <w:tcW w:w="80" w:type="dxa"/>
            <w:vAlign w:val="bottom"/>
          </w:tcPr>
          <w:p>
            <w:pPr>
              <w:spacing w:after="0"/>
              <w:rPr>
                <w:sz w:val="10"/>
                <w:szCs w:val="10"/>
                <w:color w:val="auto"/>
              </w:rPr>
            </w:pPr>
          </w:p>
        </w:tc>
        <w:tc>
          <w:tcPr>
            <w:tcW w:w="700" w:type="dxa"/>
            <w:vAlign w:val="bottom"/>
            <w:gridSpan w:val="2"/>
          </w:tcPr>
          <w:p>
            <w:pPr>
              <w:jc w:val="right"/>
              <w:ind w:right="121"/>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line="121"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80"/>
              <w:spacing w:after="0" w:line="121" w:lineRule="exact"/>
              <w:rPr>
                <w:sz w:val="20"/>
                <w:szCs w:val="20"/>
                <w:color w:val="auto"/>
              </w:rPr>
            </w:pPr>
            <w:r>
              <w:rPr>
                <w:rFonts w:ascii="Arial" w:cs="Arial" w:eastAsia="Arial" w:hAnsi="Arial"/>
                <w:sz w:val="12"/>
                <w:szCs w:val="12"/>
                <w:color w:val="auto"/>
              </w:rPr>
              <w:t>1,225</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line="121"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2"/>
                <w:szCs w:val="12"/>
                <w:color w:val="auto"/>
              </w:rPr>
              <w:t>1,254</w:t>
            </w:r>
          </w:p>
        </w:tc>
      </w:tr>
      <w:tr>
        <w:trPr>
          <w:trHeight w:val="132"/>
        </w:trPr>
        <w:tc>
          <w:tcPr>
            <w:tcW w:w="44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Passengers</w:t>
            </w:r>
            <w:r>
              <w:rPr>
                <w:rFonts w:ascii="Arial" w:cs="Arial" w:eastAsia="Arial" w:hAnsi="Arial"/>
                <w:sz w:val="14"/>
                <w:szCs w:val="14"/>
                <w:color w:val="auto"/>
                <w:vertAlign w:val="superscript"/>
              </w:rPr>
              <w:t>(3)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1"/>
              <w:spacing w:after="0" w:line="132" w:lineRule="exact"/>
              <w:rPr>
                <w:sz w:val="20"/>
                <w:szCs w:val="20"/>
                <w:color w:val="auto"/>
              </w:rPr>
            </w:pPr>
            <w:r>
              <w:rPr>
                <w:rFonts w:ascii="Arial" w:cs="Arial" w:eastAsia="Arial" w:hAnsi="Arial"/>
                <w:sz w:val="12"/>
                <w:szCs w:val="12"/>
                <w:color w:val="auto"/>
                <w:w w:val="93"/>
              </w:rPr>
              <w:t>1,253,051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935,860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r>
      <w:tr>
        <w:trPr>
          <w:trHeight w:val="143"/>
        </w:trPr>
        <w:tc>
          <w:tcPr>
            <w:tcW w:w="4400" w:type="dxa"/>
            <w:vAlign w:val="bottom"/>
          </w:tcPr>
          <w:p>
            <w:pPr>
              <w:ind w:left="20"/>
              <w:spacing w:after="0" w:line="143" w:lineRule="exact"/>
              <w:rPr>
                <w:sz w:val="20"/>
                <w:szCs w:val="20"/>
                <w:color w:val="auto"/>
              </w:rPr>
            </w:pPr>
            <w:r>
              <w:rPr>
                <w:rFonts w:ascii="Arial" w:cs="Arial" w:eastAsia="Arial" w:hAnsi="Arial"/>
                <w:sz w:val="12"/>
                <w:szCs w:val="12"/>
                <w:color w:val="auto"/>
              </w:rPr>
              <w:t>RPMs (in thousands)</w:t>
            </w:r>
            <w:r>
              <w:rPr>
                <w:rFonts w:ascii="Arial" w:cs="Arial" w:eastAsia="Arial" w:hAnsi="Arial"/>
                <w:sz w:val="14"/>
                <w:szCs w:val="14"/>
                <w:color w:val="auto"/>
                <w:vertAlign w:val="superscript"/>
              </w:rPr>
              <w:t>(3)</w:t>
            </w:r>
          </w:p>
        </w:tc>
        <w:tc>
          <w:tcPr>
            <w:tcW w:w="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2"/>
                <w:szCs w:val="12"/>
                <w:color w:val="auto"/>
                <w:w w:val="93"/>
              </w:rPr>
              <w:t>1,694,033</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w w:val="86"/>
              </w:rPr>
              <w:t>1,303,004</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4400" w:type="dxa"/>
            <w:vAlign w:val="bottom"/>
            <w:shd w:val="clear" w:color="auto" w:fill="CCEEFF"/>
          </w:tcPr>
          <w:p>
            <w:pPr>
              <w:ind w:left="20"/>
              <w:spacing w:after="0" w:line="143" w:lineRule="exact"/>
              <w:rPr>
                <w:sz w:val="20"/>
                <w:szCs w:val="20"/>
                <w:color w:val="auto"/>
              </w:rPr>
            </w:pPr>
            <w:r>
              <w:rPr>
                <w:rFonts w:ascii="Arial" w:cs="Arial" w:eastAsia="Arial" w:hAnsi="Arial"/>
                <w:sz w:val="12"/>
                <w:szCs w:val="12"/>
                <w:color w:val="auto"/>
              </w:rPr>
              <w:t>PRASM (in cents)</w:t>
            </w:r>
            <w:r>
              <w:rPr>
                <w:rFonts w:ascii="Arial" w:cs="Arial" w:eastAsia="Arial" w:hAnsi="Arial"/>
                <w:sz w:val="14"/>
                <w:szCs w:val="14"/>
                <w:color w:val="auto"/>
                <w:vertAlign w:val="superscript"/>
              </w:rPr>
              <w:t>(3)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2"/>
                <w:szCs w:val="12"/>
                <w:color w:val="auto"/>
              </w:rPr>
              <w:t>5.16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7.23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4400" w:type="dxa"/>
            <w:vAlign w:val="bottom"/>
          </w:tcPr>
          <w:p>
            <w:pPr>
              <w:ind w:left="20"/>
              <w:spacing w:after="0" w:line="143" w:lineRule="exact"/>
              <w:rPr>
                <w:sz w:val="20"/>
                <w:szCs w:val="20"/>
                <w:color w:val="auto"/>
              </w:rPr>
            </w:pPr>
            <w:r>
              <w:rPr>
                <w:rFonts w:ascii="Arial" w:cs="Arial" w:eastAsia="Arial" w:hAnsi="Arial"/>
                <w:sz w:val="12"/>
                <w:szCs w:val="12"/>
                <w:color w:val="auto"/>
              </w:rPr>
              <w:t>Load factor</w:t>
            </w:r>
            <w:r>
              <w:rPr>
                <w:rFonts w:ascii="Arial" w:cs="Arial" w:eastAsia="Arial" w:hAnsi="Arial"/>
                <w:sz w:val="14"/>
                <w:szCs w:val="14"/>
                <w:color w:val="auto"/>
                <w:vertAlign w:val="superscript"/>
              </w:rPr>
              <w:t>(3)</w:t>
            </w:r>
          </w:p>
        </w:tc>
        <w:tc>
          <w:tcPr>
            <w:tcW w:w="80" w:type="dxa"/>
            <w:vAlign w:val="bottom"/>
          </w:tcPr>
          <w:p>
            <w:pPr>
              <w:spacing w:after="0"/>
              <w:rPr>
                <w:sz w:val="12"/>
                <w:szCs w:val="12"/>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2"/>
                <w:szCs w:val="12"/>
                <w:color w:val="auto"/>
              </w:rPr>
              <w:t>71.9%</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71.3%</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4400" w:type="dxa"/>
            <w:vAlign w:val="bottom"/>
            <w:shd w:val="clear" w:color="auto" w:fill="CCEEFF"/>
          </w:tcPr>
          <w:p>
            <w:pPr>
              <w:ind w:left="20"/>
              <w:spacing w:after="0" w:line="143" w:lineRule="exact"/>
              <w:rPr>
                <w:sz w:val="20"/>
                <w:szCs w:val="20"/>
                <w:color w:val="auto"/>
              </w:rPr>
            </w:pPr>
            <w:r>
              <w:rPr>
                <w:rFonts w:ascii="Arial" w:cs="Arial" w:eastAsia="Arial" w:hAnsi="Arial"/>
                <w:sz w:val="12"/>
                <w:szCs w:val="12"/>
                <w:color w:val="auto"/>
              </w:rPr>
              <w:t>Average fare</w:t>
            </w:r>
            <w:r>
              <w:rPr>
                <w:rFonts w:ascii="Arial" w:cs="Arial" w:eastAsia="Arial" w:hAnsi="Arial"/>
                <w:sz w:val="14"/>
                <w:szCs w:val="14"/>
                <w:color w:val="auto"/>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2"/>
                <w:szCs w:val="12"/>
                <w:color w:val="auto"/>
              </w:rPr>
              <w:t>97.12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141.16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4400" w:type="dxa"/>
            <w:vAlign w:val="bottom"/>
          </w:tcPr>
          <w:p>
            <w:pPr>
              <w:ind w:left="20"/>
              <w:spacing w:after="0" w:line="143" w:lineRule="exact"/>
              <w:rPr>
                <w:sz w:val="20"/>
                <w:szCs w:val="20"/>
                <w:color w:val="auto"/>
              </w:rPr>
            </w:pPr>
            <w:r>
              <w:rPr>
                <w:rFonts w:ascii="Arial" w:cs="Arial" w:eastAsia="Arial" w:hAnsi="Arial"/>
                <w:sz w:val="12"/>
                <w:szCs w:val="12"/>
                <w:color w:val="auto"/>
              </w:rPr>
              <w:t>Ancillary revenue per passenger</w:t>
            </w:r>
            <w:r>
              <w:rPr>
                <w:rFonts w:ascii="Arial" w:cs="Arial" w:eastAsia="Arial" w:hAnsi="Arial"/>
                <w:sz w:val="14"/>
                <w:szCs w:val="14"/>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121"/>
              <w:spacing w:after="0"/>
              <w:rPr>
                <w:sz w:val="20"/>
                <w:szCs w:val="20"/>
                <w:color w:val="auto"/>
              </w:rPr>
            </w:pPr>
            <w:r>
              <w:rPr>
                <w:rFonts w:ascii="Arial" w:cs="Arial" w:eastAsia="Arial" w:hAnsi="Arial"/>
                <w:sz w:val="12"/>
                <w:szCs w:val="12"/>
                <w:color w:val="auto"/>
              </w:rPr>
              <w:t>42.24</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42.74</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2"/>
        </w:trPr>
        <w:tc>
          <w:tcPr>
            <w:tcW w:w="44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Charter revenue per block hour</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1"/>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7,829</w:t>
            </w:r>
          </w:p>
        </w:tc>
        <w:tc>
          <w:tcPr>
            <w:tcW w:w="6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7,646</w:t>
            </w:r>
          </w:p>
        </w:tc>
        <w:tc>
          <w:tcPr>
            <w:tcW w:w="5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r>
      <w:tr>
        <w:trPr>
          <w:trHeight w:val="132"/>
        </w:trPr>
        <w:tc>
          <w:tcPr>
            <w:tcW w:w="4400" w:type="dxa"/>
            <w:vAlign w:val="bottom"/>
          </w:tcPr>
          <w:p>
            <w:pPr>
              <w:ind w:left="20"/>
              <w:spacing w:after="0" w:line="132" w:lineRule="exact"/>
              <w:rPr>
                <w:sz w:val="20"/>
                <w:szCs w:val="20"/>
                <w:color w:val="auto"/>
              </w:rPr>
            </w:pPr>
            <w:r>
              <w:rPr>
                <w:rFonts w:ascii="Arial" w:cs="Arial" w:eastAsia="Arial" w:hAnsi="Arial"/>
                <w:sz w:val="12"/>
                <w:szCs w:val="12"/>
                <w:color w:val="auto"/>
              </w:rPr>
              <w:t>Fuel gallons consumed (in thousands)</w:t>
            </w:r>
          </w:p>
        </w:tc>
        <w:tc>
          <w:tcPr>
            <w:tcW w:w="80" w:type="dxa"/>
            <w:vAlign w:val="bottom"/>
          </w:tcPr>
          <w:p>
            <w:pPr>
              <w:spacing w:after="0"/>
              <w:rPr>
                <w:sz w:val="11"/>
                <w:szCs w:val="11"/>
                <w:color w:val="auto"/>
              </w:rPr>
            </w:pPr>
          </w:p>
        </w:tc>
        <w:tc>
          <w:tcPr>
            <w:tcW w:w="700" w:type="dxa"/>
            <w:vAlign w:val="bottom"/>
            <w:gridSpan w:val="2"/>
          </w:tcPr>
          <w:p>
            <w:pPr>
              <w:jc w:val="right"/>
              <w:ind w:right="121"/>
              <w:spacing w:after="0" w:line="132" w:lineRule="exact"/>
              <w:rPr>
                <w:sz w:val="20"/>
                <w:szCs w:val="20"/>
                <w:color w:val="auto"/>
              </w:rPr>
            </w:pPr>
            <w:r>
              <w:rPr>
                <w:rFonts w:ascii="Arial" w:cs="Arial" w:eastAsia="Arial" w:hAnsi="Arial"/>
                <w:sz w:val="12"/>
                <w:szCs w:val="12"/>
                <w:color w:val="auto"/>
              </w:rPr>
              <w:t>23,824</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4,979</w:t>
            </w:r>
          </w:p>
        </w:tc>
        <w:tc>
          <w:tcPr>
            <w:tcW w:w="6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28,948</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18,779</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3,646</w:t>
            </w:r>
          </w:p>
        </w:tc>
        <w:tc>
          <w:tcPr>
            <w:tcW w:w="58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spacing w:after="0" w:line="132" w:lineRule="exact"/>
              <w:rPr>
                <w:sz w:val="20"/>
                <w:szCs w:val="20"/>
                <w:color w:val="auto"/>
              </w:rPr>
            </w:pPr>
            <w:r>
              <w:rPr>
                <w:rFonts w:ascii="Arial" w:cs="Arial" w:eastAsia="Arial" w:hAnsi="Arial"/>
                <w:sz w:val="12"/>
                <w:szCs w:val="12"/>
                <w:color w:val="auto"/>
              </w:rPr>
              <w:t>22,562</w:t>
            </w:r>
          </w:p>
        </w:tc>
      </w:tr>
      <w:tr>
        <w:trPr>
          <w:trHeight w:val="132"/>
        </w:trPr>
        <w:tc>
          <w:tcPr>
            <w:tcW w:w="440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Fuel cost per gallon, excl. derivatives</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1"/>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1.99</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1.71</w:t>
            </w:r>
          </w:p>
        </w:tc>
      </w:tr>
      <w:tr>
        <w:trPr>
          <w:trHeight w:val="132"/>
        </w:trPr>
        <w:tc>
          <w:tcPr>
            <w:tcW w:w="4400" w:type="dxa"/>
            <w:vAlign w:val="bottom"/>
          </w:tcPr>
          <w:p>
            <w:pPr>
              <w:ind w:left="20"/>
              <w:spacing w:after="0" w:line="132" w:lineRule="exact"/>
              <w:rPr>
                <w:sz w:val="20"/>
                <w:szCs w:val="20"/>
                <w:color w:val="auto"/>
              </w:rPr>
            </w:pPr>
            <w:r>
              <w:rPr>
                <w:rFonts w:ascii="Arial" w:cs="Arial" w:eastAsia="Arial" w:hAnsi="Arial"/>
                <w:sz w:val="12"/>
                <w:szCs w:val="12"/>
                <w:color w:val="auto"/>
              </w:rPr>
              <w:t>Employees at end of period</w:t>
            </w:r>
          </w:p>
        </w:tc>
        <w:tc>
          <w:tcPr>
            <w:tcW w:w="80" w:type="dxa"/>
            <w:vAlign w:val="bottom"/>
          </w:tcPr>
          <w:p>
            <w:pPr>
              <w:spacing w:after="0"/>
              <w:rPr>
                <w:sz w:val="11"/>
                <w:szCs w:val="11"/>
                <w:color w:val="auto"/>
              </w:rPr>
            </w:pPr>
          </w:p>
        </w:tc>
        <w:tc>
          <w:tcPr>
            <w:tcW w:w="700" w:type="dxa"/>
            <w:vAlign w:val="bottom"/>
            <w:gridSpan w:val="2"/>
          </w:tcPr>
          <w:p>
            <w:pPr>
              <w:jc w:val="right"/>
              <w:ind w:right="121"/>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1,815</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spacing w:after="0" w:line="132" w:lineRule="exact"/>
              <w:rPr>
                <w:sz w:val="20"/>
                <w:szCs w:val="20"/>
                <w:color w:val="auto"/>
              </w:rPr>
            </w:pPr>
            <w:r>
              <w:rPr>
                <w:rFonts w:ascii="Arial" w:cs="Arial" w:eastAsia="Arial" w:hAnsi="Arial"/>
                <w:sz w:val="12"/>
                <w:szCs w:val="12"/>
                <w:color w:val="auto"/>
              </w:rPr>
              <w:t>1,660</w:t>
            </w:r>
          </w:p>
        </w:tc>
      </w:tr>
      <w:tr>
        <w:trPr>
          <w:trHeight w:val="143"/>
        </w:trPr>
        <w:tc>
          <w:tcPr>
            <w:tcW w:w="4400" w:type="dxa"/>
            <w:vAlign w:val="bottom"/>
            <w:shd w:val="clear" w:color="auto" w:fill="CCEEFF"/>
          </w:tcPr>
          <w:p>
            <w:pPr>
              <w:ind w:left="20"/>
              <w:spacing w:after="0" w:line="143" w:lineRule="exact"/>
              <w:rPr>
                <w:sz w:val="20"/>
                <w:szCs w:val="20"/>
                <w:color w:val="auto"/>
              </w:rPr>
            </w:pPr>
            <w:r>
              <w:rPr>
                <w:rFonts w:ascii="Arial" w:cs="Arial" w:eastAsia="Arial" w:hAnsi="Arial"/>
                <w:sz w:val="12"/>
                <w:szCs w:val="12"/>
                <w:color w:val="auto"/>
              </w:rPr>
              <w:t>CASM (in cents)</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7.19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9.32</w:t>
            </w:r>
          </w:p>
        </w:tc>
      </w:tr>
      <w:tr>
        <w:trPr>
          <w:trHeight w:val="143"/>
        </w:trPr>
        <w:tc>
          <w:tcPr>
            <w:tcW w:w="4400" w:type="dxa"/>
            <w:vAlign w:val="bottom"/>
          </w:tcPr>
          <w:p>
            <w:pPr>
              <w:ind w:left="20"/>
              <w:spacing w:after="0"/>
              <w:rPr>
                <w:sz w:val="20"/>
                <w:szCs w:val="20"/>
                <w:color w:val="auto"/>
              </w:rPr>
            </w:pPr>
            <w:r>
              <w:rPr>
                <w:rFonts w:ascii="Arial" w:cs="Arial" w:eastAsia="Arial" w:hAnsi="Arial"/>
                <w:sz w:val="12"/>
                <w:szCs w:val="12"/>
                <w:color w:val="auto"/>
              </w:rPr>
              <w:t>Non-GAAP Operating Metric:</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3"/>
        </w:trPr>
        <w:tc>
          <w:tcPr>
            <w:tcW w:w="4400" w:type="dxa"/>
            <w:vAlign w:val="bottom"/>
            <w:shd w:val="clear" w:color="auto" w:fill="CCEEFF"/>
          </w:tcPr>
          <w:p>
            <w:pPr>
              <w:ind w:left="20"/>
              <w:spacing w:after="0" w:line="143" w:lineRule="exact"/>
              <w:rPr>
                <w:sz w:val="20"/>
                <w:szCs w:val="20"/>
                <w:color w:val="auto"/>
              </w:rPr>
            </w:pPr>
            <w:r>
              <w:rPr>
                <w:rFonts w:ascii="Arial" w:cs="Arial" w:eastAsia="Arial" w:hAnsi="Arial"/>
                <w:sz w:val="12"/>
                <w:szCs w:val="12"/>
                <w:color w:val="auto"/>
              </w:rPr>
              <w:t>Adjusted CASM (in cents)</w:t>
            </w:r>
            <w:r>
              <w:rPr>
                <w:rFonts w:ascii="Arial" w:cs="Arial" w:eastAsia="Arial" w:hAnsi="Arial"/>
                <w:sz w:val="14"/>
                <w:szCs w:val="14"/>
                <w:color w:val="auto"/>
                <w:vertAlign w:val="superscript"/>
              </w:rPr>
              <w:t>(4)(5)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-1973580</wp:posOffset>
            </wp:positionV>
            <wp:extent cx="11176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-1973580</wp:posOffset>
            </wp:positionV>
            <wp:extent cx="11176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5439410</wp:posOffset>
            </wp:positionH>
            <wp:positionV relativeFrom="paragraph">
              <wp:posOffset>-1973580</wp:posOffset>
            </wp:positionV>
            <wp:extent cx="11176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-1973580</wp:posOffset>
            </wp:positionV>
            <wp:extent cx="11176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-1973580</wp:posOffset>
            </wp:positionV>
            <wp:extent cx="11176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-1973580</wp:posOffset>
            </wp:positionV>
            <wp:extent cx="373951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3951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41910</wp:posOffset>
            </wp:positionV>
            <wp:extent cx="44640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1"/>
          <w:szCs w:val="11"/>
          <w:color w:val="auto"/>
        </w:rPr>
        <w:t>See “Glossary of Terms” for definitions of terms used in this table.</w:t>
      </w:r>
    </w:p>
    <w:p>
      <w:pPr>
        <w:ind w:left="980" w:hanging="286"/>
        <w:spacing w:after="0" w:line="208" w:lineRule="auto"/>
        <w:tabs>
          <w:tab w:leader="none" w:pos="9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Certain operating statistics and metrics are not presented as they are not calculable or are not utilized by management.</w:t>
      </w:r>
    </w:p>
    <w:p>
      <w:pPr>
        <w:ind w:left="980" w:right="200" w:hanging="286"/>
        <w:spacing w:after="0" w:line="198" w:lineRule="auto"/>
        <w:tabs>
          <w:tab w:leader="none" w:pos="9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Total System operating statistics for Departures, Block hours, Aircraft miles and ASMs include amounts related to flights operated for maintenance; therefore the Total System amounts are higher than the sum of Scheduled Service, Charter Service and Cargo amounts.</w:t>
      </w:r>
    </w:p>
    <w:p>
      <w:pPr>
        <w:ind w:left="980" w:hanging="286"/>
        <w:spacing w:after="0" w:line="208" w:lineRule="auto"/>
        <w:tabs>
          <w:tab w:leader="none" w:pos="9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Scheduled service and charter service utilize the same fleet of aircraft. Aircraft counts and utilization metrics are shown on a system basis only.</w:t>
      </w:r>
    </w:p>
    <w:p>
      <w:pPr>
        <w:ind w:left="980" w:hanging="286"/>
        <w:spacing w:after="0" w:line="187" w:lineRule="auto"/>
        <w:tabs>
          <w:tab w:leader="none" w:pos="9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Passenger-related statistics and metrics are shown only for scheduled service. Charter service revenue is driven by flight statistics.</w:t>
      </w:r>
    </w:p>
    <w:p>
      <w:pPr>
        <w:ind w:left="980" w:hanging="286"/>
        <w:spacing w:after="0" w:line="208" w:lineRule="auto"/>
        <w:tabs>
          <w:tab w:leader="none" w:pos="9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CASM is a key airline cost metric. CASM is defined as operating expenses divided by total available seat miles.</w:t>
      </w:r>
    </w:p>
    <w:p>
      <w:pPr>
        <w:ind w:left="980" w:hanging="286"/>
        <w:spacing w:after="0" w:line="231" w:lineRule="auto"/>
        <w:tabs>
          <w:tab w:leader="none" w:pos="9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2122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28" w:name="page29"/>
    <w:bookmarkEnd w:id="28"/>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680" w:type="dxa"/>
        <w:tblCellMar>
          <w:top w:w="0" w:type="dxa"/>
          <w:left w:w="0" w:type="dxa"/>
          <w:bottom w:w="0" w:type="dxa"/>
          <w:right w:w="0" w:type="dxa"/>
        </w:tblCellMar>
      </w:tblPr>
      <w:tr>
        <w:trPr>
          <w:trHeight w:val="133"/>
        </w:trPr>
        <w:tc>
          <w:tcPr>
            <w:tcW w:w="1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b w:val="1"/>
                <w:bCs w:val="1"/>
                <w:color w:val="auto"/>
              </w:rPr>
              <w:t>Fiscal Year 2020</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6"/>
          </w:tcPr>
          <w:p>
            <w:pPr>
              <w:jc w:val="center"/>
              <w:ind w:left="402"/>
              <w:spacing w:after="0"/>
              <w:rPr>
                <w:sz w:val="20"/>
                <w:szCs w:val="20"/>
                <w:color w:val="auto"/>
              </w:rPr>
            </w:pPr>
            <w:r>
              <w:rPr>
                <w:rFonts w:ascii="Arial" w:cs="Arial" w:eastAsia="Arial" w:hAnsi="Arial"/>
                <w:sz w:val="10"/>
                <w:szCs w:val="10"/>
                <w:b w:val="1"/>
                <w:bCs w:val="1"/>
                <w:color w:val="auto"/>
                <w:w w:val="89"/>
              </w:rPr>
              <w:t>Fiscal Year 2019</w:t>
            </w: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6"/>
          </w:tcPr>
          <w:p>
            <w:pPr>
              <w:jc w:val="center"/>
              <w:ind w:left="402"/>
              <w:spacing w:after="0"/>
              <w:rPr>
                <w:sz w:val="20"/>
                <w:szCs w:val="20"/>
                <w:color w:val="auto"/>
              </w:rPr>
            </w:pPr>
            <w:r>
              <w:rPr>
                <w:rFonts w:ascii="Arial" w:cs="Arial" w:eastAsia="Arial" w:hAnsi="Arial"/>
                <w:sz w:val="10"/>
                <w:szCs w:val="10"/>
                <w:b w:val="1"/>
                <w:bCs w:val="1"/>
                <w:color w:val="auto"/>
                <w:w w:val="87"/>
              </w:rPr>
              <w:t>Fiscal Year 2018</w:t>
            </w: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0"/>
                <w:szCs w:val="10"/>
                <w:b w:val="1"/>
                <w:bCs w:val="1"/>
                <w:color w:val="auto"/>
              </w:rPr>
              <w:t>Fiscal Year 2017</w:t>
            </w:r>
          </w:p>
        </w:tc>
        <w:tc>
          <w:tcPr>
            <w:tcW w:w="520" w:type="dxa"/>
            <w:vAlign w:val="bottom"/>
            <w:tcBorders>
              <w:bottom w:val="single" w:sz="8" w:color="auto"/>
            </w:tcBorders>
          </w:tcPr>
          <w:p>
            <w:pPr>
              <w:spacing w:after="0"/>
              <w:rPr>
                <w:sz w:val="11"/>
                <w:szCs w:val="11"/>
                <w:color w:val="auto"/>
              </w:rPr>
            </w:pPr>
          </w:p>
        </w:tc>
      </w:tr>
      <w:tr>
        <w:trPr>
          <w:trHeight w:val="111"/>
        </w:trPr>
        <w:tc>
          <w:tcPr>
            <w:tcW w:w="1920" w:type="dxa"/>
            <w:vAlign w:val="bottom"/>
          </w:tcPr>
          <w:p>
            <w:pPr>
              <w:spacing w:after="0"/>
              <w:rPr>
                <w:sz w:val="9"/>
                <w:szCs w:val="9"/>
                <w:color w:val="auto"/>
              </w:rPr>
            </w:pPr>
          </w:p>
        </w:tc>
        <w:tc>
          <w:tcPr>
            <w:tcW w:w="740" w:type="dxa"/>
            <w:vAlign w:val="bottom"/>
            <w:gridSpan w:val="4"/>
          </w:tcPr>
          <w:p>
            <w:pPr>
              <w:jc w:val="center"/>
              <w:ind w:right="140"/>
              <w:spacing w:after="0" w:line="111" w:lineRule="exact"/>
              <w:rPr>
                <w:sz w:val="20"/>
                <w:szCs w:val="20"/>
                <w:color w:val="auto"/>
              </w:rPr>
            </w:pPr>
            <w:r>
              <w:rPr>
                <w:rFonts w:ascii="Arial" w:cs="Arial" w:eastAsia="Arial" w:hAnsi="Arial"/>
                <w:sz w:val="10"/>
                <w:szCs w:val="10"/>
                <w:b w:val="1"/>
                <w:bCs w:val="1"/>
                <w:color w:val="auto"/>
                <w:w w:val="86"/>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4"/>
          </w:tcPr>
          <w:p>
            <w:pPr>
              <w:jc w:val="center"/>
              <w:ind w:right="140"/>
              <w:spacing w:after="0" w:line="111" w:lineRule="exact"/>
              <w:rPr>
                <w:sz w:val="20"/>
                <w:szCs w:val="20"/>
                <w:color w:val="auto"/>
              </w:rPr>
            </w:pPr>
            <w:r>
              <w:rPr>
                <w:rFonts w:ascii="Arial" w:cs="Arial" w:eastAsia="Arial" w:hAnsi="Arial"/>
                <w:sz w:val="10"/>
                <w:szCs w:val="10"/>
                <w:b w:val="1"/>
                <w:bCs w:val="1"/>
                <w:color w:val="auto"/>
                <w:w w:val="86"/>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4"/>
          </w:tcPr>
          <w:p>
            <w:pPr>
              <w:jc w:val="right"/>
              <w:ind w:right="220"/>
              <w:spacing w:after="0" w:line="111" w:lineRule="exact"/>
              <w:rPr>
                <w:sz w:val="20"/>
                <w:szCs w:val="20"/>
                <w:color w:val="auto"/>
              </w:rPr>
            </w:pPr>
            <w:r>
              <w:rPr>
                <w:rFonts w:ascii="Arial" w:cs="Arial" w:eastAsia="Arial" w:hAnsi="Arial"/>
                <w:sz w:val="10"/>
                <w:szCs w:val="10"/>
                <w:b w:val="1"/>
                <w:bCs w:val="1"/>
                <w:color w:val="auto"/>
                <w:w w:val="98"/>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4"/>
          </w:tcPr>
          <w:p>
            <w:pPr>
              <w:jc w:val="center"/>
              <w:ind w:right="140"/>
              <w:spacing w:after="0" w:line="111" w:lineRule="exact"/>
              <w:rPr>
                <w:sz w:val="20"/>
                <w:szCs w:val="20"/>
                <w:color w:val="auto"/>
              </w:rPr>
            </w:pPr>
            <w:r>
              <w:rPr>
                <w:rFonts w:ascii="Arial" w:cs="Arial" w:eastAsia="Arial" w:hAnsi="Arial"/>
                <w:sz w:val="10"/>
                <w:szCs w:val="10"/>
                <w:b w:val="1"/>
                <w:bCs w:val="1"/>
                <w:color w:val="auto"/>
                <w:w w:val="82"/>
              </w:rPr>
              <w:t>Scheduled</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23"/>
        </w:trPr>
        <w:tc>
          <w:tcPr>
            <w:tcW w:w="19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Charter</w:t>
            </w:r>
          </w:p>
        </w:tc>
        <w:tc>
          <w:tcPr>
            <w:tcW w:w="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Cargo</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5"/>
              </w:rPr>
              <w:t>Charter</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Service</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5"/>
              </w:rPr>
              <w:t>Charter</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Charter</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Total</w:t>
            </w:r>
          </w:p>
        </w:tc>
      </w:tr>
      <w:tr>
        <w:trPr>
          <w:trHeight w:val="134"/>
        </w:trPr>
        <w:tc>
          <w:tcPr>
            <w:tcW w:w="192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Departures</w:t>
            </w:r>
            <w:r>
              <w:rPr>
                <w:rFonts w:ascii="Arial" w:cs="Arial" w:eastAsia="Arial" w:hAnsi="Arial"/>
                <w:sz w:val="14"/>
                <w:szCs w:val="14"/>
                <w:color w:val="auto"/>
                <w:vertAlign w:val="superscript"/>
              </w:rPr>
              <w:t>(1)</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14,117</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5,581</w:t>
            </w:r>
          </w:p>
        </w:tc>
        <w:tc>
          <w:tcPr>
            <w:tcW w:w="5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4,642</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24,518</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24,311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9,035</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33,586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19,772</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8,254</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28,194</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20,357</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7,981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28,469</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Block hours</w:t>
            </w:r>
            <w:r>
              <w:rPr>
                <w:rFonts w:ascii="Arial" w:cs="Arial" w:eastAsia="Arial" w:hAnsi="Arial"/>
                <w:sz w:val="14"/>
                <w:szCs w:val="14"/>
                <w:color w:val="auto"/>
                <w:vertAlign w:val="superscript"/>
              </w:rPr>
              <w:t>(1)</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45,988</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12,113</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13,847</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72,424</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80,719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19,852</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101,137</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68,143</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17,335</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85,883</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68,060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16,941</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85,298</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Aircraft miles</w:t>
            </w:r>
            <w:r>
              <w:rPr>
                <w:rFonts w:ascii="Arial" w:cs="Arial" w:eastAsia="Arial" w:hAnsi="Arial"/>
                <w:sz w:val="14"/>
                <w:szCs w:val="14"/>
                <w:color w:val="auto"/>
                <w:vertAlign w:val="superscript"/>
              </w:rPr>
              <w:t>(1)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6"/>
              </w:rPr>
              <w:t>18,685,265</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4,539,429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5,666,642</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29,030,711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32,217,934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7,356,628</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39,738,483</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27,584,857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6"/>
              </w:rPr>
              <w:t>6,369,866</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34,095,663</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27,723,331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6,358,418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3"/>
              </w:rPr>
              <w:t>34,181,885</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ASMs (in thousands)</w:t>
            </w:r>
            <w:r>
              <w:rPr>
                <w:rFonts w:ascii="Arial" w:cs="Arial" w:eastAsia="Arial" w:hAnsi="Arial"/>
                <w:sz w:val="14"/>
                <w:szCs w:val="14"/>
                <w:color w:val="auto"/>
                <w:vertAlign w:val="superscript"/>
              </w:rPr>
              <w:t>(1)</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3,466,240</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819,855</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4,311,142</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5,747,391</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82"/>
              </w:rPr>
              <w:t>1,288,725</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7,064,563</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4,433,110</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1,007,391</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5,463,229</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4,255,233</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979,756</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5,250,474</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TRASM (in cents)</w:t>
            </w:r>
            <w:r>
              <w:rPr>
                <w:rFonts w:ascii="Arial" w:cs="Arial" w:eastAsia="Arial" w:hAnsi="Arial"/>
                <w:sz w:val="14"/>
                <w:szCs w:val="14"/>
                <w:color w:val="auto"/>
                <w:vertAlign w:val="superscript"/>
              </w:rPr>
              <w:t>(2)</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8.46</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9.93</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10.66</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10.65</w:t>
            </w:r>
          </w:p>
        </w:tc>
      </w:tr>
      <w:tr>
        <w:trPr>
          <w:trHeight w:val="127"/>
        </w:trPr>
        <w:tc>
          <w:tcPr>
            <w:tcW w:w="1920" w:type="dxa"/>
            <w:vAlign w:val="bottom"/>
          </w:tcPr>
          <w:p>
            <w:pPr>
              <w:ind w:left="20"/>
              <w:spacing w:after="0" w:line="127" w:lineRule="exact"/>
              <w:rPr>
                <w:sz w:val="20"/>
                <w:szCs w:val="20"/>
                <w:color w:val="auto"/>
              </w:rPr>
            </w:pPr>
            <w:r>
              <w:rPr>
                <w:rFonts w:ascii="Arial" w:cs="Arial" w:eastAsia="Arial" w:hAnsi="Arial"/>
                <w:sz w:val="12"/>
                <w:szCs w:val="12"/>
                <w:color w:val="auto"/>
                <w:w w:val="93"/>
              </w:rPr>
              <w:t>Average passenger aircraft during the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9"/>
        </w:trPr>
        <w:tc>
          <w:tcPr>
            <w:tcW w:w="1920" w:type="dxa"/>
            <w:vAlign w:val="bottom"/>
          </w:tcPr>
          <w:p>
            <w:pPr>
              <w:ind w:left="140"/>
              <w:spacing w:after="0" w:line="159" w:lineRule="exact"/>
              <w:rPr>
                <w:sz w:val="20"/>
                <w:szCs w:val="20"/>
                <w:color w:val="auto"/>
              </w:rPr>
            </w:pPr>
            <w:r>
              <w:rPr>
                <w:rFonts w:ascii="Arial" w:cs="Arial" w:eastAsia="Arial" w:hAnsi="Arial"/>
                <w:sz w:val="12"/>
                <w:szCs w:val="12"/>
                <w:color w:val="auto"/>
              </w:rPr>
              <w:t>period</w:t>
            </w:r>
            <w:r>
              <w:rPr>
                <w:rFonts w:ascii="Arial" w:cs="Arial" w:eastAsia="Arial" w:hAnsi="Arial"/>
                <w:sz w:val="14"/>
                <w:szCs w:val="14"/>
                <w:color w:val="auto"/>
                <w:vertAlign w:val="superscript"/>
              </w:rPr>
              <w:t>(2)</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27.4</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25.4</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21.2</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21.1</w:t>
            </w:r>
          </w:p>
        </w:tc>
      </w:tr>
      <w:tr>
        <w:trPr>
          <w:trHeight w:val="127"/>
        </w:trPr>
        <w:tc>
          <w:tcPr>
            <w:tcW w:w="192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rPr>
              <w:t>Passenger aircraft at end of</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59"/>
        </w:trPr>
        <w:tc>
          <w:tcPr>
            <w:tcW w:w="1920" w:type="dxa"/>
            <w:vAlign w:val="bottom"/>
            <w:shd w:val="clear" w:color="auto" w:fill="CCEEFF"/>
          </w:tcPr>
          <w:p>
            <w:pPr>
              <w:ind w:left="140"/>
              <w:spacing w:after="0" w:line="159" w:lineRule="exact"/>
              <w:rPr>
                <w:sz w:val="20"/>
                <w:szCs w:val="20"/>
                <w:color w:val="auto"/>
              </w:rPr>
            </w:pPr>
            <w:r>
              <w:rPr>
                <w:rFonts w:ascii="Arial" w:cs="Arial" w:eastAsia="Arial" w:hAnsi="Arial"/>
                <w:sz w:val="12"/>
                <w:szCs w:val="12"/>
                <w:color w:val="auto"/>
              </w:rPr>
              <w:t>period</w:t>
            </w:r>
            <w:r>
              <w:rPr>
                <w:rFonts w:ascii="Arial" w:cs="Arial" w:eastAsia="Arial" w:hAnsi="Arial"/>
                <w:sz w:val="14"/>
                <w:szCs w:val="14"/>
                <w:color w:val="auto"/>
                <w:vertAlign w:val="superscript"/>
              </w:rPr>
              <w:t>(2)</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31.0</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w:t>
            </w:r>
          </w:p>
        </w:tc>
      </w:tr>
      <w:tr>
        <w:trPr>
          <w:trHeight w:val="127"/>
        </w:trPr>
        <w:tc>
          <w:tcPr>
            <w:tcW w:w="1920" w:type="dxa"/>
            <w:vAlign w:val="bottom"/>
          </w:tcPr>
          <w:p>
            <w:pPr>
              <w:ind w:left="20"/>
              <w:spacing w:after="0" w:line="127" w:lineRule="exact"/>
              <w:rPr>
                <w:sz w:val="20"/>
                <w:szCs w:val="20"/>
                <w:color w:val="auto"/>
              </w:rPr>
            </w:pPr>
            <w:r>
              <w:rPr>
                <w:rFonts w:ascii="Arial" w:cs="Arial" w:eastAsia="Arial" w:hAnsi="Arial"/>
                <w:sz w:val="12"/>
                <w:szCs w:val="12"/>
                <w:color w:val="auto"/>
              </w:rPr>
              <w:t>Average daily aircraft utilization (in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9"/>
        </w:trPr>
        <w:tc>
          <w:tcPr>
            <w:tcW w:w="1920" w:type="dxa"/>
            <w:vAlign w:val="bottom"/>
          </w:tcPr>
          <w:p>
            <w:pPr>
              <w:ind w:left="140"/>
              <w:spacing w:after="0" w:line="159" w:lineRule="exact"/>
              <w:rPr>
                <w:sz w:val="20"/>
                <w:szCs w:val="20"/>
                <w:color w:val="auto"/>
              </w:rPr>
            </w:pPr>
            <w:r>
              <w:rPr>
                <w:rFonts w:ascii="Arial" w:cs="Arial" w:eastAsia="Arial" w:hAnsi="Arial"/>
                <w:sz w:val="12"/>
                <w:szCs w:val="12"/>
                <w:color w:val="auto"/>
              </w:rPr>
              <w:t>hours)</w:t>
            </w:r>
            <w:r>
              <w:rPr>
                <w:rFonts w:ascii="Arial" w:cs="Arial" w:eastAsia="Arial" w:hAnsi="Arial"/>
                <w:sz w:val="14"/>
                <w:szCs w:val="14"/>
                <w:color w:val="auto"/>
                <w:vertAlign w:val="superscript"/>
              </w:rPr>
              <w:t>(2)</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9.6</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9.7</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43"/>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Average stage length</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1,179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1,187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1,203</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Passengers</w:t>
            </w:r>
            <w:r>
              <w:rPr>
                <w:rFonts w:ascii="Arial" w:cs="Arial" w:eastAsia="Arial" w:hAnsi="Arial"/>
                <w:sz w:val="14"/>
                <w:szCs w:val="14"/>
                <w:color w:val="auto"/>
                <w:vertAlign w:val="superscript"/>
              </w:rPr>
              <w:t>(3)</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1,679,242</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3,565,939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2,614,929</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2,502,082</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RPMs (in thousands)</w:t>
            </w:r>
            <w:r>
              <w:rPr>
                <w:rFonts w:ascii="Arial" w:cs="Arial" w:eastAsia="Arial" w:hAnsi="Arial"/>
                <w:sz w:val="14"/>
                <w:szCs w:val="14"/>
                <w:color w:val="auto"/>
                <w:vertAlign w:val="superscript"/>
              </w:rPr>
              <w:t>(3)</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7"/>
              </w:rPr>
              <w:t>2,250,974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4,473,347</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3,653,007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3,419,527</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PRASM (in cents)</w:t>
            </w:r>
            <w:r>
              <w:rPr>
                <w:rFonts w:ascii="Arial" w:cs="Arial" w:eastAsia="Arial" w:hAnsi="Arial"/>
                <w:sz w:val="14"/>
                <w:szCs w:val="14"/>
                <w:color w:val="auto"/>
                <w:vertAlign w:val="superscript"/>
              </w:rPr>
              <w:t>(3)</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5.57</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6.89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8.05</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8.74</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Load factor</w:t>
            </w:r>
            <w:r>
              <w:rPr>
                <w:rFonts w:ascii="Arial" w:cs="Arial" w:eastAsia="Arial" w:hAnsi="Arial"/>
                <w:sz w:val="14"/>
                <w:szCs w:val="14"/>
                <w:color w:val="auto"/>
                <w:vertAlign w:val="superscript"/>
              </w:rPr>
              <w:t>(3)</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64.9%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82.5%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82.4%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80.4%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Average fare</w:t>
            </w:r>
            <w:r>
              <w:rPr>
                <w:rFonts w:ascii="Arial" w:cs="Arial" w:eastAsia="Arial" w:hAnsi="Arial"/>
                <w:sz w:val="14"/>
                <w:szCs w:val="14"/>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114.96</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111.08</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136.42</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148.60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Ancillary revenue per passenger</w:t>
            </w:r>
            <w:r>
              <w:rPr>
                <w:rFonts w:ascii="Arial" w:cs="Arial" w:eastAsia="Arial" w:hAnsi="Arial"/>
                <w:sz w:val="14"/>
                <w:szCs w:val="14"/>
                <w:color w:val="auto"/>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40.53</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33.14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21.70</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13.34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1920" w:type="dxa"/>
            <w:vAlign w:val="bottom"/>
          </w:tcPr>
          <w:p>
            <w:pPr>
              <w:ind w:left="20"/>
              <w:spacing w:after="0"/>
              <w:rPr>
                <w:sz w:val="20"/>
                <w:szCs w:val="20"/>
                <w:color w:val="auto"/>
              </w:rPr>
            </w:pPr>
            <w:r>
              <w:rPr>
                <w:rFonts w:ascii="Arial" w:cs="Arial" w:eastAsia="Arial" w:hAnsi="Arial"/>
                <w:sz w:val="12"/>
                <w:szCs w:val="12"/>
                <w:color w:val="auto"/>
              </w:rPr>
              <w:t>Charter revenue per block hour</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8,101</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8,793</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8,767</w:t>
            </w:r>
          </w:p>
        </w:tc>
        <w:tc>
          <w:tcPr>
            <w:tcW w:w="1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7,818</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Fuel gallons consumed (in thousands)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34,769</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9,075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43,844</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63,240</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14,802</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78,042</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52,303</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12,678</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64,981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52,104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12,551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64,656</w:t>
            </w:r>
          </w:p>
        </w:tc>
      </w:tr>
      <w:tr>
        <w:trPr>
          <w:trHeight w:val="138"/>
        </w:trPr>
        <w:tc>
          <w:tcPr>
            <w:tcW w:w="1920" w:type="dxa"/>
            <w:vAlign w:val="bottom"/>
          </w:tcPr>
          <w:p>
            <w:pPr>
              <w:ind w:left="20"/>
              <w:spacing w:after="0"/>
              <w:rPr>
                <w:sz w:val="20"/>
                <w:szCs w:val="20"/>
                <w:color w:val="auto"/>
              </w:rPr>
            </w:pPr>
            <w:r>
              <w:rPr>
                <w:rFonts w:ascii="Arial" w:cs="Arial" w:eastAsia="Arial" w:hAnsi="Arial"/>
                <w:sz w:val="12"/>
                <w:szCs w:val="12"/>
                <w:color w:val="auto"/>
              </w:rPr>
              <w:t>Fuel cost per gallon, excl.</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7"/>
        </w:trPr>
        <w:tc>
          <w:tcPr>
            <w:tcW w:w="1920" w:type="dxa"/>
            <w:vAlign w:val="bottom"/>
          </w:tcPr>
          <w:p>
            <w:pPr>
              <w:ind w:left="140"/>
              <w:spacing w:after="0"/>
              <w:rPr>
                <w:sz w:val="20"/>
                <w:szCs w:val="20"/>
                <w:color w:val="auto"/>
              </w:rPr>
            </w:pPr>
            <w:r>
              <w:rPr>
                <w:rFonts w:ascii="Arial" w:cs="Arial" w:eastAsia="Arial" w:hAnsi="Arial"/>
                <w:sz w:val="12"/>
                <w:szCs w:val="12"/>
                <w:color w:val="auto"/>
              </w:rPr>
              <w:t>derivatives</w:t>
            </w: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1.60</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2.26</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2.34</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20" w:type="dxa"/>
            <w:vAlign w:val="bottom"/>
          </w:tcPr>
          <w:p>
            <w:pPr>
              <w:jc w:val="right"/>
              <w:spacing w:after="0"/>
              <w:rPr>
                <w:sz w:val="20"/>
                <w:szCs w:val="20"/>
                <w:color w:val="auto"/>
              </w:rPr>
            </w:pPr>
            <w:r>
              <w:rPr>
                <w:rFonts w:ascii="Arial" w:cs="Arial" w:eastAsia="Arial" w:hAnsi="Arial"/>
                <w:sz w:val="12"/>
                <w:szCs w:val="12"/>
                <w:color w:val="auto"/>
              </w:rPr>
              <w:t>1.85</w:t>
            </w: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Employees at end of period</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1,699</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1,532</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1,549</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1,889</w:t>
            </w:r>
          </w:p>
        </w:tc>
      </w:tr>
      <w:tr>
        <w:trPr>
          <w:trHeight w:val="165"/>
        </w:trPr>
        <w:tc>
          <w:tcPr>
            <w:tcW w:w="1920" w:type="dxa"/>
            <w:vAlign w:val="bottom"/>
          </w:tcPr>
          <w:p>
            <w:pPr>
              <w:ind w:left="20"/>
              <w:spacing w:after="0"/>
              <w:rPr>
                <w:sz w:val="20"/>
                <w:szCs w:val="20"/>
                <w:color w:val="auto"/>
              </w:rPr>
            </w:pPr>
            <w:r>
              <w:rPr>
                <w:rFonts w:ascii="Arial" w:cs="Arial" w:eastAsia="Arial" w:hAnsi="Arial"/>
                <w:sz w:val="12"/>
                <w:szCs w:val="12"/>
                <w:color w:val="auto"/>
              </w:rPr>
              <w:t>CASM (in cents)</w:t>
            </w:r>
            <w:r>
              <w:rPr>
                <w:rFonts w:ascii="Arial" w:cs="Arial" w:eastAsia="Arial" w:hAnsi="Arial"/>
                <w:sz w:val="14"/>
                <w:szCs w:val="14"/>
                <w:color w:val="auto"/>
                <w:vertAlign w:val="superscript"/>
              </w:rPr>
              <w:t>(4)</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8.91</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8.82</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10.05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10.09</w:t>
            </w: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Non-GAAP Operating Metric:</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208"/>
        </w:trPr>
        <w:tc>
          <w:tcPr>
            <w:tcW w:w="1920" w:type="dxa"/>
            <w:vAlign w:val="bottom"/>
          </w:tcPr>
          <w:p>
            <w:pPr>
              <w:ind w:left="20"/>
              <w:spacing w:after="0"/>
              <w:rPr>
                <w:sz w:val="20"/>
                <w:szCs w:val="20"/>
                <w:color w:val="auto"/>
              </w:rPr>
            </w:pPr>
            <w:r>
              <w:rPr>
                <w:rFonts w:ascii="Arial" w:cs="Arial" w:eastAsia="Arial" w:hAnsi="Arial"/>
                <w:sz w:val="12"/>
                <w:szCs w:val="12"/>
                <w:color w:val="auto"/>
              </w:rPr>
              <w:t>Adjusted CASM (in cents)</w:t>
            </w:r>
            <w:r>
              <w:rPr>
                <w:rFonts w:ascii="Arial" w:cs="Arial" w:eastAsia="Arial" w:hAnsi="Arial"/>
                <w:sz w:val="14"/>
                <w:szCs w:val="14"/>
                <w:color w:val="auto"/>
                <w:vertAlign w:val="superscript"/>
              </w:rPr>
              <w:t>(4)(5)</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7.57</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6.31</w:t>
            </w: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7.05</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6346825</wp:posOffset>
            </wp:positionH>
            <wp:positionV relativeFrom="paragraph">
              <wp:posOffset>-2510155</wp:posOffset>
            </wp:positionV>
            <wp:extent cx="2794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-2510155</wp:posOffset>
            </wp:positionV>
            <wp:extent cx="2794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-2510155</wp:posOffset>
            </wp:positionV>
            <wp:extent cx="2794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-2510155</wp:posOffset>
            </wp:positionV>
            <wp:extent cx="2794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-2510155</wp:posOffset>
            </wp:positionV>
            <wp:extent cx="2794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-2510155</wp:posOffset>
            </wp:positionV>
            <wp:extent cx="2794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3946525</wp:posOffset>
            </wp:positionH>
            <wp:positionV relativeFrom="paragraph">
              <wp:posOffset>-2510155</wp:posOffset>
            </wp:positionV>
            <wp:extent cx="2794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-2510155</wp:posOffset>
            </wp:positionV>
            <wp:extent cx="2794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-2510155</wp:posOffset>
            </wp:positionV>
            <wp:extent cx="2794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-2510155</wp:posOffset>
            </wp:positionV>
            <wp:extent cx="2794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-2510155</wp:posOffset>
            </wp:positionV>
            <wp:extent cx="2794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-2510155</wp:posOffset>
            </wp:positionV>
            <wp:extent cx="16256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2560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56515</wp:posOffset>
            </wp:positionV>
            <wp:extent cx="44640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2"/>
          <w:szCs w:val="12"/>
          <w:color w:val="auto"/>
        </w:rPr>
        <w:t>See “Glossary of Terms” for definitions of terms used in this table.</w:t>
      </w:r>
    </w:p>
    <w:p>
      <w:pPr>
        <w:spacing w:after="0" w:line="16" w:lineRule="exact"/>
        <w:rPr>
          <w:sz w:val="20"/>
          <w:szCs w:val="20"/>
          <w:color w:val="auto"/>
        </w:rPr>
      </w:pPr>
    </w:p>
    <w:p>
      <w:pPr>
        <w:ind w:left="980" w:hanging="286"/>
        <w:spacing w:after="0"/>
        <w:tabs>
          <w:tab w:leader="none" w:pos="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Certain operating statistics and metrics are not presented as they are not calculable or are not utilized by management.</w:t>
      </w:r>
    </w:p>
    <w:p>
      <w:pPr>
        <w:spacing w:after="0" w:line="27" w:lineRule="exact"/>
        <w:rPr>
          <w:sz w:val="20"/>
          <w:szCs w:val="20"/>
          <w:color w:val="auto"/>
        </w:rPr>
      </w:pPr>
    </w:p>
    <w:p>
      <w:pPr>
        <w:ind w:left="980" w:right="80" w:hanging="286"/>
        <w:spacing w:after="0" w:line="234" w:lineRule="auto"/>
        <w:tabs>
          <w:tab w:leader="none" w:pos="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Total System operating statistics for Departures, Block hours, Aircraft miles and ASMs include amounts related to flights operated for maintenance; therefore the Total System amounts are higher than the sum of Scheduled Service, Charter Service and Cargo amounts.</w:t>
      </w:r>
    </w:p>
    <w:p>
      <w:pPr>
        <w:spacing w:after="0" w:line="5" w:lineRule="exact"/>
        <w:rPr>
          <w:rFonts w:ascii="Arial" w:cs="Arial" w:eastAsia="Arial" w:hAnsi="Arial"/>
          <w:sz w:val="12"/>
          <w:szCs w:val="12"/>
          <w:color w:val="auto"/>
        </w:rPr>
      </w:pPr>
    </w:p>
    <w:p>
      <w:pPr>
        <w:ind w:left="980" w:hanging="286"/>
        <w:spacing w:after="0"/>
        <w:tabs>
          <w:tab w:leader="none" w:pos="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Scheduled service and charter service utilize the same fleet of aircraft. Aircraft counts and utilization metrics are shown on a system basis only.</w:t>
      </w:r>
    </w:p>
    <w:p>
      <w:pPr>
        <w:spacing w:after="0" w:line="15" w:lineRule="exact"/>
        <w:rPr>
          <w:rFonts w:ascii="Arial" w:cs="Arial" w:eastAsia="Arial" w:hAnsi="Arial"/>
          <w:sz w:val="12"/>
          <w:szCs w:val="12"/>
          <w:color w:val="auto"/>
        </w:rPr>
      </w:pPr>
    </w:p>
    <w:p>
      <w:pPr>
        <w:ind w:left="980" w:hanging="286"/>
        <w:spacing w:after="0"/>
        <w:tabs>
          <w:tab w:leader="none" w:pos="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Passenger-related statistics and metrics are shown only for scheduled service. Charter service revenue is driven by flight statistics.</w:t>
      </w:r>
    </w:p>
    <w:p>
      <w:pPr>
        <w:spacing w:after="0" w:line="26" w:lineRule="exact"/>
        <w:rPr>
          <w:rFonts w:ascii="Arial" w:cs="Arial" w:eastAsia="Arial" w:hAnsi="Arial"/>
          <w:sz w:val="12"/>
          <w:szCs w:val="12"/>
          <w:color w:val="auto"/>
        </w:rPr>
      </w:pPr>
    </w:p>
    <w:p>
      <w:pPr>
        <w:ind w:left="980" w:hanging="286"/>
        <w:spacing w:after="0"/>
        <w:tabs>
          <w:tab w:leader="none" w:pos="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CASM is a key airline cost metric. CASM is defined as operating expenses divided by total available seat miles.</w:t>
      </w:r>
    </w:p>
    <w:p>
      <w:pPr>
        <w:spacing w:after="0" w:line="15" w:lineRule="exact"/>
        <w:rPr>
          <w:rFonts w:ascii="Arial" w:cs="Arial" w:eastAsia="Arial" w:hAnsi="Arial"/>
          <w:sz w:val="12"/>
          <w:szCs w:val="12"/>
          <w:color w:val="auto"/>
        </w:rPr>
      </w:pPr>
    </w:p>
    <w:p>
      <w:pPr>
        <w:ind w:left="980" w:right="60" w:hanging="286"/>
        <w:spacing w:after="0" w:line="239" w:lineRule="auto"/>
        <w:tabs>
          <w:tab w:leader="none" w:pos="9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2122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29" w:name="page30"/>
    <w:bookmarkEnd w:id="29"/>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spacing w:after="0" w:line="234" w:lineRule="auto"/>
        <w:rPr>
          <w:sz w:val="20"/>
          <w:szCs w:val="20"/>
          <w:color w:val="auto"/>
        </w:rPr>
      </w:pPr>
      <w:r>
        <w:rPr>
          <w:rFonts w:ascii="Arial" w:cs="Arial" w:eastAsia="Arial" w:hAnsi="Arial"/>
          <w:sz w:val="11"/>
          <w:szCs w:val="11"/>
          <w:color w:val="auto"/>
        </w:rPr>
        <w:t>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 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9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The following table presents the reconciliation of CASM to Adjusted CASM.</w:t>
      </w:r>
    </w:p>
    <w:p>
      <w:pPr>
        <w:spacing w:after="0" w:line="139" w:lineRule="exact"/>
        <w:rPr>
          <w:sz w:val="20"/>
          <w:szCs w:val="20"/>
          <w:color w:val="auto"/>
        </w:rPr>
      </w:pPr>
    </w:p>
    <w:tbl>
      <w:tblPr>
        <w:tblLayout w:type="fixed"/>
        <w:tblInd w:w="980" w:type="dxa"/>
        <w:tblCellMar>
          <w:top w:w="0" w:type="dxa"/>
          <w:left w:w="0" w:type="dxa"/>
          <w:bottom w:w="0" w:type="dxa"/>
          <w:right w:w="0" w:type="dxa"/>
        </w:tblCellMar>
      </w:tblPr>
      <w:tr>
        <w:trPr>
          <w:trHeight w:val="150"/>
        </w:trPr>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gridSpan w:val="13"/>
          </w:tcPr>
          <w:p>
            <w:pPr>
              <w:ind w:left="280"/>
              <w:spacing w:after="0"/>
              <w:rPr>
                <w:sz w:val="20"/>
                <w:szCs w:val="20"/>
                <w:color w:val="auto"/>
              </w:rPr>
            </w:pPr>
            <w:r>
              <w:rPr>
                <w:rFonts w:ascii="Arial" w:cs="Arial" w:eastAsia="Arial" w:hAnsi="Arial"/>
                <w:sz w:val="12"/>
                <w:szCs w:val="12"/>
                <w:b w:val="1"/>
                <w:bCs w:val="1"/>
                <w:color w:val="auto"/>
              </w:rPr>
              <w:t>For the six months ended June 30,</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40" w:type="dxa"/>
            <w:vAlign w:val="bottom"/>
            <w:gridSpan w:val="13"/>
          </w:tcPr>
          <w:p>
            <w:pPr>
              <w:ind w:left="320"/>
              <w:spacing w:after="0"/>
              <w:rPr>
                <w:sz w:val="20"/>
                <w:szCs w:val="20"/>
                <w:color w:val="auto"/>
              </w:rPr>
            </w:pPr>
            <w:r>
              <w:rPr>
                <w:rFonts w:ascii="Arial" w:cs="Arial" w:eastAsia="Arial" w:hAnsi="Arial"/>
                <w:sz w:val="12"/>
                <w:szCs w:val="12"/>
                <w:b w:val="1"/>
                <w:bCs w:val="1"/>
                <w:color w:val="auto"/>
              </w:rPr>
              <w:t>For the year ended December 31,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
        </w:trPr>
        <w:tc>
          <w:tcPr>
            <w:tcW w:w="2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68"/>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1"/>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1"/>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21"/>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41"/>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1"/>
              <w:spacing w:after="0"/>
              <w:rPr>
                <w:sz w:val="20"/>
                <w:szCs w:val="20"/>
                <w:color w:val="auto"/>
              </w:rPr>
            </w:pPr>
            <w:r>
              <w:rPr>
                <w:rFonts w:ascii="Arial" w:cs="Arial" w:eastAsia="Arial" w:hAnsi="Arial"/>
                <w:sz w:val="12"/>
                <w:szCs w:val="12"/>
                <w:b w:val="1"/>
                <w:bCs w:val="1"/>
                <w:color w:val="auto"/>
              </w:rPr>
              <w:t>2018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1"/>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
        </w:trPr>
        <w:tc>
          <w:tcPr>
            <w:tcW w:w="232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r>
      <w:tr>
        <w:trPr>
          <w:trHeight w:val="149"/>
        </w:trPr>
        <w:tc>
          <w:tcPr>
            <w:tcW w:w="2320" w:type="dxa"/>
            <w:vAlign w:val="bottom"/>
          </w:tcPr>
          <w:p>
            <w:pPr>
              <w:spacing w:after="0"/>
              <w:rPr>
                <w:sz w:val="12"/>
                <w:szCs w:val="12"/>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Operating</w:t>
            </w:r>
          </w:p>
        </w:tc>
        <w:tc>
          <w:tcPr>
            <w:tcW w:w="58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3"/>
              </w:rPr>
              <w:t>Per ASM</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Operating</w:t>
            </w:r>
          </w:p>
        </w:tc>
        <w:tc>
          <w:tcPr>
            <w:tcW w:w="6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3"/>
              </w:rPr>
              <w:t>Per ASM</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Operating</w:t>
            </w:r>
          </w:p>
        </w:tc>
        <w:tc>
          <w:tcPr>
            <w:tcW w:w="62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9"/>
              </w:rPr>
              <w:t>Per ASM</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Operating</w:t>
            </w:r>
          </w:p>
        </w:tc>
        <w:tc>
          <w:tcPr>
            <w:tcW w:w="6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9"/>
              </w:rPr>
              <w:t>Per ASM</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Operating</w:t>
            </w:r>
          </w:p>
        </w:tc>
        <w:tc>
          <w:tcPr>
            <w:tcW w:w="6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3"/>
              </w:rPr>
              <w:t>Per ASM</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Operating</w:t>
            </w:r>
          </w:p>
        </w:tc>
        <w:tc>
          <w:tcPr>
            <w:tcW w:w="4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85"/>
              </w:rPr>
              <w:t>Per ASM</w:t>
            </w:r>
          </w:p>
        </w:tc>
      </w:tr>
      <w:tr>
        <w:trPr>
          <w:trHeight w:val="150"/>
        </w:trPr>
        <w:tc>
          <w:tcPr>
            <w:tcW w:w="2320" w:type="dxa"/>
            <w:vAlign w:val="bottom"/>
          </w:tcPr>
          <w:p>
            <w:pPr>
              <w:spacing w:after="0"/>
              <w:rPr>
                <w:sz w:val="20"/>
                <w:szCs w:val="20"/>
                <w:color w:val="auto"/>
              </w:rPr>
            </w:pPr>
            <w:r>
              <w:rPr>
                <w:rFonts w:ascii="Arial" w:cs="Arial" w:eastAsia="Arial" w:hAnsi="Arial"/>
                <w:sz w:val="12"/>
                <w:szCs w:val="12"/>
                <w:b w:val="1"/>
                <w:bCs w:val="1"/>
                <w:color w:val="auto"/>
              </w:rPr>
              <w:t>(in thousands unless otherwise noted)</w:t>
            </w:r>
          </w:p>
        </w:tc>
        <w:tc>
          <w:tcPr>
            <w:tcW w:w="64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84"/>
              </w:rPr>
              <w:t>expenses</w:t>
            </w:r>
          </w:p>
        </w:tc>
        <w:tc>
          <w:tcPr>
            <w:tcW w:w="5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2"/>
              </w:rPr>
              <w:t>(in cents)</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84"/>
              </w:rPr>
              <w:t>expenses</w:t>
            </w:r>
          </w:p>
        </w:tc>
        <w:tc>
          <w:tcPr>
            <w:tcW w:w="6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2"/>
              </w:rPr>
              <w:t>(in cents)</w:t>
            </w: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rPr>
              <w:t>expenses</w:t>
            </w:r>
          </w:p>
        </w:tc>
        <w:tc>
          <w:tcPr>
            <w:tcW w:w="6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2"/>
              </w:rPr>
              <w:t>(in cents)</w:t>
            </w: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rPr>
              <w:t>expenses</w:t>
            </w:r>
          </w:p>
        </w:tc>
        <w:tc>
          <w:tcPr>
            <w:tcW w:w="60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78"/>
              </w:rPr>
              <w:t>(in cents)</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84"/>
              </w:rPr>
              <w:t>expenses</w:t>
            </w:r>
          </w:p>
        </w:tc>
        <w:tc>
          <w:tcPr>
            <w:tcW w:w="6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2"/>
              </w:rPr>
              <w:t>(in cents)</w:t>
            </w:r>
          </w:p>
        </w:tc>
        <w:tc>
          <w:tcPr>
            <w:tcW w:w="6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84"/>
              </w:rPr>
              <w:t>expenses</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2"/>
              </w:rPr>
              <w:t>(in cents)</w:t>
            </w:r>
          </w:p>
        </w:tc>
      </w:tr>
      <w:tr>
        <w:trPr>
          <w:trHeight w:val="21"/>
        </w:trPr>
        <w:tc>
          <w:tcPr>
            <w:tcW w:w="2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78"/>
        </w:trPr>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CASM</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202,630</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7.19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202,710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9.32</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384,101</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8.91</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623,262</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8.82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549,035</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10.05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530,008</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10.09</w:t>
            </w:r>
          </w:p>
        </w:tc>
      </w:tr>
      <w:tr>
        <w:trPr>
          <w:trHeight w:val="182"/>
        </w:trPr>
        <w:tc>
          <w:tcPr>
            <w:tcW w:w="2320" w:type="dxa"/>
            <w:vAlign w:val="bottom"/>
          </w:tcPr>
          <w:p>
            <w:pPr>
              <w:spacing w:after="0"/>
              <w:rPr>
                <w:sz w:val="20"/>
                <w:szCs w:val="20"/>
                <w:color w:val="auto"/>
              </w:rPr>
            </w:pPr>
            <w:r>
              <w:rPr>
                <w:rFonts w:ascii="Arial" w:cs="Arial" w:eastAsia="Arial" w:hAnsi="Arial"/>
                <w:sz w:val="12"/>
                <w:szCs w:val="12"/>
                <w:color w:val="auto"/>
              </w:rPr>
              <w:t>Less:</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2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Aircraft fuel</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53,984</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1.91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56,238</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2.59</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83,392</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1.93</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165,666</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2.35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165,343</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118,382</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2.25</w:t>
            </w:r>
          </w:p>
        </w:tc>
      </w:tr>
      <w:tr>
        <w:trPr>
          <w:trHeight w:val="182"/>
        </w:trPr>
        <w:tc>
          <w:tcPr>
            <w:tcW w:w="2320" w:type="dxa"/>
            <w:vAlign w:val="bottom"/>
          </w:tcPr>
          <w:p>
            <w:pPr>
              <w:ind w:left="120"/>
              <w:spacing w:after="0"/>
              <w:rPr>
                <w:sz w:val="20"/>
                <w:szCs w:val="20"/>
                <w:color w:val="auto"/>
              </w:rPr>
            </w:pPr>
            <w:r>
              <w:rPr>
                <w:rFonts w:ascii="Arial" w:cs="Arial" w:eastAsia="Arial" w:hAnsi="Arial"/>
                <w:sz w:val="12"/>
                <w:szCs w:val="12"/>
                <w:color w:val="auto"/>
              </w:rPr>
              <w:t>Cargo expenses</w:t>
            </w: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33,379</w:t>
            </w: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4,523</w:t>
            </w: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0.21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31,429</w:t>
            </w: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0.73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92"/>
        </w:trPr>
        <w:tc>
          <w:tcPr>
            <w:tcW w:w="2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Sun Country Vacations</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387</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332</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0.02</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589</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0.01</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2,448</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4,543</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0.08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2,083</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0.04</w:t>
            </w:r>
          </w:p>
        </w:tc>
      </w:tr>
      <w:tr>
        <w:trPr>
          <w:trHeight w:val="182"/>
        </w:trPr>
        <w:tc>
          <w:tcPr>
            <w:tcW w:w="2320" w:type="dxa"/>
            <w:vAlign w:val="bottom"/>
          </w:tcPr>
          <w:p>
            <w:pPr>
              <w:ind w:left="120"/>
              <w:spacing w:after="0"/>
              <w:rPr>
                <w:sz w:val="20"/>
                <w:szCs w:val="20"/>
                <w:color w:val="auto"/>
              </w:rPr>
            </w:pPr>
            <w:r>
              <w:rPr>
                <w:rFonts w:ascii="Arial" w:cs="Arial" w:eastAsia="Arial" w:hAnsi="Arial"/>
                <w:sz w:val="12"/>
                <w:szCs w:val="12"/>
                <w:color w:val="auto"/>
              </w:rPr>
              <w:t>Special items, net</w:t>
            </w: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(65,392)</w:t>
            </w:r>
          </w:p>
        </w:tc>
        <w:tc>
          <w:tcPr>
            <w:tcW w:w="480" w:type="dxa"/>
            <w:vAlign w:val="bottom"/>
            <w:gridSpan w:val="3"/>
          </w:tcPr>
          <w:p>
            <w:pPr>
              <w:jc w:val="right"/>
              <w:ind w:right="80"/>
              <w:spacing w:after="0"/>
              <w:rPr>
                <w:sz w:val="20"/>
                <w:szCs w:val="20"/>
                <w:color w:val="auto"/>
              </w:rPr>
            </w:pPr>
            <w:r>
              <w:rPr>
                <w:rFonts w:ascii="Arial" w:cs="Arial" w:eastAsia="Arial" w:hAnsi="Arial"/>
                <w:sz w:val="12"/>
                <w:szCs w:val="12"/>
                <w:color w:val="auto"/>
              </w:rPr>
              <w:t>(2.32)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(31,481)</w:t>
            </w:r>
          </w:p>
        </w:tc>
        <w:tc>
          <w:tcPr>
            <w:tcW w:w="500" w:type="dxa"/>
            <w:vAlign w:val="bottom"/>
            <w:gridSpan w:val="3"/>
          </w:tcPr>
          <w:p>
            <w:pPr>
              <w:jc w:val="right"/>
              <w:ind w:right="80"/>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(64,563)</w:t>
            </w:r>
          </w:p>
        </w:tc>
        <w:tc>
          <w:tcPr>
            <w:tcW w:w="500" w:type="dxa"/>
            <w:vAlign w:val="bottom"/>
            <w:gridSpan w:val="3"/>
          </w:tcPr>
          <w:p>
            <w:pPr>
              <w:jc w:val="right"/>
              <w:ind w:right="80"/>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7,092</w:t>
            </w: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(6,435)</w:t>
            </w:r>
          </w:p>
        </w:tc>
        <w:tc>
          <w:tcPr>
            <w:tcW w:w="480" w:type="dxa"/>
            <w:vAlign w:val="bottom"/>
            <w:gridSpan w:val="3"/>
          </w:tcPr>
          <w:p>
            <w:pPr>
              <w:jc w:val="right"/>
              <w:ind w:right="60"/>
              <w:spacing w:after="0"/>
              <w:rPr>
                <w:sz w:val="20"/>
                <w:szCs w:val="20"/>
                <w:color w:val="auto"/>
              </w:rPr>
            </w:pPr>
            <w:r>
              <w:rPr>
                <w:rFonts w:ascii="Arial" w:cs="Arial" w:eastAsia="Arial" w:hAnsi="Arial"/>
                <w:sz w:val="12"/>
                <w:szCs w:val="12"/>
                <w:color w:val="auto"/>
              </w:rPr>
              <w:t>(0.12)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92"/>
        </w:trPr>
        <w:tc>
          <w:tcPr>
            <w:tcW w:w="2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compensation expense</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3,613</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0.13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757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0.03</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2,110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0.05</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1,888</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373</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82"/>
        </w:trPr>
        <w:tc>
          <w:tcPr>
            <w:tcW w:w="2320" w:type="dxa"/>
            <w:vAlign w:val="bottom"/>
          </w:tcPr>
          <w:p>
            <w:pPr>
              <w:ind w:left="120"/>
              <w:spacing w:after="0"/>
              <w:rPr>
                <w:sz w:val="20"/>
                <w:szCs w:val="20"/>
                <w:color w:val="auto"/>
              </w:rPr>
            </w:pPr>
            <w:r>
              <w:rPr>
                <w:rFonts w:ascii="Arial" w:cs="Arial" w:eastAsia="Arial" w:hAnsi="Arial"/>
                <w:sz w:val="12"/>
                <w:szCs w:val="12"/>
                <w:color w:val="auto"/>
                <w:w w:val="96"/>
              </w:rPr>
              <w:t>Income tax receivable agreement expense</w:t>
            </w: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315</w:t>
            </w: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0.01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83"/>
        </w:trPr>
        <w:tc>
          <w:tcPr>
            <w:tcW w:w="2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 adjustments .</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2,541</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0.12</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4,881</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0.12</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226</w:t>
            </w:r>
          </w:p>
        </w:tc>
        <w:tc>
          <w:tcPr>
            <w:tcW w:w="1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2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5"/>
        </w:trPr>
        <w:tc>
          <w:tcPr>
            <w:tcW w:w="2320" w:type="dxa"/>
            <w:vAlign w:val="bottom"/>
          </w:tcPr>
          <w:p>
            <w:pPr>
              <w:spacing w:after="0"/>
              <w:rPr>
                <w:sz w:val="20"/>
                <w:szCs w:val="20"/>
                <w:color w:val="auto"/>
              </w:rPr>
            </w:pPr>
            <w:r>
              <w:rPr>
                <w:rFonts w:ascii="Arial" w:cs="Arial" w:eastAsia="Arial" w:hAnsi="Arial"/>
                <w:sz w:val="12"/>
                <w:szCs w:val="12"/>
                <w:color w:val="auto"/>
              </w:rPr>
              <w:t>Adjusted CASM</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176,344</w:t>
            </w: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6.25</w:t>
            </w:r>
          </w:p>
        </w:tc>
        <w:tc>
          <w:tcPr>
            <w:tcW w:w="10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169,800</w:t>
            </w: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7.81</w:t>
            </w:r>
          </w:p>
        </w:tc>
        <w:tc>
          <w:tcPr>
            <w:tcW w:w="1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326,263</w:t>
            </w: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7.57</w:t>
            </w:r>
          </w:p>
        </w:tc>
        <w:tc>
          <w:tcPr>
            <w:tcW w:w="1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445,942</w:t>
            </w: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6.31</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385,211</w:t>
            </w: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7.05</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409,543</w:t>
            </w: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7.80</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66"/>
        </w:trPr>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Available Seat Miles (ASMs)</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2"/>
              </w:rPr>
              <w:t>2,819,540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2"/>
              </w:rPr>
              <w:t>2,174,605</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6"/>
              </w:rPr>
              <w:t>4,311,142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6"/>
              </w:rPr>
              <w:t>7,064,563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2"/>
              </w:rPr>
              <w:t>5,463,229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2"/>
              </w:rPr>
              <w:t>5,250,474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1"/>
        </w:trPr>
        <w:tc>
          <w:tcPr>
            <w:tcW w:w="2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6388735</wp:posOffset>
            </wp:positionH>
            <wp:positionV relativeFrom="paragraph">
              <wp:posOffset>-1373505</wp:posOffset>
            </wp:positionV>
            <wp:extent cx="6985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-1373505</wp:posOffset>
            </wp:positionV>
            <wp:extent cx="6985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5593080</wp:posOffset>
            </wp:positionH>
            <wp:positionV relativeFrom="paragraph">
              <wp:posOffset>-1373505</wp:posOffset>
            </wp:positionV>
            <wp:extent cx="6985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-1373505</wp:posOffset>
            </wp:positionV>
            <wp:extent cx="6985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-1373505</wp:posOffset>
            </wp:positionV>
            <wp:extent cx="6985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-1373505</wp:posOffset>
            </wp:positionV>
            <wp:extent cx="6985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-1373505</wp:posOffset>
            </wp:positionV>
            <wp:extent cx="6985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-1373505</wp:posOffset>
            </wp:positionV>
            <wp:extent cx="6286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-1373505</wp:posOffset>
            </wp:positionV>
            <wp:extent cx="5588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-1373505</wp:posOffset>
            </wp:positionV>
            <wp:extent cx="5588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-1373505</wp:posOffset>
            </wp:positionV>
            <wp:extent cx="186944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694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2122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60"/>
          </w:cols>
          <w:pgMar w:left="300" w:top="134" w:right="939" w:bottom="1440" w:gutter="0" w:footer="0" w:header="0"/>
        </w:sectPr>
      </w:pPr>
    </w:p>
    <w:bookmarkStart w:id="30" w:name="page31"/>
    <w:bookmarkEnd w:id="3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17"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i w:val="1"/>
          <w:iCs w:val="1"/>
          <w:color w:val="auto"/>
        </w:rPr>
        <w:t>You should carefully consider the risks and uncertainties described below, as well as the other information contained in this prospectus, including our consolidated financial statements and the related notes thereto included elsewhere in this prospectus and “Management’s Discussion and Analysis of Financial Condition and Results of Operations,” before deciding to invest in our common stock.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 in which case the trading price of our common stock could decline and you could lose all or part of your investment.</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Industry</w:t>
      </w:r>
    </w:p>
    <w:p>
      <w:pPr>
        <w:spacing w:after="0" w:line="183" w:lineRule="exact"/>
        <w:rPr>
          <w:sz w:val="20"/>
          <w:szCs w:val="20"/>
          <w:color w:val="auto"/>
        </w:rPr>
      </w:pPr>
    </w:p>
    <w:p>
      <w:pPr>
        <w:ind w:left="1160" w:right="1239"/>
        <w:spacing w:after="0" w:line="314" w:lineRule="auto"/>
        <w:rPr>
          <w:sz w:val="20"/>
          <w:szCs w:val="20"/>
          <w:color w:val="auto"/>
        </w:rPr>
      </w:pPr>
      <w:r>
        <w:rPr>
          <w:rFonts w:ascii="Arial" w:cs="Arial" w:eastAsia="Arial" w:hAnsi="Arial"/>
          <w:sz w:val="12"/>
          <w:szCs w:val="12"/>
          <w:b w:val="1"/>
          <w:bCs w:val="1"/>
          <w:i w:val="1"/>
          <w:iCs w:val="1"/>
          <w:color w:val="auto"/>
        </w:rPr>
        <w:t>The global pandemic resulting from the novel coronavirus has had an adverse impact that has been material to our business, operating results, financial condition and liquidity, and the duration and spread of the pandemic could result in additional adverse impacts. A worsening of the outbreak of another disease or similar public health threat in the future could also have an adverse effect on our business, operating results, financial condition and liquidity.</w:t>
      </w:r>
    </w:p>
    <w:p>
      <w:pPr>
        <w:spacing w:after="0" w:line="58"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On March 11, 2020, the World Health Organization (the “WHO”) declared COVID-19 a global pandemic causing a massive market disruption to the aviation industry. Measures such as travel restrictions, including testing regimes, “stay at home” and quarantine orders, limitations on public gatherings, cancellation of public events and many others have resulted in a decline in demand for air travel.</w:t>
      </w:r>
    </w:p>
    <w:p>
      <w:pPr>
        <w:spacing w:after="0" w:line="72"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While most restrictions have been removed in the United States, leading to a recovery in the domestic airline industry, additional governmental and other restrictions and regulations that may be implemented in the future in response to further outbreaks of COVID-19 include additional travel restrictions (including expanded restrictions on domestic air travel within the United States), quarantines of additional populations (including our personnel), limitations on aircraft capacity, testing requirements and restrictions on our ability to access our facilities or aircraft or requirements to collect additional passenger data. In addition, governments, non-governmental organizations and entities in the private sector may issue non-binding advisories or recommendations regarding air travel or other physical distancing measures, including limitations on the number of persons that should be present at public gatherings, which may significantly reduce demand. These restrictions and regulations have had, and will continue to have, a material adverse impact on our business, operating results, financial condition and liquidity.</w:t>
      </w:r>
    </w:p>
    <w:p>
      <w:pPr>
        <w:spacing w:after="0" w:line="85"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We began experiencing a significant decline in demand related to COVID-19 during the first quarter of 2020, and this reduction in demand has continued through September 2021. The decline in demand caused a material deterioration in our revenues. We plan to proactively manage capacity for the foreseeable future, which has a negative impact on our revenue. We expect to continue our proactive management of costs, but decreased demand can lead to higher unit costs. In addition, actual or perceived risk of infection on our flights could have a material adverse effect on the public’s demand for and willingness to use air travel, which could harm our reputation and business. Demand for scheduled service business is negatively correlated to case counts in Minnesota and the destinations of our scheduled flights and to the extent that variants cause higher case counts, we could see further reductions in demand. Furthermore, historically, unfavorable U.S. economic conditions have driven changes in travel patterns, including significantly and materially reduced spending for both leisure and business travel. Unfavorable economic conditions, when low fares are often used to stimulate traffic, have also historically hampered the ability of airlines to raise fares to counteract any increases in fuel, labor and other costs. Any significant increases in unemployment in the United States would likely continue to have a negative impact on passenger bookings, especially when the customers we serve are paying with their own money, and these effects could exist for an extensive period of time. Even once the pandemic and fears of travel subside, demand for air travel may remain weak for a significant period of time. Apart from the decrease in demand, passenger bookings have been on average much closer to the date of service during pandemic than in prior periods, which has reduced our visibility into future revenue.</w:t>
      </w:r>
    </w:p>
    <w:p>
      <w:pPr>
        <w:spacing w:after="0" w:line="104"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In addition to the schedule reductions discussed above, we continue to focus on reducing expenses and managing our liquidity and we expect to continue to modify our cost management structure, liquidity-raising efforts and capacity as the timing of demand recovery becomes more certain.</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On April 20, 2020, we entered into a Payroll Support Program Agreement under the CARES Act with Treasury governing our participation in the Payroll Support Program and, on January 29, 2021, we entered into a second Payroll Support Program Agreement under the CARES Act. Under the Payroll Support Program, Treasury provided us with an aggregate of $62.3 million in grants from April 21, 2020 to October 1, 2020 and an additional $ 16.1 million in grants on February 2, 2021, an additional $16.1 million in grants on March 26, 2021 and an additional $4.8 million in grants on April 22, 2021 (collectively, the “Payroll Support Payments”) . Further, we were notified on April 15, 2021 that we would receive a grant of approximately $34.5 million under Payroll Support Program 3. Of this grant amount, $17.3 million was received on April 29, 2021 and the remaining $17.2 million was received on May 27, 2021. In addition, on October 26, 2020, we entered into a loan and guarantee agreement (the “CARES Act Loan Agreement”) with Treasury under the aviation direct loan program of the CARES Act, pursuant to which Treasury agreed to extend loans to us in an aggregate principal amount of $ 45.0 million, subject to specified terms, which was due to be repaid on the earlier of (i) October 24, 2025 or (ii) six months prior to the expiration date of any material loyalty program securing the loan. We used a portion of the proceeds from our initial public offering to repay in full all amounts outstanding under the CARES Act Loan. The substance and duration of restrictions to which we are subject under the grants and/or loans under the CARES Act, including, but not limited to, those outlined below could materially affect our operations, and we may not be successful in managing these impacts. Further, these restrictions could limit our ability to take actions that we otherwise might have determined to be in the best interest of our company and our stockholders. In particular, limitations on executive compensation may impact our ability to attract and retain senior management or attract other key employees during this critical time. Additionally, limitations on dividends and buybacks may diminish investor interest in our stock. See “—</w:t>
      </w:r>
      <w:r>
        <w:rPr>
          <w:rFonts w:ascii="Arial" w:cs="Arial" w:eastAsia="Arial" w:hAnsi="Arial"/>
          <w:sz w:val="14"/>
          <w:szCs w:val="14"/>
          <w:i w:val="1"/>
          <w:iCs w:val="1"/>
          <w:color w:val="auto"/>
        </w:rPr>
        <w:t>Risks Related to Our Business—We are subject to</w:t>
      </w:r>
      <w:r>
        <w:rPr>
          <w:rFonts w:ascii="Arial" w:cs="Arial" w:eastAsia="Arial" w:hAnsi="Arial"/>
          <w:sz w:val="14"/>
          <w:szCs w:val="14"/>
          <w:color w:val="auto"/>
        </w:rPr>
        <w:t xml:space="preserve"> </w:t>
      </w:r>
      <w:r>
        <w:rPr>
          <w:rFonts w:ascii="Arial" w:cs="Arial" w:eastAsia="Arial" w:hAnsi="Arial"/>
          <w:sz w:val="14"/>
          <w:szCs w:val="14"/>
          <w:i w:val="1"/>
          <w:iCs w:val="1"/>
          <w:color w:val="auto"/>
        </w:rPr>
        <w:t>certain restrictions on our business as a result of our participation in governmental programs under the CARES Act and we may be subject to similar or other restrictions pursuant to future governmental programs</w:t>
      </w:r>
      <w:r>
        <w:rPr>
          <w:rFonts w:ascii="Arial" w:cs="Arial" w:eastAsia="Arial" w:hAnsi="Arial"/>
          <w:sz w:val="14"/>
          <w:szCs w:val="14"/>
          <w:color w:val="auto"/>
        </w:rPr>
        <w:t>.”</w:t>
      </w:r>
    </w:p>
    <w:p>
      <w:pPr>
        <w:spacing w:after="0" w:line="88" w:lineRule="exact"/>
        <w:rPr>
          <w:sz w:val="20"/>
          <w:szCs w:val="20"/>
          <w:color w:val="auto"/>
        </w:rPr>
      </w:pPr>
    </w:p>
    <w:p>
      <w:pPr>
        <w:ind w:left="1160" w:right="1259" w:firstLine="293"/>
        <w:spacing w:after="0" w:line="253" w:lineRule="auto"/>
        <w:rPr>
          <w:sz w:val="20"/>
          <w:szCs w:val="20"/>
          <w:color w:val="auto"/>
        </w:rPr>
      </w:pPr>
      <w:r>
        <w:rPr>
          <w:rFonts w:ascii="Arial" w:cs="Arial" w:eastAsia="Arial" w:hAnsi="Arial"/>
          <w:sz w:val="14"/>
          <w:szCs w:val="14"/>
          <w:color w:val="auto"/>
        </w:rPr>
        <w:t>Our operations may be further impacted in the event of additional instances of actual or perceived risk of infection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91" w:lineRule="exact"/>
        <w:rPr>
          <w:sz w:val="20"/>
          <w:szCs w:val="20"/>
          <w:color w:val="auto"/>
        </w:rPr>
      </w:pPr>
    </w:p>
    <w:p>
      <w:pPr>
        <w:ind w:left="1160" w:right="1499" w:firstLine="293"/>
        <w:spacing w:after="0" w:line="239" w:lineRule="auto"/>
        <w:rPr>
          <w:sz w:val="20"/>
          <w:szCs w:val="20"/>
          <w:color w:val="auto"/>
        </w:rPr>
      </w:pPr>
      <w:r>
        <w:rPr>
          <w:rFonts w:ascii="Arial" w:cs="Arial" w:eastAsia="Arial" w:hAnsi="Arial"/>
          <w:sz w:val="15"/>
          <w:szCs w:val="15"/>
          <w:color w:val="auto"/>
        </w:rPr>
        <w:t>The industry may also be subject to enhanced health and hygiene requirements in attempts to counteract future outbreaks, which requirements may be costly and take a significant amount of time to implement.</w:t>
      </w:r>
    </w:p>
    <w:p>
      <w:pPr>
        <w:spacing w:after="0" w:line="100"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may take additional actions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may not be effective in offsetting decreased demand, and we will not be permitted to take certain strategic actions as a result of the CARES Act, which could result in a material adverse effect on our business, operating results, liquidity and financial condition.</w:t>
      </w:r>
    </w:p>
    <w:p>
      <w:pPr>
        <w:spacing w:after="0" w:line="88"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4"/>
          <w:szCs w:val="14"/>
          <w:color w:val="auto"/>
        </w:rPr>
        <w:t>The full extent of the ongoing impact of COVID-19 on our longer-term operational and financial performance will depend on future developments, many of which are outside of our control, including the effectiveness of the mitigation strategies discussed above, the duration, spread, severity and recurrence of COVID-19 and any COVID-19 variants and related travel advisories and restrictions, the efficacy of COVID-19 vaccines, the impact of COVID-19 on overall long-term demand for air travel, including after the pandemic subsides, the impact of COVID-19 on the financial health and operations of our business partners, future governmental actions, including their duration and scope, and our access to capital, all of which are highly uncertain and cannot be predicted.</w:t>
      </w:r>
    </w:p>
    <w:p>
      <w:pPr>
        <w:spacing w:after="0" w:line="92"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color w:val="auto"/>
        </w:rPr>
        <w:t>In addition, an outbreak of another disease or similar public health threat, or fear of such an event, that affects travel demand, travel behavior, travel restrictions or adversely affects supply chains, which would impact our cargo business, could have a material adverse impact on our business, operating results, liquidity</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254" w:lineRule="auto"/>
        <w:rPr>
          <w:sz w:val="20"/>
          <w:szCs w:val="20"/>
          <w:color w:val="auto"/>
        </w:rPr>
      </w:pPr>
      <w:r>
        <w:rPr>
          <w:rFonts w:ascii="Arial" w:cs="Arial" w:eastAsia="Arial" w:hAnsi="Arial"/>
          <w:sz w:val="15"/>
          <w:szCs w:val="15"/>
          <w:color w:val="auto"/>
        </w:rPr>
        <w:t>and financial condition. Outbreaks of other diseases could also result in increased government restrictions and regulation, such as those actions described above or otherwise, which could adversely affect our business, operating results, financial condition and liquidity.</w:t>
      </w:r>
    </w:p>
    <w:p>
      <w:pPr>
        <w:spacing w:after="0" w:line="90" w:lineRule="exact"/>
        <w:rPr>
          <w:sz w:val="20"/>
          <w:szCs w:val="20"/>
          <w:color w:val="auto"/>
        </w:rPr>
      </w:pPr>
    </w:p>
    <w:p>
      <w:pPr>
        <w:ind w:left="1160" w:right="1299" w:firstLine="293"/>
        <w:spacing w:after="0" w:line="268" w:lineRule="auto"/>
        <w:rPr>
          <w:sz w:val="20"/>
          <w:szCs w:val="20"/>
          <w:color w:val="auto"/>
        </w:rPr>
      </w:pPr>
      <w:r>
        <w:rPr>
          <w:rFonts w:ascii="Arial" w:cs="Arial" w:eastAsia="Arial" w:hAnsi="Arial"/>
          <w:sz w:val="14"/>
          <w:szCs w:val="14"/>
          <w:color w:val="auto"/>
        </w:rPr>
        <w:t>Even after the COVID-19 pandemic has moderated and the enhanced screenings, quarantine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pre-COVID-19 pandemic levels on a timely basis or at all. The impact that the COVID-19 pandemic will have on our businesses, operating results, financial condition and liquidity could exacerbate the other risks identified in this prospectus.</w:t>
      </w:r>
    </w:p>
    <w:p>
      <w:pPr>
        <w:spacing w:after="0" w:line="148" w:lineRule="exact"/>
        <w:rPr>
          <w:sz w:val="20"/>
          <w:szCs w:val="20"/>
          <w:color w:val="auto"/>
        </w:rPr>
      </w:pPr>
    </w:p>
    <w:p>
      <w:pPr>
        <w:ind w:left="1160" w:right="1199"/>
        <w:spacing w:after="0" w:line="297" w:lineRule="auto"/>
        <w:rPr>
          <w:sz w:val="20"/>
          <w:szCs w:val="20"/>
          <w:color w:val="auto"/>
        </w:rPr>
      </w:pPr>
      <w:r>
        <w:rPr>
          <w:rFonts w:ascii="Arial" w:cs="Arial" w:eastAsia="Arial" w:hAnsi="Arial"/>
          <w:sz w:val="13"/>
          <w:szCs w:val="13"/>
          <w:b w:val="1"/>
          <w:bCs w:val="1"/>
          <w:i w:val="1"/>
          <w:iCs w:val="1"/>
          <w:color w:val="auto"/>
        </w:rPr>
        <w:t>We are depending upon continued uptake of the COVID-19 vaccine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 could have an adverse effect on our business, results of operations, financial condition and prospects.</w:t>
      </w:r>
    </w:p>
    <w:p>
      <w:pPr>
        <w:spacing w:after="0" w:line="75"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are depending upon an efficient distribution and sufficient supply of the COVID-19 vaccine, and continued uptake by the general public in order to normalize economic conditions, the airline industry and our business operations and to realize our financial and growth plans and business strategy. To date, COVID-19 vaccinations have been widespread, but many remain unvaccinated, as the long-term efficacy of the vaccines, including against variants, remains uncertain. The failure of a vaccine, including to the extent it is not effective against any COVID-19 variants, significant unplanned adverse reactions to the vaccine, politicization of the vaccine or general public distrust of the vaccine could have an adverse effect on our business, results of operations, financial condition and prospects.</w:t>
      </w:r>
    </w:p>
    <w:p>
      <w:pPr>
        <w:spacing w:after="0" w:line="154" w:lineRule="exact"/>
        <w:rPr>
          <w:sz w:val="20"/>
          <w:szCs w:val="20"/>
          <w:color w:val="auto"/>
        </w:rPr>
      </w:pPr>
    </w:p>
    <w:p>
      <w:pPr>
        <w:ind w:left="1160" w:right="1479"/>
        <w:spacing w:after="0" w:line="347" w:lineRule="auto"/>
        <w:rPr>
          <w:sz w:val="20"/>
          <w:szCs w:val="20"/>
          <w:color w:val="auto"/>
        </w:rPr>
      </w:pPr>
      <w:r>
        <w:rPr>
          <w:rFonts w:ascii="Arial" w:cs="Arial" w:eastAsia="Arial" w:hAnsi="Arial"/>
          <w:sz w:val="12"/>
          <w:szCs w:val="12"/>
          <w:b w:val="1"/>
          <w:bCs w:val="1"/>
          <w:i w:val="1"/>
          <w:iCs w:val="1"/>
          <w:color w:val="auto"/>
        </w:rPr>
        <w:t>The demand for airline services is highly sensitive to changes in economic conditions, and another recession or similar or worse economic downturn in the United States would weaken demand for our services and have a material adverse effect on our business, results of operations and financial condition.</w:t>
      </w:r>
    </w:p>
    <w:p>
      <w:pPr>
        <w:spacing w:after="0" w:line="50" w:lineRule="exact"/>
        <w:rPr>
          <w:sz w:val="20"/>
          <w:szCs w:val="20"/>
          <w:color w:val="auto"/>
        </w:rPr>
      </w:pPr>
    </w:p>
    <w:p>
      <w:pPr>
        <w:ind w:left="1160" w:right="1179" w:firstLine="293"/>
        <w:spacing w:after="0" w:line="263" w:lineRule="auto"/>
        <w:rPr>
          <w:sz w:val="20"/>
          <w:szCs w:val="20"/>
          <w:color w:val="auto"/>
        </w:rPr>
      </w:pPr>
      <w:r>
        <w:rPr>
          <w:rFonts w:ascii="Arial" w:cs="Arial" w:eastAsia="Arial" w:hAnsi="Arial"/>
          <w:sz w:val="14"/>
          <w:szCs w:val="14"/>
          <w:color w:val="auto"/>
        </w:rPr>
        <w:t>The demand for travel and cargo services is affected by U.S. and global economic conditions. Unfavorable economic conditions have historically reduced aviation spending. For most passengers visiting friends and relatives and cost-conscious leisure travelers (our primary market), travel is a discretionary expense, and during periods of unfavorable economic conditions as a result of such carriers’ low base fares travelers have often elected to replace air travel at such times with car travel or other forms of ground transportation or have opted not to travel at all. Likewise, during periods of unfavorable economic conditions, businesses have deferred air travel or forgone it altogether. Additionally, retail and thus cargo demand can also decrease. Furthermore, most of our charter revenue is generated from ad hoc or short-term contracts with repeat customers, and these customers may cease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Furthermore, if the COVID-19 pandemic leads to a recession or depression, this could result in further reductions in demand for our services.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199"/>
        <w:spacing w:after="0" w:line="347" w:lineRule="auto"/>
        <w:rPr>
          <w:sz w:val="20"/>
          <w:szCs w:val="20"/>
          <w:color w:val="auto"/>
        </w:rPr>
      </w:pPr>
      <w:r>
        <w:rPr>
          <w:rFonts w:ascii="Arial" w:cs="Arial" w:eastAsia="Arial" w:hAnsi="Arial"/>
          <w:sz w:val="12"/>
          <w:szCs w:val="12"/>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39"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The cost of aircraft fuel is highly volatile and in recent years has been our largest individual operating expense, accounting for approximately 21.7%, 26.6% and 30.1% of our operating expenses for the years ended December 31, 2020, 2019 and 2018,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have recently increased significantly.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99"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Our business is also dependent on the availability of aircraft fuel (or crude oil), which is not predictable. Weather-related events, natural disasters, terrorism, wars,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97"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82" w:lineRule="exact"/>
        <w:rPr>
          <w:sz w:val="20"/>
          <w:szCs w:val="20"/>
          <w:color w:val="auto"/>
        </w:rPr>
      </w:pPr>
    </w:p>
    <w:p>
      <w:pPr>
        <w:ind w:left="1160" w:right="1319" w:firstLine="293"/>
        <w:spacing w:after="0" w:line="247" w:lineRule="auto"/>
        <w:rPr>
          <w:sz w:val="20"/>
          <w:szCs w:val="20"/>
          <w:color w:val="auto"/>
        </w:rPr>
      </w:pPr>
      <w:r>
        <w:rPr>
          <w:rFonts w:ascii="Arial" w:cs="Arial" w:eastAsia="Arial" w:hAnsi="Arial"/>
          <w:sz w:val="15"/>
          <w:szCs w:val="15"/>
          <w:color w:val="auto"/>
        </w:rPr>
        <w:t>From time to time, we may enter into fuel derivative contracts in order to mitigate the risk to our business from future volatility in fuel prices but such contracts may not fully protect us from all related risks. As of September 30, 2021, we had no outstanding call options. Generally speaking, our charter and cargo operations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109"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64" w:lineRule="auto"/>
        <w:rPr>
          <w:sz w:val="20"/>
          <w:szCs w:val="20"/>
          <w:color w:val="auto"/>
        </w:rPr>
      </w:pPr>
      <w:r>
        <w:rPr>
          <w:rFonts w:ascii="Arial" w:cs="Arial" w:eastAsia="Arial" w:hAnsi="Arial"/>
          <w:sz w:val="15"/>
          <w:szCs w:val="15"/>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82"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Past terrorist attacks or attempted attacks, particularly those against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or the fear of such attacks or 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50" w:lineRule="exact"/>
        <w:rPr>
          <w:sz w:val="20"/>
          <w:szCs w:val="20"/>
          <w:color w:val="auto"/>
        </w:rPr>
      </w:pPr>
    </w:p>
    <w:p>
      <w:pPr>
        <w:ind w:left="1160" w:right="1299"/>
        <w:spacing w:after="0" w:line="254" w:lineRule="auto"/>
        <w:rPr>
          <w:sz w:val="20"/>
          <w:szCs w:val="20"/>
          <w:color w:val="auto"/>
        </w:rPr>
      </w:pPr>
      <w:r>
        <w:rPr>
          <w:rFonts w:ascii="Arial" w:cs="Arial" w:eastAsia="Arial" w:hAnsi="Arial"/>
          <w:sz w:val="15"/>
          <w:szCs w:val="15"/>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01"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93"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86"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102" w:lineRule="exact"/>
        <w:rPr>
          <w:sz w:val="20"/>
          <w:szCs w:val="20"/>
          <w:color w:val="auto"/>
        </w:rPr>
      </w:pPr>
    </w:p>
    <w:p>
      <w:pPr>
        <w:ind w:left="1160" w:right="1199" w:firstLine="293"/>
        <w:spacing w:after="0" w:line="289" w:lineRule="auto"/>
        <w:rPr>
          <w:sz w:val="20"/>
          <w:szCs w:val="20"/>
          <w:color w:val="auto"/>
        </w:rPr>
      </w:pPr>
      <w:r>
        <w:rPr>
          <w:rFonts w:ascii="Arial" w:cs="Arial" w:eastAsia="Arial" w:hAnsi="Arial"/>
          <w:sz w:val="13"/>
          <w:szCs w:val="13"/>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 Additionally, each of American Airlines,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299"/>
        <w:spacing w:after="0" w:line="239" w:lineRule="auto"/>
        <w:rPr>
          <w:sz w:val="20"/>
          <w:szCs w:val="20"/>
          <w:color w:val="auto"/>
        </w:rPr>
      </w:pPr>
      <w:r>
        <w:rPr>
          <w:rFonts w:ascii="Arial" w:cs="Arial" w:eastAsia="Arial" w:hAnsi="Arial"/>
          <w:sz w:val="15"/>
          <w:szCs w:val="15"/>
          <w:color w:val="auto"/>
        </w:rPr>
        <w:t>Delta Air Lines and United Airlines has begun to offer a so-called “basic economy” offering with reduced amenities designed specifically to compete against LCCs and ULCCs, which presents a significant form of competition for us.</w:t>
      </w:r>
    </w:p>
    <w:p>
      <w:pPr>
        <w:spacing w:after="0" w:line="89"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color w:val="auto"/>
        </w:rPr>
        <w:t>A competitor adopting an LCC or ULCC strategy may have greater financial resources and access to lower cost sources of capital than we do, which could enable them to operate their business with a lower cost structure, or enable them to operate with lower marginal revenues without substantial adverse effects, than we can. If these competitors adopt and successfully execute an LCC or ULCC business model, our business could be materially adversely affected.</w:t>
      </w:r>
    </w:p>
    <w:p>
      <w:pPr>
        <w:spacing w:after="0" w:line="100"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100"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61"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There has been significant consolidation within the airline industry, including, for example, the combinations of American Airlines and US Airways, Delta Air Lines and Northwest Airlines, United Airlines and Continental 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101" w:lineRule="exact"/>
        <w:rPr>
          <w:sz w:val="20"/>
          <w:szCs w:val="20"/>
          <w:color w:val="auto"/>
        </w:rPr>
      </w:pPr>
    </w:p>
    <w:p>
      <w:pPr>
        <w:ind w:left="1160" w:right="1419" w:firstLine="293"/>
        <w:spacing w:after="0" w:line="234" w:lineRule="auto"/>
        <w:rPr>
          <w:sz w:val="20"/>
          <w:szCs w:val="20"/>
          <w:color w:val="auto"/>
        </w:rPr>
      </w:pPr>
      <w:r>
        <w:rPr>
          <w:rFonts w:ascii="Arial" w:cs="Arial" w:eastAsia="Arial" w:hAnsi="Arial"/>
          <w:sz w:val="15"/>
          <w:szCs w:val="15"/>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56" w:lineRule="exact"/>
        <w:rPr>
          <w:sz w:val="20"/>
          <w:szCs w:val="20"/>
          <w:color w:val="auto"/>
        </w:rPr>
      </w:pPr>
    </w:p>
    <w:p>
      <w:pPr>
        <w:ind w:left="1160" w:right="1179"/>
        <w:spacing w:after="0" w:line="279" w:lineRule="auto"/>
        <w:rPr>
          <w:sz w:val="20"/>
          <w:szCs w:val="20"/>
          <w:color w:val="auto"/>
        </w:rPr>
      </w:pPr>
      <w:r>
        <w:rPr>
          <w:rFonts w:ascii="Arial" w:cs="Arial" w:eastAsia="Arial" w:hAnsi="Arial"/>
          <w:sz w:val="13"/>
          <w:szCs w:val="13"/>
          <w:b w:val="1"/>
          <w:bCs w:val="1"/>
          <w:i w:val="1"/>
          <w:iCs w:val="1"/>
          <w:color w:val="auto"/>
        </w:rPr>
        <w:t>Airlines are often affected by factors beyond their control including: air traffic congestion at airports; air traffic control inefficiencies; government shutdowns or mandates;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76"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 Governmental mandates requiring certain behaviors from employees, including COVID-19</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35" w:lineRule="auto"/>
        <w:rPr>
          <w:sz w:val="20"/>
          <w:szCs w:val="20"/>
          <w:color w:val="auto"/>
        </w:rPr>
      </w:pPr>
      <w:r>
        <w:rPr>
          <w:rFonts w:ascii="Arial" w:cs="Arial" w:eastAsia="Arial" w:hAnsi="Arial"/>
          <w:sz w:val="15"/>
          <w:szCs w:val="15"/>
          <w:color w:val="auto"/>
        </w:rPr>
        <w:t>vaccine mandates, could limit our ability to staff to meet demand because employees may choose to resign or decide not to apply for or accept open positions. Specifically, President Biden’s recent Executive Order mandating that employers who maintain government contracts must require all employees to be fully vaccinated applies to our business and could have a negative impact on our ability to retain employees or hire new employees, which may adversely impact our business.</w:t>
      </w:r>
    </w:p>
    <w:p>
      <w:pPr>
        <w:spacing w:after="0" w:line="89"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3"/>
          <w:szCs w:val="13"/>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 -to-point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 - 19,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one in December 2018-January 2019 may have a negative impact on our operations and financial results.</w:t>
      </w:r>
    </w:p>
    <w:p>
      <w:pPr>
        <w:spacing w:after="0" w:line="307" w:lineRule="exact"/>
        <w:rPr>
          <w:sz w:val="20"/>
          <w:szCs w:val="20"/>
          <w:color w:val="auto"/>
        </w:rPr>
      </w:pPr>
    </w:p>
    <w:p>
      <w:pPr>
        <w:ind w:left="1160" w:right="1219"/>
        <w:spacing w:after="0" w:line="284" w:lineRule="auto"/>
        <w:rPr>
          <w:sz w:val="20"/>
          <w:szCs w:val="20"/>
          <w:color w:val="auto"/>
        </w:rPr>
      </w:pPr>
      <w:r>
        <w:rPr>
          <w:rFonts w:ascii="Arial" w:cs="Arial" w:eastAsia="Arial" w:hAnsi="Arial"/>
          <w:sz w:val="13"/>
          <w:szCs w:val="13"/>
          <w:b w:val="1"/>
          <w:bCs w:val="1"/>
          <w:i w:val="1"/>
          <w:iCs w:val="1"/>
          <w:color w:val="auto"/>
        </w:rPr>
        <w:t>The industry is experiencing higher than normal number of pilot retirements, more stringent duty time regulations, increased flight hour requirement for commercial airline pilots, reductions in the number of military pilots entering the commercial workforce, increased training requirements and other factors that may lead to a shortage of pilots, which could materially adversely affect our business.</w:t>
      </w:r>
    </w:p>
    <w:p>
      <w:pPr>
        <w:spacing w:after="0" w:line="72"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Large numbers of pilots in the industry are approaching the FAA’s mandatory retirement age of 65 or have otherwise accepted an early retirement during the COVID-19 pandemic. Commercial airline pilots are subject to rigorous certification standards and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a commercial aircraft. Additionally, the number of military pilots being trained by the U.S. armed forces and available as commercial pilots upon their retirement from military service has been decreasing. These and other factors may lead to a shortage of qualified, entry-level pilots and increased compensation costs, particularly at carriers other than the large legacy carriers. The foregoing factors may lead to additional competition from carriers attempting to meet their hiring needs. If a shortage of pilots materializes, airlines may be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154" w:lineRule="exact"/>
        <w:rPr>
          <w:sz w:val="20"/>
          <w:szCs w:val="20"/>
          <w:color w:val="auto"/>
        </w:rPr>
      </w:pPr>
    </w:p>
    <w:p>
      <w:pPr>
        <w:ind w:left="1160" w:right="1279"/>
        <w:spacing w:after="0" w:line="370" w:lineRule="auto"/>
        <w:rPr>
          <w:sz w:val="20"/>
          <w:szCs w:val="20"/>
          <w:color w:val="auto"/>
        </w:rPr>
      </w:pPr>
      <w:r>
        <w:rPr>
          <w:rFonts w:ascii="Arial" w:cs="Arial" w:eastAsia="Arial" w:hAnsi="Arial"/>
          <w:sz w:val="12"/>
          <w:szCs w:val="12"/>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25" w:lineRule="exact"/>
        <w:rPr>
          <w:sz w:val="20"/>
          <w:szCs w:val="20"/>
          <w:color w:val="auto"/>
        </w:rPr>
      </w:pPr>
    </w:p>
    <w:p>
      <w:pPr>
        <w:ind w:left="1160" w:right="1219" w:firstLine="293"/>
        <w:spacing w:after="0" w:line="284" w:lineRule="auto"/>
        <w:rPr>
          <w:sz w:val="20"/>
          <w:szCs w:val="20"/>
          <w:color w:val="auto"/>
        </w:rPr>
      </w:pPr>
      <w:r>
        <w:rPr>
          <w:rFonts w:ascii="Arial" w:cs="Arial" w:eastAsia="Arial" w:hAnsi="Arial"/>
          <w:sz w:val="13"/>
          <w:szCs w:val="13"/>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311" w:lineRule="auto"/>
        <w:rPr>
          <w:sz w:val="20"/>
          <w:szCs w:val="20"/>
          <w:color w:val="auto"/>
        </w:rPr>
      </w:pPr>
      <w:r>
        <w:rPr>
          <w:rFonts w:ascii="Arial" w:cs="Arial" w:eastAsia="Arial" w:hAnsi="Arial"/>
          <w:sz w:val="13"/>
          <w:szCs w:val="13"/>
          <w:color w:val="auto"/>
        </w:rPr>
        <w:t>and the imposition of taxes or other charges by governments, as well as health and safety concerns. The occurrence of any of these events in markets served by us now or in the future and the resulting instability may have a material adverse effect on our business, results of operations and financial condition.</w:t>
      </w:r>
    </w:p>
    <w:p>
      <w:pPr>
        <w:spacing w:after="0" w:line="56"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you that our employees, third-party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 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65" w:lineRule="exact"/>
        <w:rPr>
          <w:sz w:val="20"/>
          <w:szCs w:val="20"/>
          <w:color w:val="auto"/>
        </w:rPr>
      </w:pPr>
    </w:p>
    <w:p>
      <w:pPr>
        <w:ind w:left="1160" w:right="1699"/>
        <w:spacing w:after="0" w:line="264" w:lineRule="auto"/>
        <w:rPr>
          <w:sz w:val="20"/>
          <w:szCs w:val="20"/>
          <w:color w:val="auto"/>
        </w:rPr>
      </w:pPr>
      <w:r>
        <w:rPr>
          <w:rFonts w:ascii="Arial" w:cs="Arial" w:eastAsia="Arial" w:hAnsi="Arial"/>
          <w:sz w:val="15"/>
          <w:szCs w:val="15"/>
          <w:b w:val="1"/>
          <w:bCs w:val="1"/>
          <w:i w:val="1"/>
          <w:iCs w:val="1"/>
          <w:color w:val="auto"/>
        </w:rPr>
        <w:t>Increases in insurance costs or reductions in insurance coverage may have a material adverse effect on our business, results of operations and financial condition.</w:t>
      </w:r>
    </w:p>
    <w:p>
      <w:pPr>
        <w:spacing w:after="0" w:line="93"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106" w:lineRule="exact"/>
        <w:rPr>
          <w:sz w:val="20"/>
          <w:szCs w:val="20"/>
          <w:color w:val="auto"/>
        </w:rPr>
      </w:pPr>
    </w:p>
    <w:p>
      <w:pPr>
        <w:ind w:left="1160" w:right="1379" w:firstLine="293"/>
        <w:spacing w:after="0" w:line="267" w:lineRule="auto"/>
        <w:rPr>
          <w:sz w:val="20"/>
          <w:szCs w:val="20"/>
          <w:color w:val="auto"/>
        </w:rPr>
      </w:pPr>
      <w:r>
        <w:rPr>
          <w:rFonts w:ascii="Arial" w:cs="Arial" w:eastAsia="Arial" w:hAnsi="Arial"/>
          <w:sz w:val="14"/>
          <w:szCs w:val="14"/>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third-party war risk (terrorism) insurance or if an event not covered by the insurance we maintain were to take place, our business could be materially adversely affected.</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airline industry is heavily taxed.</w:t>
      </w:r>
    </w:p>
    <w:p>
      <w:pPr>
        <w:spacing w:after="0" w:line="113" w:lineRule="exact"/>
        <w:rPr>
          <w:sz w:val="20"/>
          <w:szCs w:val="20"/>
          <w:color w:val="auto"/>
        </w:rPr>
      </w:pPr>
    </w:p>
    <w:p>
      <w:pPr>
        <w:ind w:left="1160" w:right="1179" w:firstLine="293"/>
        <w:spacing w:after="0" w:line="286" w:lineRule="auto"/>
        <w:rPr>
          <w:sz w:val="20"/>
          <w:szCs w:val="20"/>
          <w:color w:val="auto"/>
        </w:rPr>
      </w:pPr>
      <w:r>
        <w:rPr>
          <w:rFonts w:ascii="Arial" w:cs="Arial" w:eastAsia="Arial" w:hAnsi="Arial"/>
          <w:sz w:val="13"/>
          <w:szCs w:val="13"/>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which, because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261" w:lineRule="exact"/>
        <w:rPr>
          <w:sz w:val="20"/>
          <w:szCs w:val="20"/>
          <w:color w:val="auto"/>
        </w:rPr>
      </w:pPr>
    </w:p>
    <w:p>
      <w:pPr>
        <w:ind w:left="1160" w:right="1379" w:firstLine="293"/>
        <w:spacing w:after="0" w:line="254" w:lineRule="auto"/>
        <w:rPr>
          <w:sz w:val="20"/>
          <w:szCs w:val="20"/>
          <w:color w:val="auto"/>
        </w:rPr>
      </w:pPr>
      <w:r>
        <w:rPr>
          <w:rFonts w:ascii="Arial" w:cs="Arial" w:eastAsia="Arial" w:hAnsi="Arial"/>
          <w:sz w:val="15"/>
          <w:szCs w:val="15"/>
          <w:color w:val="auto"/>
        </w:rPr>
        <w:t>Under regulations set forth by the Department of Transportation, or the DOT, all governmental taxes and fees must be included in the prices we quote or advertise to our customers. Due to the competitive revenue</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299"/>
        <w:spacing w:after="0" w:line="254" w:lineRule="auto"/>
        <w:rPr>
          <w:sz w:val="20"/>
          <w:szCs w:val="20"/>
          <w:color w:val="auto"/>
        </w:rPr>
      </w:pPr>
      <w:r>
        <w:rPr>
          <w:rFonts w:ascii="Arial" w:cs="Arial" w:eastAsia="Arial" w:hAnsi="Arial"/>
          <w:sz w:val="15"/>
          <w:szCs w:val="15"/>
          <w:color w:val="auto"/>
        </w:rPr>
        <w:t>environment, many increases in these fees and taxes have been absorbed by the airline industry rather than being passed on to the customer. Further increases in fees and taxes may reduce demand for air travel, and thus our revenues.</w:t>
      </w:r>
    </w:p>
    <w:p>
      <w:pPr>
        <w:spacing w:after="0" w:line="156" w:lineRule="exact"/>
        <w:rPr>
          <w:sz w:val="20"/>
          <w:szCs w:val="20"/>
          <w:color w:val="auto"/>
        </w:rPr>
      </w:pPr>
    </w:p>
    <w:p>
      <w:pPr>
        <w:ind w:left="1160" w:right="1179"/>
        <w:spacing w:after="0" w:line="254" w:lineRule="auto"/>
        <w:rPr>
          <w:sz w:val="20"/>
          <w:szCs w:val="20"/>
          <w:color w:val="auto"/>
        </w:rPr>
      </w:pPr>
      <w:r>
        <w:rPr>
          <w:rFonts w:ascii="Arial" w:cs="Arial" w:eastAsia="Arial" w:hAnsi="Arial"/>
          <w:sz w:val="15"/>
          <w:szCs w:val="15"/>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90" w:lineRule="exact"/>
        <w:rPr>
          <w:sz w:val="20"/>
          <w:szCs w:val="20"/>
          <w:color w:val="auto"/>
        </w:rPr>
      </w:pPr>
    </w:p>
    <w:p>
      <w:pPr>
        <w:ind w:left="1160" w:right="1199" w:firstLine="293"/>
        <w:spacing w:after="0" w:line="285" w:lineRule="auto"/>
        <w:rPr>
          <w:sz w:val="20"/>
          <w:szCs w:val="20"/>
          <w:color w:val="auto"/>
        </w:rPr>
      </w:pPr>
      <w:r>
        <w:rPr>
          <w:rFonts w:ascii="Arial" w:cs="Arial" w:eastAsia="Arial" w:hAnsi="Arial"/>
          <w:sz w:val="13"/>
          <w:szCs w:val="13"/>
          <w:color w:val="auto"/>
        </w:rPr>
        <w:t>For the years ended December 31, 2020, 2019 and 2018, we generated ancillary revenues of approximately $68.1 million, $118.2 million and $56.7 million, respectively. Our ancillary revenue consists primarily of revenue generated from air travel-related services such as baggage fees, seat selection and upgrade fees, itinerary service fees, on-board sales and sales of trip insurance.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w:t>
      </w:r>
      <w:r>
        <w:rPr>
          <w:rFonts w:ascii="Arial" w:cs="Arial" w:eastAsia="Arial" w:hAnsi="Arial"/>
          <w:sz w:val="13"/>
          <w:szCs w:val="13"/>
          <w:i w:val="1"/>
          <w:iCs w:val="1"/>
          <w:color w:val="auto"/>
        </w:rPr>
        <w:t>Risks Related</w:t>
      </w:r>
      <w:r>
        <w:rPr>
          <w:rFonts w:ascii="Arial" w:cs="Arial" w:eastAsia="Arial" w:hAnsi="Arial"/>
          <w:sz w:val="13"/>
          <w:szCs w:val="13"/>
          <w:color w:val="auto"/>
        </w:rPr>
        <w:t xml:space="preserve"> </w:t>
      </w:r>
      <w:r>
        <w:rPr>
          <w:rFonts w:ascii="Arial" w:cs="Arial" w:eastAsia="Arial" w:hAnsi="Arial"/>
          <w:sz w:val="13"/>
          <w:szCs w:val="13"/>
          <w:i w:val="1"/>
          <w:iCs w:val="1"/>
          <w:color w:val="auto"/>
        </w:rPr>
        <w:t>to Our Business—We are subject to extensive regulation by the FAA, the DOT, the TSA, CBP and other U.S. and foreign governmental agencies, compliance with which could cause us to incur increased costs and adversely affect our business, results of operations and financial condition</w:t>
      </w:r>
      <w:r>
        <w:rPr>
          <w:rFonts w:ascii="Arial" w:cs="Arial" w:eastAsia="Arial" w:hAnsi="Arial"/>
          <w:sz w:val="13"/>
          <w:szCs w:val="13"/>
          <w:color w:val="auto"/>
        </w:rPr>
        <w:t>.”</w:t>
      </w:r>
    </w:p>
    <w:p>
      <w:pPr>
        <w:spacing w:after="0" w:line="313" w:lineRule="exact"/>
        <w:rPr>
          <w:sz w:val="20"/>
          <w:szCs w:val="20"/>
          <w:color w:val="auto"/>
        </w:rPr>
      </w:pPr>
    </w:p>
    <w:p>
      <w:pPr>
        <w:ind w:left="1160" w:right="1619"/>
        <w:spacing w:after="0" w:line="264" w:lineRule="auto"/>
        <w:rPr>
          <w:sz w:val="20"/>
          <w:szCs w:val="20"/>
          <w:color w:val="auto"/>
        </w:rPr>
      </w:pPr>
      <w:r>
        <w:rPr>
          <w:rFonts w:ascii="Arial" w:cs="Arial" w:eastAsia="Arial" w:hAnsi="Arial"/>
          <w:sz w:val="15"/>
          <w:szCs w:val="15"/>
          <w:b w:val="1"/>
          <w:bCs w:val="1"/>
          <w:i w:val="1"/>
          <w:iCs w:val="1"/>
          <w:color w:val="auto"/>
        </w:rPr>
        <w:t>We are subject to risks associated with climate change, including increased regulation to reduce emissions of greenhouse gases.</w:t>
      </w:r>
    </w:p>
    <w:p>
      <w:pPr>
        <w:spacing w:after="0" w:line="93"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Concern about climate change and greenhouse gases has resulted, and is expected to continue to result, in additional regulation or taxation of aircraft emissions in the United States and abroad. In particular, on March 6, 2017, the International Civil Aviation Organization, or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w:t>
      </w:r>
    </w:p>
    <w:p>
      <w:pPr>
        <w:spacing w:after="0" w:line="109"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In-production aircraft that do not meet the standard by 2028 will no longer be able to be produced unless their designs are modified to meet the new standards. In August 2016, the Environmental Protection Agency, or the EPA, made a final endangerment finding that aircraft engine greenhouse gas, or GHG, emissions cause or contribute to air pollution that may reasonably be anticipated to endanger public health or welfare, which obligates the EPA under the Clean Air Act to set GHG emissions standards for aircraft. On January 11, 2021, the EPA issued a rule regulating GHG emissions from aircraft that largely conforms to the March 2017 ICAO standards. However, on January 20, 2021, President Biden, who is expected to promote more aggressive policies with respect to climate change and carbon emissions, including in the aviation there may be future rulemaking that sector, issued an executive order calling for a review of regulatory actions of the prior administration for their consistency with the Biden administration’s policies, including with respect to climate change. Accordingly, may result in stricter GHG emissions standards than those contained in the rule. In addition, federal climate legislation, including the “Green New Deal” resolution, has been introduced in Congress recently, although Congress has yet to pass a bill specifically addressing</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39" w:lineRule="auto"/>
        <w:rPr>
          <w:sz w:val="20"/>
          <w:szCs w:val="20"/>
          <w:color w:val="auto"/>
        </w:rPr>
      </w:pPr>
      <w:r>
        <w:rPr>
          <w:rFonts w:ascii="Arial" w:cs="Arial" w:eastAsia="Arial" w:hAnsi="Arial"/>
          <w:sz w:val="15"/>
          <w:szCs w:val="15"/>
          <w:color w:val="auto"/>
        </w:rPr>
        <w:t>GHG regulation. Several states are also considering or have adopted initiatives to regulate emissions of GHGs, primarily through the planned development of GHG emissions inventories and/or regional cap-and-trade programs.</w:t>
      </w:r>
    </w:p>
    <w:p>
      <w:pPr>
        <w:spacing w:after="0" w:line="8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in October 2016, the ICAO adopted the Carbon Offsetting and Reduction Scheme for International Aviation, or CORSIA, which is a global, market-based emissions offset program designed to encourage carbon-neutral growth beyond 2020. Further, in June 2018 the ICAO adopted standards pertaining to the collection and sharing of information on international aviation emissions beginning in 2019.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 The potential impact of the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96"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face competition from air travel substitutes.</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new presidential administration and the new Secretary of the Department of Transportation have indicated strong support for trains. In addition, technology advancements may limit the demand for air travel. For example, video teleconferencing and other methods of electronic communication may reduce the need for in-person communication and add a new dimension of competition to the industry as travelers seek lower- cost substitutes for air travel. The COVID-19 pandemic has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Business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If we fail to implement our business strategy successfully, our business will be materially adversely affected.</w:t>
      </w:r>
    </w:p>
    <w:p>
      <w:pPr>
        <w:spacing w:after="0" w:line="148"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Our business strategy includes growth in our aircraft fleet, expansion of markets we serve by building out our MSP hub, growing our seat share at MSP and growing non -MSP point-to-point markets, increasing the seats in each aircraft,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COVID- 19 pandemic adversely affected our growth plans and business strategy. We face numerous challenges in implementing our growth strategy, including our ability to:</w:t>
      </w:r>
    </w:p>
    <w:p>
      <w:pPr>
        <w:spacing w:after="0" w:line="59" w:lineRule="exact"/>
        <w:rPr>
          <w:sz w:val="20"/>
          <w:szCs w:val="20"/>
          <w:color w:val="auto"/>
        </w:rPr>
      </w:pPr>
    </w:p>
    <w:p>
      <w:pPr>
        <w:ind w:left="1600" w:right="1239" w:hanging="143"/>
        <w:spacing w:after="0" w:line="264" w:lineRule="auto"/>
        <w:tabs>
          <w:tab w:leader="none" w:pos="1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sustain our relatively low unit costs, continue to realize attractive revenue performance and maintain profitability; stimulate traffic with low fares;</w:t>
      </w:r>
    </w:p>
    <w:p>
      <w:pPr>
        <w:spacing w:after="0" w:line="59" w:lineRule="exact"/>
        <w:rPr>
          <w:rFonts w:ascii="Arial" w:cs="Arial" w:eastAsia="Arial" w:hAnsi="Arial"/>
          <w:sz w:val="15"/>
          <w:szCs w:val="15"/>
          <w:color w:val="auto"/>
        </w:rPr>
      </w:pPr>
    </w:p>
    <w:p>
      <w:pPr>
        <w:ind w:left="1600" w:right="1539" w:hanging="143"/>
        <w:spacing w:after="0" w:line="264" w:lineRule="auto"/>
        <w:tabs>
          <w:tab w:leader="none" w:pos="1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maintain an optimal level of aircraft utilization, balanced with a low aircraft acquisition cost, to execute our scheduled, cargo and charter operations;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access airports located in our targeted geographic markets; and</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  maintain operational performance necessary to complete all flights.</w:t>
      </w:r>
    </w:p>
    <w:p>
      <w:pPr>
        <w:spacing w:after="0" w:line="113"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 operations and financial condition. There can be no assurances that we will be able to grow our business at MSP or in non-MSP markets as we anticipate, or at all.</w:t>
      </w:r>
    </w:p>
    <w:p>
      <w:pPr>
        <w:spacing w:after="0" w:line="9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especially in light of the CARES Act limitations,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you that we will be able to profitably expand our existing markets or establish new markets.</w:t>
      </w:r>
    </w:p>
    <w:p>
      <w:pPr>
        <w:spacing w:after="0" w:line="155" w:lineRule="exact"/>
        <w:rPr>
          <w:sz w:val="20"/>
          <w:szCs w:val="20"/>
          <w:color w:val="auto"/>
        </w:rPr>
      </w:pPr>
    </w:p>
    <w:p>
      <w:pPr>
        <w:ind w:left="1160" w:right="1299"/>
        <w:spacing w:after="0" w:line="264" w:lineRule="auto"/>
        <w:rPr>
          <w:sz w:val="20"/>
          <w:szCs w:val="20"/>
          <w:color w:val="auto"/>
        </w:rPr>
      </w:pPr>
      <w:r>
        <w:rPr>
          <w:rFonts w:ascii="Arial" w:cs="Arial" w:eastAsia="Arial" w:hAnsi="Arial"/>
          <w:sz w:val="14"/>
          <w:szCs w:val="14"/>
          <w:b w:val="1"/>
          <w:bCs w:val="1"/>
          <w:i w:val="1"/>
          <w:iCs w:val="1"/>
          <w:color w:val="auto"/>
        </w:rPr>
        <w:t>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p>
    <w:p>
      <w:pPr>
        <w:spacing w:after="0" w:line="84"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The COVID-19 pandemic has materially disrupted our strategic operating and growth plans in the near-term, and there are risks to our business, operating results and financial condition associated with executing our strategic operating and growth plans in the long-term. In developing our strategic operating and growth plans, we make certain assumptions, including, but not limited to, those related to customer demand, competition, staffing and hiring, market consolidation, the availability of aircraft and the global economy. Actual economic, market and other conditions have been and may continue to be different from our assumptions. If we do not successfully execute or adjust our strategic operating and growth plans in the long- term, or if actual results continue to vary significantly from our prior assumptions or vary significantly from our future assumptions, our business, operating results and financial condition could be materially and adversely impacted.</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anticipated strategic and financial benefits of the ATSA may not be realized.</w:t>
      </w:r>
    </w:p>
    <w:p>
      <w:pPr>
        <w:spacing w:after="0" w:line="11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In December 2019, we entered into the ATSA with Amazon with the expectation that the transactions contemplated thereby would result in various benefits including, among others, growth in revenues, improved cash flows and operating efficiencies. Achieving the anticipated benefits from the ATSA is subject to a number of challenges and uncertainties, such as: unforeseen maintenance and other costs; our ability to hire pilots, crew and other personnel necessary to support our CMI services; interruptions in the operations under the ATSA as a result of unexpected or unforeseen events, whether as a result of factors within the Company’s control or outside of the Company’s control; and the level of operations and results of operations, including margins, under the ATSA being less than the Company’s current expectations and projections. We have not historically had any significant cargo operations, nor have we had main deck cargo operations. Applying our existing business strategies to cargo operations may be costly, complex and time-consuming, and our management will have to devote substantial time and resources to such effort and it may not be successful. We may also experience difficulties or delays in securing ramp access and other airport services necessary to operate in the air cargo and express shipping sector. If we are unable to successfully implement our CMI services and achieve our objectives, the expected benefits may be only partially realized or not at all, or may take longer to realize than expected. There can be no assurances that the ATSA or our relationship with Amazon will benefit our financial condition or results of operations, and we will incur costs related to the relationship, including related to the 2019 Warrants, which could have a negative impact on our results of operations if not offset by benefits from the ATSA. In addition, if we fail to perform under the terms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252" w:lineRule="auto"/>
        <w:rPr>
          <w:sz w:val="20"/>
          <w:szCs w:val="20"/>
          <w:color w:val="auto"/>
        </w:rPr>
      </w:pPr>
      <w:r>
        <w:rPr>
          <w:rFonts w:ascii="Arial" w:cs="Arial" w:eastAsia="Arial" w:hAnsi="Arial"/>
          <w:sz w:val="14"/>
          <w:szCs w:val="14"/>
          <w:color w:val="auto"/>
        </w:rPr>
        <w:t>and conditions of the contract, we may be required to pay fees or penalties under the ATSA and, in certain cases, Amazon may have the right to terminate the agreement. Amazon may also terminate the ATSA for convenience, subject to certain notice requirements and payment of a termination fee. The ATSA is also subject to two, two-year extension options, which Amazon may choose not to exercise. Importantly, Amazon has not agreed to any minimum flying requirements under the ATSA and could choose not to fly significant volumes with us. If we do not achieve the benefits we expect from the ATSA, we could suffer from a material adverse effect on our financial condition and results of operations.</w:t>
      </w:r>
    </w:p>
    <w:p>
      <w:pPr>
        <w:spacing w:after="0" w:line="146" w:lineRule="exact"/>
        <w:rPr>
          <w:sz w:val="20"/>
          <w:szCs w:val="20"/>
          <w:color w:val="auto"/>
        </w:rPr>
      </w:pPr>
    </w:p>
    <w:p>
      <w:pPr>
        <w:ind w:left="1160" w:right="1419"/>
        <w:spacing w:after="0" w:line="323" w:lineRule="auto"/>
        <w:rPr>
          <w:sz w:val="20"/>
          <w:szCs w:val="20"/>
          <w:color w:val="auto"/>
        </w:rPr>
      </w:pPr>
      <w:r>
        <w:rPr>
          <w:rFonts w:ascii="Arial" w:cs="Arial" w:eastAsia="Arial" w:hAnsi="Arial"/>
          <w:sz w:val="13"/>
          <w:szCs w:val="13"/>
          <w:b w:val="1"/>
          <w:bCs w:val="1"/>
          <w:i w:val="1"/>
          <w:iCs w:val="1"/>
          <w:color w:val="auto"/>
        </w:rPr>
        <w:t>Our cargo business is concentrated with Amazon, and any decrease in volumes or increase in costs could have a material adverse effect on our business, operations, financial condition and brand.</w:t>
      </w:r>
    </w:p>
    <w:p>
      <w:pPr>
        <w:spacing w:after="0" w:line="37"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Our cargo service is concentrated with Amazon and our business is impacted by economic and business preferences of Amazon and its customers. The ATSA does not require a minimum amount of flying and therefore our cargo business would decrease if Amazon’s use of our cargo services decreases, which would materially adversely affect our business, results of operations, and prospects.</w:t>
      </w:r>
    </w:p>
    <w:p>
      <w:pPr>
        <w:spacing w:after="0" w:line="88"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In addition, the profitability of the ATSA is dependent on our ability to manage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 recover such increases, our operating results would be negatively impacted. It may be necessary for us to terminate certain customer contracts or curtail planned growth.</w:t>
      </w:r>
    </w:p>
    <w:p>
      <w:pPr>
        <w:spacing w:after="0" w:line="92"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color w:val="auto"/>
        </w:rPr>
        <w:t>The ATSA contains monthly incentive payments for reaching specific on-time arrival performance thresholds. Additionally, there are monetary penalties for on-time arrival performance below certain thresholds. As a result, our operating revenues may vary from period to period depending on the achievement of monthly incentives or the imposition of penalties. Further, we could be found in default of an agreement if it does not maintain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w:t>
      </w:r>
    </w:p>
    <w:p>
      <w:pPr>
        <w:spacing w:after="0" w:line="147"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b w:val="1"/>
          <w:bCs w:val="1"/>
          <w:i w:val="1"/>
          <w:iCs w:val="1"/>
          <w:color w:val="auto"/>
        </w:rPr>
        <w:t>Our low-cost structure is one of our primary competitive advantages, and many factors could affect our ability to control our costs.</w:t>
      </w:r>
    </w:p>
    <w:p>
      <w:pPr>
        <w:spacing w:after="0" w:line="8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Our low- 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substantially all of which are currently open and are being negotiated. See “—</w:t>
      </w:r>
      <w:r>
        <w:rPr>
          <w:rFonts w:ascii="Arial" w:cs="Arial" w:eastAsia="Arial" w:hAnsi="Arial"/>
          <w:sz w:val="14"/>
          <w:szCs w:val="14"/>
          <w:i w:val="1"/>
          <w:iCs w:val="1"/>
          <w:color w:val="auto"/>
        </w:rPr>
        <w:t>Increased labor costs, union disputes,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employee strikes and other labor-related disruption may adversely affect our business, results of operations and financial condition </w:t>
      </w:r>
      <w:r>
        <w:rPr>
          <w:rFonts w:ascii="Arial" w:cs="Arial" w:eastAsia="Arial" w:hAnsi="Arial"/>
          <w:sz w:val="14"/>
          <w:szCs w:val="14"/>
          <w:color w:val="auto"/>
        </w:rPr>
        <w:t>.” We cannot guarantee we will be able to maintain our relatively low costs. If our</w:t>
      </w:r>
      <w:r>
        <w:rPr>
          <w:rFonts w:ascii="Arial" w:cs="Arial" w:eastAsia="Arial" w:hAnsi="Arial"/>
          <w:sz w:val="14"/>
          <w:szCs w:val="14"/>
          <w:i w:val="1"/>
          <w:iCs w:val="1"/>
          <w:color w:val="auto"/>
        </w:rPr>
        <w:t xml:space="preserve"> </w:t>
      </w:r>
      <w:r>
        <w:rPr>
          <w:rFonts w:ascii="Arial" w:cs="Arial" w:eastAsia="Arial" w:hAnsi="Arial"/>
          <w:sz w:val="14"/>
          <w:szCs w:val="14"/>
          <w:color w:val="auto"/>
        </w:rPr>
        <w:t>cost structure increases and we are no longer able to maintain a competitive cost structure, it could have a material adverse effect on our business, results of operations and financial condition.</w:t>
      </w:r>
    </w:p>
    <w:p>
      <w:pPr>
        <w:spacing w:after="0" w:line="151" w:lineRule="exact"/>
        <w:rPr>
          <w:sz w:val="20"/>
          <w:szCs w:val="20"/>
          <w:color w:val="auto"/>
        </w:rPr>
      </w:pPr>
    </w:p>
    <w:p>
      <w:pPr>
        <w:ind w:left="1160" w:right="1239"/>
        <w:spacing w:after="0" w:line="370" w:lineRule="auto"/>
        <w:rPr>
          <w:sz w:val="20"/>
          <w:szCs w:val="20"/>
          <w:color w:val="auto"/>
        </w:rPr>
      </w:pPr>
      <w:r>
        <w:rPr>
          <w:rFonts w:ascii="Arial" w:cs="Arial" w:eastAsia="Arial" w:hAnsi="Arial"/>
          <w:sz w:val="12"/>
          <w:szCs w:val="12"/>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25"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color w:val="auto"/>
        </w:rPr>
        <w:t>Our service is concentrated around our hub in MSP and our business is impacted by economic and geophysical factors of this region. We maintain a large presence in MSP with approximately 90.5% of 2020 capacity, as measured by ASMs,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234" w:lineRule="auto"/>
        <w:rPr>
          <w:sz w:val="20"/>
          <w:szCs w:val="20"/>
          <w:color w:val="auto"/>
        </w:rPr>
      </w:pPr>
      <w:r>
        <w:rPr>
          <w:rFonts w:ascii="Arial" w:cs="Arial" w:eastAsia="Arial" w:hAnsi="Arial"/>
          <w:sz w:val="15"/>
          <w:szCs w:val="15"/>
          <w:color w:val="auto"/>
        </w:rPr>
        <w:t>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 airline were to successfully develop low- cost or low-fare products or if we were to experience increased competition from LCCs or ULCCs in the Minneapolis market, our business, results of operations and prospects could be materially adversely affected.</w:t>
      </w:r>
    </w:p>
    <w:p>
      <w:pPr>
        <w:spacing w:after="0" w:line="90"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Our business would also be negatively impacted by any circumstances causing a reduction in demand for air transportation in the Minneapolis area, such as adverse changes in local economic conditions, health concerns, adverse weather conditions, negative public perception of Minneapolis, riots, social unrest, terrorist attacks or significant price or tax increases linked to increases in airport access costs and fees imposed on passengers.</w:t>
      </w:r>
    </w:p>
    <w:p>
      <w:pPr>
        <w:spacing w:after="0" w:line="100"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color w:val="auto"/>
        </w:rPr>
        <w:t>We have third-party vendors that support our MSP operations and we cannot guarantee that these vendors will operate to our expectations. 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44" w:lineRule="exact"/>
        <w:rPr>
          <w:sz w:val="20"/>
          <w:szCs w:val="20"/>
          <w:color w:val="auto"/>
        </w:rPr>
      </w:pPr>
    </w:p>
    <w:p>
      <w:pPr>
        <w:ind w:left="1160" w:right="1599"/>
        <w:spacing w:after="0" w:line="248" w:lineRule="auto"/>
        <w:rPr>
          <w:sz w:val="20"/>
          <w:szCs w:val="20"/>
          <w:color w:val="auto"/>
        </w:rPr>
      </w:pPr>
      <w:r>
        <w:rPr>
          <w:rFonts w:ascii="Arial" w:cs="Arial" w:eastAsia="Arial" w:hAnsi="Arial"/>
          <w:sz w:val="15"/>
          <w:szCs w:val="15"/>
          <w:b w:val="1"/>
          <w:bCs w:val="1"/>
          <w:i w:val="1"/>
          <w:iCs w:val="1"/>
          <w:color w:val="auto"/>
        </w:rPr>
        <w:t>Our reputation and business could be adversely affected in the event of an accident or similar public incident involving our aircraft or personnel.</w:t>
      </w:r>
    </w:p>
    <w:p>
      <w:pPr>
        <w:spacing w:after="0" w:line="9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9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any accident involving the Boeing 737-NG or an aircraft similar to the Boeing 737 -NG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 consuming and costly. The resolution of this matter or similar matters in the future could have an impact on our results of operations, financial condition, business and prospects.</w:t>
      </w:r>
    </w:p>
    <w:p>
      <w:pPr>
        <w:spacing w:after="0" w:line="149" w:lineRule="exact"/>
        <w:rPr>
          <w:sz w:val="20"/>
          <w:szCs w:val="20"/>
          <w:color w:val="auto"/>
        </w:rPr>
      </w:pPr>
    </w:p>
    <w:p>
      <w:pPr>
        <w:ind w:left="1160" w:right="1359"/>
        <w:spacing w:after="0" w:line="258" w:lineRule="auto"/>
        <w:rPr>
          <w:sz w:val="20"/>
          <w:szCs w:val="20"/>
          <w:color w:val="auto"/>
        </w:rPr>
      </w:pPr>
      <w:r>
        <w:rPr>
          <w:rFonts w:ascii="Arial" w:cs="Arial" w:eastAsia="Arial" w:hAnsi="Arial"/>
          <w:sz w:val="14"/>
          <w:szCs w:val="14"/>
          <w:b w:val="1"/>
          <w:bCs w:val="1"/>
          <w:i w:val="1"/>
          <w:iCs w:val="1"/>
          <w:color w:val="auto"/>
        </w:rPr>
        <w:t>Unauthorized use, incursion or breach of our information technology infrastructure could compromise the personally identifiable information of our passengers, prospective passengers or personnel and other sensitive information and expose us to liability, damage our reputation and have a material adverse effect on our business, results of operations and financial condition.</w:t>
      </w:r>
    </w:p>
    <w:p>
      <w:pPr>
        <w:spacing w:after="0" w:line="88"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1" w:lineRule="auto"/>
        <w:rPr>
          <w:sz w:val="20"/>
          <w:szCs w:val="20"/>
          <w:color w:val="auto"/>
        </w:rPr>
      </w:pPr>
      <w:r>
        <w:rPr>
          <w:rFonts w:ascii="Arial" w:cs="Arial" w:eastAsia="Arial" w:hAnsi="Arial"/>
          <w:sz w:val="14"/>
          <w:szCs w:val="14"/>
          <w:color w:val="auto"/>
        </w:rPr>
        <w:t>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 these systems and our network may be vulnerable to theft, loss, damage and interruption from a number of potential sources and events, including computer viruses, hackers, enemy state actors, denial-of-service attacks, employee theft or misuse, natural or man-made disasters, telecommunications failures, power loss and other disruptive sources and events.</w:t>
      </w:r>
    </w:p>
    <w:p>
      <w:pPr>
        <w:spacing w:after="0" w:line="8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As the cyber- threat landscape evolves, attacks are growing in frequency, sophistication and intensity, and are becoming increasingly difficult to detect. We have in the past, and may in the future, experience such cybersecurity threats. We and the vendors who service us may not have the resources or technical sophistication to anticipate or prevent rapidly evolving types of cyber attacks. Attacks may be targeted at us, our customers (including the U.S. Department of Defense) and our providers, including air navigation service providers, or others who have entrusted us with information, including regulators such as the U.S. Department of Defense,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w:t>
      </w:r>
    </w:p>
    <w:p>
      <w:pPr>
        <w:spacing w:after="0" w:line="101" w:lineRule="exact"/>
        <w:rPr>
          <w:sz w:val="20"/>
          <w:szCs w:val="20"/>
          <w:color w:val="auto"/>
        </w:rPr>
      </w:pPr>
    </w:p>
    <w:p>
      <w:pPr>
        <w:ind w:left="1160" w:right="1239" w:firstLine="293"/>
        <w:spacing w:after="0" w:line="270" w:lineRule="auto"/>
        <w:rPr>
          <w:sz w:val="20"/>
          <w:szCs w:val="20"/>
          <w:color w:val="auto"/>
        </w:rPr>
      </w:pPr>
      <w:r>
        <w:rPr>
          <w:rFonts w:ascii="Arial" w:cs="Arial" w:eastAsia="Arial" w:hAnsi="Arial"/>
          <w:sz w:val="13"/>
          <w:szCs w:val="13"/>
          <w:color w:val="auto"/>
        </w:rPr>
        <w:t>A significant cybersecurity incident could result in a range of potentially material negative consequences for us, including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fines, sanctions or other penalties, as well injunctive relief requiring costly compliance measures. A cybersecurity incident could also impact our brand, harm our reputation and adversely impact our relationship with our customers, employees and stockholders.</w:t>
      </w:r>
    </w:p>
    <w:p>
      <w:pPr>
        <w:spacing w:after="0" w:line="252"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 -party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 -technical issues, including breaches by us or by persons with whom we have commercial relationships that result in the unauthorized release of personal or confidential information.</w:t>
      </w:r>
    </w:p>
    <w:p>
      <w:pPr>
        <w:spacing w:after="0" w:line="91"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We rely on third-party providers and other commercial partners to perform functions integral to our operations.</w:t>
      </w:r>
    </w:p>
    <w:p>
      <w:pPr>
        <w:spacing w:after="0" w:line="159" w:lineRule="exact"/>
        <w:rPr>
          <w:sz w:val="20"/>
          <w:szCs w:val="20"/>
          <w:color w:val="auto"/>
        </w:rPr>
      </w:pPr>
    </w:p>
    <w:p>
      <w:pPr>
        <w:ind w:left="1160" w:right="1439" w:firstLine="293"/>
        <w:spacing w:after="0" w:line="283" w:lineRule="auto"/>
        <w:rPr>
          <w:sz w:val="20"/>
          <w:szCs w:val="20"/>
          <w:color w:val="auto"/>
        </w:rPr>
      </w:pPr>
      <w:r>
        <w:rPr>
          <w:rFonts w:ascii="Arial" w:cs="Arial" w:eastAsia="Arial" w:hAnsi="Arial"/>
          <w:sz w:val="14"/>
          <w:szCs w:val="14"/>
          <w:color w:val="auto"/>
        </w:rPr>
        <w:t>We have entered into agreements with third-party providers to furnish certain facilities and services required for our operations, including ground handling, catering, passenger handling, engineering,</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39" w:lineRule="auto"/>
        <w:rPr>
          <w:sz w:val="20"/>
          <w:szCs w:val="20"/>
          <w:color w:val="auto"/>
        </w:rPr>
      </w:pPr>
      <w:r>
        <w:rPr>
          <w:rFonts w:ascii="Arial" w:cs="Arial" w:eastAsia="Arial" w:hAnsi="Arial"/>
          <w:sz w:val="15"/>
          <w:szCs w:val="15"/>
          <w:color w:val="auto"/>
        </w:rPr>
        <w:t>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w:t>
      </w:r>
    </w:p>
    <w:p>
      <w:pPr>
        <w:spacing w:after="0" w:line="89"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rely on third-party distribution channels to distribute a portion of our airline tickets.</w:t>
      </w:r>
    </w:p>
    <w:p>
      <w:pPr>
        <w:spacing w:after="0" w:line="124"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We rely on third-party distribution channels, including those provided by or through global distribution systems, or GDSs, conventional travel agents and online travel agents, or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60" w:lineRule="exact"/>
        <w:rPr>
          <w:sz w:val="20"/>
          <w:szCs w:val="20"/>
          <w:color w:val="auto"/>
        </w:rPr>
      </w:pPr>
    </w:p>
    <w:p>
      <w:pPr>
        <w:ind w:left="1160" w:right="1479"/>
        <w:spacing w:after="0" w:line="281" w:lineRule="auto"/>
        <w:rPr>
          <w:sz w:val="20"/>
          <w:szCs w:val="20"/>
          <w:color w:val="auto"/>
        </w:rPr>
      </w:pPr>
      <w:r>
        <w:rPr>
          <w:rFonts w:ascii="Arial" w:cs="Arial" w:eastAsia="Arial" w:hAnsi="Arial"/>
          <w:sz w:val="14"/>
          <w:szCs w:val="14"/>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83"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4"/>
          <w:szCs w:val="14"/>
          <w:i w:val="1"/>
          <w:iCs w:val="1"/>
          <w:color w:val="auto"/>
        </w:rPr>
        <w:t>Navitaire</w:t>
      </w:r>
      <w:r>
        <w:rPr>
          <w:rFonts w:ascii="Arial" w:cs="Arial" w:eastAsia="Arial" w:hAnsi="Arial"/>
          <w:sz w:val="14"/>
          <w:szCs w:val="14"/>
          <w:color w:val="auto"/>
        </w:rPr>
        <w:t>, a unit of Amadeus, flight operations systems, telecommunications systems, mobile phone application, airline website and maintenance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in the future occur on our system, or in connection with any system upgrade or migration in the future. We also rely on third-party providers to maintain our flight operations systems, and if those systems are not functioning, we could experience service disruptions, which could result in the loss of important data, increase our expenses, decrease our operational performance and temporarily stall our operations.</w:t>
      </w:r>
    </w:p>
    <w:p>
      <w:pPr>
        <w:spacing w:after="0" w:line="90" w:lineRule="exact"/>
        <w:rPr>
          <w:sz w:val="20"/>
          <w:szCs w:val="20"/>
          <w:color w:val="auto"/>
        </w:rPr>
      </w:pPr>
    </w:p>
    <w:p>
      <w:pPr>
        <w:ind w:left="1160" w:right="1239" w:firstLine="293"/>
        <w:spacing w:after="0" w:line="341" w:lineRule="auto"/>
        <w:rPr>
          <w:sz w:val="20"/>
          <w:szCs w:val="20"/>
          <w:color w:val="auto"/>
        </w:rPr>
      </w:pPr>
      <w:r>
        <w:rPr>
          <w:rFonts w:ascii="Arial" w:cs="Arial" w:eastAsia="Arial" w:hAnsi="Arial"/>
          <w:sz w:val="13"/>
          <w:szCs w:val="13"/>
          <w:color w:val="auto"/>
        </w:rPr>
        <w:t>Any failure of the technologies and systems we use could materially adversely affect our business. In particular, if our reservation system fails or experiences interruptions, and we are unable to book seats for a</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8" w:lineRule="auto"/>
        <w:rPr>
          <w:sz w:val="20"/>
          <w:szCs w:val="20"/>
          <w:color w:val="auto"/>
        </w:rPr>
      </w:pPr>
      <w:r>
        <w:rPr>
          <w:rFonts w:ascii="Arial" w:cs="Arial" w:eastAsia="Arial" w:hAnsi="Arial"/>
          <w:sz w:val="14"/>
          <w:szCs w:val="14"/>
          <w:color w:val="auto"/>
        </w:rPr>
        <w:t>period of time, we could lose a significant amount of revenue as customers book seats on other airlines, and our reputation could be harmed.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or telecommunications failures. We recently experienced a software outage that resulted in delayed flights for several hours, which could impact our on-time performance and completion factor.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86"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In addition, in the ordinary course of business, our systems will continue to require modification and refinements to address growth and changing business requirements and to enable us to comply with changing regulatory requirements. Modifications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our systems as necessary or appropriately balance the introduction of new capabilities with the management of existing systems.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not be able to grow or maintain our unit revenues or maintain our ancillary revenues.</w:t>
      </w:r>
    </w:p>
    <w:p>
      <w:pPr>
        <w:spacing w:after="0" w:line="124" w:lineRule="exact"/>
        <w:rPr>
          <w:sz w:val="20"/>
          <w:szCs w:val="20"/>
          <w:color w:val="auto"/>
        </w:rPr>
      </w:pPr>
    </w:p>
    <w:p>
      <w:pPr>
        <w:ind w:left="1160" w:right="1219" w:firstLine="297"/>
        <w:spacing w:after="0" w:line="265" w:lineRule="auto"/>
        <w:tabs>
          <w:tab w:leader="none" w:pos="1601" w:val="left"/>
        </w:tabs>
        <w:numPr>
          <w:ilvl w:val="0"/>
          <w:numId w:val="20"/>
        </w:numPr>
        <w:rPr>
          <w:rFonts w:ascii="Arial" w:cs="Arial" w:eastAsia="Arial" w:hAnsi="Arial"/>
          <w:sz w:val="14"/>
          <w:szCs w:val="14"/>
          <w:color w:val="auto"/>
        </w:rPr>
      </w:pPr>
      <w:r>
        <w:rPr>
          <w:rFonts w:ascii="Arial" w:cs="Arial" w:eastAsia="Arial" w:hAnsi="Arial"/>
          <w:sz w:val="14"/>
          <w:szCs w:val="14"/>
          <w:color w:val="auto"/>
        </w:rPr>
        <w:t>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you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97" w:lineRule="exact"/>
        <w:rPr>
          <w:sz w:val="20"/>
          <w:szCs w:val="20"/>
          <w:color w:val="auto"/>
        </w:rPr>
      </w:pPr>
    </w:p>
    <w:p>
      <w:pPr>
        <w:ind w:left="1160" w:right="1319" w:firstLine="293"/>
        <w:spacing w:after="0" w:line="247" w:lineRule="auto"/>
        <w:rPr>
          <w:sz w:val="20"/>
          <w:szCs w:val="20"/>
          <w:color w:val="auto"/>
        </w:rPr>
      </w:pPr>
      <w:r>
        <w:rPr>
          <w:rFonts w:ascii="Arial" w:cs="Arial" w:eastAsia="Arial" w:hAnsi="Arial"/>
          <w:sz w:val="15"/>
          <w:szCs w:val="15"/>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operate a single aircraft type.</w:t>
      </w:r>
    </w:p>
    <w:p>
      <w:pPr>
        <w:spacing w:after="0" w:line="113" w:lineRule="exact"/>
        <w:rPr>
          <w:sz w:val="20"/>
          <w:szCs w:val="20"/>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critical cost-saving element of our business strategy is to operate a single-family aircraft fleet;</w:t>
      </w:r>
    </w:p>
    <w:p>
      <w:pPr>
        <w:spacing w:after="0" w:line="14" w:lineRule="exact"/>
        <w:rPr>
          <w:rFonts w:ascii="Arial" w:cs="Arial" w:eastAsia="Arial" w:hAnsi="Arial"/>
          <w:sz w:val="15"/>
          <w:szCs w:val="15"/>
          <w:color w:val="auto"/>
        </w:rPr>
      </w:pPr>
    </w:p>
    <w:p>
      <w:pPr>
        <w:ind w:left="1160" w:right="1179"/>
        <w:spacing w:after="0" w:line="289" w:lineRule="auto"/>
        <w:rPr>
          <w:rFonts w:ascii="Arial" w:cs="Arial" w:eastAsia="Arial" w:hAnsi="Arial"/>
          <w:sz w:val="15"/>
          <w:szCs w:val="15"/>
          <w:color w:val="auto"/>
        </w:rPr>
      </w:pPr>
      <w:r>
        <w:rPr>
          <w:rFonts w:ascii="Arial" w:cs="Arial" w:eastAsia="Arial" w:hAnsi="Arial"/>
          <w:sz w:val="13"/>
          <w:szCs w:val="13"/>
          <w:color w:val="auto"/>
        </w:rPr>
        <w:t>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been grounded in the past by other airlines after inspections revealed cracks in the “pickle forks,” a component of the structure connecting the wings to the fuselages. Our business could also be materially adversely affected if the public</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39" w:lineRule="auto"/>
        <w:rPr>
          <w:sz w:val="20"/>
          <w:szCs w:val="20"/>
          <w:color w:val="auto"/>
        </w:rPr>
      </w:pPr>
      <w:r>
        <w:rPr>
          <w:rFonts w:ascii="Arial" w:cs="Arial" w:eastAsia="Arial" w:hAnsi="Arial"/>
          <w:sz w:val="15"/>
          <w:szCs w:val="15"/>
          <w:color w:val="auto"/>
        </w:rPr>
        <w:t>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55" w:lineRule="exact"/>
        <w:rPr>
          <w:sz w:val="20"/>
          <w:szCs w:val="20"/>
          <w:color w:val="auto"/>
        </w:rPr>
      </w:pPr>
    </w:p>
    <w:p>
      <w:pPr>
        <w:ind w:left="1160" w:right="1299"/>
        <w:spacing w:after="0" w:line="248" w:lineRule="auto"/>
        <w:rPr>
          <w:sz w:val="20"/>
          <w:szCs w:val="20"/>
          <w:color w:val="auto"/>
        </w:rPr>
      </w:pPr>
      <w:r>
        <w:rPr>
          <w:rFonts w:ascii="Arial" w:cs="Arial" w:eastAsia="Arial" w:hAnsi="Arial"/>
          <w:sz w:val="15"/>
          <w:szCs w:val="15"/>
          <w:b w:val="1"/>
          <w:bCs w:val="1"/>
          <w:i w:val="1"/>
          <w:iCs w:val="1"/>
          <w:color w:val="auto"/>
        </w:rPr>
        <w:t>Increased labor costs, union disputes, employee strikes and other labor-related disruption may adversely affect our business, results of operations and financial condition.</w:t>
      </w:r>
    </w:p>
    <w:p>
      <w:pPr>
        <w:spacing w:after="0" w:line="83"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Our business is labor intensive, with labor costs representing approximately 36.9%, 22.6% and 23.2% of our total operating costs for the years ended December 31, 2020, 2019 and 2018, respectively. As of December 31, 2020, approximately 52%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 more pilots in order to grow our cargo business. We cannot guarantee that our cargo business will grow and that hiring of additional pilots will be required. We may also become subject to additional collective bargaining agreements in the future as non-unionized workers may unionize.</w:t>
      </w:r>
    </w:p>
    <w:p>
      <w:pPr>
        <w:spacing w:after="0" w:line="94"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79"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of 2019. By mutual consent, the negotiations were paused in March 2020 due to the COVID-19 pandemic. We restarted negotiations in October of 2021.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The pilots have since served notice to the Company and we have begun negotiations with our pilots; however, the contract remains in status quo until there is a newly ratified contract. See also “</w:t>
      </w:r>
      <w:r>
        <w:rPr>
          <w:rFonts w:ascii="Arial" w:cs="Arial" w:eastAsia="Arial" w:hAnsi="Arial"/>
          <w:sz w:val="14"/>
          <w:szCs w:val="14"/>
          <w:i w:val="1"/>
          <w:iCs w:val="1"/>
          <w:color w:val="auto"/>
        </w:rPr>
        <w:t>Business—Employees</w:t>
      </w:r>
      <w:r>
        <w:rPr>
          <w:rFonts w:ascii="Arial" w:cs="Arial" w:eastAsia="Arial" w:hAnsi="Arial"/>
          <w:sz w:val="14"/>
          <w:szCs w:val="14"/>
          <w:color w:val="auto"/>
        </w:rPr>
        <w: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50" w:lineRule="exact"/>
        <w:rPr>
          <w:sz w:val="20"/>
          <w:szCs w:val="20"/>
          <w:color w:val="auto"/>
        </w:rPr>
      </w:pPr>
    </w:p>
    <w:p>
      <w:pPr>
        <w:ind w:left="1160" w:right="1439"/>
        <w:spacing w:after="0" w:line="264" w:lineRule="auto"/>
        <w:rPr>
          <w:sz w:val="20"/>
          <w:szCs w:val="20"/>
          <w:color w:val="auto"/>
        </w:rPr>
      </w:pPr>
      <w:r>
        <w:rPr>
          <w:rFonts w:ascii="Arial" w:cs="Arial" w:eastAsia="Arial" w:hAnsi="Arial"/>
          <w:sz w:val="15"/>
          <w:szCs w:val="15"/>
          <w:b w:val="1"/>
          <w:bCs w:val="1"/>
          <w:i w:val="1"/>
          <w:iCs w:val="1"/>
          <w:color w:val="auto"/>
        </w:rPr>
        <w:t>Changes in law, regulation and government policy have affected, and may in the future have a material adverse effect on our business.</w:t>
      </w:r>
    </w:p>
    <w:p>
      <w:pPr>
        <w:spacing w:after="0" w:line="82" w:lineRule="exact"/>
        <w:rPr>
          <w:sz w:val="20"/>
          <w:szCs w:val="20"/>
          <w:color w:val="auto"/>
        </w:rPr>
      </w:pPr>
    </w:p>
    <w:p>
      <w:pPr>
        <w:jc w:val="both"/>
        <w:ind w:left="1160" w:right="1199" w:firstLine="293"/>
        <w:spacing w:after="0" w:line="302" w:lineRule="auto"/>
        <w:rPr>
          <w:sz w:val="20"/>
          <w:szCs w:val="20"/>
          <w:color w:val="auto"/>
        </w:rPr>
      </w:pPr>
      <w:r>
        <w:rPr>
          <w:rFonts w:ascii="Arial" w:cs="Arial" w:eastAsia="Arial" w:hAnsi="Arial"/>
          <w:sz w:val="13"/>
          <w:szCs w:val="13"/>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9" w:lineRule="auto"/>
        <w:rPr>
          <w:sz w:val="20"/>
          <w:szCs w:val="20"/>
          <w:color w:val="auto"/>
        </w:rPr>
      </w:pPr>
      <w:r>
        <w:rPr>
          <w:rFonts w:ascii="Arial" w:cs="Arial" w:eastAsia="Arial" w:hAnsi="Arial"/>
          <w:sz w:val="14"/>
          <w:szCs w:val="14"/>
          <w:color w:val="auto"/>
        </w:rPr>
        <w:t>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or Dodd-Frank Act; public company reporting requirements; environmental regulation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88"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55" w:lineRule="exact"/>
        <w:rPr>
          <w:sz w:val="20"/>
          <w:szCs w:val="20"/>
          <w:color w:val="auto"/>
        </w:rPr>
      </w:pPr>
    </w:p>
    <w:p>
      <w:pPr>
        <w:ind w:left="1160" w:right="1199"/>
        <w:spacing w:after="0" w:line="370" w:lineRule="auto"/>
        <w:rPr>
          <w:sz w:val="20"/>
          <w:szCs w:val="20"/>
          <w:color w:val="auto"/>
        </w:rPr>
      </w:pPr>
      <w:r>
        <w:rPr>
          <w:rFonts w:ascii="Arial" w:cs="Arial" w:eastAsia="Arial" w:hAnsi="Arial"/>
          <w:sz w:val="12"/>
          <w:szCs w:val="12"/>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25"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We aim to optimize our daily aircraft utilization rate by tailoring service to customer demand patterns, which are seasonal and vary by day of the week. Our average daily aircraft utilization was 5.1 hours, 9.6 hours and 9.7 hours for the years ended December 31, 2020, 2019 and 2018,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reaccomodation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of our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69" w:lineRule="exact"/>
        <w:rPr>
          <w:sz w:val="20"/>
          <w:szCs w:val="20"/>
          <w:color w:val="auto"/>
        </w:rPr>
      </w:pPr>
    </w:p>
    <w:p>
      <w:pPr>
        <w:ind w:left="1160" w:right="1519"/>
        <w:spacing w:after="0" w:line="248" w:lineRule="auto"/>
        <w:rPr>
          <w:sz w:val="20"/>
          <w:szCs w:val="20"/>
          <w:color w:val="auto"/>
        </w:rPr>
      </w:pPr>
      <w:r>
        <w:rPr>
          <w:rFonts w:ascii="Arial" w:cs="Arial" w:eastAsia="Arial" w:hAnsi="Arial"/>
          <w:sz w:val="15"/>
          <w:szCs w:val="15"/>
          <w:b w:val="1"/>
          <w:bCs w:val="1"/>
          <w:i w:val="1"/>
          <w:iCs w:val="1"/>
          <w:color w:val="auto"/>
        </w:rPr>
        <w:t>The cost of aircraft repairs and unexpected delays in the time required to complete aircraft maintenance could negatively affect our operating results.</w:t>
      </w:r>
    </w:p>
    <w:p>
      <w:pPr>
        <w:spacing w:after="0" w:line="50"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 maintenance is completed. If delays occur in the completion of aircraft maintenance, we may incur additional expense to provide airlift capacity and forgo revenues.</w:t>
      </w:r>
    </w:p>
    <w:p>
      <w:pPr>
        <w:spacing w:after="0" w:line="58" w:lineRule="exact"/>
        <w:rPr>
          <w:sz w:val="20"/>
          <w:szCs w:val="20"/>
          <w:color w:val="auto"/>
        </w:rPr>
      </w:pPr>
    </w:p>
    <w:p>
      <w:pPr>
        <w:ind w:left="1160" w:right="1599"/>
        <w:spacing w:after="0" w:line="248" w:lineRule="auto"/>
        <w:rPr>
          <w:sz w:val="20"/>
          <w:szCs w:val="20"/>
          <w:color w:val="auto"/>
        </w:rPr>
      </w:pPr>
      <w:r>
        <w:rPr>
          <w:rFonts w:ascii="Arial" w:cs="Arial" w:eastAsia="Arial" w:hAnsi="Arial"/>
          <w:sz w:val="15"/>
          <w:szCs w:val="15"/>
          <w:b w:val="1"/>
          <w:bCs w:val="1"/>
          <w:i w:val="1"/>
          <w:iCs w:val="1"/>
          <w:color w:val="auto"/>
        </w:rPr>
        <w:t>If we are unable to attract and retain qualified personnel at reasonable costs or fail to maintain our company culture, our business could be harmed.</w:t>
      </w:r>
    </w:p>
    <w:p>
      <w:pPr>
        <w:spacing w:after="0" w:line="39" w:lineRule="exact"/>
        <w:rPr>
          <w:sz w:val="20"/>
          <w:szCs w:val="20"/>
          <w:color w:val="auto"/>
        </w:rPr>
      </w:pPr>
    </w:p>
    <w:p>
      <w:pPr>
        <w:ind w:left="1160" w:right="1299" w:firstLine="293"/>
        <w:spacing w:after="0" w:line="279" w:lineRule="auto"/>
        <w:rPr>
          <w:sz w:val="20"/>
          <w:szCs w:val="20"/>
          <w:color w:val="auto"/>
        </w:rPr>
      </w:pPr>
      <w:r>
        <w:rPr>
          <w:rFonts w:ascii="Arial" w:cs="Arial" w:eastAsia="Arial" w:hAnsi="Arial"/>
          <w:sz w:val="13"/>
          <w:szCs w:val="13"/>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the U.S. airline industry may be affected by a pilot shortage.</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8" w:name="page49"/>
    <w:bookmarkEnd w:id="4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7" w:lineRule="auto"/>
        <w:rPr>
          <w:sz w:val="20"/>
          <w:szCs w:val="20"/>
          <w:color w:val="auto"/>
        </w:rPr>
      </w:pPr>
      <w:r>
        <w:rPr>
          <w:rFonts w:ascii="Arial" w:cs="Arial" w:eastAsia="Arial" w:hAnsi="Arial"/>
          <w:sz w:val="15"/>
          <w:szCs w:val="15"/>
          <w:color w:val="auto"/>
        </w:rPr>
        <w:t>We and other airlines may also face shortages of qualified aircraft mechanics and dispatchers. As is common with most of our competitors, we have faced considerable turnover of our employees. As a result of the foregoing, we may not be able to attract or retain qualified personnel or may be required to increase wages and/or benefits in order to do so. In addition, we may lose employees due to the impact of COVID-19 on aviation or as a result of restrictions imposed under the CARES Act, or other governmental requirements placed on employees, which may further impede our ability to attract and retain skilled labor. If we are unable to hire, train and retain qualified employees, our business could be harmed and we may be unable to implement our growth plans.</w:t>
      </w:r>
    </w:p>
    <w:p>
      <w:pPr>
        <w:spacing w:after="0" w:line="96"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149" w:lineRule="exact"/>
        <w:rPr>
          <w:sz w:val="20"/>
          <w:szCs w:val="20"/>
          <w:color w:val="auto"/>
        </w:rPr>
      </w:pPr>
    </w:p>
    <w:p>
      <w:pPr>
        <w:ind w:left="1160" w:right="1499"/>
        <w:spacing w:after="0" w:line="341" w:lineRule="auto"/>
        <w:rPr>
          <w:sz w:val="20"/>
          <w:szCs w:val="20"/>
          <w:color w:val="auto"/>
        </w:rPr>
      </w:pPr>
      <w:r>
        <w:rPr>
          <w:rFonts w:ascii="Arial" w:cs="Arial" w:eastAsia="Arial" w:hAnsi="Arial"/>
          <w:sz w:val="13"/>
          <w:szCs w:val="13"/>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48" w:lineRule="exact"/>
        <w:rPr>
          <w:sz w:val="20"/>
          <w:szCs w:val="20"/>
          <w:color w:val="auto"/>
        </w:rPr>
      </w:pPr>
    </w:p>
    <w:p>
      <w:pPr>
        <w:ind w:left="1160" w:right="1659" w:firstLine="293"/>
        <w:spacing w:after="0" w:line="300" w:lineRule="auto"/>
        <w:rPr>
          <w:sz w:val="20"/>
          <w:szCs w:val="20"/>
          <w:color w:val="auto"/>
        </w:rPr>
      </w:pPr>
      <w:r>
        <w:rPr>
          <w:rFonts w:ascii="Arial" w:cs="Arial" w:eastAsia="Arial" w:hAnsi="Arial"/>
          <w:sz w:val="14"/>
          <w:szCs w:val="14"/>
          <w:color w:val="auto"/>
        </w:rPr>
        <w:t>Our results of operations may be affected by actions taken by governmental or other agencies or authorities having jurisdiction over our operations at these airports, including, but not limited to:</w:t>
      </w:r>
    </w:p>
    <w:p>
      <w:pPr>
        <w:spacing w:after="0" w:line="37" w:lineRule="exact"/>
        <w:rPr>
          <w:sz w:val="20"/>
          <w:szCs w:val="20"/>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increases in airport rates and charges;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limitations on take-off and landing slots, airport gate capacity or other use of airport facilities;</w:t>
      </w:r>
    </w:p>
    <w:p>
      <w:pPr>
        <w:spacing w:after="0" w:line="91"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termination of our airport use agreements, some of which can be terminated by airport authorities with little notice to us;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increases in airport capacity that could facilitate increased competition;</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international travel regulations such as customs and immigration;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increases in taxes;</w:t>
      </w:r>
    </w:p>
    <w:p>
      <w:pPr>
        <w:spacing w:after="0" w:line="91"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changes in law, regulations and government policies that affect the services that can be offered by airlines, in general, and in particular markets and at particular airports;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restrictions on competitive practices;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changes in law or ordinances that increase minimum wages beyond regional norms;</w:t>
      </w:r>
    </w:p>
    <w:p>
      <w:pPr>
        <w:spacing w:after="0" w:line="91" w:lineRule="exact"/>
        <w:rPr>
          <w:rFonts w:ascii="Arial" w:cs="Arial" w:eastAsia="Arial" w:hAnsi="Arial"/>
          <w:sz w:val="15"/>
          <w:szCs w:val="15"/>
          <w:color w:val="auto"/>
        </w:rPr>
      </w:pPr>
    </w:p>
    <w:p>
      <w:pPr>
        <w:ind w:left="1600" w:right="1379" w:hanging="143"/>
        <w:spacing w:after="0" w:line="300" w:lineRule="auto"/>
        <w:tabs>
          <w:tab w:leader="none" w:pos="1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adoption of statutes or regulations that impact or impose additional customer service standards and requirements, including operating and security standards and requirements; and</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adoption of more restrictive locally imposed noise regulations or curfews.</w:t>
      </w:r>
    </w:p>
    <w:p>
      <w:pPr>
        <w:spacing w:after="0" w:line="124" w:lineRule="exact"/>
        <w:rPr>
          <w:sz w:val="20"/>
          <w:szCs w:val="20"/>
          <w:color w:val="auto"/>
        </w:rPr>
      </w:pPr>
    </w:p>
    <w:p>
      <w:pPr>
        <w:jc w:val="both"/>
        <w:ind w:left="1160" w:right="1299" w:firstLine="293"/>
        <w:spacing w:after="0" w:line="254" w:lineRule="auto"/>
        <w:rPr>
          <w:sz w:val="20"/>
          <w:szCs w:val="20"/>
          <w:color w:val="auto"/>
        </w:rPr>
      </w:pPr>
      <w:r>
        <w:rPr>
          <w:rFonts w:ascii="Arial" w:cs="Arial" w:eastAsia="Arial" w:hAnsi="Arial"/>
          <w:sz w:val="15"/>
          <w:szCs w:val="15"/>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3"/>
          <w:szCs w:val="13"/>
          <w:b w:val="1"/>
          <w:bCs w:val="1"/>
          <w:i w:val="1"/>
          <w:iCs w:val="1"/>
          <w:color w:val="auto"/>
        </w:rPr>
        <w:t>It has only been a limited period since our current business and operating strategy has been implemented.</w:t>
      </w:r>
    </w:p>
    <w:p>
      <w:pPr>
        <w:spacing w:after="0" w:line="136"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Following the implementation of our current business and operating strategy in late 2017 and our acquisition by the Apollo Funds in 2018, we recorded a net loss of approximately $3.9 million, net income of approximately $46.1 million, a net loss of approximately $367 thousand and net income of approximately $25.9 million for the years ended December 31, 2020 and 2019, the Successor 2018 period and the Predecessor 2018 period, respectively. We cannot assure you that we will be able to achieve or sustain profitability on a quarterly or an annual basis. If we generate losses in the future or are cash flow negative, the market price of our common stock may decline.</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9" w:name="page50"/>
    <w:bookmarkEnd w:id="4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8" w:lineRule="auto"/>
        <w:rPr>
          <w:sz w:val="20"/>
          <w:szCs w:val="20"/>
          <w:color w:val="auto"/>
        </w:rPr>
      </w:pPr>
      <w:r>
        <w:rPr>
          <w:rFonts w:ascii="Arial" w:cs="Arial" w:eastAsia="Arial" w:hAnsi="Arial"/>
          <w:sz w:val="15"/>
          <w:szCs w:val="15"/>
          <w:b w:val="1"/>
          <w:bCs w:val="1"/>
          <w:i w:val="1"/>
          <w:iCs w:val="1"/>
          <w:color w:val="auto"/>
        </w:rPr>
        <w:t>We are subject to various environmental and noise laws and regulations, which could have a material adverse effect on our business, results of operations and financial condition.</w:t>
      </w:r>
    </w:p>
    <w:p>
      <w:pPr>
        <w:spacing w:after="0" w:line="8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99"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3"/>
          <w:szCs w:val="13"/>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 requiring response actions. 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80"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In addition, the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81"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55"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b w:val="1"/>
          <w:bCs w:val="1"/>
          <w:i w:val="1"/>
          <w:iCs w:val="1"/>
          <w:color w:val="auto"/>
        </w:rPr>
        <w:t>Our intellectual property rights, particularly our branding rights, are valuable, and any inability to protect them may adversely affect our business and financial results.</w:t>
      </w:r>
    </w:p>
    <w:p>
      <w:pPr>
        <w:spacing w:after="0" w:line="9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53" w:lineRule="exact"/>
        <w:rPr>
          <w:sz w:val="20"/>
          <w:szCs w:val="20"/>
          <w:color w:val="auto"/>
        </w:rPr>
      </w:pPr>
    </w:p>
    <w:p>
      <w:pPr>
        <w:ind w:left="1160" w:right="1359"/>
        <w:spacing w:after="0" w:line="248" w:lineRule="auto"/>
        <w:rPr>
          <w:sz w:val="20"/>
          <w:szCs w:val="20"/>
          <w:color w:val="auto"/>
        </w:rPr>
      </w:pPr>
      <w:r>
        <w:rPr>
          <w:rFonts w:ascii="Arial" w:cs="Arial" w:eastAsia="Arial" w:hAnsi="Arial"/>
          <w:sz w:val="15"/>
          <w:szCs w:val="15"/>
          <w:b w:val="1"/>
          <w:bCs w:val="1"/>
          <w:i w:val="1"/>
          <w:iCs w:val="1"/>
          <w:color w:val="auto"/>
        </w:rPr>
        <w:t>Negative publicity regarding our customer service could have a material adverse effect on our business, results of operations and financial condition.</w:t>
      </w:r>
    </w:p>
    <w:p>
      <w:pPr>
        <w:spacing w:after="0" w:line="94"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0" w:name="page51"/>
    <w:bookmarkEnd w:id="5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49" w:lineRule="auto"/>
        <w:rPr>
          <w:sz w:val="20"/>
          <w:szCs w:val="20"/>
          <w:color w:val="auto"/>
        </w:rPr>
      </w:pPr>
      <w:r>
        <w:rPr>
          <w:rFonts w:ascii="Arial" w:cs="Arial" w:eastAsia="Arial" w:hAnsi="Arial"/>
          <w:sz w:val="14"/>
          <w:szCs w:val="14"/>
          <w:color w:val="auto"/>
        </w:rPr>
        <w:t>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Finally, we have experienced a significant number of complaints, including letters from lawmakers and attorneys general, concerning non- refundable tickets during the COVID-19 pandemic. If we do not meet our customers’ expectations with respect to reliability and service, our brand and product could be negatively impacted, which could result in customers deciding not to fly with us and adversely affect our business and reputation. We recently entered into agreements for bus service to transport passengers to our MSP hub. If these operators suffer a service problem, safety failure or accident, our brand would be negatively impacted.</w:t>
      </w:r>
    </w:p>
    <w:p>
      <w:pPr>
        <w:spacing w:after="0" w:line="151" w:lineRule="exact"/>
        <w:rPr>
          <w:sz w:val="20"/>
          <w:szCs w:val="20"/>
          <w:color w:val="auto"/>
        </w:rPr>
      </w:pPr>
    </w:p>
    <w:p>
      <w:pPr>
        <w:ind w:left="1160" w:right="1639"/>
        <w:spacing w:after="0" w:line="248" w:lineRule="auto"/>
        <w:rPr>
          <w:sz w:val="20"/>
          <w:szCs w:val="20"/>
          <w:color w:val="auto"/>
        </w:rPr>
      </w:pPr>
      <w:r>
        <w:rPr>
          <w:rFonts w:ascii="Arial" w:cs="Arial" w:eastAsia="Arial" w:hAnsi="Arial"/>
          <w:sz w:val="15"/>
          <w:szCs w:val="15"/>
          <w:b w:val="1"/>
          <w:bCs w:val="1"/>
          <w:i w:val="1"/>
          <w:iCs w:val="1"/>
          <w:color w:val="auto"/>
        </w:rPr>
        <w:t>Our reputation and brand could be harmed if we were to experience significant negative publicity, including through social media.</w:t>
      </w:r>
    </w:p>
    <w:p>
      <w:pPr>
        <w:spacing w:after="0" w:line="83" w:lineRule="exact"/>
        <w:rPr>
          <w:sz w:val="20"/>
          <w:szCs w:val="20"/>
          <w:color w:val="auto"/>
        </w:rPr>
      </w:pPr>
    </w:p>
    <w:p>
      <w:pPr>
        <w:ind w:left="1160" w:right="1259" w:firstLine="293"/>
        <w:spacing w:after="0" w:line="258" w:lineRule="auto"/>
        <w:rPr>
          <w:sz w:val="20"/>
          <w:szCs w:val="20"/>
          <w:color w:val="auto"/>
        </w:rPr>
      </w:pPr>
      <w:r>
        <w:rPr>
          <w:rFonts w:ascii="Arial" w:cs="Arial" w:eastAsia="Arial" w:hAnsi="Arial"/>
          <w:sz w:val="14"/>
          <w:szCs w:val="14"/>
          <w:color w:val="auto"/>
        </w:rPr>
        <w:t>We operate in a public-facing industry with significant exposure to social media. Negative publicity, whether or not justified, can spread rapidly through social media. To the extent that we are unable to respond timely and appropriately to negative publicity, our reputation and brand can be harmed. Damage to our overall reputation and brand could have a negative impact on our financial results.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i w:val="1"/>
          <w:iCs w:val="1"/>
          <w:color w:val="auto"/>
        </w:rPr>
        <w:t>We are highly dependent upon our cash balances, operating cash flows and availability under our Credit Facilities.</w:t>
      </w:r>
    </w:p>
    <w:p>
      <w:pPr>
        <w:spacing w:after="0" w:line="148" w:lineRule="exact"/>
        <w:rPr>
          <w:sz w:val="20"/>
          <w:szCs w:val="20"/>
          <w:color w:val="auto"/>
        </w:rPr>
      </w:pPr>
    </w:p>
    <w:p>
      <w:pPr>
        <w:ind w:left="1160" w:right="1419" w:firstLine="293"/>
        <w:spacing w:after="0" w:line="250" w:lineRule="auto"/>
        <w:rPr>
          <w:sz w:val="20"/>
          <w:szCs w:val="20"/>
          <w:color w:val="auto"/>
        </w:rPr>
      </w:pPr>
      <w:r>
        <w:rPr>
          <w:rFonts w:ascii="Arial" w:cs="Arial" w:eastAsia="Arial" w:hAnsi="Arial"/>
          <w:sz w:val="14"/>
          <w:szCs w:val="14"/>
          <w:color w:val="auto"/>
        </w:rPr>
        <w:t>Our principal sources of liquidity are cash and equivalents and availability under our $25.0 million Revolving Credit Facility and $90.0 million Delayed Draw Term Loan Facility. Our Delayed Draw Term Loan Facility is available only to finance the acquisition of aircraft and engines and is not available for working capital or other general corporate purposes. In March 2021 and April 2021, we borrowed</w:t>
      </w:r>
    </w:p>
    <w:p>
      <w:pPr>
        <w:ind w:left="1160" w:right="1219"/>
        <w:spacing w:after="0" w:line="247" w:lineRule="auto"/>
        <w:rPr>
          <w:sz w:val="20"/>
          <w:szCs w:val="20"/>
          <w:color w:val="auto"/>
        </w:rPr>
      </w:pPr>
      <w:r>
        <w:rPr>
          <w:rFonts w:ascii="Arial" w:cs="Arial" w:eastAsia="Arial" w:hAnsi="Arial"/>
          <w:sz w:val="14"/>
          <w:szCs w:val="14"/>
          <w:color w:val="auto"/>
        </w:rPr>
        <w:t>$68.0 million and $12.5 million, respectively, under the Delayed Draw Term Loan Facility for the purpose of financing the acquisition of six additional aircraft that we previously leased, all of which have been acquired. We are and will continue to be dependent on our operating cash flows and cash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operating leases and fixed obligations. Our inability to meet our obligations as they become due would have a material adverse effect on our business, results of operations and financial condition.</w:t>
      </w:r>
    </w:p>
    <w:p>
      <w:pPr>
        <w:spacing w:after="0" w:line="155" w:lineRule="exact"/>
        <w:rPr>
          <w:sz w:val="20"/>
          <w:szCs w:val="20"/>
          <w:color w:val="auto"/>
        </w:rPr>
      </w:pPr>
    </w:p>
    <w:p>
      <w:pPr>
        <w:ind w:left="1160" w:right="1659"/>
        <w:spacing w:after="0" w:line="390" w:lineRule="auto"/>
        <w:rPr>
          <w:sz w:val="20"/>
          <w:szCs w:val="20"/>
          <w:color w:val="auto"/>
        </w:rPr>
      </w:pPr>
      <w:r>
        <w:rPr>
          <w:rFonts w:ascii="Arial" w:cs="Arial" w:eastAsia="Arial" w:hAnsi="Arial"/>
          <w:sz w:val="12"/>
          <w:szCs w:val="12"/>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24"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2020,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ability to obtain financing or access capital markets may be limited.</w:t>
      </w:r>
    </w:p>
    <w:p>
      <w:pPr>
        <w:spacing w:after="0" w:line="113"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 ability to raise financing or access the capital markets in the future, including our liquidity and</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1" w:name="page52"/>
    <w:bookmarkEnd w:id="5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47" w:lineRule="auto"/>
        <w:rPr>
          <w:sz w:val="20"/>
          <w:szCs w:val="20"/>
          <w:color w:val="auto"/>
        </w:rPr>
      </w:pPr>
      <w:r>
        <w:rPr>
          <w:rFonts w:ascii="Arial" w:cs="Arial" w:eastAsia="Arial" w:hAnsi="Arial"/>
          <w:sz w:val="15"/>
          <w:szCs w:val="15"/>
          <w:color w:val="auto"/>
        </w:rPr>
        <w:t>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162" w:lineRule="exact"/>
        <w:rPr>
          <w:sz w:val="20"/>
          <w:szCs w:val="20"/>
          <w:color w:val="auto"/>
        </w:rPr>
      </w:pPr>
    </w:p>
    <w:p>
      <w:pPr>
        <w:ind w:left="1160" w:right="1299"/>
        <w:spacing w:after="0" w:line="311" w:lineRule="auto"/>
        <w:rPr>
          <w:sz w:val="20"/>
          <w:szCs w:val="20"/>
          <w:color w:val="auto"/>
        </w:rPr>
      </w:pPr>
      <w:r>
        <w:rPr>
          <w:rFonts w:ascii="Arial" w:cs="Arial" w:eastAsia="Arial" w:hAnsi="Arial"/>
          <w:sz w:val="13"/>
          <w:szCs w:val="13"/>
          <w:b w:val="1"/>
          <w:bCs w:val="1"/>
          <w:i w:val="1"/>
          <w:iCs w:val="1"/>
          <w:color w:val="auto"/>
        </w:rPr>
        <w:t>Our maintenance costs will fluctuate over time,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56"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109"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105"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Furthermore, the terms of our lease agreements require us to pay maintenance reserves to the lessor in advance of the performance of major maintenance, resulting in our recording significant prepaid deposits on our balance sheet,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w:t>
      </w:r>
      <w:r>
        <w:rPr>
          <w:rFonts w:ascii="Arial" w:cs="Arial" w:eastAsia="Arial" w:hAnsi="Arial"/>
          <w:sz w:val="14"/>
          <w:szCs w:val="14"/>
          <w:i w:val="1"/>
          <w:iCs w:val="1"/>
          <w:color w:val="auto"/>
        </w:rPr>
        <w:t>Management’s Discussion and Analysis of Financial Condition and Results of</w:t>
      </w:r>
      <w:r>
        <w:rPr>
          <w:rFonts w:ascii="Arial" w:cs="Arial" w:eastAsia="Arial" w:hAnsi="Arial"/>
          <w:sz w:val="14"/>
          <w:szCs w:val="14"/>
          <w:color w:val="auto"/>
        </w:rPr>
        <w:t xml:space="preserve"> </w:t>
      </w:r>
      <w:r>
        <w:rPr>
          <w:rFonts w:ascii="Arial" w:cs="Arial" w:eastAsia="Arial" w:hAnsi="Arial"/>
          <w:sz w:val="14"/>
          <w:szCs w:val="14"/>
          <w:i w:val="1"/>
          <w:iCs w:val="1"/>
          <w:color w:val="auto"/>
        </w:rPr>
        <w:t>Operations—Critical Accounting Policies and Estimates—Aircraft Maintenance.</w:t>
      </w:r>
      <w:r>
        <w:rPr>
          <w:rFonts w:ascii="Arial" w:cs="Arial" w:eastAsia="Arial" w:hAnsi="Arial"/>
          <w:sz w:val="14"/>
          <w:szCs w:val="14"/>
          <w:color w:val="auto"/>
        </w:rPr>
        <w:t>”</w:t>
      </w:r>
    </w:p>
    <w:p>
      <w:pPr>
        <w:spacing w:after="0" w:line="149" w:lineRule="exact"/>
        <w:rPr>
          <w:sz w:val="20"/>
          <w:szCs w:val="20"/>
          <w:color w:val="auto"/>
        </w:rPr>
      </w:pPr>
    </w:p>
    <w:p>
      <w:pPr>
        <w:ind w:left="1160" w:right="1459"/>
        <w:spacing w:after="0" w:line="264" w:lineRule="auto"/>
        <w:rPr>
          <w:sz w:val="20"/>
          <w:szCs w:val="20"/>
          <w:color w:val="auto"/>
        </w:rPr>
      </w:pPr>
      <w:r>
        <w:rPr>
          <w:rFonts w:ascii="Arial" w:cs="Arial" w:eastAsia="Arial" w:hAnsi="Arial"/>
          <w:sz w:val="15"/>
          <w:szCs w:val="15"/>
          <w:b w:val="1"/>
          <w:bCs w:val="1"/>
          <w:i w:val="1"/>
          <w:iCs w:val="1"/>
          <w:color w:val="auto"/>
        </w:rPr>
        <w:t>We have a significant amount of aircraft and other fixed obligations that could impair our liquidity and thereby harm our business, results of operations and financial condition.</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airline business is capital intensive. As of December 31, 2020, our 31 passenger aircraft fleet</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consisted of 12 aircraft financed under operating leases, 5 aircraft financed under finance leases and 14</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aircraft financed under secured debt arrangements. As of December 31, 2020, we had future aircraft and real</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estate operating lease obligations of approximately $163.4 million, future debt principal obligations of</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$285.8 million and future finance lease obligations of approximately $139.1 million. During 2021, based on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aircraft leases and debt structure as of December 31, 2020, we expect to incur obligations of</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$42.0 million related to operating leases, $26.9 million related to debt principal obligations and</w:t>
      </w:r>
    </w:p>
    <w:p>
      <w:pPr>
        <w:spacing w:after="0" w:line="3" w:lineRule="exact"/>
        <w:rPr>
          <w:sz w:val="20"/>
          <w:szCs w:val="20"/>
          <w:color w:val="auto"/>
        </w:rPr>
      </w:pPr>
    </w:p>
    <w:p>
      <w:pPr>
        <w:ind w:left="1160" w:right="1179"/>
        <w:spacing w:after="0" w:line="264" w:lineRule="auto"/>
        <w:rPr>
          <w:sz w:val="20"/>
          <w:szCs w:val="20"/>
          <w:color w:val="auto"/>
        </w:rPr>
      </w:pPr>
      <w:r>
        <w:rPr>
          <w:rFonts w:ascii="Arial" w:cs="Arial" w:eastAsia="Arial" w:hAnsi="Arial"/>
          <w:sz w:val="14"/>
          <w:szCs w:val="14"/>
          <w:color w:val="auto"/>
        </w:rPr>
        <w:t>$17.6 million related to finance lease obligations. Additionally, we made payments for maintenance reserves of $20.7 million for 2020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459" w:hanging="143"/>
        <w:spacing w:after="0" w:line="281" w:lineRule="auto"/>
        <w:tabs>
          <w:tab w:leader="none" w:pos="1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49" w:lineRule="exact"/>
        <w:rPr>
          <w:rFonts w:ascii="Arial" w:cs="Arial" w:eastAsia="Arial" w:hAnsi="Arial"/>
          <w:sz w:val="14"/>
          <w:szCs w:val="14"/>
          <w:color w:val="auto"/>
        </w:rPr>
      </w:pPr>
    </w:p>
    <w:p>
      <w:pPr>
        <w:ind w:left="1600" w:right="1199" w:hanging="143"/>
        <w:spacing w:after="0" w:line="264" w:lineRule="auto"/>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limit our ability to obtain additional financing to support our expansion plans and for working capital and other purposes on acceptable terms or at all;</w:t>
      </w:r>
    </w:p>
    <w:p>
      <w:pPr>
        <w:spacing w:after="0" w:line="60" w:lineRule="exact"/>
        <w:rPr>
          <w:rFonts w:ascii="Arial" w:cs="Arial" w:eastAsia="Arial" w:hAnsi="Arial"/>
          <w:sz w:val="15"/>
          <w:szCs w:val="15"/>
          <w:color w:val="auto"/>
        </w:rPr>
      </w:pPr>
    </w:p>
    <w:p>
      <w:pPr>
        <w:jc w:val="both"/>
        <w:ind w:left="1600" w:right="1239" w:hanging="143"/>
        <w:spacing w:after="0" w:line="281" w:lineRule="auto"/>
        <w:tabs>
          <w:tab w:leader="none" w:pos="1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49" w:lineRule="exact"/>
        <w:rPr>
          <w:rFonts w:ascii="Arial" w:cs="Arial" w:eastAsia="Arial" w:hAnsi="Arial"/>
          <w:sz w:val="14"/>
          <w:szCs w:val="14"/>
          <w:color w:val="auto"/>
        </w:rPr>
      </w:pPr>
    </w:p>
    <w:p>
      <w:pPr>
        <w:ind w:left="1600" w:right="1279" w:hanging="143"/>
        <w:spacing w:after="0" w:line="254" w:lineRule="auto"/>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67" w:lineRule="exact"/>
        <w:rPr>
          <w:rFonts w:ascii="Arial" w:cs="Arial" w:eastAsia="Arial" w:hAnsi="Arial"/>
          <w:sz w:val="15"/>
          <w:szCs w:val="15"/>
          <w:color w:val="auto"/>
        </w:rPr>
      </w:pPr>
    </w:p>
    <w:p>
      <w:pPr>
        <w:ind w:left="1600" w:right="1199" w:hanging="143"/>
        <w:spacing w:after="0" w:line="281" w:lineRule="auto"/>
        <w:tabs>
          <w:tab w:leader="none" w:pos="1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83"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49" w:lineRule="exact"/>
        <w:rPr>
          <w:sz w:val="20"/>
          <w:szCs w:val="20"/>
          <w:color w:val="auto"/>
        </w:rPr>
      </w:pPr>
    </w:p>
    <w:p>
      <w:pPr>
        <w:ind w:left="1160" w:right="1359"/>
        <w:spacing w:after="0" w:line="264" w:lineRule="auto"/>
        <w:rPr>
          <w:sz w:val="20"/>
          <w:szCs w:val="20"/>
          <w:color w:val="auto"/>
        </w:rPr>
      </w:pPr>
      <w:r>
        <w:rPr>
          <w:rFonts w:ascii="Arial" w:cs="Arial" w:eastAsia="Arial" w:hAnsi="Arial"/>
          <w:sz w:val="15"/>
          <w:szCs w:val="15"/>
          <w:b w:val="1"/>
          <w:bCs w:val="1"/>
          <w:i w:val="1"/>
          <w:iCs w:val="1"/>
          <w:color w:val="auto"/>
        </w:rPr>
        <w:t>We depend on a sole-source supplier for the majority of our aircraft parts and any supply disruption could have a material adverse effect on our business.</w:t>
      </w:r>
    </w:p>
    <w:p>
      <w:pPr>
        <w:spacing w:after="0" w:line="82"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 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149" w:lineRule="exact"/>
        <w:rPr>
          <w:sz w:val="20"/>
          <w:szCs w:val="20"/>
          <w:color w:val="auto"/>
        </w:rPr>
      </w:pPr>
    </w:p>
    <w:p>
      <w:pPr>
        <w:jc w:val="both"/>
        <w:ind w:left="1160" w:right="1299"/>
        <w:spacing w:after="0" w:line="311" w:lineRule="auto"/>
        <w:rPr>
          <w:sz w:val="20"/>
          <w:szCs w:val="20"/>
          <w:color w:val="auto"/>
        </w:rPr>
      </w:pPr>
      <w:r>
        <w:rPr>
          <w:rFonts w:ascii="Arial" w:cs="Arial" w:eastAsia="Arial" w:hAnsi="Arial"/>
          <w:sz w:val="13"/>
          <w:szCs w:val="13"/>
          <w:b w:val="1"/>
          <w:bCs w:val="1"/>
          <w:i w:val="1"/>
          <w:iCs w:val="1"/>
          <w:color w:val="auto"/>
        </w:rPr>
        <w:t>Reduction in demand for air transportation, or governmental reduction or limitation of operating capacity, in the domestic United States, Canada, Mexico or Caribbean markets, or a reduction in demand for our charter or cargo operations, could harm our business, results of operations and financial condition.</w:t>
      </w:r>
    </w:p>
    <w:p>
      <w:pPr>
        <w:spacing w:after="0" w:line="67"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A significant portion of our operations are conducted to and from the domestic United States, Canada,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associated with COVID-19,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59"/>
        <w:spacing w:after="0" w:line="264" w:lineRule="auto"/>
        <w:rPr>
          <w:sz w:val="20"/>
          <w:szCs w:val="20"/>
          <w:color w:val="auto"/>
        </w:rPr>
      </w:pPr>
      <w:r>
        <w:rPr>
          <w:rFonts w:ascii="Arial" w:cs="Arial" w:eastAsia="Arial" w:hAnsi="Arial"/>
          <w:sz w:val="14"/>
          <w:szCs w:val="14"/>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73"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4"/>
          <w:szCs w:val="14"/>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 to 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96"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4"/>
          <w:szCs w:val="14"/>
          <w:color w:val="auto"/>
        </w:rPr>
        <w:t>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 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 year, that the FAA issue an order requiring installation of a secondary cockpit barrier on each new aircraft. The FAA Reauthorization Act of 2018 also provides for several other new requirements and rulemakings related to airlines, including but not limited to: (i) prohibition on voice communication cell phone use during certain flights, (ii) insecticide use disclosures, (iii) new training policy best practices for training regarding racial, ethnic, and religious non-discrimination, (iv) training on human trafficking for certain staff, (v) departure gate stroller check-in,</w:t>
      </w:r>
    </w:p>
    <w:p>
      <w:pPr>
        <w:spacing w:after="0" w:line="6" w:lineRule="exact"/>
        <w:rPr>
          <w:sz w:val="20"/>
          <w:szCs w:val="20"/>
          <w:color w:val="auto"/>
        </w:rPr>
      </w:pPr>
    </w:p>
    <w:p>
      <w:pPr>
        <w:ind w:left="1160" w:right="1199" w:firstLine="4"/>
        <w:spacing w:after="0" w:line="246" w:lineRule="auto"/>
        <w:tabs>
          <w:tab w:leader="none" w:pos="1423"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protection of pets on airplanes and service animal standards, (vii) requirements to refund promptly to passengers any ancillary fees paid for services not received, (viii) consumer complaint process improvements, (ix) pregnant passenger assistance, (x) restrictions on the ability to deny a revenue passenger permission to board or involuntarily remove such passenger from the aircraft, (xi) minimum customer service standards for large ticket agents, (xii) information publishing requirements for widespread disruptions and passenger rights, (xiii) submission of plans pertaining to employee and contractor training consistent with the Airline Passengers with Disabilities Bill of Rights, (xiv) ensuring assistance for passengers with disabilities, (xv) flight attendant duty period limitations and rest requirements, including submission of a fatigue risk management plan, (xvi) submission of policy concerning passenger sexual misconduct and (xvii) development of Employee Assault Prevention and Response Plan related to the customer service agents. Furthermore, in September 2019, the FAA published an Advance Notice of Proposed Rulemaking regarding flight attendant duty period limitations and rest requirements. The DOT also published a Notice of Proposed Rulemaking in January 2020 regarding, for example,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4" w:name="page55"/>
    <w:bookmarkEnd w:id="5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9" w:lineRule="auto"/>
        <w:rPr>
          <w:sz w:val="20"/>
          <w:szCs w:val="20"/>
          <w:color w:val="auto"/>
        </w:rPr>
      </w:pPr>
      <w:r>
        <w:rPr>
          <w:rFonts w:ascii="Arial" w:cs="Arial" w:eastAsia="Arial" w:hAnsi="Arial"/>
          <w:sz w:val="14"/>
          <w:szCs w:val="14"/>
          <w:color w:val="auto"/>
        </w:rPr>
        <w:t>information on request to qualified individuals with a disability or persons inquiring on their behalf, on the carrier’s website, and in printed or electronic form on the aircraft concerning the accessibility of aircraft lavatories. The DOT also recently published Final Rules regarding traveling by air with service animals and defining unfair or deceptive practices. The DOT also recently published a Final Rule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 the liability limit for mishandled baggage in domestic air transportation. Failure to remain in full compliance with these rules may subject us to fines or other enforcement action. FAR Part 117 and the minimum pilot hour requirements may also reduce our ability to meet flight crew staffing requirements.</w:t>
      </w:r>
    </w:p>
    <w:p>
      <w:pPr>
        <w:spacing w:after="0" w:line="151" w:lineRule="exact"/>
        <w:rPr>
          <w:sz w:val="20"/>
          <w:szCs w:val="20"/>
          <w:color w:val="auto"/>
        </w:rPr>
      </w:pPr>
    </w:p>
    <w:p>
      <w:pPr>
        <w:ind w:left="1160" w:right="1239"/>
        <w:spacing w:after="0" w:line="370" w:lineRule="auto"/>
        <w:rPr>
          <w:sz w:val="20"/>
          <w:szCs w:val="20"/>
          <w:color w:val="auto"/>
        </w:rPr>
      </w:pPr>
      <w:r>
        <w:rPr>
          <w:rFonts w:ascii="Arial" w:cs="Arial" w:eastAsia="Arial" w:hAnsi="Arial"/>
          <w:sz w:val="12"/>
          <w:szCs w:val="12"/>
          <w:b w:val="1"/>
          <w:bCs w:val="1"/>
          <w:i w:val="1"/>
          <w:iCs w:val="1"/>
          <w:color w:val="auto"/>
        </w:rPr>
        <w:t>We cannot assure you that compliance with these and other laws, regulations, orders, rulings and guidance will not have a material adverse effect on our business, results of operations and financial condition.</w:t>
      </w:r>
    </w:p>
    <w:p>
      <w:pPr>
        <w:spacing w:after="0" w:line="14" w:lineRule="exact"/>
        <w:rPr>
          <w:sz w:val="20"/>
          <w:szCs w:val="20"/>
          <w:color w:val="auto"/>
        </w:rPr>
      </w:pPr>
    </w:p>
    <w:p>
      <w:pPr>
        <w:ind w:left="1160" w:right="1359" w:firstLine="293"/>
        <w:spacing w:after="0" w:line="258" w:lineRule="auto"/>
        <w:rPr>
          <w:sz w:val="20"/>
          <w:szCs w:val="20"/>
          <w:color w:val="auto"/>
        </w:rPr>
      </w:pPr>
      <w:r>
        <w:rPr>
          <w:rFonts w:ascii="Arial" w:cs="Arial" w:eastAsia="Arial" w:hAnsi="Arial"/>
          <w:sz w:val="14"/>
          <w:szCs w:val="14"/>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88"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10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 Please see “</w:t>
      </w:r>
      <w:r>
        <w:rPr>
          <w:rFonts w:ascii="Arial" w:cs="Arial" w:eastAsia="Arial" w:hAnsi="Arial"/>
          <w:sz w:val="14"/>
          <w:szCs w:val="14"/>
          <w:i w:val="1"/>
          <w:iCs w:val="1"/>
          <w:color w:val="auto"/>
        </w:rPr>
        <w:t>Business—Foreign Ownership</w:t>
      </w:r>
      <w:r>
        <w:rPr>
          <w:rFonts w:ascii="Arial" w:cs="Arial" w:eastAsia="Arial" w:hAnsi="Arial"/>
          <w:sz w:val="14"/>
          <w:szCs w:val="14"/>
          <w:color w:val="auto"/>
        </w:rPr>
        <w:t>.”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90"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w:t>
      </w:r>
      <w:r>
        <w:rPr>
          <w:rFonts w:ascii="Arial" w:cs="Arial" w:eastAsia="Arial" w:hAnsi="Arial"/>
          <w:sz w:val="14"/>
          <w:szCs w:val="14"/>
          <w:i w:val="1"/>
          <w:iCs w:val="1"/>
          <w:color w:val="auto"/>
        </w:rPr>
        <w:t>Business—Government Regulation</w:t>
      </w:r>
      <w:r>
        <w:rPr>
          <w:rFonts w:ascii="Arial" w:cs="Arial" w:eastAsia="Arial" w:hAnsi="Arial"/>
          <w:sz w:val="14"/>
          <w:szCs w:val="14"/>
          <w:color w:val="auto"/>
        </w:rPr>
        <w:t>.”</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business could be materially adversely affected if we lose the services of our key personnel.</w:t>
      </w:r>
    </w:p>
    <w:p>
      <w:pPr>
        <w:spacing w:after="0" w:line="136" w:lineRule="exact"/>
        <w:rPr>
          <w:sz w:val="20"/>
          <w:szCs w:val="20"/>
          <w:color w:val="auto"/>
        </w:rPr>
      </w:pPr>
    </w:p>
    <w:p>
      <w:pPr>
        <w:ind w:left="1160" w:right="1399" w:firstLine="293"/>
        <w:spacing w:after="0" w:line="294" w:lineRule="auto"/>
        <w:rPr>
          <w:sz w:val="20"/>
          <w:szCs w:val="20"/>
          <w:color w:val="auto"/>
        </w:rPr>
      </w:pPr>
      <w:r>
        <w:rPr>
          <w:rFonts w:ascii="Arial" w:cs="Arial" w:eastAsia="Arial" w:hAnsi="Arial"/>
          <w:sz w:val="13"/>
          <w:szCs w:val="13"/>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9" w:lineRule="auto"/>
        <w:rPr>
          <w:sz w:val="20"/>
          <w:szCs w:val="20"/>
          <w:color w:val="auto"/>
        </w:rPr>
      </w:pPr>
      <w:r>
        <w:rPr>
          <w:rFonts w:ascii="Arial" w:cs="Arial" w:eastAsia="Arial" w:hAnsi="Arial"/>
          <w:sz w:val="15"/>
          <w:szCs w:val="15"/>
          <w:color w:val="auto"/>
        </w:rPr>
        <w:t>and Chief Financial Officer. The CARES Act places limitations on pay for these key positions.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60" w:lineRule="exact"/>
        <w:rPr>
          <w:sz w:val="20"/>
          <w:szCs w:val="20"/>
          <w:color w:val="auto"/>
        </w:rPr>
      </w:pPr>
    </w:p>
    <w:p>
      <w:pPr>
        <w:ind w:left="1160" w:right="1399"/>
        <w:spacing w:after="0" w:line="341" w:lineRule="auto"/>
        <w:rPr>
          <w:sz w:val="20"/>
          <w:szCs w:val="20"/>
          <w:color w:val="auto"/>
        </w:rPr>
      </w:pPr>
      <w:r>
        <w:rPr>
          <w:rFonts w:ascii="Arial" w:cs="Arial" w:eastAsia="Arial" w:hAnsi="Arial"/>
          <w:sz w:val="13"/>
          <w:szCs w:val="13"/>
          <w:b w:val="1"/>
          <w:bCs w:val="1"/>
          <w:i w:val="1"/>
          <w:iCs w:val="1"/>
          <w:color w:val="auto"/>
        </w:rPr>
        <w:t>The requirements of being a public company may strain our resources, divert management’s attention and affect our ability to attract and retain qualified board members or executive officers.</w:t>
      </w:r>
    </w:p>
    <w:p>
      <w:pPr>
        <w:spacing w:after="0" w:line="37"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As a public company, we will incur significant legal, accounting and other expenses that we did not incur as a private company, including costs associated with public company reporting requirements and maintaining liability insurance for our directors and officers, which have increased in recent years. We also have incurred and will incur costs associated with the Sarbanes-Oxley Act of 2002, as amended, or the Sarbanes-Oxley Act, the Dodd-Frank Act, related rules implemented or to be implemented by the Securities and Exchange Commission, or the SEC, and Nasdaq’s listing rules.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our board committees or as our executive officers and may divert management’s attention. Furthermore, if we are unable to satisfy our obligations as a public company, our common stock could be delisted, and we could be subject to fines, sanctions and other regulatory action and potentially civil litigation.</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quarterly results of operations fluctuate due to a number of factors, including seasonality.</w:t>
      </w:r>
    </w:p>
    <w:p>
      <w:pPr>
        <w:spacing w:after="0" w:line="136" w:lineRule="exact"/>
        <w:rPr>
          <w:sz w:val="20"/>
          <w:szCs w:val="20"/>
          <w:color w:val="auto"/>
        </w:rPr>
      </w:pPr>
    </w:p>
    <w:p>
      <w:pPr>
        <w:ind w:left="1160" w:right="1199" w:firstLine="293"/>
        <w:spacing w:after="0" w:line="289" w:lineRule="auto"/>
        <w:rPr>
          <w:sz w:val="20"/>
          <w:szCs w:val="20"/>
          <w:color w:val="auto"/>
        </w:rPr>
      </w:pPr>
      <w:r>
        <w:rPr>
          <w:rFonts w:ascii="Arial" w:cs="Arial" w:eastAsia="Arial" w:hAnsi="Arial"/>
          <w:sz w:val="13"/>
          <w:szCs w:val="13"/>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month-to-month comparisons of our key operating statistics may not be reliable indicators of our future performance. Seasonality may cause our quarterly and monthly results to fluctuate since historically our passengers tend to fly more during the winter months and less in the summer and fall months. We cannot assure you that we will find profitable markets in which to operate during the off-peak season. Lower demand for air travel during the fall and other off-peak months could have a material adverse effect on our business, results of operations and financial condition.</w:t>
      </w:r>
    </w:p>
    <w:p>
      <w:pPr>
        <w:spacing w:after="0" w:line="138" w:lineRule="exact"/>
        <w:rPr>
          <w:sz w:val="20"/>
          <w:szCs w:val="20"/>
          <w:color w:val="auto"/>
        </w:rPr>
      </w:pPr>
    </w:p>
    <w:p>
      <w:pPr>
        <w:ind w:left="1160" w:right="1439"/>
        <w:spacing w:after="0" w:line="264" w:lineRule="auto"/>
        <w:rPr>
          <w:sz w:val="20"/>
          <w:szCs w:val="20"/>
          <w:color w:val="auto"/>
        </w:rPr>
      </w:pPr>
      <w:r>
        <w:rPr>
          <w:rFonts w:ascii="Arial" w:cs="Arial" w:eastAsia="Arial" w:hAnsi="Arial"/>
          <w:sz w:val="15"/>
          <w:szCs w:val="15"/>
          <w:b w:val="1"/>
          <w:bCs w:val="1"/>
          <w:i w:val="1"/>
          <w:iCs w:val="1"/>
          <w:color w:val="auto"/>
        </w:rPr>
        <w:t>We may not realize any or all of our estimated cost savings, which would have a negative effect on our results of operations.</w:t>
      </w:r>
    </w:p>
    <w:p>
      <w:pPr>
        <w:spacing w:after="0" w:line="93"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As part of our business strategy, we expect to implement certain operational improvements and cost savings initiatives. Any cost savings that we realize from such efforts may differ materially from our estimates. The estimates contained herein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 set forth herein.</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become involved in litigation that may materially adversely affect us.</w:t>
      </w:r>
    </w:p>
    <w:p>
      <w:pPr>
        <w:spacing w:after="0" w:line="113" w:lineRule="exact"/>
        <w:rPr>
          <w:sz w:val="20"/>
          <w:szCs w:val="20"/>
          <w:color w:val="auto"/>
        </w:rPr>
      </w:pPr>
    </w:p>
    <w:p>
      <w:pPr>
        <w:ind w:left="1160" w:right="1179" w:firstLine="293"/>
        <w:spacing w:after="0" w:line="231" w:lineRule="auto"/>
        <w:rPr>
          <w:sz w:val="20"/>
          <w:szCs w:val="20"/>
          <w:color w:val="auto"/>
        </w:rPr>
      </w:pPr>
      <w:r>
        <w:rPr>
          <w:rFonts w:ascii="Arial" w:cs="Arial" w:eastAsia="Arial" w:hAnsi="Arial"/>
          <w:sz w:val="15"/>
          <w:szCs w:val="15"/>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 abroad involving airline consumer complaints. We have in the past faced, and may face in the future, claims by third parties that we have violated a passenger’s rights.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Indebtedness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Credit Agreement contains restrictions that limit our flexibility.</w:t>
      </w:r>
    </w:p>
    <w:p>
      <w:pPr>
        <w:spacing w:after="0" w:line="124" w:lineRule="exact"/>
        <w:rPr>
          <w:sz w:val="20"/>
          <w:szCs w:val="20"/>
          <w:color w:val="auto"/>
        </w:rPr>
      </w:pPr>
    </w:p>
    <w:p>
      <w:pPr>
        <w:jc w:val="both"/>
        <w:ind w:left="1160" w:right="1399" w:firstLine="293"/>
        <w:spacing w:after="0" w:line="239" w:lineRule="auto"/>
        <w:rPr>
          <w:sz w:val="20"/>
          <w:szCs w:val="20"/>
          <w:color w:val="auto"/>
        </w:rPr>
      </w:pPr>
      <w:r>
        <w:rPr>
          <w:rFonts w:ascii="Arial" w:cs="Arial" w:eastAsia="Arial" w:hAnsi="Arial"/>
          <w:sz w:val="15"/>
          <w:szCs w:val="15"/>
          <w:color w:val="auto"/>
        </w:rPr>
        <w:t>The Credit Agreement contains, and any future indebtedness of ours could also contain, a number of covenants that impose significant operating and financial restrictions on us, including restrictions on our and our subsidiaries’ ability to, among other things:</w:t>
      </w:r>
    </w:p>
    <w:p>
      <w:pPr>
        <w:spacing w:after="0" w:line="67" w:lineRule="exact"/>
        <w:rPr>
          <w:sz w:val="20"/>
          <w:szCs w:val="20"/>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incur additional debt, guarantee indebtedness, or issue certain preferred equity interests;</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pay dividends on or make distributions in respect of, or repurchase or redeem, our capital stock, or make other restricted payments;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prepay, redeem, or repurchase certain debt;</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make loans or certain investments;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sell certain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create liens on certain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consolidate, merge, sell, or otherwise dispose of all or substantially all of our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enter into certain transactions with our affiliates;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alter the businesses we conduct;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enter into agreements restricting our subsidiaries’ ability to pay dividends; and</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designate our subsidiaries as unrestricted subsidiaries.</w:t>
      </w:r>
    </w:p>
    <w:p>
      <w:pPr>
        <w:spacing w:after="0" w:line="124"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90" w:lineRule="exact"/>
        <w:rPr>
          <w:sz w:val="20"/>
          <w:szCs w:val="20"/>
          <w:color w:val="auto"/>
        </w:rPr>
      </w:pPr>
    </w:p>
    <w:p>
      <w:pPr>
        <w:ind w:left="1160" w:right="1399" w:firstLine="293"/>
        <w:spacing w:after="0" w:line="236" w:lineRule="auto"/>
        <w:rPr>
          <w:sz w:val="20"/>
          <w:szCs w:val="20"/>
          <w:color w:val="auto"/>
        </w:rPr>
      </w:pPr>
      <w:r>
        <w:rPr>
          <w:rFonts w:ascii="Arial" w:cs="Arial" w:eastAsia="Arial" w:hAnsi="Arial"/>
          <w:sz w:val="15"/>
          <w:szCs w:val="15"/>
          <w:color w:val="auto"/>
        </w:rPr>
        <w:t>Our Delayed Draw Term Loan Facility is available solely to finance the acquisition of aircraft and engines and is not available for working capital or other general corporate purposes. As a result, only the $25.0 million Revolving Credit Facility portion of the Credit Facilities may be available for general corporate purposes and as a general source of liquidity.</w:t>
      </w:r>
    </w:p>
    <w:p>
      <w:pPr>
        <w:spacing w:after="0" w:line="157" w:lineRule="exact"/>
        <w:rPr>
          <w:sz w:val="20"/>
          <w:szCs w:val="20"/>
          <w:color w:val="auto"/>
        </w:rPr>
      </w:pPr>
    </w:p>
    <w:p>
      <w:pPr>
        <w:ind w:left="1160" w:right="1479"/>
        <w:spacing w:after="0" w:line="239" w:lineRule="auto"/>
        <w:rPr>
          <w:sz w:val="20"/>
          <w:szCs w:val="20"/>
          <w:color w:val="auto"/>
        </w:rPr>
      </w:pPr>
      <w:r>
        <w:rPr>
          <w:rFonts w:ascii="Arial" w:cs="Arial" w:eastAsia="Arial" w:hAnsi="Arial"/>
          <w:sz w:val="15"/>
          <w:szCs w:val="15"/>
          <w:b w:val="1"/>
          <w:bCs w:val="1"/>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89"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4"/>
          <w:szCs w:val="14"/>
          <w:color w:val="auto"/>
        </w:rPr>
        <w:t>Under the Payroll Support Program, Treasury provided us an aggregate of $62.3 million in Payroll Support Payments from April 21, 2020 to October 1, 2020, a $16.1 million Payroll Support Payment on February 2, 2021, $16.1 million in grants on March 26, 2021, $4.8 million in grants on April 22, 2021 and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68" w:lineRule="auto"/>
        <w:rPr>
          <w:sz w:val="20"/>
          <w:szCs w:val="20"/>
          <w:color w:val="auto"/>
        </w:rPr>
      </w:pPr>
      <w:r>
        <w:rPr>
          <w:rFonts w:ascii="Arial" w:cs="Arial" w:eastAsia="Arial" w:hAnsi="Arial"/>
          <w:sz w:val="14"/>
          <w:szCs w:val="14"/>
          <w:color w:val="auto"/>
        </w:rPr>
        <w:t>an additional $17.3 million grant on April 29, 2021 and $17.2 million grant on May 27, 2021 under Payroll Support Program 3. Additionally, on October 26, 2020, we entered into the CARES Act Loan Agreement with Treasury under the aviation direct loan program of the CARES Act. Pursuant to the CARES Act Loan Agreement, Treasury agreed to extend loans to us in an aggregate principal amount of $45.0 million, subject to specified terms, which was due to be repaid on the earlier of (i) October 24, 2025 or (ii) six months prior to the expiration date of any material loyalty program securing the loan. See Notes 3 and 8 to our audited consolidated financial statements included herein for more information.</w:t>
      </w:r>
    </w:p>
    <w:p>
      <w:pPr>
        <w:spacing w:after="0" w:line="82"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 We used a portion of the proceeds from our initial public offering to repay in full all amounts outstanding under the CARES Act Loan on March 24, 2021.</w:t>
      </w:r>
    </w:p>
    <w:p>
      <w:pPr>
        <w:spacing w:after="0" w:line="97"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4"/>
          <w:szCs w:val="14"/>
          <w:color w:val="auto"/>
        </w:rPr>
        <w:t>The substance and duration of restrictions to which we are subject under the grants and/or loans under the CARES Act, including, but not limited to, those outlined above, will materially affect our operations, and we may not be successful in managing these impacts. Further, these restrictions could limit our ability to take actions that we otherwise might have determined to be in the best interests of our company and our stockholders. In particular, limitations on executive compensation may impact our ability to retain senior management or other key employees during this critical time.</w:t>
      </w:r>
    </w:p>
    <w:p>
      <w:pPr>
        <w:spacing w:after="0" w:line="93"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We cannot predict whether the assistance under any of these programs will be adequate to support our business for the duration of the COVID-19 pandemic or whether additional assistance will be required or available in the future. Future governmental programs in which we participate may include similar or other restrictions on the operation of our business. There can be no assurances that additional grants will be available or that we will qualify for future programs.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this Offering and Ownership of Our Common Stock</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Our stock price may fluctuate significantly and purchasers of our common stock could incur substantial losses.</w:t>
      </w:r>
    </w:p>
    <w:p>
      <w:pPr>
        <w:spacing w:after="0" w:line="148" w:lineRule="exact"/>
        <w:rPr>
          <w:sz w:val="20"/>
          <w:szCs w:val="20"/>
          <w:color w:val="auto"/>
        </w:rPr>
      </w:pPr>
    </w:p>
    <w:p>
      <w:pPr>
        <w:jc w:val="both"/>
        <w:ind w:left="1160" w:right="1219" w:firstLine="293"/>
        <w:spacing w:after="0" w:line="251" w:lineRule="auto"/>
        <w:rPr>
          <w:sz w:val="20"/>
          <w:szCs w:val="20"/>
          <w:color w:val="auto"/>
        </w:rPr>
      </w:pPr>
      <w:r>
        <w:rPr>
          <w:rFonts w:ascii="Arial" w:cs="Arial" w:eastAsia="Arial" w:hAnsi="Arial"/>
          <w:sz w:val="15"/>
          <w:szCs w:val="15"/>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69" w:lineRule="exact"/>
        <w:rPr>
          <w:sz w:val="20"/>
          <w:szCs w:val="20"/>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operating and financial performance and prospects;</w:t>
      </w:r>
    </w:p>
    <w:p>
      <w:pPr>
        <w:spacing w:after="0" w:line="91" w:lineRule="exact"/>
        <w:rPr>
          <w:rFonts w:ascii="Arial" w:cs="Arial" w:eastAsia="Arial" w:hAnsi="Arial"/>
          <w:sz w:val="15"/>
          <w:szCs w:val="15"/>
          <w:color w:val="auto"/>
        </w:rPr>
      </w:pPr>
    </w:p>
    <w:p>
      <w:pPr>
        <w:ind w:left="1600" w:right="1359" w:hanging="143"/>
        <w:spacing w:after="0" w:line="25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quarterly variations in the rate of growth (if any) of our financial or operational indicators, such as earnings per share, net income, revenues, Adjusted Net Income (Loss), Adjusted EBITDAR and Adjusted CASM;</w:t>
      </w:r>
    </w:p>
    <w:p>
      <w:pPr>
        <w:spacing w:after="0" w:line="67"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public reaction to our press releases, our other public announcements and our filings with the SEC;</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strategic actions by our competitors;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operating performance and the stock market valuations of other companies;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announcements related to litigation;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failure to meet revenue or earnings estimates made by research analysts or other investors;</w:t>
      </w:r>
    </w:p>
    <w:p>
      <w:pPr>
        <w:spacing w:after="0" w:line="102" w:lineRule="exact"/>
        <w:rPr>
          <w:rFonts w:ascii="Arial" w:cs="Arial" w:eastAsia="Arial" w:hAnsi="Arial"/>
          <w:sz w:val="14"/>
          <w:szCs w:val="14"/>
          <w:color w:val="auto"/>
        </w:rPr>
      </w:pPr>
    </w:p>
    <w:p>
      <w:pPr>
        <w:ind w:left="1600" w:right="1279" w:hanging="143"/>
        <w:spacing w:after="0" w:line="264"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revenue or earnings estimates, or changes in recommendations or withdrawal of research coverage, by equity research analysts;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speculation in the press or investment community;</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sales of our common stock by us or our stockholders, or the perception that such sales may occur;</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in accounting principles, policies, guidance, interpretations, or standards;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additions or departures of key management personnel;</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actions by our stockholders;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general economic and market conditions;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COVID-19 pandemic and its effects;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domestic and international economic, legal and regulatory factors unrelated to our performance;</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material weakness in our internal control over financial reporting; and</w:t>
      </w:r>
    </w:p>
    <w:p>
      <w:pPr>
        <w:spacing w:after="0" w:line="80" w:lineRule="exact"/>
        <w:rPr>
          <w:rFonts w:ascii="Arial" w:cs="Arial" w:eastAsia="Arial" w:hAnsi="Arial"/>
          <w:sz w:val="15"/>
          <w:szCs w:val="15"/>
          <w:color w:val="auto"/>
        </w:rPr>
      </w:pPr>
    </w:p>
    <w:p>
      <w:pPr>
        <w:ind w:left="1600" w:right="1619" w:hanging="143"/>
        <w:spacing w:after="0" w:line="264" w:lineRule="auto"/>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realization of any risks described under this “Risk Factors” section, or other risks that may materialize in the future.</w:t>
      </w:r>
    </w:p>
    <w:p>
      <w:pPr>
        <w:spacing w:after="0" w:line="93"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33" w:lineRule="exact"/>
        <w:rPr>
          <w:sz w:val="20"/>
          <w:szCs w:val="20"/>
          <w:color w:val="auto"/>
        </w:rPr>
      </w:pPr>
    </w:p>
    <w:p>
      <w:pPr>
        <w:ind w:left="1160" w:right="1559"/>
        <w:spacing w:after="0" w:line="470" w:lineRule="auto"/>
        <w:rPr>
          <w:sz w:val="20"/>
          <w:szCs w:val="20"/>
          <w:color w:val="auto"/>
        </w:rPr>
      </w:pPr>
      <w:r>
        <w:rPr>
          <w:rFonts w:ascii="Arial" w:cs="Arial" w:eastAsia="Arial" w:hAnsi="Arial"/>
          <w:sz w:val="10"/>
          <w:szCs w:val="10"/>
          <w:b w:val="1"/>
          <w:bCs w:val="1"/>
          <w:i w:val="1"/>
          <w:iCs w:val="1"/>
          <w:color w:val="auto"/>
        </w:rPr>
        <w:t>We are an “emerging growth company,” and will be able take advantage of reduced disclosure requirements applicable to “emerging growth companies,” which could make our common stock less attractive to investors.</w:t>
      </w:r>
    </w:p>
    <w:p>
      <w:pPr>
        <w:ind w:left="1460"/>
        <w:spacing w:after="0"/>
        <w:rPr>
          <w:sz w:val="20"/>
          <w:szCs w:val="20"/>
          <w:color w:val="auto"/>
        </w:rPr>
      </w:pPr>
      <w:r>
        <w:rPr>
          <w:rFonts w:ascii="Arial" w:cs="Arial" w:eastAsia="Arial" w:hAnsi="Arial"/>
          <w:sz w:val="14"/>
          <w:szCs w:val="14"/>
          <w:color w:val="auto"/>
        </w:rPr>
        <w:t>We are an “emerging growth company,” as defined in the JOBS Act, and, for as long as we continue to</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be an “emerging growth company,” we intend to take advantage of certain exemptions from various</w:t>
      </w:r>
    </w:p>
    <w:p>
      <w:pPr>
        <w:ind w:left="1160"/>
        <w:spacing w:after="0"/>
        <w:rPr>
          <w:sz w:val="20"/>
          <w:szCs w:val="20"/>
          <w:color w:val="auto"/>
        </w:rPr>
      </w:pPr>
      <w:r>
        <w:rPr>
          <w:rFonts w:ascii="Arial" w:cs="Arial" w:eastAsia="Arial" w:hAnsi="Arial"/>
          <w:sz w:val="14"/>
          <w:szCs w:val="14"/>
          <w:color w:val="auto"/>
        </w:rPr>
        <w:t>reporting requirements applicable to other public companies but not to “emerging growth companies.”</w:t>
      </w:r>
    </w:p>
    <w:p>
      <w:pPr>
        <w:ind w:left="1160"/>
        <w:spacing w:after="0" w:line="234" w:lineRule="auto"/>
        <w:rPr>
          <w:sz w:val="20"/>
          <w:szCs w:val="20"/>
          <w:color w:val="auto"/>
        </w:rPr>
      </w:pPr>
      <w:r>
        <w:rPr>
          <w:rFonts w:ascii="Arial" w:cs="Arial" w:eastAsia="Arial" w:hAnsi="Arial"/>
          <w:sz w:val="15"/>
          <w:szCs w:val="15"/>
          <w:color w:val="auto"/>
        </w:rPr>
        <w:t>These exemptions include not being required to comply with the auditor attestation requirements of</w:t>
      </w:r>
    </w:p>
    <w:p>
      <w:pPr>
        <w:ind w:left="1160"/>
        <w:spacing w:after="0"/>
        <w:rPr>
          <w:sz w:val="20"/>
          <w:szCs w:val="20"/>
          <w:color w:val="auto"/>
        </w:rPr>
      </w:pPr>
      <w:r>
        <w:rPr>
          <w:rFonts w:ascii="Arial" w:cs="Arial" w:eastAsia="Arial" w:hAnsi="Arial"/>
          <w:sz w:val="13"/>
          <w:szCs w:val="13"/>
          <w:color w:val="auto"/>
        </w:rPr>
        <w:t>Section 404(b) of the Sarbanes-Oxley Act, reduced disclosure obligations regarding executive compensation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 our periodic reports and proxy statements, and exemptions from the requirements of holding a non-</w:t>
      </w:r>
    </w:p>
    <w:p>
      <w:pPr>
        <w:ind w:left="1160"/>
        <w:spacing w:after="0" w:line="234" w:lineRule="auto"/>
        <w:rPr>
          <w:sz w:val="20"/>
          <w:szCs w:val="20"/>
          <w:color w:val="auto"/>
        </w:rPr>
      </w:pPr>
      <w:r>
        <w:rPr>
          <w:rFonts w:ascii="Arial" w:cs="Arial" w:eastAsia="Arial" w:hAnsi="Arial"/>
          <w:sz w:val="15"/>
          <w:szCs w:val="15"/>
          <w:color w:val="auto"/>
        </w:rPr>
        <w:t>binding advisory vote on executive compensation and stockholder approval of any golden parachute</w:t>
      </w:r>
    </w:p>
    <w:p>
      <w:pPr>
        <w:ind w:left="1160"/>
        <w:spacing w:after="0"/>
        <w:rPr>
          <w:sz w:val="20"/>
          <w:szCs w:val="20"/>
          <w:color w:val="auto"/>
        </w:rPr>
      </w:pPr>
      <w:r>
        <w:rPr>
          <w:rFonts w:ascii="Arial" w:cs="Arial" w:eastAsia="Arial" w:hAnsi="Arial"/>
          <w:sz w:val="14"/>
          <w:szCs w:val="14"/>
          <w:color w:val="auto"/>
        </w:rPr>
        <w:t>payments not previously approved. We could be an “emerging growth company” until the earliest of (i)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last day of the first fiscal year in which our annual gross revenues exceed $1.07 billion, (ii) the date that we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become a “large accelerated filer” as defined in Rule 12b-2 under the Exchange Act, which would occur at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the end of our most recently completed fiscal year if the market value of our common stock that is held by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non-affiliates exceeds $700 million as of the last business day of our most recently completed second fiscal</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quarter, we have been required to file annual and quarterly report under the Exchange Act for a period of at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least 12 months and we have filed at least one annual report pursuant to the Exchange Act, (iii) the last day</w:t>
      </w:r>
    </w:p>
    <w:p>
      <w:pPr>
        <w:ind w:left="1160"/>
        <w:spacing w:after="0" w:line="234" w:lineRule="auto"/>
        <w:rPr>
          <w:sz w:val="20"/>
          <w:szCs w:val="20"/>
          <w:color w:val="auto"/>
        </w:rPr>
      </w:pPr>
      <w:r>
        <w:rPr>
          <w:rFonts w:ascii="Arial" w:cs="Arial" w:eastAsia="Arial" w:hAnsi="Arial"/>
          <w:sz w:val="15"/>
          <w:szCs w:val="15"/>
          <w:color w:val="auto"/>
        </w:rPr>
        <w:t>of our fiscal year ending December 31, 2026, and (iv) the date on which we have issued more than</w:t>
      </w:r>
    </w:p>
    <w:p>
      <w:pPr>
        <w:ind w:left="1160" w:right="1179"/>
        <w:spacing w:after="0" w:line="250" w:lineRule="auto"/>
        <w:rPr>
          <w:sz w:val="20"/>
          <w:szCs w:val="20"/>
          <w:color w:val="auto"/>
        </w:rPr>
      </w:pPr>
      <w:r>
        <w:rPr>
          <w:rFonts w:ascii="Arial" w:cs="Arial" w:eastAsia="Arial" w:hAnsi="Arial"/>
          <w:sz w:val="14"/>
          <w:szCs w:val="14"/>
          <w:color w:val="auto"/>
        </w:rPr>
        <w:t>$1 billion in non- convertible debt during the preceding three- 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149" w:lineRule="exact"/>
        <w:rPr>
          <w:sz w:val="20"/>
          <w:szCs w:val="20"/>
          <w:color w:val="auto"/>
        </w:rPr>
      </w:pPr>
    </w:p>
    <w:p>
      <w:pPr>
        <w:ind w:left="1160" w:right="1739"/>
        <w:spacing w:after="0" w:line="323" w:lineRule="auto"/>
        <w:rPr>
          <w:sz w:val="20"/>
          <w:szCs w:val="20"/>
          <w:color w:val="auto"/>
        </w:rPr>
      </w:pPr>
      <w:r>
        <w:rPr>
          <w:rFonts w:ascii="Arial" w:cs="Arial" w:eastAsia="Arial" w:hAnsi="Arial"/>
          <w:sz w:val="13"/>
          <w:szCs w:val="13"/>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37"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As a public company, we have and will continue to incur significant legal, accounting and other expenses. For example, we are required to comply with the requirements of Section 404(a) of the Sarbanes-Oxley Act and the Dodd -Frank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9" w:lineRule="auto"/>
        <w:rPr>
          <w:sz w:val="20"/>
          <w:szCs w:val="20"/>
          <w:color w:val="auto"/>
        </w:rPr>
      </w:pPr>
      <w:r>
        <w:rPr>
          <w:rFonts w:ascii="Arial" w:cs="Arial" w:eastAsia="Arial" w:hAnsi="Arial"/>
          <w:sz w:val="14"/>
          <w:szCs w:val="14"/>
          <w:color w:val="auto"/>
        </w:rPr>
        <w:t>costly. 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w:t>
      </w:r>
    </w:p>
    <w:p>
      <w:pPr>
        <w:spacing w:after="0" w:line="83" w:lineRule="exact"/>
        <w:rPr>
          <w:sz w:val="20"/>
          <w:szCs w:val="20"/>
          <w:color w:val="auto"/>
        </w:rPr>
      </w:pPr>
    </w:p>
    <w:p>
      <w:pPr>
        <w:ind w:left="1160" w:right="1339" w:firstLine="293"/>
        <w:spacing w:after="0" w:line="252" w:lineRule="auto"/>
        <w:rPr>
          <w:sz w:val="20"/>
          <w:szCs w:val="20"/>
          <w:color w:val="auto"/>
        </w:rPr>
      </w:pPr>
      <w:r>
        <w:rPr>
          <w:rFonts w:ascii="Arial" w:cs="Arial" w:eastAsia="Arial" w:hAnsi="Arial"/>
          <w:sz w:val="14"/>
          <w:szCs w:val="14"/>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91" w:lineRule="exact"/>
        <w:rPr>
          <w:sz w:val="20"/>
          <w:szCs w:val="20"/>
          <w:color w:val="auto"/>
        </w:rPr>
      </w:pPr>
    </w:p>
    <w:p>
      <w:pPr>
        <w:ind w:left="1160" w:right="1499" w:firstLine="293"/>
        <w:spacing w:after="0" w:line="248" w:lineRule="auto"/>
        <w:rPr>
          <w:sz w:val="20"/>
          <w:szCs w:val="20"/>
          <w:color w:val="auto"/>
        </w:rPr>
      </w:pPr>
      <w:r>
        <w:rPr>
          <w:rFonts w:ascii="Arial" w:cs="Arial" w:eastAsia="Arial" w:hAnsi="Arial"/>
          <w:sz w:val="15"/>
          <w:szCs w:val="15"/>
          <w:color w:val="auto"/>
        </w:rPr>
        <w:t>Under the JOBS Act, “emerging growth companies” can delay adopting new or revised accounting standards until such time as those standards apply to private companies.</w:t>
      </w:r>
    </w:p>
    <w:p>
      <w:pPr>
        <w:spacing w:after="0" w:line="94"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91"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We cannot predict or estimate the amount of additional costs we may incur as a result of becoming a public company or the timing and materiality of such costs.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are continuing to improve our internal control over financial reporting.</w:t>
      </w:r>
    </w:p>
    <w:p>
      <w:pPr>
        <w:spacing w:after="0" w:line="124"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ending December 31, 2026. At such time, our internal control over financial reporting may be insufficiently documented, designed or operating, which may cause our independent registered public accounting firm to issue a report that is adverse.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Our certificate of incorporation and bylaws include provisions limiting ownership and voting by non-U.S. citizens.</w:t>
      </w:r>
    </w:p>
    <w:p>
      <w:pPr>
        <w:spacing w:after="0" w:line="14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35" w:lineRule="auto"/>
        <w:rPr>
          <w:sz w:val="20"/>
          <w:szCs w:val="20"/>
          <w:color w:val="auto"/>
        </w:rPr>
      </w:pPr>
      <w:r>
        <w:rPr>
          <w:rFonts w:ascii="Arial" w:cs="Arial" w:eastAsia="Arial" w:hAnsi="Arial"/>
          <w:sz w:val="15"/>
          <w:szCs w:val="15"/>
          <w:color w:val="auto"/>
        </w:rPr>
        <w:t>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89" w:lineRule="exact"/>
        <w:rPr>
          <w:sz w:val="20"/>
          <w:szCs w:val="20"/>
          <w:color w:val="auto"/>
        </w:rPr>
      </w:pPr>
    </w:p>
    <w:p>
      <w:pPr>
        <w:ind w:left="1160" w:right="1399" w:firstLine="293"/>
        <w:spacing w:after="0" w:line="254" w:lineRule="auto"/>
        <w:rPr>
          <w:sz w:val="20"/>
          <w:szCs w:val="20"/>
          <w:color w:val="auto"/>
        </w:rPr>
      </w:pPr>
      <w:r>
        <w:rPr>
          <w:rFonts w:ascii="Arial" w:cs="Arial" w:eastAsia="Arial" w:hAnsi="Arial"/>
          <w:sz w:val="14"/>
          <w:szCs w:val="14"/>
          <w:color w:val="auto"/>
        </w:rPr>
        <w:t>In addition, only U.S. citizens may purchase shares in this offering. By participating in this offering, you will be deemed to represent that you are a citizen of the United States, as defined in 49 U.S.C.</w:t>
      </w:r>
    </w:p>
    <w:p>
      <w:pPr>
        <w:spacing w:after="0" w:line="1" w:lineRule="exact"/>
        <w:rPr>
          <w:sz w:val="20"/>
          <w:szCs w:val="20"/>
          <w:color w:val="auto"/>
        </w:rPr>
      </w:pPr>
    </w:p>
    <w:p>
      <w:pPr>
        <w:ind w:left="1160" w:right="1219" w:firstLine="4"/>
        <w:spacing w:after="0" w:line="233" w:lineRule="auto"/>
        <w:tabs>
          <w:tab w:leader="none" w:pos="1276" w:val="left"/>
        </w:tabs>
        <w:numPr>
          <w:ilvl w:val="0"/>
          <w:numId w:val="28"/>
        </w:numPr>
        <w:rPr>
          <w:rFonts w:ascii="Arial" w:cs="Arial" w:eastAsia="Arial" w:hAnsi="Arial"/>
          <w:sz w:val="15"/>
          <w:szCs w:val="15"/>
          <w:color w:val="auto"/>
        </w:rPr>
      </w:pPr>
      <w:r>
        <w:rPr>
          <w:rFonts w:ascii="Arial" w:cs="Arial" w:eastAsia="Arial" w:hAnsi="Arial"/>
          <w:sz w:val="15"/>
          <w:szCs w:val="15"/>
          <w:color w:val="auto"/>
        </w:rPr>
        <w:t>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156" w:lineRule="exact"/>
        <w:rPr>
          <w:sz w:val="20"/>
          <w:szCs w:val="20"/>
          <w:color w:val="auto"/>
        </w:rPr>
      </w:pPr>
    </w:p>
    <w:p>
      <w:pPr>
        <w:ind w:left="1160" w:right="1259"/>
        <w:spacing w:after="0" w:line="248" w:lineRule="auto"/>
        <w:rPr>
          <w:sz w:val="20"/>
          <w:szCs w:val="20"/>
          <w:color w:val="auto"/>
        </w:rPr>
      </w:pPr>
      <w:r>
        <w:rPr>
          <w:rFonts w:ascii="Arial" w:cs="Arial" w:eastAsia="Arial" w:hAnsi="Arial"/>
          <w:sz w:val="15"/>
          <w:szCs w:val="15"/>
          <w:b w:val="1"/>
          <w:bCs w:val="1"/>
          <w:i w:val="1"/>
          <w:iCs w:val="1"/>
          <w:color w:val="auto"/>
        </w:rPr>
        <w:t>The Apollo Stockholder has significant influence over us, and Apollo’s interests may conflict with our interests and the interests of other stockholders.</w:t>
      </w:r>
    </w:p>
    <w:p>
      <w:pPr>
        <w:spacing w:after="0" w:line="94"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Following this offering, the Apollo Stockholder will beneficially own approximately 43.6% of the voting power of our outstanding common equity (or approximately 42.0% if the underwriters exercise their option to purchase additional shares in full). As a result, although the Apollo Stockholder will beneficially own less than 50% of our outstanding common equity, individuals affiliated with Apollo will continue to have significant influence over the outcome of votes on all matters requiring approval by our stockholders, including the election of directors,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w:t>
      </w:r>
    </w:p>
    <w:p>
      <w:pPr>
        <w:spacing w:after="0" w:line="156" w:lineRule="exact"/>
        <w:rPr>
          <w:sz w:val="20"/>
          <w:szCs w:val="20"/>
          <w:color w:val="auto"/>
        </w:rPr>
      </w:pPr>
    </w:p>
    <w:p>
      <w:pPr>
        <w:ind w:left="1160" w:right="1279"/>
        <w:spacing w:after="0" w:line="239" w:lineRule="auto"/>
        <w:rPr>
          <w:sz w:val="20"/>
          <w:szCs w:val="20"/>
          <w:color w:val="auto"/>
        </w:rPr>
      </w:pPr>
      <w:r>
        <w:rPr>
          <w:rFonts w:ascii="Arial" w:cs="Arial" w:eastAsia="Arial" w:hAnsi="Arial"/>
          <w:sz w:val="15"/>
          <w:szCs w:val="15"/>
          <w:b w:val="1"/>
          <w:bCs w:val="1"/>
          <w:i w:val="1"/>
          <w:iCs w:val="1"/>
          <w:color w:val="auto"/>
        </w:rPr>
        <w:t>Although we will not be a “controlled company” within the meaning of Nasdaq’s rules upon the completion of this offering, during a one-year transition period, we may continue to rely on exemptions from certain corporate governance requirements.</w:t>
      </w:r>
    </w:p>
    <w:p>
      <w:pPr>
        <w:spacing w:after="0" w:line="100"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The Apollo Stockholder currently controls a majority of the voting power of our outstanding voting stock and, as a result, we are a “controlled company” within the meaning of Nasdaq’s corporate governance standards. Following this offering, the Apollo Stockholder will no longer control more than 50% of the voting power of our outstanding voting stock and, consequently, we will no longer be a “controlled company.” As a result, we will be subject to additional corporate governance requirements, including the requirements that:</w:t>
      </w:r>
    </w:p>
    <w:p>
      <w:pPr>
        <w:spacing w:after="0" w:line="57" w:lineRule="exact"/>
        <w:rPr>
          <w:sz w:val="20"/>
          <w:szCs w:val="20"/>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majority of the board of directors consist of independent directors;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nominating and corporate governance committee be composed entirely of independent directors;</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 and</w:t>
      </w:r>
    </w:p>
    <w:p>
      <w:pPr>
        <w:spacing w:after="0" w:line="80" w:lineRule="exact"/>
        <w:rPr>
          <w:rFonts w:ascii="Arial" w:cs="Arial" w:eastAsia="Arial" w:hAnsi="Arial"/>
          <w:sz w:val="15"/>
          <w:szCs w:val="15"/>
          <w:color w:val="auto"/>
        </w:rPr>
      </w:pPr>
    </w:p>
    <w:p>
      <w:pPr>
        <w:ind w:left="1600" w:right="1799" w:hanging="143"/>
        <w:spacing w:after="0" w:line="26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be an annual performance evaluation of the nominating and corporate governance and compensation committees.</w:t>
      </w:r>
    </w:p>
    <w:p>
      <w:pPr>
        <w:spacing w:after="0" w:line="82" w:lineRule="exact"/>
        <w:rPr>
          <w:sz w:val="20"/>
          <w:szCs w:val="20"/>
          <w:color w:val="auto"/>
        </w:rPr>
      </w:pPr>
    </w:p>
    <w:p>
      <w:pPr>
        <w:ind w:left="1160" w:right="1679" w:firstLine="293"/>
        <w:spacing w:after="0" w:line="323" w:lineRule="auto"/>
        <w:rPr>
          <w:sz w:val="20"/>
          <w:szCs w:val="20"/>
          <w:color w:val="auto"/>
        </w:rPr>
      </w:pPr>
      <w:r>
        <w:rPr>
          <w:rFonts w:ascii="Arial" w:cs="Arial" w:eastAsia="Arial" w:hAnsi="Arial"/>
          <w:sz w:val="13"/>
          <w:szCs w:val="13"/>
          <w:color w:val="auto"/>
        </w:rPr>
        <w:t>The Nasdaq rules provide for phase-in periods for these requirements (including that each such committee consist of a majority of independent directors within 90 days of the consummation of this</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9" w:lineRule="auto"/>
        <w:rPr>
          <w:sz w:val="20"/>
          <w:szCs w:val="20"/>
          <w:color w:val="auto"/>
        </w:rPr>
      </w:pPr>
      <w:r>
        <w:rPr>
          <w:rFonts w:ascii="Arial" w:cs="Arial" w:eastAsia="Arial" w:hAnsi="Arial"/>
          <w:sz w:val="14"/>
          <w:szCs w:val="14"/>
          <w:color w:val="auto"/>
        </w:rPr>
        <w:t>offering), but we must be fully compliant with the requirements within one year of the date on which we cease to be a “controlled company.” Currently, we do not have a majority of independent directors on our board of directors and only one of the three members of each of our nominating and corporate governance committee and our compensation committee are independent. During this transition period, our stockholders may not have the same protections afforded to stockholders of companies that are subject to all of the Nasdaq corporate governance requirements and the ability of our independent directors to influence our business policies and affairs may be reduced. In addition, we may not be able to attract and retain the number of independent directors needed to comply with Nasdaq rules during the transition period. To the extent this offering is not completed, we will remain a “controlled company” for Nasdaq purposes and our corporate governance practices will remain unchanged.</w:t>
      </w:r>
    </w:p>
    <w:p>
      <w:pPr>
        <w:spacing w:after="0" w:line="153" w:lineRule="exact"/>
        <w:rPr>
          <w:sz w:val="20"/>
          <w:szCs w:val="20"/>
          <w:color w:val="auto"/>
        </w:rPr>
      </w:pPr>
    </w:p>
    <w:p>
      <w:pPr>
        <w:ind w:left="1160" w:right="1559"/>
        <w:spacing w:after="0" w:line="248" w:lineRule="auto"/>
        <w:rPr>
          <w:sz w:val="20"/>
          <w:szCs w:val="20"/>
          <w:color w:val="auto"/>
        </w:rPr>
      </w:pPr>
      <w:r>
        <w:rPr>
          <w:rFonts w:ascii="Arial" w:cs="Arial" w:eastAsia="Arial" w:hAnsi="Arial"/>
          <w:sz w:val="15"/>
          <w:szCs w:val="15"/>
          <w:b w:val="1"/>
          <w:bCs w:val="1"/>
          <w:i w:val="1"/>
          <w:iCs w:val="1"/>
          <w:color w:val="auto"/>
        </w:rPr>
        <w:t>Our organizational documents may impede or discourage a takeover, which could deprive our investors of the opportunity to receive a premium on their shares.</w:t>
      </w:r>
    </w:p>
    <w:p>
      <w:pPr>
        <w:spacing w:after="0" w:line="83" w:lineRule="exact"/>
        <w:rPr>
          <w:sz w:val="20"/>
          <w:szCs w:val="20"/>
          <w:color w:val="auto"/>
        </w:rPr>
      </w:pPr>
    </w:p>
    <w:p>
      <w:pPr>
        <w:jc w:val="both"/>
        <w:ind w:left="1160" w:right="1379" w:firstLine="293"/>
        <w:spacing w:after="0" w:line="239" w:lineRule="auto"/>
        <w:rPr>
          <w:sz w:val="20"/>
          <w:szCs w:val="20"/>
          <w:color w:val="auto"/>
        </w:rPr>
      </w:pPr>
      <w:r>
        <w:rPr>
          <w:rFonts w:ascii="Arial" w:cs="Arial" w:eastAsia="Arial" w:hAnsi="Arial"/>
          <w:sz w:val="15"/>
          <w:szCs w:val="15"/>
          <w:color w:val="auto"/>
        </w:rPr>
        <w:t>Provisions of our certificate of incorporation and bylaws may make it more difficult for, or prevent a third-party from, acquiring control of us without the approval of our board of directors. These provisions include:</w:t>
      </w:r>
    </w:p>
    <w:p>
      <w:pPr>
        <w:spacing w:after="0" w:line="67" w:lineRule="exact"/>
        <w:rPr>
          <w:sz w:val="20"/>
          <w:szCs w:val="20"/>
          <w:color w:val="auto"/>
        </w:rPr>
      </w:pPr>
    </w:p>
    <w:p>
      <w:pPr>
        <w:ind w:left="1600" w:right="1359" w:hanging="143"/>
        <w:spacing w:after="0" w:line="264"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providing that our board of directors will be divided into three classes, with each class of directors serving staggered three-year terms;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prohibiting cumulative voting in the election of directors;</w:t>
      </w:r>
    </w:p>
    <w:p>
      <w:pPr>
        <w:spacing w:after="0" w:line="80" w:lineRule="exact"/>
        <w:rPr>
          <w:rFonts w:ascii="Arial" w:cs="Arial" w:eastAsia="Arial" w:hAnsi="Arial"/>
          <w:sz w:val="15"/>
          <w:szCs w:val="15"/>
          <w:color w:val="auto"/>
        </w:rPr>
      </w:pPr>
    </w:p>
    <w:p>
      <w:pPr>
        <w:ind w:left="1600" w:right="1239" w:hanging="143"/>
        <w:spacing w:after="0" w:line="249"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providing for the removal of directors only for cause and only upon the affirmative vote of the holders of at least 66 2⁄3% in voting power of all the then-outstanding shares of stock of the Company entitled to vote thereon, voting together as a single class, if less than 50.1% of the voting power of our outstanding common stock is beneficially owned by Apollo and its affiliates, including the Apollo Stockholder;</w:t>
      </w:r>
    </w:p>
    <w:p>
      <w:pPr>
        <w:spacing w:after="0" w:line="72" w:lineRule="exact"/>
        <w:rPr>
          <w:rFonts w:ascii="Arial" w:cs="Arial" w:eastAsia="Arial" w:hAnsi="Arial"/>
          <w:sz w:val="15"/>
          <w:szCs w:val="15"/>
          <w:color w:val="auto"/>
        </w:rPr>
      </w:pPr>
    </w:p>
    <w:p>
      <w:pPr>
        <w:ind w:left="1600" w:right="1299" w:hanging="143"/>
        <w:spacing w:after="0" w:line="281" w:lineRule="auto"/>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empowering only the board of directors to fill any vacancy on our board of directors (other than in respect of an Apollo Director or an Amazon Director, if any (each as defined below)), whether such vacancy occurs as a result of an increase in the number of directors or otherwise;</w:t>
      </w:r>
    </w:p>
    <w:p>
      <w:pPr>
        <w:spacing w:after="0" w:line="49" w:lineRule="exact"/>
        <w:rPr>
          <w:rFonts w:ascii="Arial" w:cs="Arial" w:eastAsia="Arial" w:hAnsi="Arial"/>
          <w:sz w:val="14"/>
          <w:szCs w:val="14"/>
          <w:color w:val="auto"/>
        </w:rPr>
      </w:pPr>
    </w:p>
    <w:p>
      <w:pPr>
        <w:ind w:left="1600" w:right="1959" w:hanging="143"/>
        <w:spacing w:after="0" w:line="264"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authorizing the issuance of “blank check” preferred stock without any need for action by stockholders;</w:t>
      </w:r>
    </w:p>
    <w:p>
      <w:pPr>
        <w:spacing w:after="0" w:line="60" w:lineRule="exact"/>
        <w:rPr>
          <w:rFonts w:ascii="Arial" w:cs="Arial" w:eastAsia="Arial" w:hAnsi="Arial"/>
          <w:sz w:val="15"/>
          <w:szCs w:val="15"/>
          <w:color w:val="auto"/>
        </w:rPr>
      </w:pPr>
    </w:p>
    <w:p>
      <w:pPr>
        <w:ind w:left="1600" w:right="1199" w:hanging="143"/>
        <w:spacing w:after="0" w:line="254"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prohibiting stockholders from acting by written consent if less than 50.1% of the voting power of our outstanding common stock is beneficially owned by Apollo and its affiliates, including the Apollo Stockholder;</w:t>
      </w:r>
    </w:p>
    <w:p>
      <w:pPr>
        <w:spacing w:after="0" w:line="67" w:lineRule="exact"/>
        <w:rPr>
          <w:rFonts w:ascii="Arial" w:cs="Arial" w:eastAsia="Arial" w:hAnsi="Arial"/>
          <w:sz w:val="15"/>
          <w:szCs w:val="15"/>
          <w:color w:val="auto"/>
        </w:rPr>
      </w:pPr>
    </w:p>
    <w:p>
      <w:pPr>
        <w:ind w:left="1600" w:right="1239" w:hanging="143"/>
        <w:spacing w:after="0" w:line="254"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67" w:lineRule="exact"/>
        <w:rPr>
          <w:rFonts w:ascii="Arial" w:cs="Arial" w:eastAsia="Arial" w:hAnsi="Arial"/>
          <w:sz w:val="15"/>
          <w:szCs w:val="15"/>
          <w:color w:val="auto"/>
        </w:rPr>
      </w:pPr>
    </w:p>
    <w:p>
      <w:pPr>
        <w:ind w:left="1600" w:right="1199" w:hanging="143"/>
        <w:spacing w:after="0" w:line="300" w:lineRule="auto"/>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establishing advance notice requirements for nominations for election to our board of directors or for proposing matters that can be acted on by stockholders at stockholder meetings.</w:t>
      </w:r>
    </w:p>
    <w:p>
      <w:pPr>
        <w:spacing w:after="0" w:line="59"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 situations as described below in “</w:t>
      </w:r>
      <w:r>
        <w:rPr>
          <w:rFonts w:ascii="Arial" w:cs="Arial" w:eastAsia="Arial" w:hAnsi="Arial"/>
          <w:sz w:val="15"/>
          <w:szCs w:val="15"/>
          <w:i w:val="1"/>
          <w:iCs w:val="1"/>
          <w:color w:val="auto"/>
        </w:rPr>
        <w:t>Description of Capital Stock—Certain Corporate Anti-takeover Provisions</w:t>
      </w:r>
      <w:r>
        <w:rPr>
          <w:rFonts w:ascii="Arial" w:cs="Arial" w:eastAsia="Arial" w:hAnsi="Arial"/>
          <w:sz w:val="15"/>
          <w:szCs w:val="15"/>
          <w:color w:val="auto"/>
        </w:rPr>
        <w:t xml:space="preserve"> </w:t>
      </w:r>
      <w:r>
        <w:rPr>
          <w:rFonts w:ascii="Arial" w:cs="Arial" w:eastAsia="Arial" w:hAnsi="Arial"/>
          <w:sz w:val="15"/>
          <w:szCs w:val="15"/>
          <w:i w:val="1"/>
          <w:iCs w:val="1"/>
          <w:color w:val="auto"/>
        </w:rPr>
        <w:t>—Delaware Takeover Statute</w:t>
      </w:r>
      <w:r>
        <w:rPr>
          <w:rFonts w:ascii="Arial" w:cs="Arial" w:eastAsia="Arial" w:hAnsi="Arial"/>
          <w:sz w:val="15"/>
          <w:szCs w:val="15"/>
          <w:color w:val="auto"/>
        </w:rPr>
        <w:t>”.</w:t>
      </w:r>
    </w:p>
    <w:p>
      <w:pPr>
        <w:spacing w:after="0" w:line="103" w:lineRule="exact"/>
        <w:rPr>
          <w:sz w:val="20"/>
          <w:szCs w:val="20"/>
          <w:color w:val="auto"/>
        </w:rPr>
      </w:pPr>
    </w:p>
    <w:p>
      <w:pPr>
        <w:ind w:left="1160" w:right="1199" w:firstLine="293"/>
        <w:spacing w:after="0" w:line="284" w:lineRule="auto"/>
        <w:rPr>
          <w:sz w:val="20"/>
          <w:szCs w:val="20"/>
          <w:color w:val="auto"/>
        </w:rPr>
      </w:pPr>
      <w:r>
        <w:rPr>
          <w:rFonts w:ascii="Arial" w:cs="Arial" w:eastAsia="Arial" w:hAnsi="Arial"/>
          <w:sz w:val="13"/>
          <w:szCs w:val="13"/>
          <w:color w:val="auto"/>
        </w:rPr>
        <w:t>Any issuance by us of preferred stock could delay or prevent a change in control of us. Our board of directors will have the authority to cause us to issue, without any further vote or action by the stockholders, shares of preferred stock, par value $ 0.01 per share, in one or more series, to designate the number of shares constituting any series, and to fix the rights, preferences, privileges, and restrictions thereof, including</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36" w:lineRule="auto"/>
        <w:rPr>
          <w:sz w:val="20"/>
          <w:szCs w:val="20"/>
          <w:color w:val="auto"/>
        </w:rPr>
      </w:pPr>
      <w:r>
        <w:rPr>
          <w:rFonts w:ascii="Arial" w:cs="Arial" w:eastAsia="Arial" w:hAnsi="Arial"/>
          <w:sz w:val="15"/>
          <w:szCs w:val="15"/>
          <w:color w:val="auto"/>
        </w:rPr>
        <w:t>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91"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In addition, our Stockholders Agreement also requires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w:t>
      </w:r>
      <w:r>
        <w:rPr>
          <w:rFonts w:ascii="Arial" w:cs="Arial" w:eastAsia="Arial" w:hAnsi="Arial"/>
          <w:sz w:val="15"/>
          <w:szCs w:val="15"/>
          <w:i w:val="1"/>
          <w:iCs w:val="1"/>
          <w:color w:val="auto"/>
        </w:rPr>
        <w:t>Description of Capital Stock—Certain Corporate Anti-takeover Provisions—Certain Matters that</w:t>
      </w:r>
      <w:r>
        <w:rPr>
          <w:rFonts w:ascii="Arial" w:cs="Arial" w:eastAsia="Arial" w:hAnsi="Arial"/>
          <w:sz w:val="15"/>
          <w:szCs w:val="15"/>
          <w:color w:val="auto"/>
        </w:rPr>
        <w:t xml:space="preserve"> </w:t>
      </w:r>
      <w:r>
        <w:rPr>
          <w:rFonts w:ascii="Arial" w:cs="Arial" w:eastAsia="Arial" w:hAnsi="Arial"/>
          <w:sz w:val="15"/>
          <w:szCs w:val="15"/>
          <w:i w:val="1"/>
          <w:iCs w:val="1"/>
          <w:color w:val="auto"/>
        </w:rPr>
        <w:t>Require Consent of Our Stockholders</w:t>
      </w:r>
      <w:r>
        <w:rPr>
          <w:rFonts w:ascii="Arial" w:cs="Arial" w:eastAsia="Arial" w:hAnsi="Arial"/>
          <w:sz w:val="15"/>
          <w:szCs w:val="15"/>
          <w:color w:val="auto"/>
        </w:rPr>
        <w:t>”.</w:t>
      </w:r>
    </w:p>
    <w:p>
      <w:pPr>
        <w:spacing w:after="0" w:line="102"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66"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Arial" w:cs="Arial" w:eastAsia="Arial" w:hAnsi="Arial"/>
          <w:sz w:val="15"/>
          <w:szCs w:val="15"/>
          <w:i w:val="1"/>
          <w:iCs w:val="1"/>
          <w:color w:val="auto"/>
        </w:rPr>
        <w:t>Description of Capital Stock—Certain Corporate Anti-takeover</w:t>
      </w:r>
      <w:r>
        <w:rPr>
          <w:rFonts w:ascii="Arial" w:cs="Arial" w:eastAsia="Arial" w:hAnsi="Arial"/>
          <w:sz w:val="15"/>
          <w:szCs w:val="15"/>
          <w:color w:val="auto"/>
        </w:rPr>
        <w:t xml:space="preserve"> </w:t>
      </w:r>
      <w:r>
        <w:rPr>
          <w:rFonts w:ascii="Arial" w:cs="Arial" w:eastAsia="Arial" w:hAnsi="Arial"/>
          <w:sz w:val="15"/>
          <w:szCs w:val="15"/>
          <w:i w:val="1"/>
          <w:iCs w:val="1"/>
          <w:color w:val="auto"/>
        </w:rPr>
        <w:t>Provisions.</w:t>
      </w:r>
      <w:r>
        <w:rPr>
          <w:rFonts w:ascii="Arial" w:cs="Arial" w:eastAsia="Arial" w:hAnsi="Arial"/>
          <w:sz w:val="15"/>
          <w:szCs w:val="15"/>
          <w:color w:val="auto"/>
        </w:rPr>
        <w:t>”</w:t>
      </w:r>
    </w:p>
    <w:p>
      <w:pPr>
        <w:spacing w:after="0" w:line="157" w:lineRule="exact"/>
        <w:rPr>
          <w:sz w:val="20"/>
          <w:szCs w:val="20"/>
          <w:color w:val="auto"/>
        </w:rPr>
      </w:pPr>
    </w:p>
    <w:p>
      <w:pPr>
        <w:ind w:left="1160" w:right="1279"/>
        <w:spacing w:after="0" w:line="418" w:lineRule="auto"/>
        <w:rPr>
          <w:sz w:val="20"/>
          <w:szCs w:val="20"/>
          <w:color w:val="auto"/>
        </w:rPr>
      </w:pPr>
      <w:r>
        <w:rPr>
          <w:rFonts w:ascii="Arial" w:cs="Arial" w:eastAsia="Arial" w:hAnsi="Arial"/>
          <w:sz w:val="10"/>
          <w:szCs w:val="10"/>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3"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w:t>
      </w:r>
    </w:p>
    <w:p>
      <w:pPr>
        <w:ind w:left="1160" w:right="1199" w:firstLine="4"/>
        <w:spacing w:after="0" w:line="246" w:lineRule="auto"/>
        <w:tabs>
          <w:tab w:leader="none" w:pos="1434"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of 1933, as amended, or the Securities Act, or the Securities Exchange Act of 1934, as amended,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05"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3" w:name="page64"/>
    <w:bookmarkEnd w:id="6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71" w:lineRule="auto"/>
        <w:rPr>
          <w:sz w:val="20"/>
          <w:szCs w:val="20"/>
          <w:color w:val="auto"/>
        </w:rPr>
      </w:pPr>
      <w:r>
        <w:rPr>
          <w:rFonts w:ascii="Arial" w:cs="Arial" w:eastAsia="Arial" w:hAnsi="Arial"/>
          <w:sz w:val="14"/>
          <w:szCs w:val="14"/>
          <w:color w:val="auto"/>
        </w:rPr>
        <w:t>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46" w:lineRule="exact"/>
        <w:rPr>
          <w:sz w:val="20"/>
          <w:szCs w:val="20"/>
          <w:color w:val="auto"/>
        </w:rPr>
      </w:pPr>
    </w:p>
    <w:p>
      <w:pPr>
        <w:ind w:left="1160" w:right="1359"/>
        <w:spacing w:after="0" w:line="264" w:lineRule="auto"/>
        <w:rPr>
          <w:sz w:val="20"/>
          <w:szCs w:val="20"/>
          <w:color w:val="auto"/>
        </w:rPr>
      </w:pPr>
      <w:r>
        <w:rPr>
          <w:rFonts w:ascii="Arial" w:cs="Arial" w:eastAsia="Arial" w:hAnsi="Arial"/>
          <w:sz w:val="15"/>
          <w:szCs w:val="15"/>
          <w:b w:val="1"/>
          <w:bCs w:val="1"/>
          <w:i w:val="1"/>
          <w:iCs w:val="1"/>
          <w:color w:val="auto"/>
        </w:rPr>
        <w:t>Our certificate of incorporation contains a provision renouncing our interest and expectancy in certain corporate opportunities.</w:t>
      </w:r>
    </w:p>
    <w:p>
      <w:pPr>
        <w:spacing w:after="0" w:line="82" w:lineRule="exact"/>
        <w:rPr>
          <w:sz w:val="20"/>
          <w:szCs w:val="20"/>
          <w:color w:val="auto"/>
        </w:rPr>
      </w:pPr>
    </w:p>
    <w:p>
      <w:pPr>
        <w:ind w:left="1160" w:right="1179" w:firstLine="293"/>
        <w:spacing w:after="0" w:line="263" w:lineRule="auto"/>
        <w:rPr>
          <w:sz w:val="20"/>
          <w:szCs w:val="20"/>
          <w:color w:val="auto"/>
        </w:rPr>
      </w:pPr>
      <w:r>
        <w:rPr>
          <w:rFonts w:ascii="Arial" w:cs="Arial" w:eastAsia="Arial" w:hAnsi="Arial"/>
          <w:sz w:val="14"/>
          <w:szCs w:val="14"/>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 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eight members, two of whom are Apollo Directors. For so long as Amazon holds the 2019 Warrants or any shares of common stock issued upon exercise of the 2019 Warrants and the ATSA remains in effect, Amazon will have the right to nominate a member or an observer to our board of directors. As of the date of this prospectus,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w:t>
      </w:r>
      <w:r>
        <w:rPr>
          <w:rFonts w:ascii="Arial" w:cs="Arial" w:eastAsia="Arial" w:hAnsi="Arial"/>
          <w:sz w:val="14"/>
          <w:szCs w:val="14"/>
          <w:i w:val="1"/>
          <w:iCs w:val="1"/>
          <w:color w:val="auto"/>
        </w:rPr>
        <w:t>Description of Capital Stock—Corporate Opportunity</w:t>
      </w:r>
      <w:r>
        <w:rPr>
          <w:rFonts w:ascii="Arial" w:cs="Arial" w:eastAsia="Arial" w:hAnsi="Arial"/>
          <w:sz w:val="14"/>
          <w:szCs w:val="14"/>
          <w:color w:val="auto"/>
        </w:rPr>
        <w:t>.”</w:t>
      </w:r>
    </w:p>
    <w:p>
      <w:pPr>
        <w:spacing w:after="0" w:line="156" w:lineRule="exact"/>
        <w:rPr>
          <w:sz w:val="20"/>
          <w:szCs w:val="20"/>
          <w:color w:val="auto"/>
        </w:rPr>
      </w:pPr>
    </w:p>
    <w:p>
      <w:pPr>
        <w:ind w:left="1160" w:right="1479"/>
        <w:spacing w:after="0" w:line="264" w:lineRule="auto"/>
        <w:rPr>
          <w:sz w:val="20"/>
          <w:szCs w:val="20"/>
          <w:color w:val="auto"/>
        </w:rPr>
      </w:pPr>
      <w:r>
        <w:rPr>
          <w:rFonts w:ascii="Arial" w:cs="Arial" w:eastAsia="Arial" w:hAnsi="Arial"/>
          <w:sz w:val="15"/>
          <w:szCs w:val="15"/>
          <w:b w:val="1"/>
          <w:bCs w:val="1"/>
          <w:i w:val="1"/>
          <w:iCs w:val="1"/>
          <w:color w:val="auto"/>
        </w:rPr>
        <w:t>We are a holding company and rely on dividends, distributions, and other payments, advances, and transfers of funds from our subsidiaries to meet our obligations.</w:t>
      </w:r>
    </w:p>
    <w:p>
      <w:pPr>
        <w:spacing w:after="0" w:line="93"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the CARES Act and the Credit Agreement, impose restrictions on our subsidiaries’ ability to pay dividends or other distributions to us. </w:t>
      </w:r>
      <w:r>
        <w:rPr>
          <w:rFonts w:ascii="Arial" w:cs="Arial" w:eastAsia="Arial" w:hAnsi="Arial"/>
          <w:sz w:val="14"/>
          <w:szCs w:val="14"/>
          <w:i w:val="1"/>
          <w:iCs w:val="1"/>
          <w:color w:val="auto"/>
        </w:rPr>
        <w:t>See</w:t>
      </w:r>
      <w:r>
        <w:rPr>
          <w:rFonts w:ascii="Arial" w:cs="Arial" w:eastAsia="Arial" w:hAnsi="Arial"/>
          <w:sz w:val="14"/>
          <w:szCs w:val="14"/>
          <w:color w:val="auto"/>
        </w:rPr>
        <w:t xml:space="preserve"> “</w:t>
      </w:r>
      <w:r>
        <w:rPr>
          <w:rFonts w:ascii="Arial" w:cs="Arial" w:eastAsia="Arial" w:hAnsi="Arial"/>
          <w:sz w:val="14"/>
          <w:szCs w:val="14"/>
          <w:i w:val="1"/>
          <w:iCs w:val="1"/>
          <w:color w:val="auto"/>
        </w:rPr>
        <w:t>Management’s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Analysis of Financial Condition and Results of Operations—Liquidity and Capital Resources</w:t>
      </w:r>
      <w:r>
        <w:rPr>
          <w:rFonts w:ascii="Arial" w:cs="Arial" w:eastAsia="Arial" w:hAnsi="Arial"/>
          <w:sz w:val="14"/>
          <w:szCs w:val="14"/>
          <w:color w:val="auto"/>
        </w:rPr>
        <w:t>.” Each of our</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58" w:lineRule="auto"/>
        <w:rPr>
          <w:sz w:val="20"/>
          <w:szCs w:val="20"/>
          <w:color w:val="auto"/>
        </w:rPr>
      </w:pPr>
      <w:r>
        <w:rPr>
          <w:rFonts w:ascii="Arial" w:cs="Arial" w:eastAsia="Arial" w:hAnsi="Arial"/>
          <w:sz w:val="14"/>
          <w:szCs w:val="14"/>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77"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15.3% of which had vested as of September 30, 2021.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51" w:lineRule="exact"/>
        <w:rPr>
          <w:sz w:val="20"/>
          <w:szCs w:val="20"/>
          <w:color w:val="auto"/>
        </w:rPr>
      </w:pPr>
    </w:p>
    <w:p>
      <w:pPr>
        <w:ind w:left="1160" w:right="1319"/>
        <w:spacing w:after="0" w:line="370" w:lineRule="auto"/>
        <w:rPr>
          <w:sz w:val="20"/>
          <w:szCs w:val="20"/>
          <w:color w:val="auto"/>
        </w:rPr>
      </w:pPr>
      <w:r>
        <w:rPr>
          <w:rFonts w:ascii="Arial" w:cs="Arial" w:eastAsia="Arial" w:hAnsi="Arial"/>
          <w:sz w:val="12"/>
          <w:szCs w:val="12"/>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25"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As of September 30, 2021, we had 937,448,259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September 30, 2021, we had approximately 5,592,191 options outstanding, which are exercisable into approximately 5,592,191 shares of common stock, 7,634 shares of common stock that may be issued upon the vesting of outstanding RSUs and the 2019 Warrants outstanding, which are exercisable for 9,482,606 shares of common stock, subject to vesting requirements. Of the 2019 Warrants, approximately 15.3% have vested as of September 30, 2021 and the remainder will vest incrementally based on aggregate global payments by Amazon to the Company or its affiliates pursuant to the ATSA. We have reserved approximately 3,600,000 shares for grant under our Omnibus Incentive Plan. See “</w:t>
      </w:r>
      <w:r>
        <w:rPr>
          <w:rFonts w:ascii="Arial" w:cs="Arial" w:eastAsia="Arial" w:hAnsi="Arial"/>
          <w:sz w:val="14"/>
          <w:szCs w:val="14"/>
          <w:i w:val="1"/>
          <w:iCs w:val="1"/>
          <w:color w:val="auto"/>
        </w:rPr>
        <w:t>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Compensation—Equity Compensation Plans—2021 Omnibus Incentive Plan</w:t>
      </w:r>
      <w:r>
        <w:rPr>
          <w:rFonts w:ascii="Arial" w:cs="Arial" w:eastAsia="Arial" w:hAnsi="Arial"/>
          <w:sz w:val="14"/>
          <w:szCs w:val="14"/>
          <w:color w:val="auto"/>
        </w:rPr>
        <w:t>.” Any common stock that we</w:t>
      </w:r>
      <w:r>
        <w:rPr>
          <w:rFonts w:ascii="Arial" w:cs="Arial" w:eastAsia="Arial" w:hAnsi="Arial"/>
          <w:sz w:val="14"/>
          <w:szCs w:val="14"/>
          <w:i w:val="1"/>
          <w:iCs w:val="1"/>
          <w:color w:val="auto"/>
        </w:rPr>
        <w:t xml:space="preserve"> </w:t>
      </w:r>
      <w:r>
        <w:rPr>
          <w:rFonts w:ascii="Arial" w:cs="Arial" w:eastAsia="Arial" w:hAnsi="Arial"/>
          <w:sz w:val="14"/>
          <w:szCs w:val="14"/>
          <w:color w:val="auto"/>
        </w:rPr>
        <w:t>issue, including under our Omnibus Incentive Plan or other equity incentive plans that we may adopt in the future, as well as under outstanding options or warrants would dilute the percentage ownership held by the investors who purchase common stock in this offering.</w:t>
      </w:r>
    </w:p>
    <w:p>
      <w:pPr>
        <w:spacing w:after="0" w:line="101"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60" w:lineRule="exact"/>
        <w:rPr>
          <w:sz w:val="20"/>
          <w:szCs w:val="20"/>
          <w:color w:val="auto"/>
        </w:rPr>
      </w:pPr>
    </w:p>
    <w:p>
      <w:pPr>
        <w:ind w:left="1160" w:right="1299"/>
        <w:spacing w:after="0" w:line="264" w:lineRule="auto"/>
        <w:rPr>
          <w:sz w:val="20"/>
          <w:szCs w:val="20"/>
          <w:color w:val="auto"/>
        </w:rPr>
      </w:pPr>
      <w:r>
        <w:rPr>
          <w:rFonts w:ascii="Arial" w:cs="Arial" w:eastAsia="Arial" w:hAnsi="Arial"/>
          <w:sz w:val="15"/>
          <w:szCs w:val="15"/>
          <w:b w:val="1"/>
          <w:bCs w:val="1"/>
          <w:i w:val="1"/>
          <w:iCs w:val="1"/>
          <w:color w:val="auto"/>
        </w:rPr>
        <w:t>Future sales of our common stock in the public market, or the perception in the public market that such sales may occur, could reduce our stock price.</w:t>
      </w:r>
    </w:p>
    <w:p>
      <w:pPr>
        <w:spacing w:after="0" w:line="82" w:lineRule="exact"/>
        <w:rPr>
          <w:sz w:val="20"/>
          <w:szCs w:val="20"/>
          <w:color w:val="auto"/>
        </w:rPr>
      </w:pPr>
    </w:p>
    <w:p>
      <w:pPr>
        <w:ind w:left="1160" w:right="1299" w:firstLine="293"/>
        <w:spacing w:after="0" w:line="247" w:lineRule="auto"/>
        <w:rPr>
          <w:sz w:val="20"/>
          <w:szCs w:val="20"/>
          <w:color w:val="auto"/>
        </w:rPr>
      </w:pPr>
      <w:r>
        <w:rPr>
          <w:rFonts w:ascii="Arial" w:cs="Arial" w:eastAsia="Arial" w:hAnsi="Arial"/>
          <w:sz w:val="15"/>
          <w:szCs w:val="15"/>
          <w:color w:val="auto"/>
        </w:rPr>
        <w:t>As of September 30, 2021, we had 57,551,741 shares of common stock outstanding, warrants to purchase 9,482,606 shares of common stock outstanding, options to purchase 5,592,191 shares of common stock outstanding and 7,634 shares of common stock that may be issued upon the vesting of outstanding RSUs. Following this offering the number of outstanding shares of common stock will include approximately 30 million outstanding shares that are “restricted securities,” as defined under Rule 144 under the Securities Act, and eligible for sale in the public market subject to the requirements of Rule 144. We, the Apollo Stockholder and all of our executive officers and directors have agreed that, for a period of 60 days after the date of this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7" w:lineRule="auto"/>
        <w:rPr>
          <w:sz w:val="20"/>
          <w:szCs w:val="20"/>
          <w:color w:val="auto"/>
        </w:rPr>
      </w:pPr>
      <w:r>
        <w:rPr>
          <w:rFonts w:ascii="Arial" w:cs="Arial" w:eastAsia="Arial" w:hAnsi="Arial"/>
          <w:sz w:val="14"/>
          <w:szCs w:val="14"/>
          <w:color w:val="auto"/>
        </w:rPr>
        <w:t>prospectus, we and they will not, without the prior written consent of Barclays Capital Inc. and Morgan Stanley &amp; Co. LLC on behalf of the underwriters, dispose of any shares of common stock or any securities convertible into or exchangeable for our common stock, subject to certain exceptions. See “</w:t>
      </w:r>
      <w:r>
        <w:rPr>
          <w:rFonts w:ascii="Arial" w:cs="Arial" w:eastAsia="Arial" w:hAnsi="Arial"/>
          <w:sz w:val="14"/>
          <w:szCs w:val="14"/>
          <w:i w:val="1"/>
          <w:iCs w:val="1"/>
          <w:color w:val="auto"/>
        </w:rPr>
        <w:t>Underwriting</w:t>
      </w:r>
      <w:r>
        <w:rPr>
          <w:rFonts w:ascii="Arial" w:cs="Arial" w:eastAsia="Arial" w:hAnsi="Arial"/>
          <w:sz w:val="14"/>
          <w:szCs w:val="14"/>
          <w:color w:val="auto"/>
        </w:rPr>
        <w:t xml:space="preserve"> </w:t>
      </w:r>
      <w:r>
        <w:rPr>
          <w:rFonts w:ascii="Arial" w:cs="Arial" w:eastAsia="Arial" w:hAnsi="Arial"/>
          <w:sz w:val="14"/>
          <w:szCs w:val="14"/>
          <w:i w:val="1"/>
          <w:iCs w:val="1"/>
          <w:color w:val="auto"/>
        </w:rPr>
        <w:t>(Conflict of Interest)</w:t>
      </w:r>
      <w:r>
        <w:rPr>
          <w:rFonts w:ascii="Arial" w:cs="Arial" w:eastAsia="Arial" w:hAnsi="Arial"/>
          <w:sz w:val="14"/>
          <w:szCs w:val="14"/>
          <w:color w:val="auto"/>
        </w:rPr>
        <w:t>.” Following the expiration of the applicable lock-up period, all of the issued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outstanding shares of our common stock will be eligible for future sale, subject to the applicable volume, manner of sale, holding periods, and other limitations of Rule 144. Barclays Capital Inc. and Morgan Stanley &amp; Co. LLC on behalf of the underwriters may, in their sole discretion, release all or any portion of the shares subject to lock-up agreements at any time and for any reason. In addition, certain of our existing stockholders, including the Apollo Stockholder and Amazon, have certain rights to require us to register the sale of common stock held by them including in connection with underwritten offerings. Additionally, we filed a registration statement in respect of all shares of common stock that we may issue under the Omnibus Incentive Plan and the SCA Acquisition Equity Plan. After registration, these shares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 See “ </w:t>
      </w:r>
      <w:r>
        <w:rPr>
          <w:rFonts w:ascii="Arial" w:cs="Arial" w:eastAsia="Arial" w:hAnsi="Arial"/>
          <w:sz w:val="14"/>
          <w:szCs w:val="14"/>
          <w:i w:val="1"/>
          <w:iCs w:val="1"/>
          <w:color w:val="auto"/>
        </w:rPr>
        <w:t>Shares Eligible for</w:t>
      </w:r>
      <w:r>
        <w:rPr>
          <w:rFonts w:ascii="Arial" w:cs="Arial" w:eastAsia="Arial" w:hAnsi="Arial"/>
          <w:sz w:val="14"/>
          <w:szCs w:val="14"/>
          <w:color w:val="auto"/>
        </w:rPr>
        <w:t xml:space="preserve"> </w:t>
      </w:r>
      <w:r>
        <w:rPr>
          <w:rFonts w:ascii="Arial" w:cs="Arial" w:eastAsia="Arial" w:hAnsi="Arial"/>
          <w:sz w:val="14"/>
          <w:szCs w:val="14"/>
          <w:i w:val="1"/>
          <w:iCs w:val="1"/>
          <w:color w:val="auto"/>
        </w:rPr>
        <w:t>Future Sale</w:t>
      </w:r>
      <w:r>
        <w:rPr>
          <w:rFonts w:ascii="Arial" w:cs="Arial" w:eastAsia="Arial" w:hAnsi="Arial"/>
          <w:sz w:val="14"/>
          <w:szCs w:val="14"/>
          <w:color w:val="auto"/>
        </w:rPr>
        <w:t>” for a discussion of the shares of common stock that may be sold into the public market in the</w:t>
      </w:r>
      <w:r>
        <w:rPr>
          <w:rFonts w:ascii="Arial" w:cs="Arial" w:eastAsia="Arial" w:hAnsi="Arial"/>
          <w:sz w:val="14"/>
          <w:szCs w:val="14"/>
          <w:i w:val="1"/>
          <w:iCs w:val="1"/>
          <w:color w:val="auto"/>
        </w:rPr>
        <w:t xml:space="preserve"> </w:t>
      </w:r>
      <w:r>
        <w:rPr>
          <w:rFonts w:ascii="Arial" w:cs="Arial" w:eastAsia="Arial" w:hAnsi="Arial"/>
          <w:sz w:val="14"/>
          <w:szCs w:val="14"/>
          <w:color w:val="auto"/>
        </w:rPr>
        <w:t>future.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do not anticipate paying dividends on our common stock in the foreseeable future.</w:t>
      </w:r>
    </w:p>
    <w:p>
      <w:pPr>
        <w:spacing w:after="0" w:line="113"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We do not anticipate paying any dividends in the foreseeable future on our common stock. We intend to retain all future earnings for the operation and expansion of our business and the repayment of outstanding debt. The CARES Act and the Credit Agreement contain,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your major source of gain for the foreseeable future. While we may change this policy at some point in the future, we cannot assure you that we will make such a change. See “</w:t>
      </w:r>
      <w:r>
        <w:rPr>
          <w:rFonts w:ascii="Arial" w:cs="Arial" w:eastAsia="Arial" w:hAnsi="Arial"/>
          <w:sz w:val="14"/>
          <w:szCs w:val="14"/>
          <w:i w:val="1"/>
          <w:iCs w:val="1"/>
          <w:color w:val="auto"/>
        </w:rPr>
        <w:t>Market</w:t>
      </w:r>
      <w:r>
        <w:rPr>
          <w:rFonts w:ascii="Arial" w:cs="Arial" w:eastAsia="Arial" w:hAnsi="Arial"/>
          <w:sz w:val="14"/>
          <w:szCs w:val="14"/>
          <w:color w:val="auto"/>
        </w:rPr>
        <w:t xml:space="preserve"> </w:t>
      </w:r>
      <w:r>
        <w:rPr>
          <w:rFonts w:ascii="Arial" w:cs="Arial" w:eastAsia="Arial" w:hAnsi="Arial"/>
          <w:sz w:val="14"/>
          <w:szCs w:val="14"/>
          <w:i w:val="1"/>
          <w:iCs w:val="1"/>
          <w:color w:val="auto"/>
        </w:rPr>
        <w:t>Price of Common Stock and Dividend Policy</w:t>
      </w:r>
      <w:r>
        <w:rPr>
          <w:rFonts w:ascii="Arial" w:cs="Arial" w:eastAsia="Arial" w:hAnsi="Arial"/>
          <w:sz w:val="14"/>
          <w:szCs w:val="14"/>
          <w:color w:val="auto"/>
        </w:rPr>
        <w:t>.”</w:t>
      </w:r>
    </w:p>
    <w:p>
      <w:pPr>
        <w:spacing w:after="0" w:line="81" w:lineRule="exact"/>
        <w:rPr>
          <w:sz w:val="20"/>
          <w:szCs w:val="20"/>
          <w:color w:val="auto"/>
        </w:rPr>
      </w:pPr>
    </w:p>
    <w:p>
      <w:pPr>
        <w:ind w:left="1160" w:right="1319"/>
        <w:spacing w:after="0" w:line="248"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publish negative reports, our stock price could decline.</w:t>
      </w:r>
    </w:p>
    <w:p>
      <w:pPr>
        <w:spacing w:after="0" w:line="39"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80" w:lineRule="exact"/>
        <w:rPr>
          <w:sz w:val="20"/>
          <w:szCs w:val="20"/>
          <w:color w:val="auto"/>
        </w:rPr>
      </w:pPr>
    </w:p>
    <w:p>
      <w:pPr>
        <w:ind w:left="1160" w:right="1639"/>
        <w:spacing w:after="0" w:line="248" w:lineRule="auto"/>
        <w:rPr>
          <w:sz w:val="20"/>
          <w:szCs w:val="20"/>
          <w:color w:val="auto"/>
        </w:rPr>
      </w:pPr>
      <w:r>
        <w:rPr>
          <w:rFonts w:ascii="Arial" w:cs="Arial" w:eastAsia="Arial" w:hAnsi="Arial"/>
          <w:sz w:val="15"/>
          <w:szCs w:val="15"/>
          <w:b w:val="1"/>
          <w:bCs w:val="1"/>
          <w:i w:val="1"/>
          <w:iCs w:val="1"/>
          <w:color w:val="auto"/>
        </w:rPr>
        <w:t>We may issue preferred securities, the terms of which could adversely affect the voting power or value of our common stock.</w:t>
      </w:r>
    </w:p>
    <w:p>
      <w:pPr>
        <w:spacing w:after="0" w:line="39"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92" w:lineRule="exact"/>
        <w:rPr>
          <w:sz w:val="20"/>
          <w:szCs w:val="20"/>
          <w:color w:val="auto"/>
        </w:rPr>
      </w:pPr>
    </w:p>
    <w:p>
      <w:pPr>
        <w:ind w:left="1160" w:right="1299"/>
        <w:spacing w:after="0" w:line="248" w:lineRule="auto"/>
        <w:rPr>
          <w:sz w:val="20"/>
          <w:szCs w:val="20"/>
          <w:color w:val="auto"/>
        </w:rPr>
      </w:pPr>
      <w:r>
        <w:rPr>
          <w:rFonts w:ascii="Arial" w:cs="Arial" w:eastAsia="Arial" w:hAnsi="Arial"/>
          <w:sz w:val="15"/>
          <w:szCs w:val="15"/>
          <w:b w:val="1"/>
          <w:bCs w:val="1"/>
          <w:i w:val="1"/>
          <w:iCs w:val="1"/>
          <w:color w:val="auto"/>
        </w:rPr>
        <w:t>We are required to pay our pre-IPO stockholders for certain tax benefits, and the amounts of such payments could be material.</w:t>
      </w:r>
    </w:p>
    <w:p>
      <w:pPr>
        <w:spacing w:after="0" w:line="39"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90"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$96.5 million. Payments in accordance with the terms of the income tax receivable agreement could have an adverse effect on our liquidity and financial condition.</w:t>
      </w:r>
    </w:p>
    <w:p>
      <w:pPr>
        <w:spacing w:after="0" w:line="106"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94" w:lineRule="exact"/>
        <w:rPr>
          <w:sz w:val="20"/>
          <w:szCs w:val="20"/>
          <w:color w:val="auto"/>
        </w:rPr>
      </w:pPr>
    </w:p>
    <w:p>
      <w:pPr>
        <w:jc w:val="both"/>
        <w:ind w:left="1160" w:right="1279" w:firstLine="293"/>
        <w:spacing w:after="0" w:line="311" w:lineRule="auto"/>
        <w:rPr>
          <w:sz w:val="20"/>
          <w:szCs w:val="20"/>
          <w:color w:val="auto"/>
        </w:rPr>
      </w:pPr>
      <w:r>
        <w:rPr>
          <w:rFonts w:ascii="Arial" w:cs="Arial" w:eastAsia="Arial" w:hAnsi="Arial"/>
          <w:sz w:val="13"/>
          <w:szCs w:val="13"/>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56"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For additional information related to the income tax receivable agreement, see “</w:t>
      </w:r>
      <w:r>
        <w:rPr>
          <w:rFonts w:ascii="Arial" w:cs="Arial" w:eastAsia="Arial" w:hAnsi="Arial"/>
          <w:sz w:val="15"/>
          <w:szCs w:val="15"/>
          <w:i w:val="1"/>
          <w:iCs w:val="1"/>
          <w:color w:val="auto"/>
        </w:rPr>
        <w:t>Certain Relationships</w:t>
      </w:r>
      <w:r>
        <w:rPr>
          <w:rFonts w:ascii="Arial" w:cs="Arial" w:eastAsia="Arial" w:hAnsi="Arial"/>
          <w:sz w:val="15"/>
          <w:szCs w:val="15"/>
          <w:color w:val="auto"/>
        </w:rPr>
        <w:t xml:space="preserve"> </w:t>
      </w:r>
      <w:r>
        <w:rPr>
          <w:rFonts w:ascii="Arial" w:cs="Arial" w:eastAsia="Arial" w:hAnsi="Arial"/>
          <w:sz w:val="15"/>
          <w:szCs w:val="15"/>
          <w:i w:val="1"/>
          <w:iCs w:val="1"/>
          <w:color w:val="auto"/>
        </w:rPr>
        <w:t>and Related Party Transactions—Income Tax Receivable Agreement</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17" w:lineRule="exact"/>
        <w:rPr>
          <w:sz w:val="20"/>
          <w:szCs w:val="20"/>
          <w:color w:val="auto"/>
        </w:rPr>
      </w:pPr>
    </w:p>
    <w:p>
      <w:pPr>
        <w:ind w:left="1160" w:right="1199" w:firstLine="293"/>
        <w:spacing w:after="0" w:line="231" w:lineRule="auto"/>
        <w:rPr>
          <w:sz w:val="20"/>
          <w:szCs w:val="20"/>
          <w:color w:val="auto"/>
        </w:rPr>
      </w:pPr>
      <w:r>
        <w:rPr>
          <w:rFonts w:ascii="Arial" w:cs="Arial" w:eastAsia="Arial" w:hAnsi="Arial"/>
          <w:sz w:val="15"/>
          <w:szCs w:val="15"/>
          <w:color w:val="auto"/>
        </w:rPr>
        <w:t>This prospectus contains “forward-looking statements” within the meaning of the U.S. Private Securities Litigation Reform Act of 1995, which involve risks and uncertainties. These forward-looking statements are generally identified by the use of forward -looking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w:t>
      </w:r>
      <w:r>
        <w:rPr>
          <w:rFonts w:ascii="Arial" w:cs="Arial" w:eastAsia="Arial" w:hAnsi="Arial"/>
          <w:sz w:val="15"/>
          <w:szCs w:val="15"/>
          <w:i w:val="1"/>
          <w:iCs w:val="1"/>
          <w:color w:val="auto"/>
        </w:rPr>
        <w:t>Prospectus Summary</w:t>
      </w:r>
      <w:r>
        <w:rPr>
          <w:rFonts w:ascii="Arial" w:cs="Arial" w:eastAsia="Arial" w:hAnsi="Arial"/>
          <w:sz w:val="15"/>
          <w:szCs w:val="15"/>
          <w:color w:val="auto"/>
        </w:rPr>
        <w:t>,” “</w:t>
      </w:r>
      <w:r>
        <w:rPr>
          <w:rFonts w:ascii="Arial" w:cs="Arial" w:eastAsia="Arial" w:hAnsi="Arial"/>
          <w:sz w:val="15"/>
          <w:szCs w:val="15"/>
          <w:i w:val="1"/>
          <w:iCs w:val="1"/>
          <w:color w:val="auto"/>
        </w:rPr>
        <w:t>Risk Factors</w:t>
      </w:r>
      <w:r>
        <w:rPr>
          <w:rFonts w:ascii="Arial" w:cs="Arial" w:eastAsia="Arial" w:hAnsi="Arial"/>
          <w:sz w:val="15"/>
          <w:szCs w:val="15"/>
          <w:color w:val="auto"/>
        </w:rPr>
        <w:t>,” “</w:t>
      </w:r>
      <w:r>
        <w:rPr>
          <w:rFonts w:ascii="Arial" w:cs="Arial" w:eastAsia="Arial" w:hAnsi="Arial"/>
          <w:sz w:val="15"/>
          <w:szCs w:val="15"/>
          <w:i w:val="1"/>
          <w:iCs w:val="1"/>
          <w:color w:val="auto"/>
        </w:rPr>
        <w:t>Use of Proceeds</w:t>
      </w:r>
      <w:r>
        <w:rPr>
          <w:rFonts w:ascii="Arial" w:cs="Arial" w:eastAsia="Arial" w:hAnsi="Arial"/>
          <w:sz w:val="15"/>
          <w:szCs w:val="15"/>
          <w:color w:val="auto"/>
        </w:rPr>
        <w:t>,” “</w:t>
      </w:r>
      <w:r>
        <w:rPr>
          <w:rFonts w:ascii="Arial" w:cs="Arial" w:eastAsia="Arial" w:hAnsi="Arial"/>
          <w:sz w:val="15"/>
          <w:szCs w:val="15"/>
          <w:i w:val="1"/>
          <w:iCs w:val="1"/>
          <w:color w:val="auto"/>
        </w:rPr>
        <w:t>Management’s Discussion</w:t>
      </w:r>
      <w:r>
        <w:rPr>
          <w:rFonts w:ascii="Arial" w:cs="Arial" w:eastAsia="Arial" w:hAnsi="Arial"/>
          <w:sz w:val="15"/>
          <w:szCs w:val="15"/>
          <w:color w:val="auto"/>
        </w:rPr>
        <w:t xml:space="preserve"> </w:t>
      </w:r>
      <w:r>
        <w:rPr>
          <w:rFonts w:ascii="Arial" w:cs="Arial" w:eastAsia="Arial" w:hAnsi="Arial"/>
          <w:sz w:val="15"/>
          <w:szCs w:val="15"/>
          <w:i w:val="1"/>
          <w:iCs w:val="1"/>
          <w:color w:val="auto"/>
        </w:rPr>
        <w:t>and Analysis of Financial Condition and Results of Operations</w:t>
      </w:r>
      <w:r>
        <w:rPr>
          <w:rFonts w:ascii="Arial" w:cs="Arial" w:eastAsia="Arial" w:hAnsi="Arial"/>
          <w:sz w:val="15"/>
          <w:szCs w:val="15"/>
          <w:color w:val="auto"/>
        </w:rPr>
        <w:t>,” and “</w:t>
      </w:r>
      <w:r>
        <w:rPr>
          <w:rFonts w:ascii="Arial" w:cs="Arial" w:eastAsia="Arial" w:hAnsi="Arial"/>
          <w:sz w:val="15"/>
          <w:szCs w:val="15"/>
          <w:i w:val="1"/>
          <w:iCs w:val="1"/>
          <w:color w:val="auto"/>
        </w:rPr>
        <w:t>Business</w:t>
      </w:r>
      <w:r>
        <w:rPr>
          <w:rFonts w:ascii="Arial" w:cs="Arial" w:eastAsia="Arial" w:hAnsi="Arial"/>
          <w:sz w:val="15"/>
          <w:szCs w:val="15"/>
          <w:color w:val="auto"/>
        </w:rPr>
        <w:t>” and include, among other</w:t>
      </w:r>
      <w:r>
        <w:rPr>
          <w:rFonts w:ascii="Arial" w:cs="Arial" w:eastAsia="Arial" w:hAnsi="Arial"/>
          <w:sz w:val="15"/>
          <w:szCs w:val="15"/>
          <w:i w:val="1"/>
          <w:iCs w:val="1"/>
          <w:color w:val="auto"/>
        </w:rPr>
        <w:t xml:space="preserve"> </w:t>
      </w:r>
      <w:r>
        <w:rPr>
          <w:rFonts w:ascii="Arial" w:cs="Arial" w:eastAsia="Arial" w:hAnsi="Arial"/>
          <w:sz w:val="15"/>
          <w:szCs w:val="15"/>
          <w:color w:val="auto"/>
        </w:rPr>
        <w:t>things, statements relating to:</w:t>
      </w:r>
    </w:p>
    <w:p>
      <w:pPr>
        <w:spacing w:after="0" w:line="73" w:lineRule="exact"/>
        <w:rPr>
          <w:sz w:val="20"/>
          <w:szCs w:val="20"/>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strategy, outlook and growth prospects;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operational and financial targets and dividend policy;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general economic trends and trends in the industry and markets;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competitive environment in which we operate.</w:t>
      </w:r>
    </w:p>
    <w:p>
      <w:pPr>
        <w:spacing w:after="0" w:line="113"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55" w:lineRule="exact"/>
        <w:rPr>
          <w:sz w:val="20"/>
          <w:szCs w:val="20"/>
          <w:color w:val="auto"/>
        </w:rPr>
      </w:pPr>
    </w:p>
    <w:p>
      <w:pPr>
        <w:ind w:left="1600" w:right="157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COVID-19 pandemic and its effects including variants, travel restrictions, social distancing measures and decreased demand for air travel;</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impact of worldwide economic conditions;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our fuel cost;</w:t>
      </w:r>
    </w:p>
    <w:p>
      <w:pPr>
        <w:spacing w:after="0" w:line="91" w:lineRule="exact"/>
        <w:rPr>
          <w:rFonts w:ascii="Arial" w:cs="Arial" w:eastAsia="Arial" w:hAnsi="Arial"/>
          <w:sz w:val="15"/>
          <w:szCs w:val="15"/>
          <w:color w:val="auto"/>
        </w:rPr>
      </w:pPr>
    </w:p>
    <w:p>
      <w:pPr>
        <w:ind w:left="1600" w:right="177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threatened or actual terrorist attacks, global instability and potential U.S. military actions or activities;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competitive environment in our industry;</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factors beyond our control, including air traffic congestion, weather, security measures, travel-related taxes and outbreak of disease;</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presence in international markets;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insurance costs;</w:t>
      </w:r>
    </w:p>
    <w:p>
      <w:pPr>
        <w:spacing w:after="0" w:line="91" w:lineRule="exact"/>
        <w:rPr>
          <w:rFonts w:ascii="Arial" w:cs="Arial" w:eastAsia="Arial" w:hAnsi="Arial"/>
          <w:sz w:val="15"/>
          <w:szCs w:val="15"/>
          <w:color w:val="auto"/>
        </w:rPr>
      </w:pPr>
    </w:p>
    <w:p>
      <w:pPr>
        <w:ind w:left="1600" w:right="167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restrictions on, or increased taxes applicable to charges for, ancillary products and services;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air travel substitutes;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implement our business strategy successfully;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keep costs low;</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reliance on the Minneapolis/St. Paul market;</w:t>
      </w:r>
    </w:p>
    <w:p>
      <w:pPr>
        <w:spacing w:after="0" w:line="80" w:lineRule="exact"/>
        <w:rPr>
          <w:rFonts w:ascii="Arial" w:cs="Arial" w:eastAsia="Arial" w:hAnsi="Arial"/>
          <w:sz w:val="15"/>
          <w:szCs w:val="15"/>
          <w:color w:val="auto"/>
        </w:rPr>
      </w:pPr>
    </w:p>
    <w:p>
      <w:pPr>
        <w:ind w:left="1600" w:right="163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reputation and business being adversely affected in the event of an emergency, accident or similar public incident involving our aircraft or personnel;</w:t>
      </w:r>
    </w:p>
    <w:p>
      <w:pPr>
        <w:spacing w:after="0" w:line="59" w:lineRule="exact"/>
        <w:rPr>
          <w:rFonts w:ascii="Arial" w:cs="Arial" w:eastAsia="Arial" w:hAnsi="Arial"/>
          <w:sz w:val="15"/>
          <w:szCs w:val="15"/>
          <w:color w:val="auto"/>
        </w:rPr>
      </w:pPr>
    </w:p>
    <w:p>
      <w:pPr>
        <w:ind w:left="1600" w:right="129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reliance on third-party providers and other commercial partners to perform functions integral to our operations;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operational disruptions;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grow or maintain our unit revenues or maintain our ancillary revenues;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8" w:name="page69"/>
    <w:bookmarkEnd w:id="6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increased labor costs, union disputes, employee strikes and other labor-related disruptions;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governmental regulation;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inability to maintain an optimal daily aircraft utilization rate;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ability to attract and retain qualified personnel;</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inability to expand or operate reliably and efficiently out of airports where we maintain a large presence;</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environmental and noise laws and regulations;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negative publicity regarding our customer service;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liquidity and dependence on cash balances and operating cash flows;</w:t>
      </w:r>
    </w:p>
    <w:p>
      <w:pPr>
        <w:spacing w:after="0" w:line="91"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ability to maintain our liquidity in the event one or more of our credit card processors were to impose holdback restrictions;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ability to obtain financing or access capital markets;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aircraft-related fixed obligations that could impair our liquidity;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maintenance obligations;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sole-source supplier for our aircraft and engines;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loss of key personnel;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other risk factors included under “</w:t>
      </w:r>
      <w:r>
        <w:rPr>
          <w:rFonts w:ascii="Arial" w:cs="Arial" w:eastAsia="Arial" w:hAnsi="Arial"/>
          <w:sz w:val="15"/>
          <w:szCs w:val="15"/>
          <w:i w:val="1"/>
          <w:iCs w:val="1"/>
          <w:color w:val="auto"/>
        </w:rPr>
        <w:t>Risk Factors</w:t>
      </w:r>
      <w:r>
        <w:rPr>
          <w:rFonts w:ascii="Arial" w:cs="Arial" w:eastAsia="Arial" w:hAnsi="Arial"/>
          <w:sz w:val="15"/>
          <w:szCs w:val="15"/>
          <w:color w:val="auto"/>
        </w:rPr>
        <w:t>” in this prospectus.</w:t>
      </w:r>
    </w:p>
    <w:p>
      <w:pPr>
        <w:spacing w:after="0" w:line="113"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These forward-looking statements reflect our views with respect to future events as of the date of this prospectus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17"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The selling stockholders are selling all of the shares of our common stock being sold in this offering, including any shares that may be sold in connection with the exercise of the underwriters’ option to purchase additional shares, and will receive all of the net proceeds from the sales of shares of our common stock being sold in this offering. See “</w:t>
      </w:r>
      <w:r>
        <w:rPr>
          <w:rFonts w:ascii="Arial" w:cs="Arial" w:eastAsia="Arial" w:hAnsi="Arial"/>
          <w:sz w:val="13"/>
          <w:szCs w:val="13"/>
          <w:i w:val="1"/>
          <w:iCs w:val="1"/>
          <w:color w:val="auto"/>
        </w:rPr>
        <w:t>Principal and Selling Stockholders.</w:t>
      </w:r>
      <w:r>
        <w:rPr>
          <w:rFonts w:ascii="Arial" w:cs="Arial" w:eastAsia="Arial" w:hAnsi="Arial"/>
          <w:sz w:val="13"/>
          <w:szCs w:val="13"/>
          <w:color w:val="auto"/>
        </w:rPr>
        <w:t>” We are not selling any shares of our common stock in this offering and we will not receive any proceeds from the sale of these shares, but we will bear the costs associated with this registration statement in accordance with the Registration Rights Agreement (as defined herein). The selling stockholders will bear any underwriting discounts</w:t>
      </w:r>
    </w:p>
    <w:p>
      <w:pPr>
        <w:spacing w:after="0" w:line="3" w:lineRule="exact"/>
        <w:rPr>
          <w:sz w:val="20"/>
          <w:szCs w:val="20"/>
          <w:color w:val="auto"/>
        </w:rPr>
      </w:pPr>
    </w:p>
    <w:p>
      <w:pPr>
        <w:ind w:left="1160" w:right="1239"/>
        <w:spacing w:after="0" w:line="246" w:lineRule="auto"/>
        <w:rPr>
          <w:sz w:val="20"/>
          <w:szCs w:val="20"/>
          <w:color w:val="auto"/>
        </w:rPr>
      </w:pPr>
      <w:r>
        <w:rPr>
          <w:rFonts w:ascii="Arial" w:cs="Arial" w:eastAsia="Arial" w:hAnsi="Arial"/>
          <w:sz w:val="15"/>
          <w:szCs w:val="15"/>
          <w:color w:val="auto"/>
        </w:rPr>
        <w:t>and commissions attributable to their sale of our common stock and we will bear the remaining fees, costs and expenses, which we estimate to be approximately $0.7 million. See “</w:t>
      </w:r>
      <w:r>
        <w:rPr>
          <w:rFonts w:ascii="Arial" w:cs="Arial" w:eastAsia="Arial" w:hAnsi="Arial"/>
          <w:sz w:val="15"/>
          <w:szCs w:val="15"/>
          <w:i w:val="1"/>
          <w:iCs w:val="1"/>
          <w:color w:val="auto"/>
        </w:rPr>
        <w:t>Certain Relationships and Related</w:t>
      </w:r>
      <w:r>
        <w:rPr>
          <w:rFonts w:ascii="Arial" w:cs="Arial" w:eastAsia="Arial" w:hAnsi="Arial"/>
          <w:sz w:val="15"/>
          <w:szCs w:val="15"/>
          <w:color w:val="auto"/>
        </w:rPr>
        <w:t xml:space="preserve"> </w:t>
      </w:r>
      <w:r>
        <w:rPr>
          <w:rFonts w:ascii="Arial" w:cs="Arial" w:eastAsia="Arial" w:hAnsi="Arial"/>
          <w:sz w:val="15"/>
          <w:szCs w:val="15"/>
          <w:i w:val="1"/>
          <w:iCs w:val="1"/>
          <w:color w:val="auto"/>
        </w:rPr>
        <w:t>Party Transactions—Registration Rights Agreement</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0" w:name="page71"/>
    <w:bookmarkEnd w:id="7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MARKET PRICE OF COMMON STOCK AND DIVIDEND POLICY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Market Price of Our Common Stock</w:t>
      </w:r>
    </w:p>
    <w:p>
      <w:pPr>
        <w:spacing w:after="0" w:line="117"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Our common stock is listed on Nasdaq under the symbol “SNCY.” On October 11, 2021, the closing price of our common stock was $34.24. As of September 30, 2021, there were 57,551,741 shares of common stock outstanding and held of record by 51 stockholders and no shares of preferred stock outstanding. The number of record holders of our common stock does not include DTC participants or beneficial owners holding shares through nominee names.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Dividend Policy</w:t>
      </w:r>
    </w:p>
    <w:p>
      <w:pPr>
        <w:spacing w:after="0" w:line="12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09"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As a holding company, our ability to pay dividends also depends on our receipt of cash dividends from our operating subsidiaries. Our ability to pay dividends will therefore be restricted as a result of restrictions on their ability to pay dividends to us under the CARES Act and the Credit Agreement and may be restricted under future indebtedness that we or they may incur. See “</w:t>
      </w:r>
      <w:r>
        <w:rPr>
          <w:rFonts w:ascii="Arial" w:cs="Arial" w:eastAsia="Arial" w:hAnsi="Arial"/>
          <w:sz w:val="14"/>
          <w:szCs w:val="14"/>
          <w:i w:val="1"/>
          <w:iCs w:val="1"/>
          <w:color w:val="auto"/>
        </w:rPr>
        <w:t>Risk Factors—Risks Related to this</w:t>
      </w:r>
      <w:r>
        <w:rPr>
          <w:rFonts w:ascii="Arial" w:cs="Arial" w:eastAsia="Arial" w:hAnsi="Arial"/>
          <w:sz w:val="14"/>
          <w:szCs w:val="14"/>
          <w:color w:val="auto"/>
        </w:rPr>
        <w:t xml:space="preserve"> </w:t>
      </w:r>
      <w:r>
        <w:rPr>
          <w:rFonts w:ascii="Arial" w:cs="Arial" w:eastAsia="Arial" w:hAnsi="Arial"/>
          <w:sz w:val="14"/>
          <w:szCs w:val="14"/>
          <w:i w:val="1"/>
          <w:iCs w:val="1"/>
          <w:color w:val="auto"/>
        </w:rPr>
        <w:t>Offering and Ownership of Our Common Stock</w:t>
      </w:r>
      <w:r>
        <w:rPr>
          <w:rFonts w:ascii="Arial" w:cs="Arial" w:eastAsia="Arial" w:hAnsi="Arial"/>
          <w:sz w:val="14"/>
          <w:szCs w:val="14"/>
          <w:color w:val="auto"/>
        </w:rPr>
        <w:t>” and “</w:t>
      </w:r>
      <w:r>
        <w:rPr>
          <w:rFonts w:ascii="Arial" w:cs="Arial" w:eastAsia="Arial" w:hAnsi="Arial"/>
          <w:sz w:val="14"/>
          <w:szCs w:val="14"/>
          <w:i w:val="1"/>
          <w:iCs w:val="1"/>
          <w:color w:val="auto"/>
        </w:rPr>
        <w:t>Management’s Discussion and Analysis of Financial Condition and Results of Operations—Liquidity and Capital Resources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CAPITALIZATION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The following table sets forth our cash and equivalents and our capitalization as of June 30, 2021.</w:t>
      </w:r>
    </w:p>
    <w:p>
      <w:pPr>
        <w:spacing w:after="0" w:line="124"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4"/>
          <w:szCs w:val="14"/>
          <w:color w:val="auto"/>
        </w:rPr>
        <w:t>You should read this table together with the information included elsewhere in this prospectus, including “</w:t>
      </w:r>
      <w:r>
        <w:rPr>
          <w:rFonts w:ascii="Arial" w:cs="Arial" w:eastAsia="Arial" w:hAnsi="Arial"/>
          <w:sz w:val="14"/>
          <w:szCs w:val="14"/>
          <w:i w:val="1"/>
          <w:iCs w:val="1"/>
          <w:color w:val="auto"/>
        </w:rPr>
        <w:t>Prospectus Summary—Summary Consolidated Financial and Operating Information</w:t>
      </w:r>
      <w:r>
        <w:rPr>
          <w:rFonts w:ascii="Arial" w:cs="Arial" w:eastAsia="Arial" w:hAnsi="Arial"/>
          <w:sz w:val="14"/>
          <w:szCs w:val="14"/>
          <w:color w:val="auto"/>
        </w:rPr>
        <w:t>,” “</w:t>
      </w:r>
      <w:r>
        <w:rPr>
          <w:rFonts w:ascii="Arial" w:cs="Arial" w:eastAsia="Arial" w:hAnsi="Arial"/>
          <w:sz w:val="14"/>
          <w:szCs w:val="14"/>
          <w:i w:val="1"/>
          <w:iCs w:val="1"/>
          <w:color w:val="auto"/>
        </w:rPr>
        <w:t>Selected</w:t>
      </w:r>
      <w:r>
        <w:rPr>
          <w:rFonts w:ascii="Arial" w:cs="Arial" w:eastAsia="Arial" w:hAnsi="Arial"/>
          <w:sz w:val="14"/>
          <w:szCs w:val="14"/>
          <w:color w:val="auto"/>
        </w:rPr>
        <w:t xml:space="preserve"> </w:t>
      </w:r>
      <w:r>
        <w:rPr>
          <w:rFonts w:ascii="Arial" w:cs="Arial" w:eastAsia="Arial" w:hAnsi="Arial"/>
          <w:sz w:val="14"/>
          <w:szCs w:val="14"/>
          <w:i w:val="1"/>
          <w:iCs w:val="1"/>
          <w:color w:val="auto"/>
        </w:rPr>
        <w:t>Historical Consolidated Financial Data</w:t>
      </w:r>
      <w:r>
        <w:rPr>
          <w:rFonts w:ascii="Arial" w:cs="Arial" w:eastAsia="Arial" w:hAnsi="Arial"/>
          <w:sz w:val="14"/>
          <w:szCs w:val="14"/>
          <w:color w:val="auto"/>
        </w:rPr>
        <w:t>,”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the related notes thereto.</w:t>
      </w:r>
    </w:p>
    <w:p>
      <w:pPr>
        <w:spacing w:after="0" w:line="93"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As of June 30, 2021</w:t>
            </w:r>
          </w:p>
        </w:tc>
      </w:tr>
      <w:tr>
        <w:trPr>
          <w:trHeight w:val="21"/>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r>
      <w:tr>
        <w:trPr>
          <w:trHeight w:val="138"/>
        </w:trPr>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(in thousands, except</w:t>
            </w:r>
          </w:p>
        </w:tc>
      </w:tr>
      <w:tr>
        <w:trPr>
          <w:trHeight w:val="150"/>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 data)</w:t>
            </w:r>
          </w:p>
        </w:tc>
      </w:tr>
      <w:tr>
        <w:trPr>
          <w:trHeight w:val="21"/>
        </w:trPr>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231"/>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400" w:type="dxa"/>
            <w:vAlign w:val="bottom"/>
            <w:gridSpan w:val="2"/>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6"/>
              </w:rPr>
              <w:t>$310,723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r>
        <w:trPr>
          <w:trHeight w:val="162"/>
        </w:trPr>
        <w:tc>
          <w:tcPr>
            <w:tcW w:w="5480" w:type="dxa"/>
            <w:vAlign w:val="bottom"/>
          </w:tcPr>
          <w:p>
            <w:pPr>
              <w:spacing w:after="0" w:line="162" w:lineRule="exact"/>
              <w:rPr>
                <w:sz w:val="20"/>
                <w:szCs w:val="20"/>
                <w:color w:val="auto"/>
              </w:rPr>
            </w:pPr>
            <w:r>
              <w:rPr>
                <w:rFonts w:ascii="Arial" w:cs="Arial" w:eastAsia="Arial" w:hAnsi="Arial"/>
                <w:sz w:val="15"/>
                <w:szCs w:val="15"/>
                <w:color w:val="auto"/>
              </w:rPr>
              <w:t>Total debt</w:t>
            </w:r>
          </w:p>
        </w:tc>
        <w:tc>
          <w:tcPr>
            <w:tcW w:w="1200" w:type="dxa"/>
            <w:vAlign w:val="bottom"/>
            <w:gridSpan w:val="4"/>
          </w:tcPr>
          <w:p>
            <w:pPr>
              <w:jc w:val="right"/>
              <w:ind w:right="240"/>
              <w:spacing w:after="0" w:line="162" w:lineRule="exact"/>
              <w:rPr>
                <w:sz w:val="20"/>
                <w:szCs w:val="20"/>
                <w:color w:val="auto"/>
              </w:rPr>
            </w:pPr>
            <w:r>
              <w:rPr>
                <w:rFonts w:ascii="Arial" w:cs="Arial" w:eastAsia="Arial" w:hAnsi="Arial"/>
                <w:sz w:val="15"/>
                <w:szCs w:val="15"/>
                <w:color w:val="auto"/>
              </w:rPr>
              <w:t>287,479</w:t>
            </w: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7"/>
        </w:trPr>
        <w:tc>
          <w:tcPr>
            <w:tcW w:w="5480" w:type="dxa"/>
            <w:vAlign w:val="bottom"/>
          </w:tcPr>
          <w:p>
            <w:pPr>
              <w:ind w:left="160"/>
              <w:spacing w:after="0"/>
              <w:rPr>
                <w:sz w:val="20"/>
                <w:szCs w:val="20"/>
                <w:color w:val="auto"/>
              </w:rPr>
            </w:pPr>
            <w:r>
              <w:rPr>
                <w:rFonts w:ascii="Arial" w:cs="Arial" w:eastAsia="Arial" w:hAnsi="Arial"/>
                <w:sz w:val="15"/>
                <w:szCs w:val="15"/>
                <w:color w:val="auto"/>
                <w:w w:val="94"/>
              </w:rPr>
              <w:t>Common stock–$0.01 par value; 995,000,000 shares authorized, 57,158,467 shares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2"/>
        </w:trPr>
        <w:tc>
          <w:tcPr>
            <w:tcW w:w="5480" w:type="dxa"/>
            <w:vAlign w:val="bottom"/>
          </w:tcPr>
          <w:p>
            <w:pPr>
              <w:ind w:left="300"/>
              <w:spacing w:after="0"/>
              <w:rPr>
                <w:sz w:val="20"/>
                <w:szCs w:val="20"/>
                <w:color w:val="auto"/>
              </w:rPr>
            </w:pPr>
            <w:r>
              <w:rPr>
                <w:rFonts w:ascii="Arial" w:cs="Arial" w:eastAsia="Arial" w:hAnsi="Arial"/>
                <w:sz w:val="15"/>
                <w:szCs w:val="15"/>
                <w:color w:val="auto"/>
              </w:rPr>
              <w:t>issued and outstanding</w:t>
            </w:r>
          </w:p>
        </w:tc>
        <w:tc>
          <w:tcPr>
            <w:tcW w:w="1200" w:type="dxa"/>
            <w:vAlign w:val="bottom"/>
            <w:gridSpan w:val="4"/>
          </w:tcPr>
          <w:p>
            <w:pPr>
              <w:jc w:val="right"/>
              <w:ind w:right="240"/>
              <w:spacing w:after="0"/>
              <w:rPr>
                <w:sz w:val="20"/>
                <w:szCs w:val="20"/>
                <w:color w:val="auto"/>
              </w:rPr>
            </w:pPr>
            <w:r>
              <w:rPr>
                <w:rFonts w:ascii="Arial" w:cs="Arial" w:eastAsia="Arial" w:hAnsi="Arial"/>
                <w:sz w:val="15"/>
                <w:szCs w:val="15"/>
                <w:color w:val="auto"/>
              </w:rPr>
              <w:t>572</w:t>
            </w:r>
          </w:p>
        </w:tc>
      </w:tr>
      <w:tr>
        <w:trPr>
          <w:trHeight w:val="193"/>
        </w:trPr>
        <w:tc>
          <w:tcPr>
            <w:tcW w:w="54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Preferred stock–$0.01 par value; 5,000,000 shares authorized, no shares issued and</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97"/>
        </w:trPr>
        <w:tc>
          <w:tcPr>
            <w:tcW w:w="54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outstanding</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r>
      <w:tr>
        <w:trPr>
          <w:trHeight w:val="209"/>
        </w:trPr>
        <w:tc>
          <w:tcPr>
            <w:tcW w:w="548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1200" w:type="dxa"/>
            <w:vAlign w:val="bottom"/>
            <w:gridSpan w:val="4"/>
          </w:tcPr>
          <w:p>
            <w:pPr>
              <w:jc w:val="right"/>
              <w:ind w:right="240"/>
              <w:spacing w:after="0"/>
              <w:rPr>
                <w:sz w:val="20"/>
                <w:szCs w:val="20"/>
                <w:color w:val="auto"/>
              </w:rPr>
            </w:pPr>
            <w:r>
              <w:rPr>
                <w:rFonts w:ascii="Arial" w:cs="Arial" w:eastAsia="Arial" w:hAnsi="Arial"/>
                <w:sz w:val="15"/>
                <w:szCs w:val="15"/>
                <w:color w:val="auto"/>
              </w:rPr>
              <w:t>476,368</w:t>
            </w:r>
          </w:p>
        </w:tc>
      </w:tr>
      <w:tr>
        <w:trPr>
          <w:trHeight w:val="214"/>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Retained earnings (deficit).</w:t>
            </w:r>
          </w:p>
        </w:tc>
        <w:tc>
          <w:tcPr>
            <w:tcW w:w="40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(12,707)</w:t>
            </w:r>
          </w:p>
        </w:tc>
      </w:tr>
      <w:tr>
        <w:trPr>
          <w:trHeight w:val="20"/>
        </w:trPr>
        <w:tc>
          <w:tcPr>
            <w:tcW w:w="5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1"/>
        </w:trPr>
        <w:tc>
          <w:tcPr>
            <w:tcW w:w="5480" w:type="dxa"/>
            <w:vAlign w:val="bottom"/>
          </w:tcPr>
          <w:p>
            <w:pPr>
              <w:spacing w:after="0"/>
              <w:rPr>
                <w:sz w:val="20"/>
                <w:szCs w:val="20"/>
                <w:color w:val="auto"/>
              </w:rPr>
            </w:pPr>
            <w:r>
              <w:rPr>
                <w:rFonts w:ascii="Arial" w:cs="Arial" w:eastAsia="Arial" w:hAnsi="Arial"/>
                <w:sz w:val="15"/>
                <w:szCs w:val="15"/>
                <w:color w:val="auto"/>
              </w:rPr>
              <w:t>Total stockholders’ equity</w:t>
            </w:r>
          </w:p>
        </w:tc>
        <w:tc>
          <w:tcPr>
            <w:tcW w:w="400" w:type="dxa"/>
            <w:vAlign w:val="bottom"/>
            <w:gridSpan w:val="2"/>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w w:val="99"/>
              </w:rPr>
              <w:t>464,233</w:t>
            </w:r>
          </w:p>
        </w:tc>
      </w:tr>
      <w:tr>
        <w:trPr>
          <w:trHeight w:val="20"/>
        </w:trPr>
        <w:tc>
          <w:tcPr>
            <w:tcW w:w="5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36"/>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Total capitalization.</w:t>
            </w:r>
          </w:p>
        </w:tc>
        <w:tc>
          <w:tcPr>
            <w:tcW w:w="400" w:type="dxa"/>
            <w:vAlign w:val="bottom"/>
            <w:gridSpan w:val="2"/>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6"/>
              </w:rPr>
              <w:t>$751,712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-1513205</wp:posOffset>
            </wp:positionV>
            <wp:extent cx="358584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858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HISTORICAL CONSOLIDATED FINANCIAL DATA</w:t>
      </w:r>
    </w:p>
    <w:p>
      <w:pPr>
        <w:spacing w:after="0" w:line="117" w:lineRule="exact"/>
        <w:rPr>
          <w:sz w:val="20"/>
          <w:szCs w:val="20"/>
          <w:color w:val="auto"/>
        </w:rPr>
      </w:pPr>
    </w:p>
    <w:p>
      <w:pPr>
        <w:ind w:left="1160" w:right="1199" w:firstLine="293"/>
        <w:spacing w:after="0" w:line="284" w:lineRule="auto"/>
        <w:rPr>
          <w:sz w:val="20"/>
          <w:szCs w:val="20"/>
          <w:color w:val="auto"/>
        </w:rPr>
      </w:pPr>
      <w:r>
        <w:rPr>
          <w:rFonts w:ascii="Arial" w:cs="Arial" w:eastAsia="Arial" w:hAnsi="Arial"/>
          <w:sz w:val="13"/>
          <w:szCs w:val="13"/>
          <w:color w:val="auto"/>
        </w:rPr>
        <w:t>The following tables present our selected consolidated financial data for the periods indicated. We have derived our selected historical consolidated statement of operations data for the years ended December 31, 2020 and 2019 and for the periods January 1, 2018 through April 10, 2018 (Predecessor) and April 11, 2018 through December 31, 2018 (Successor) from our audited consolidated financial statements included elsewhere in this prospectus. We have derived our selected historical consolidated statement of operations data for the year ended December 31, 2017 from our consolidated financial statements not included in this prospectus. We have derived our selected historical consolidated balance sheet data as of December 31,</w:t>
      </w:r>
    </w:p>
    <w:p>
      <w:pPr>
        <w:spacing w:after="0" w:line="3" w:lineRule="exact"/>
        <w:rPr>
          <w:sz w:val="20"/>
          <w:szCs w:val="20"/>
          <w:color w:val="auto"/>
        </w:rPr>
      </w:pPr>
    </w:p>
    <w:p>
      <w:pPr>
        <w:ind w:left="1160" w:right="1179"/>
        <w:spacing w:after="0" w:line="265" w:lineRule="auto"/>
        <w:rPr>
          <w:sz w:val="20"/>
          <w:szCs w:val="20"/>
          <w:color w:val="auto"/>
        </w:rPr>
      </w:pPr>
      <w:r>
        <w:rPr>
          <w:rFonts w:ascii="Arial" w:cs="Arial" w:eastAsia="Arial" w:hAnsi="Arial"/>
          <w:sz w:val="14"/>
          <w:szCs w:val="14"/>
          <w:color w:val="auto"/>
        </w:rPr>
        <w:t>2020 and 2019 from our audited consolidated financial statements included elsewhere in this prospectus. We have derived our selected historical consolidated balance sheet data as of December 31, 2018 and 2017 from our consolidated financial statements not included in this prospectus. We have derived our selected historical consolidated statement of operations data for the six months ended June 30, 2021 and 2020 from our unaudited condensed consolidated financial statements included elsewhere in this prospectus. We have derived our selected historical consolidated balance sheet data as of June 30, 2021 from our unaudited condensed consolidated financial statements included elsewhere in this prospectus.</w:t>
      </w:r>
    </w:p>
    <w:p>
      <w:pPr>
        <w:spacing w:after="0" w:line="96"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w:t>
      </w:r>
    </w:p>
    <w:p>
      <w:pPr>
        <w:spacing w:after="0" w:line="3" w:lineRule="exact"/>
        <w:rPr>
          <w:sz w:val="20"/>
          <w:szCs w:val="20"/>
          <w:color w:val="auto"/>
        </w:rPr>
      </w:pPr>
    </w:p>
    <w:p>
      <w:pPr>
        <w:ind w:left="1160" w:right="1199" w:firstLine="4"/>
        <w:spacing w:after="0" w:line="245" w:lineRule="auto"/>
        <w:tabs>
          <w:tab w:leader="none" w:pos="1379" w:val="left"/>
        </w:tabs>
        <w:numPr>
          <w:ilvl w:val="0"/>
          <w:numId w:val="35"/>
        </w:numPr>
        <w:rPr>
          <w:rFonts w:ascii="Arial" w:cs="Arial" w:eastAsia="Arial" w:hAnsi="Arial"/>
          <w:sz w:val="15"/>
          <w:szCs w:val="15"/>
          <w:color w:val="auto"/>
        </w:rPr>
      </w:pPr>
      <w:r>
        <w:rPr>
          <w:rFonts w:ascii="Arial" w:cs="Arial" w:eastAsia="Arial" w:hAnsi="Arial"/>
          <w:sz w:val="15"/>
          <w:szCs w:val="15"/>
          <w:color w:val="auto"/>
        </w:rPr>
        <w:t>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consolidated financial statements and the related notes included elsewhere in this prospectus. Our historical results are not necessarily indicative of the results that may be expected in the future. The following selected consolidated financial data should be read in conjunction with the section titled “</w:t>
      </w:r>
      <w:r>
        <w:rPr>
          <w:rFonts w:ascii="Arial" w:cs="Arial" w:eastAsia="Arial" w:hAnsi="Arial"/>
          <w:sz w:val="15"/>
          <w:szCs w:val="15"/>
          <w:i w:val="1"/>
          <w:iCs w:val="1"/>
          <w:color w:val="auto"/>
        </w:rPr>
        <w:t>Management’s Discussion and Analysis</w:t>
      </w:r>
      <w:r>
        <w:rPr>
          <w:rFonts w:ascii="Arial" w:cs="Arial" w:eastAsia="Arial" w:hAnsi="Arial"/>
          <w:sz w:val="15"/>
          <w:szCs w:val="15"/>
          <w:color w:val="auto"/>
        </w:rPr>
        <w:t xml:space="preserve"> </w:t>
      </w:r>
      <w:r>
        <w:rPr>
          <w:rFonts w:ascii="Arial" w:cs="Arial" w:eastAsia="Arial" w:hAnsi="Arial"/>
          <w:sz w:val="15"/>
          <w:szCs w:val="15"/>
          <w:i w:val="1"/>
          <w:iCs w:val="1"/>
          <w:color w:val="auto"/>
        </w:rPr>
        <w:t>of Financial Condition and Results of Operations</w:t>
      </w:r>
      <w:r>
        <w:rPr>
          <w:rFonts w:ascii="Arial" w:cs="Arial" w:eastAsia="Arial" w:hAnsi="Arial"/>
          <w:sz w:val="15"/>
          <w:szCs w:val="15"/>
          <w:color w:val="auto"/>
        </w:rPr>
        <w:t>” and our consolidated financial statements and the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notes included elsewhere in this prospectus.</w:t>
      </w:r>
    </w:p>
    <w:p>
      <w:pPr>
        <w:spacing w:after="0" w:line="156" w:lineRule="exact"/>
        <w:rPr>
          <w:sz w:val="20"/>
          <w:szCs w:val="20"/>
          <w:color w:val="auto"/>
        </w:rPr>
      </w:pPr>
    </w:p>
    <w:tbl>
      <w:tblPr>
        <w:tblLayout w:type="fixed"/>
        <w:tblInd w:w="540" w:type="dxa"/>
        <w:tblCellMar>
          <w:top w:w="0" w:type="dxa"/>
          <w:left w:w="0" w:type="dxa"/>
          <w:bottom w:w="0" w:type="dxa"/>
          <w:right w:w="0" w:type="dxa"/>
        </w:tblCellMar>
      </w:tblPr>
      <w:tr>
        <w:trPr>
          <w:trHeight w:val="150"/>
        </w:trPr>
        <w:tc>
          <w:tcPr>
            <w:tcW w:w="3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2"/>
                <w:szCs w:val="12"/>
                <w:b w:val="1"/>
                <w:bCs w:val="1"/>
                <w:color w:val="auto"/>
              </w:rPr>
              <w:t>Successor</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Predecessor</w:t>
            </w:r>
          </w:p>
        </w:tc>
      </w:tr>
      <w:tr>
        <w:trPr>
          <w:trHeight w:val="21"/>
        </w:trPr>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4"/>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49"/>
        </w:trPr>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8"/>
              </w:rPr>
              <w:t>For the</w:t>
            </w:r>
          </w:p>
        </w:tc>
        <w:tc>
          <w:tcPr>
            <w:tcW w:w="560" w:type="dxa"/>
            <w:vAlign w:val="bottom"/>
            <w:gridSpan w:val="2"/>
          </w:tcPr>
          <w:p>
            <w:pPr>
              <w:jc w:val="center"/>
              <w:ind w:right="81"/>
              <w:spacing w:after="0"/>
              <w:rPr>
                <w:sz w:val="20"/>
                <w:szCs w:val="20"/>
                <w:color w:val="auto"/>
              </w:rPr>
            </w:pPr>
            <w:r>
              <w:rPr>
                <w:rFonts w:ascii="Arial" w:cs="Arial" w:eastAsia="Arial" w:hAnsi="Arial"/>
                <w:sz w:val="12"/>
                <w:szCs w:val="12"/>
                <w:b w:val="1"/>
                <w:bCs w:val="1"/>
                <w:color w:val="auto"/>
                <w:w w:val="83"/>
              </w:rPr>
              <w:t>For the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jc w:val="center"/>
              <w:ind w:right="121"/>
              <w:spacing w:after="0"/>
              <w:rPr>
                <w:sz w:val="20"/>
                <w:szCs w:val="20"/>
                <w:color w:val="auto"/>
              </w:rPr>
            </w:pPr>
            <w:r>
              <w:rPr>
                <w:rFonts w:ascii="Arial" w:cs="Arial" w:eastAsia="Arial" w:hAnsi="Arial"/>
                <w:sz w:val="12"/>
                <w:szCs w:val="12"/>
                <w:b w:val="1"/>
                <w:bCs w:val="1"/>
                <w:color w:val="auto"/>
                <w:w w:val="88"/>
              </w:rPr>
              <w:t>For the</w:t>
            </w: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21"/>
              <w:spacing w:after="0"/>
              <w:rPr>
                <w:sz w:val="20"/>
                <w:szCs w:val="20"/>
                <w:color w:val="auto"/>
              </w:rPr>
            </w:pPr>
            <w:r>
              <w:rPr>
                <w:rFonts w:ascii="Arial" w:cs="Arial" w:eastAsia="Arial" w:hAnsi="Arial"/>
                <w:sz w:val="12"/>
                <w:szCs w:val="12"/>
                <w:b w:val="1"/>
                <w:bCs w:val="1"/>
                <w:color w:val="auto"/>
                <w:w w:val="88"/>
              </w:rPr>
              <w:t>For the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2"/>
        </w:trPr>
        <w:tc>
          <w:tcPr>
            <w:tcW w:w="3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six</w:t>
            </w:r>
          </w:p>
        </w:tc>
        <w:tc>
          <w:tcPr>
            <w:tcW w:w="60" w:type="dxa"/>
            <w:vAlign w:val="bottom"/>
          </w:tcPr>
          <w:p>
            <w:pPr>
              <w:spacing w:after="0"/>
              <w:rPr>
                <w:sz w:val="11"/>
                <w:szCs w:val="11"/>
                <w:color w:val="auto"/>
              </w:rPr>
            </w:pPr>
          </w:p>
        </w:tc>
        <w:tc>
          <w:tcPr>
            <w:tcW w:w="500" w:type="dxa"/>
            <w:vAlign w:val="bottom"/>
          </w:tcPr>
          <w:p>
            <w:pPr>
              <w:jc w:val="center"/>
              <w:ind w:right="161"/>
              <w:spacing w:after="0" w:line="132" w:lineRule="exact"/>
              <w:rPr>
                <w:sz w:val="20"/>
                <w:szCs w:val="20"/>
                <w:color w:val="auto"/>
              </w:rPr>
            </w:pPr>
            <w:r>
              <w:rPr>
                <w:rFonts w:ascii="Arial" w:cs="Arial" w:eastAsia="Arial" w:hAnsi="Arial"/>
                <w:sz w:val="12"/>
                <w:szCs w:val="12"/>
                <w:b w:val="1"/>
                <w:bCs w:val="1"/>
                <w:color w:val="auto"/>
                <w:w w:val="71"/>
              </w:rPr>
              <w:t>six</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tcPr>
          <w:p>
            <w:pPr>
              <w:jc w:val="center"/>
              <w:ind w:right="121"/>
              <w:spacing w:after="0" w:line="132" w:lineRule="exact"/>
              <w:rPr>
                <w:sz w:val="20"/>
                <w:szCs w:val="20"/>
                <w:color w:val="auto"/>
              </w:rPr>
            </w:pPr>
            <w:r>
              <w:rPr>
                <w:rFonts w:ascii="Arial" w:cs="Arial" w:eastAsia="Arial" w:hAnsi="Arial"/>
                <w:sz w:val="12"/>
                <w:szCs w:val="12"/>
                <w:b w:val="1"/>
                <w:bCs w:val="1"/>
                <w:color w:val="auto"/>
                <w:w w:val="85"/>
              </w:rPr>
              <w:t>Period</w:t>
            </w:r>
          </w:p>
        </w:tc>
        <w:tc>
          <w:tcPr>
            <w:tcW w:w="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21"/>
              <w:spacing w:after="0" w:line="132" w:lineRule="exact"/>
              <w:rPr>
                <w:sz w:val="20"/>
                <w:szCs w:val="20"/>
                <w:color w:val="auto"/>
              </w:rPr>
            </w:pPr>
            <w:r>
              <w:rPr>
                <w:rFonts w:ascii="Arial" w:cs="Arial" w:eastAsia="Arial" w:hAnsi="Arial"/>
                <w:sz w:val="12"/>
                <w:szCs w:val="12"/>
                <w:b w:val="1"/>
                <w:bCs w:val="1"/>
                <w:color w:val="auto"/>
                <w:w w:val="87"/>
              </w:rPr>
              <w:t>period</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2"/>
        </w:trPr>
        <w:tc>
          <w:tcPr>
            <w:tcW w:w="3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82"/>
              </w:rPr>
              <w:t>months</w:t>
            </w:r>
          </w:p>
        </w:tc>
        <w:tc>
          <w:tcPr>
            <w:tcW w:w="560" w:type="dxa"/>
            <w:vAlign w:val="bottom"/>
            <w:gridSpan w:val="2"/>
          </w:tcPr>
          <w:p>
            <w:pPr>
              <w:jc w:val="center"/>
              <w:ind w:right="61"/>
              <w:spacing w:after="0" w:line="132" w:lineRule="exact"/>
              <w:rPr>
                <w:sz w:val="20"/>
                <w:szCs w:val="20"/>
                <w:color w:val="auto"/>
              </w:rPr>
            </w:pPr>
            <w:r>
              <w:rPr>
                <w:rFonts w:ascii="Arial" w:cs="Arial" w:eastAsia="Arial" w:hAnsi="Arial"/>
                <w:sz w:val="12"/>
                <w:szCs w:val="12"/>
                <w:b w:val="1"/>
                <w:bCs w:val="1"/>
                <w:color w:val="auto"/>
                <w:w w:val="82"/>
              </w:rPr>
              <w:t>months</w:t>
            </w:r>
          </w:p>
        </w:tc>
        <w:tc>
          <w:tcPr>
            <w:tcW w:w="100" w:type="dxa"/>
            <w:vAlign w:val="bottom"/>
          </w:tcPr>
          <w:p>
            <w:pPr>
              <w:spacing w:after="0"/>
              <w:rPr>
                <w:sz w:val="11"/>
                <w:szCs w:val="11"/>
                <w:color w:val="auto"/>
              </w:rPr>
            </w:pPr>
          </w:p>
        </w:tc>
        <w:tc>
          <w:tcPr>
            <w:tcW w:w="640" w:type="dxa"/>
            <w:vAlign w:val="bottom"/>
          </w:tcPr>
          <w:p>
            <w:pPr>
              <w:jc w:val="center"/>
              <w:ind w:right="201"/>
              <w:spacing w:after="0" w:line="132" w:lineRule="exact"/>
              <w:rPr>
                <w:sz w:val="20"/>
                <w:szCs w:val="20"/>
                <w:color w:val="auto"/>
              </w:rPr>
            </w:pPr>
            <w:r>
              <w:rPr>
                <w:rFonts w:ascii="Arial" w:cs="Arial" w:eastAsia="Arial" w:hAnsi="Arial"/>
                <w:sz w:val="12"/>
                <w:szCs w:val="12"/>
                <w:b w:val="1"/>
                <w:bCs w:val="1"/>
                <w:color w:val="auto"/>
                <w:w w:val="83"/>
              </w:rPr>
              <w:t>For the</w:t>
            </w:r>
          </w:p>
        </w:tc>
        <w:tc>
          <w:tcPr>
            <w:tcW w:w="100" w:type="dxa"/>
            <w:vAlign w:val="bottom"/>
          </w:tcPr>
          <w:p>
            <w:pPr>
              <w:spacing w:after="0"/>
              <w:rPr>
                <w:sz w:val="11"/>
                <w:szCs w:val="11"/>
                <w:color w:val="auto"/>
              </w:rPr>
            </w:pPr>
          </w:p>
        </w:tc>
        <w:tc>
          <w:tcPr>
            <w:tcW w:w="660" w:type="dxa"/>
            <w:vAlign w:val="bottom"/>
          </w:tcPr>
          <w:p>
            <w:pPr>
              <w:jc w:val="center"/>
              <w:ind w:right="201"/>
              <w:spacing w:after="0" w:line="132" w:lineRule="exact"/>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1"/>
                <w:szCs w:val="11"/>
                <w:color w:val="auto"/>
              </w:rPr>
            </w:pPr>
          </w:p>
        </w:tc>
        <w:tc>
          <w:tcPr>
            <w:tcW w:w="620" w:type="dxa"/>
            <w:vAlign w:val="bottom"/>
            <w:tcBorders>
              <w:right w:val="single" w:sz="8" w:color="auto"/>
            </w:tcBorders>
          </w:tcPr>
          <w:p>
            <w:pPr>
              <w:jc w:val="center"/>
              <w:ind w:right="121"/>
              <w:spacing w:after="0" w:line="132" w:lineRule="exact"/>
              <w:rPr>
                <w:sz w:val="20"/>
                <w:szCs w:val="20"/>
                <w:color w:val="auto"/>
              </w:rPr>
            </w:pPr>
            <w:r>
              <w:rPr>
                <w:rFonts w:ascii="Arial" w:cs="Arial" w:eastAsia="Arial" w:hAnsi="Arial"/>
                <w:sz w:val="12"/>
                <w:szCs w:val="12"/>
                <w:b w:val="1"/>
                <w:bCs w:val="1"/>
                <w:color w:val="auto"/>
                <w:w w:val="84"/>
              </w:rPr>
              <w:t>April 11,</w:t>
            </w:r>
          </w:p>
        </w:tc>
        <w:tc>
          <w:tcPr>
            <w:tcW w:w="40" w:type="dxa"/>
            <w:vAlign w:val="bottom"/>
            <w:gridSpan w:val="2"/>
          </w:tcPr>
          <w:p>
            <w:pPr>
              <w:spacing w:after="0"/>
              <w:rPr>
                <w:sz w:val="11"/>
                <w:szCs w:val="11"/>
                <w:color w:val="auto"/>
              </w:rPr>
            </w:pPr>
          </w:p>
        </w:tc>
        <w:tc>
          <w:tcPr>
            <w:tcW w:w="760" w:type="dxa"/>
            <w:vAlign w:val="bottom"/>
            <w:gridSpan w:val="2"/>
          </w:tcPr>
          <w:p>
            <w:pPr>
              <w:jc w:val="center"/>
              <w:ind w:right="21"/>
              <w:spacing w:after="0" w:line="132" w:lineRule="exact"/>
              <w:rPr>
                <w:sz w:val="20"/>
                <w:szCs w:val="20"/>
                <w:color w:val="auto"/>
              </w:rPr>
            </w:pPr>
            <w:r>
              <w:rPr>
                <w:rFonts w:ascii="Arial" w:cs="Arial" w:eastAsia="Arial" w:hAnsi="Arial"/>
                <w:sz w:val="12"/>
                <w:szCs w:val="12"/>
                <w:b w:val="1"/>
                <w:bCs w:val="1"/>
                <w:color w:val="auto"/>
                <w:w w:val="87"/>
              </w:rPr>
              <w:t>January 1,</w:t>
            </w:r>
          </w:p>
        </w:tc>
        <w:tc>
          <w:tcPr>
            <w:tcW w:w="120" w:type="dxa"/>
            <w:vAlign w:val="bottom"/>
          </w:tcPr>
          <w:p>
            <w:pPr>
              <w:spacing w:after="0"/>
              <w:rPr>
                <w:sz w:val="11"/>
                <w:szCs w:val="11"/>
                <w:color w:val="auto"/>
              </w:rPr>
            </w:pPr>
          </w:p>
        </w:tc>
        <w:tc>
          <w:tcPr>
            <w:tcW w:w="64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88"/>
              </w:rPr>
              <w:t>For the</w:t>
            </w:r>
          </w:p>
        </w:tc>
      </w:tr>
      <w:tr>
        <w:trPr>
          <w:trHeight w:val="132"/>
        </w:trPr>
        <w:tc>
          <w:tcPr>
            <w:tcW w:w="3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ended</w:t>
            </w:r>
          </w:p>
        </w:tc>
        <w:tc>
          <w:tcPr>
            <w:tcW w:w="60" w:type="dxa"/>
            <w:vAlign w:val="bottom"/>
          </w:tcPr>
          <w:p>
            <w:pPr>
              <w:spacing w:after="0"/>
              <w:rPr>
                <w:sz w:val="11"/>
                <w:szCs w:val="11"/>
                <w:color w:val="auto"/>
              </w:rPr>
            </w:pPr>
          </w:p>
        </w:tc>
        <w:tc>
          <w:tcPr>
            <w:tcW w:w="500" w:type="dxa"/>
            <w:vAlign w:val="bottom"/>
          </w:tcPr>
          <w:p>
            <w:pPr>
              <w:jc w:val="center"/>
              <w:ind w:right="141"/>
              <w:spacing w:after="0" w:line="132" w:lineRule="exact"/>
              <w:rPr>
                <w:sz w:val="20"/>
                <w:szCs w:val="20"/>
                <w:color w:val="auto"/>
              </w:rPr>
            </w:pPr>
            <w:r>
              <w:rPr>
                <w:rFonts w:ascii="Arial" w:cs="Arial" w:eastAsia="Arial" w:hAnsi="Arial"/>
                <w:sz w:val="12"/>
                <w:szCs w:val="12"/>
                <w:b w:val="1"/>
                <w:bCs w:val="1"/>
                <w:color w:val="auto"/>
                <w:w w:val="84"/>
              </w:rPr>
              <w:t>ended</w:t>
            </w:r>
          </w:p>
        </w:tc>
        <w:tc>
          <w:tcPr>
            <w:tcW w:w="740" w:type="dxa"/>
            <w:vAlign w:val="bottom"/>
            <w:gridSpan w:val="2"/>
          </w:tcPr>
          <w:p>
            <w:pPr>
              <w:jc w:val="center"/>
              <w:ind w:right="101"/>
              <w:spacing w:after="0" w:line="132" w:lineRule="exact"/>
              <w:rPr>
                <w:sz w:val="20"/>
                <w:szCs w:val="20"/>
                <w:color w:val="auto"/>
              </w:rPr>
            </w:pPr>
            <w:r>
              <w:rPr>
                <w:rFonts w:ascii="Arial" w:cs="Arial" w:eastAsia="Arial" w:hAnsi="Arial"/>
                <w:sz w:val="12"/>
                <w:szCs w:val="12"/>
                <w:b w:val="1"/>
                <w:bCs w:val="1"/>
                <w:color w:val="auto"/>
                <w:w w:val="85"/>
              </w:rPr>
              <w:t>year ended</w:t>
            </w:r>
          </w:p>
        </w:tc>
        <w:tc>
          <w:tcPr>
            <w:tcW w:w="760" w:type="dxa"/>
            <w:vAlign w:val="bottom"/>
            <w:gridSpan w:val="2"/>
          </w:tcPr>
          <w:p>
            <w:pPr>
              <w:jc w:val="center"/>
              <w:ind w:right="101"/>
              <w:spacing w:after="0" w:line="132" w:lineRule="exact"/>
              <w:rPr>
                <w:sz w:val="20"/>
                <w:szCs w:val="20"/>
                <w:color w:val="auto"/>
              </w:rPr>
            </w:pPr>
            <w:r>
              <w:rPr>
                <w:rFonts w:ascii="Arial" w:cs="Arial" w:eastAsia="Arial" w:hAnsi="Arial"/>
                <w:sz w:val="12"/>
                <w:szCs w:val="12"/>
                <w:b w:val="1"/>
                <w:bCs w:val="1"/>
                <w:color w:val="auto"/>
                <w:w w:val="81"/>
              </w:rPr>
              <w:t>year ended</w:t>
            </w:r>
          </w:p>
        </w:tc>
        <w:tc>
          <w:tcPr>
            <w:tcW w:w="700" w:type="dxa"/>
            <w:vAlign w:val="bottom"/>
            <w:tcBorders>
              <w:right w:val="single" w:sz="8" w:color="auto"/>
            </w:tcBorders>
            <w:gridSpan w:val="2"/>
          </w:tcPr>
          <w:p>
            <w:pPr>
              <w:jc w:val="center"/>
              <w:ind w:right="21"/>
              <w:spacing w:after="0" w:line="132" w:lineRule="exact"/>
              <w:rPr>
                <w:sz w:val="20"/>
                <w:szCs w:val="20"/>
                <w:color w:val="auto"/>
              </w:rPr>
            </w:pPr>
            <w:r>
              <w:rPr>
                <w:rFonts w:ascii="Arial" w:cs="Arial" w:eastAsia="Arial" w:hAnsi="Arial"/>
                <w:sz w:val="12"/>
                <w:szCs w:val="12"/>
                <w:b w:val="1"/>
                <w:bCs w:val="1"/>
                <w:color w:val="auto"/>
                <w:w w:val="82"/>
              </w:rPr>
              <w:t>2018 through</w:t>
            </w:r>
          </w:p>
        </w:tc>
        <w:tc>
          <w:tcPr>
            <w:tcW w:w="40" w:type="dxa"/>
            <w:vAlign w:val="bottom"/>
            <w:gridSpan w:val="2"/>
          </w:tcPr>
          <w:p>
            <w:pPr>
              <w:spacing w:after="0"/>
              <w:rPr>
                <w:sz w:val="11"/>
                <w:szCs w:val="11"/>
                <w:color w:val="auto"/>
              </w:rPr>
            </w:pPr>
          </w:p>
        </w:tc>
        <w:tc>
          <w:tcPr>
            <w:tcW w:w="760" w:type="dxa"/>
            <w:vAlign w:val="bottom"/>
            <w:gridSpan w:val="2"/>
          </w:tcPr>
          <w:p>
            <w:pPr>
              <w:jc w:val="center"/>
              <w:ind w:right="21"/>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76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5"/>
              </w:rPr>
              <w:t>year ended</w:t>
            </w:r>
          </w:p>
        </w:tc>
      </w:tr>
      <w:tr>
        <w:trPr>
          <w:trHeight w:val="132"/>
        </w:trPr>
        <w:tc>
          <w:tcPr>
            <w:tcW w:w="3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83"/>
              </w:rPr>
              <w:t>June 30,</w:t>
            </w:r>
          </w:p>
        </w:tc>
        <w:tc>
          <w:tcPr>
            <w:tcW w:w="560" w:type="dxa"/>
            <w:vAlign w:val="bottom"/>
            <w:gridSpan w:val="2"/>
          </w:tcPr>
          <w:p>
            <w:pPr>
              <w:jc w:val="center"/>
              <w:ind w:right="61"/>
              <w:spacing w:after="0" w:line="132" w:lineRule="exact"/>
              <w:rPr>
                <w:sz w:val="20"/>
                <w:szCs w:val="20"/>
                <w:color w:val="auto"/>
              </w:rPr>
            </w:pPr>
            <w:r>
              <w:rPr>
                <w:rFonts w:ascii="Arial" w:cs="Arial" w:eastAsia="Arial" w:hAnsi="Arial"/>
                <w:sz w:val="12"/>
                <w:szCs w:val="12"/>
                <w:b w:val="1"/>
                <w:bCs w:val="1"/>
                <w:color w:val="auto"/>
                <w:w w:val="83"/>
              </w:rPr>
              <w:t>June 30,</w:t>
            </w:r>
          </w:p>
        </w:tc>
        <w:tc>
          <w:tcPr>
            <w:tcW w:w="740" w:type="dxa"/>
            <w:vAlign w:val="bottom"/>
            <w:gridSpan w:val="2"/>
          </w:tcPr>
          <w:p>
            <w:pPr>
              <w:jc w:val="center"/>
              <w:ind w:right="61"/>
              <w:spacing w:after="0" w:line="132" w:lineRule="exact"/>
              <w:rPr>
                <w:sz w:val="20"/>
                <w:szCs w:val="20"/>
                <w:color w:val="auto"/>
              </w:rPr>
            </w:pPr>
            <w:r>
              <w:rPr>
                <w:rFonts w:ascii="Arial" w:cs="Arial" w:eastAsia="Arial" w:hAnsi="Arial"/>
                <w:sz w:val="12"/>
                <w:szCs w:val="12"/>
                <w:b w:val="1"/>
                <w:bCs w:val="1"/>
                <w:color w:val="auto"/>
                <w:w w:val="79"/>
              </w:rPr>
              <w:t>December 31,</w:t>
            </w:r>
          </w:p>
        </w:tc>
        <w:tc>
          <w:tcPr>
            <w:tcW w:w="760" w:type="dxa"/>
            <w:vAlign w:val="bottom"/>
            <w:gridSpan w:val="2"/>
          </w:tcPr>
          <w:p>
            <w:pPr>
              <w:jc w:val="center"/>
              <w:ind w:right="81"/>
              <w:spacing w:after="0" w:line="132" w:lineRule="exact"/>
              <w:rPr>
                <w:sz w:val="20"/>
                <w:szCs w:val="20"/>
                <w:color w:val="auto"/>
              </w:rPr>
            </w:pPr>
            <w:r>
              <w:rPr>
                <w:rFonts w:ascii="Arial" w:cs="Arial" w:eastAsia="Arial" w:hAnsi="Arial"/>
                <w:sz w:val="12"/>
                <w:szCs w:val="12"/>
                <w:b w:val="1"/>
                <w:bCs w:val="1"/>
                <w:color w:val="auto"/>
                <w:w w:val="79"/>
              </w:rPr>
              <w:t>December 31,</w:t>
            </w:r>
          </w:p>
        </w:tc>
        <w:tc>
          <w:tcPr>
            <w:tcW w:w="700" w:type="dxa"/>
            <w:vAlign w:val="bottom"/>
            <w:tcBorders>
              <w:right w:val="single" w:sz="8" w:color="auto"/>
            </w:tcBorders>
            <w:gridSpan w:val="2"/>
          </w:tcPr>
          <w:p>
            <w:pPr>
              <w:jc w:val="center"/>
              <w:ind w:right="21"/>
              <w:spacing w:after="0" w:line="132" w:lineRule="exact"/>
              <w:rPr>
                <w:sz w:val="20"/>
                <w:szCs w:val="20"/>
                <w:color w:val="auto"/>
              </w:rPr>
            </w:pPr>
            <w:r>
              <w:rPr>
                <w:rFonts w:ascii="Arial" w:cs="Arial" w:eastAsia="Arial" w:hAnsi="Arial"/>
                <w:sz w:val="12"/>
                <w:szCs w:val="12"/>
                <w:b w:val="1"/>
                <w:bCs w:val="1"/>
                <w:color w:val="auto"/>
                <w:w w:val="79"/>
              </w:rPr>
              <w:t>December 31,</w:t>
            </w:r>
          </w:p>
        </w:tc>
        <w:tc>
          <w:tcPr>
            <w:tcW w:w="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41"/>
              <w:spacing w:after="0" w:line="132" w:lineRule="exact"/>
              <w:rPr>
                <w:sz w:val="20"/>
                <w:szCs w:val="20"/>
                <w:color w:val="auto"/>
              </w:rPr>
            </w:pPr>
            <w:r>
              <w:rPr>
                <w:rFonts w:ascii="Arial" w:cs="Arial" w:eastAsia="Arial" w:hAnsi="Arial"/>
                <w:sz w:val="12"/>
                <w:szCs w:val="12"/>
                <w:b w:val="1"/>
                <w:bCs w:val="1"/>
                <w:color w:val="auto"/>
                <w:w w:val="88"/>
              </w:rPr>
              <w:t>April 10,</w:t>
            </w:r>
          </w:p>
        </w:tc>
        <w:tc>
          <w:tcPr>
            <w:tcW w:w="76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December 31,</w:t>
            </w:r>
          </w:p>
        </w:tc>
      </w:tr>
      <w:tr>
        <w:trPr>
          <w:trHeight w:val="150"/>
        </w:trPr>
        <w:tc>
          <w:tcPr>
            <w:tcW w:w="3080" w:type="dxa"/>
            <w:vAlign w:val="bottom"/>
            <w:gridSpan w:val="3"/>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60" w:type="dxa"/>
            <w:vAlign w:val="bottom"/>
          </w:tcPr>
          <w:p>
            <w:pPr>
              <w:spacing w:after="0"/>
              <w:rPr>
                <w:sz w:val="13"/>
                <w:szCs w:val="13"/>
                <w:color w:val="auto"/>
              </w:rPr>
            </w:pPr>
          </w:p>
        </w:tc>
        <w:tc>
          <w:tcPr>
            <w:tcW w:w="400" w:type="dxa"/>
            <w:vAlign w:val="bottom"/>
          </w:tcPr>
          <w:p>
            <w:pPr>
              <w:jc w:val="center"/>
              <w:ind w:right="21"/>
              <w:spacing w:after="0"/>
              <w:rPr>
                <w:sz w:val="20"/>
                <w:szCs w:val="20"/>
                <w:color w:val="auto"/>
              </w:rPr>
            </w:pPr>
            <w:r>
              <w:rPr>
                <w:rFonts w:ascii="Arial" w:cs="Arial" w:eastAsia="Arial" w:hAnsi="Arial"/>
                <w:sz w:val="12"/>
                <w:szCs w:val="12"/>
                <w:b w:val="1"/>
                <w:bCs w:val="1"/>
                <w:color w:val="auto"/>
                <w:w w:val="89"/>
              </w:rPr>
              <w:t>2021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ind w:right="101"/>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640" w:type="dxa"/>
            <w:vAlign w:val="bottom"/>
          </w:tcPr>
          <w:p>
            <w:pPr>
              <w:jc w:val="center"/>
              <w:ind w:right="181"/>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3"/>
                <w:szCs w:val="13"/>
                <w:color w:val="auto"/>
              </w:rPr>
            </w:pPr>
          </w:p>
        </w:tc>
        <w:tc>
          <w:tcPr>
            <w:tcW w:w="660" w:type="dxa"/>
            <w:vAlign w:val="bottom"/>
          </w:tcPr>
          <w:p>
            <w:pPr>
              <w:jc w:val="center"/>
              <w:ind w:right="181"/>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620" w:type="dxa"/>
            <w:vAlign w:val="bottom"/>
            <w:tcBorders>
              <w:right w:val="single" w:sz="8" w:color="auto"/>
            </w:tcBorders>
          </w:tcPr>
          <w:p>
            <w:pPr>
              <w:jc w:val="center"/>
              <w:ind w:right="101"/>
              <w:spacing w:after="0"/>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01"/>
              <w:spacing w:after="0"/>
              <w:rPr>
                <w:sz w:val="20"/>
                <w:szCs w:val="20"/>
                <w:color w:val="auto"/>
              </w:rPr>
            </w:pPr>
            <w:r>
              <w:rPr>
                <w:rFonts w:ascii="Arial" w:cs="Arial" w:eastAsia="Arial" w:hAnsi="Arial"/>
                <w:sz w:val="12"/>
                <w:szCs w:val="12"/>
                <w:b w:val="1"/>
                <w:bCs w:val="1"/>
                <w:color w:val="auto"/>
                <w:w w:val="82"/>
              </w:rPr>
              <w:t>2018</w:t>
            </w:r>
          </w:p>
        </w:tc>
        <w:tc>
          <w:tcPr>
            <w:tcW w:w="620" w:type="dxa"/>
            <w:vAlign w:val="bottom"/>
            <w:gridSpan w:val="2"/>
          </w:tcPr>
          <w:p>
            <w:pPr>
              <w:jc w:val="center"/>
              <w:ind w:left="81"/>
              <w:spacing w:after="0"/>
              <w:rPr>
                <w:sz w:val="20"/>
                <w:szCs w:val="20"/>
                <w:color w:val="auto"/>
              </w:rPr>
            </w:pPr>
            <w:r>
              <w:rPr>
                <w:rFonts w:ascii="Arial" w:cs="Arial" w:eastAsia="Arial" w:hAnsi="Arial"/>
                <w:sz w:val="12"/>
                <w:szCs w:val="12"/>
                <w:b w:val="1"/>
                <w:bCs w:val="1"/>
                <w:color w:val="auto"/>
                <w:w w:val="89"/>
              </w:rPr>
              <w:t>2017</w:t>
            </w:r>
          </w:p>
        </w:tc>
        <w:tc>
          <w:tcPr>
            <w:tcW w:w="140" w:type="dxa"/>
            <w:vAlign w:val="bottom"/>
          </w:tcPr>
          <w:p>
            <w:pPr>
              <w:spacing w:after="0"/>
              <w:rPr>
                <w:sz w:val="13"/>
                <w:szCs w:val="13"/>
                <w:color w:val="auto"/>
              </w:rPr>
            </w:pPr>
          </w:p>
        </w:tc>
      </w:tr>
      <w:tr>
        <w:trPr>
          <w:trHeight w:val="21"/>
        </w:trPr>
        <w:tc>
          <w:tcPr>
            <w:tcW w:w="3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78"/>
        </w:trPr>
        <w:tc>
          <w:tcPr>
            <w:tcW w:w="30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Consolidated Statement of Operations Data:</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2"/>
        </w:trPr>
        <w:tc>
          <w:tcPr>
            <w:tcW w:w="3080" w:type="dxa"/>
            <w:vAlign w:val="bottom"/>
            <w:gridSpan w:val="3"/>
          </w:tcPr>
          <w:p>
            <w:pPr>
              <w:spacing w:after="0"/>
              <w:rPr>
                <w:sz w:val="20"/>
                <w:szCs w:val="20"/>
                <w:color w:val="auto"/>
              </w:rPr>
            </w:pPr>
            <w:r>
              <w:rPr>
                <w:rFonts w:ascii="Arial" w:cs="Arial" w:eastAsia="Arial" w:hAnsi="Arial"/>
                <w:sz w:val="12"/>
                <w:szCs w:val="12"/>
                <w:b w:val="1"/>
                <w:bCs w:val="1"/>
                <w:color w:val="auto"/>
              </w:rPr>
              <w:t>Operating Revenues:</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308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Passenger</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229,325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w w:val="87"/>
              </w:rPr>
              <w:t>209,827</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359,232</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688,833</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right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335,824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172,897</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$ 502,081</w:t>
            </w:r>
          </w:p>
        </w:tc>
      </w:tr>
      <w:tr>
        <w:trPr>
          <w:trHeight w:val="182"/>
        </w:trPr>
        <w:tc>
          <w:tcPr>
            <w:tcW w:w="3080" w:type="dxa"/>
            <w:vAlign w:val="bottom"/>
            <w:gridSpan w:val="3"/>
          </w:tcPr>
          <w:p>
            <w:pPr>
              <w:ind w:left="120"/>
              <w:spacing w:after="0"/>
              <w:rPr>
                <w:sz w:val="20"/>
                <w:szCs w:val="20"/>
                <w:color w:val="auto"/>
              </w:rPr>
            </w:pPr>
            <w:r>
              <w:rPr>
                <w:rFonts w:ascii="Arial" w:cs="Arial" w:eastAsia="Arial" w:hAnsi="Arial"/>
                <w:sz w:val="12"/>
                <w:szCs w:val="12"/>
                <w:color w:val="auto"/>
              </w:rPr>
              <w:t>Cargo</w:t>
            </w:r>
          </w:p>
        </w:tc>
        <w:tc>
          <w:tcPr>
            <w:tcW w:w="6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43,684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ind w:right="41"/>
              <w:spacing w:after="0"/>
              <w:rPr>
                <w:sz w:val="20"/>
                <w:szCs w:val="20"/>
                <w:color w:val="auto"/>
              </w:rPr>
            </w:pPr>
            <w:r>
              <w:rPr>
                <w:rFonts w:ascii="Arial" w:cs="Arial" w:eastAsia="Arial" w:hAnsi="Arial"/>
                <w:sz w:val="12"/>
                <w:szCs w:val="12"/>
                <w:color w:val="auto"/>
              </w:rPr>
              <w:t>3,219</w:t>
            </w:r>
          </w:p>
        </w:tc>
        <w:tc>
          <w:tcPr>
            <w:tcW w:w="100" w:type="dxa"/>
            <w:vAlign w:val="bottom"/>
          </w:tcPr>
          <w:p>
            <w:pPr>
              <w:spacing w:after="0"/>
              <w:rPr>
                <w:sz w:val="15"/>
                <w:szCs w:val="15"/>
                <w:color w:val="auto"/>
              </w:rPr>
            </w:pP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36,809</w:t>
            </w:r>
          </w:p>
        </w:tc>
        <w:tc>
          <w:tcPr>
            <w:tcW w:w="10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20" w:type="dxa"/>
            <w:vAlign w:val="bottom"/>
            <w:tcBorders>
              <w:right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83"/>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3,793</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2,660</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5,445</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12,551</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49,107</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24,555</w:t>
            </w: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57,595</w:t>
            </w:r>
          </w:p>
        </w:tc>
      </w:tr>
      <w:tr>
        <w:trPr>
          <w:trHeight w:val="20"/>
        </w:trPr>
        <w:tc>
          <w:tcPr>
            <w:tcW w:w="30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68"/>
        </w:trPr>
        <w:tc>
          <w:tcPr>
            <w:tcW w:w="3000" w:type="dxa"/>
            <w:vAlign w:val="bottom"/>
          </w:tcPr>
          <w:p>
            <w:pPr>
              <w:ind w:left="240"/>
              <w:spacing w:after="0"/>
              <w:rPr>
                <w:sz w:val="20"/>
                <w:szCs w:val="20"/>
                <w:color w:val="auto"/>
              </w:rPr>
            </w:pPr>
            <w:r>
              <w:rPr>
                <w:rFonts w:ascii="Arial" w:cs="Arial" w:eastAsia="Arial" w:hAnsi="Arial"/>
                <w:sz w:val="12"/>
                <w:szCs w:val="12"/>
                <w:color w:val="auto"/>
              </w:rPr>
              <w:t>Total Operating Revenue</w:t>
            </w: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276,802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ind w:right="41"/>
              <w:spacing w:after="0"/>
              <w:rPr>
                <w:sz w:val="20"/>
                <w:szCs w:val="20"/>
                <w:color w:val="auto"/>
              </w:rPr>
            </w:pPr>
            <w:r>
              <w:rPr>
                <w:rFonts w:ascii="Arial" w:cs="Arial" w:eastAsia="Arial" w:hAnsi="Arial"/>
                <w:sz w:val="12"/>
                <w:szCs w:val="12"/>
                <w:color w:val="auto"/>
                <w:w w:val="87"/>
              </w:rPr>
              <w:t>215,706</w:t>
            </w:r>
          </w:p>
        </w:tc>
        <w:tc>
          <w:tcPr>
            <w:tcW w:w="100" w:type="dxa"/>
            <w:vAlign w:val="bottom"/>
          </w:tcPr>
          <w:p>
            <w:pPr>
              <w:spacing w:after="0"/>
              <w:rPr>
                <w:sz w:val="14"/>
                <w:szCs w:val="14"/>
                <w:color w:val="auto"/>
              </w:rPr>
            </w:pP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401,486</w:t>
            </w:r>
          </w:p>
        </w:tc>
        <w:tc>
          <w:tcPr>
            <w:tcW w:w="100" w:type="dxa"/>
            <w:vAlign w:val="bottom"/>
          </w:tcPr>
          <w:p>
            <w:pPr>
              <w:spacing w:after="0"/>
              <w:rPr>
                <w:sz w:val="14"/>
                <w:szCs w:val="14"/>
                <w:color w:val="auto"/>
              </w:rPr>
            </w:pPr>
          </w:p>
        </w:tc>
        <w:tc>
          <w:tcPr>
            <w:tcW w:w="660" w:type="dxa"/>
            <w:vAlign w:val="bottom"/>
          </w:tcPr>
          <w:p>
            <w:pPr>
              <w:jc w:val="right"/>
              <w:ind w:right="101"/>
              <w:spacing w:after="0"/>
              <w:rPr>
                <w:sz w:val="20"/>
                <w:szCs w:val="20"/>
                <w:color w:val="auto"/>
              </w:rPr>
            </w:pPr>
            <w:r>
              <w:rPr>
                <w:rFonts w:ascii="Arial" w:cs="Arial" w:eastAsia="Arial" w:hAnsi="Arial"/>
                <w:sz w:val="12"/>
                <w:szCs w:val="12"/>
                <w:color w:val="auto"/>
              </w:rPr>
              <w:t>701,384</w:t>
            </w:r>
          </w:p>
        </w:tc>
        <w:tc>
          <w:tcPr>
            <w:tcW w:w="80" w:type="dxa"/>
            <w:vAlign w:val="bottom"/>
          </w:tcPr>
          <w:p>
            <w:pPr>
              <w:spacing w:after="0"/>
              <w:rPr>
                <w:sz w:val="14"/>
                <w:szCs w:val="14"/>
                <w:color w:val="auto"/>
              </w:rPr>
            </w:pPr>
          </w:p>
        </w:tc>
        <w:tc>
          <w:tcPr>
            <w:tcW w:w="620" w:type="dxa"/>
            <w:vAlign w:val="bottom"/>
            <w:tcBorders>
              <w:right w:val="single" w:sz="8" w:color="auto"/>
            </w:tcBorders>
          </w:tcPr>
          <w:p>
            <w:pPr>
              <w:jc w:val="right"/>
              <w:ind w:right="41"/>
              <w:spacing w:after="0"/>
              <w:rPr>
                <w:sz w:val="20"/>
                <w:szCs w:val="20"/>
                <w:color w:val="auto"/>
              </w:rPr>
            </w:pPr>
            <w:r>
              <w:rPr>
                <w:rFonts w:ascii="Arial" w:cs="Arial" w:eastAsia="Arial" w:hAnsi="Arial"/>
                <w:sz w:val="12"/>
                <w:szCs w:val="12"/>
                <w:color w:val="auto"/>
              </w:rPr>
              <w:t>384,931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197,452</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559,676</w:t>
            </w:r>
          </w:p>
        </w:tc>
      </w:tr>
      <w:tr>
        <w:trPr>
          <w:trHeight w:val="21"/>
        </w:trPr>
        <w:tc>
          <w:tcPr>
            <w:tcW w:w="30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78"/>
        </w:trPr>
        <w:tc>
          <w:tcPr>
            <w:tcW w:w="30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Operating Expenses</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2"/>
        </w:trPr>
        <w:tc>
          <w:tcPr>
            <w:tcW w:w="3080" w:type="dxa"/>
            <w:vAlign w:val="bottom"/>
            <w:gridSpan w:val="3"/>
          </w:tcPr>
          <w:p>
            <w:pPr>
              <w:ind w:left="120"/>
              <w:spacing w:after="0"/>
              <w:rPr>
                <w:sz w:val="20"/>
                <w:szCs w:val="20"/>
                <w:color w:val="auto"/>
              </w:rPr>
            </w:pPr>
            <w:r>
              <w:rPr>
                <w:rFonts w:ascii="Arial" w:cs="Arial" w:eastAsia="Arial" w:hAnsi="Arial"/>
                <w:sz w:val="12"/>
                <w:szCs w:val="12"/>
                <w:color w:val="auto"/>
              </w:rPr>
              <w:t>Aircraft Fuel</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53,984</w:t>
            </w: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ind w:right="41"/>
              <w:spacing w:after="0"/>
              <w:rPr>
                <w:sz w:val="20"/>
                <w:szCs w:val="20"/>
                <w:color w:val="auto"/>
              </w:rPr>
            </w:pPr>
            <w:r>
              <w:rPr>
                <w:rFonts w:ascii="Arial" w:cs="Arial" w:eastAsia="Arial" w:hAnsi="Arial"/>
                <w:sz w:val="12"/>
                <w:szCs w:val="12"/>
                <w:color w:val="auto"/>
              </w:rPr>
              <w:t>56,238</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83,392</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101"/>
              <w:spacing w:after="0"/>
              <w:rPr>
                <w:sz w:val="20"/>
                <w:szCs w:val="20"/>
                <w:color w:val="auto"/>
              </w:rPr>
            </w:pPr>
            <w:r>
              <w:rPr>
                <w:rFonts w:ascii="Arial" w:cs="Arial" w:eastAsia="Arial" w:hAnsi="Arial"/>
                <w:sz w:val="12"/>
                <w:szCs w:val="12"/>
                <w:color w:val="auto"/>
              </w:rPr>
              <w:t>165,666</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right w:val="single" w:sz="8" w:color="auto"/>
            </w:tcBorders>
          </w:tcPr>
          <w:p>
            <w:pPr>
              <w:jc w:val="right"/>
              <w:ind w:right="41"/>
              <w:spacing w:after="0"/>
              <w:rPr>
                <w:sz w:val="20"/>
                <w:szCs w:val="20"/>
                <w:color w:val="auto"/>
              </w:rPr>
            </w:pPr>
            <w:r>
              <w:rPr>
                <w:rFonts w:ascii="Arial" w:cs="Arial" w:eastAsia="Arial" w:hAnsi="Arial"/>
                <w:sz w:val="12"/>
                <w:szCs w:val="12"/>
                <w:color w:val="auto"/>
              </w:rPr>
              <w:t>119,553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45,790</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$ 118,382</w:t>
            </w:r>
          </w:p>
        </w:tc>
      </w:tr>
      <w:tr>
        <w:trPr>
          <w:trHeight w:val="192"/>
        </w:trPr>
        <w:tc>
          <w:tcPr>
            <w:tcW w:w="308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Salaries, Wages, and Benefits</w:t>
            </w: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86,392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70,575</w:t>
            </w: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141,641</w:t>
            </w:r>
          </w:p>
        </w:tc>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140,739</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90,263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36,964</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124,446</w:t>
            </w:r>
          </w:p>
        </w:tc>
      </w:tr>
      <w:tr>
        <w:trPr>
          <w:trHeight w:val="198"/>
        </w:trPr>
        <w:tc>
          <w:tcPr>
            <w:tcW w:w="3080" w:type="dxa"/>
            <w:vAlign w:val="bottom"/>
            <w:gridSpan w:val="3"/>
          </w:tcPr>
          <w:p>
            <w:pPr>
              <w:ind w:left="120"/>
              <w:spacing w:after="0"/>
              <w:rPr>
                <w:sz w:val="20"/>
                <w:szCs w:val="20"/>
                <w:color w:val="auto"/>
              </w:rPr>
            </w:pPr>
            <w:r>
              <w:rPr>
                <w:rFonts w:ascii="Arial" w:cs="Arial" w:eastAsia="Arial" w:hAnsi="Arial"/>
                <w:sz w:val="12"/>
                <w:szCs w:val="12"/>
                <w:color w:val="auto"/>
              </w:rPr>
              <w:t>Aircraft Rent</w:t>
            </w:r>
            <w:r>
              <w:rPr>
                <w:rFonts w:ascii="Arial" w:cs="Arial" w:eastAsia="Arial" w:hAnsi="Arial"/>
                <w:sz w:val="14"/>
                <w:szCs w:val="14"/>
                <w:color w:val="auto"/>
                <w:vertAlign w:val="superscript"/>
              </w:rPr>
              <w:t>(1)</w:t>
            </w:r>
          </w:p>
        </w:tc>
        <w:tc>
          <w:tcPr>
            <w:tcW w:w="6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9,414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ind w:right="41"/>
              <w:spacing w:after="0"/>
              <w:rPr>
                <w:sz w:val="20"/>
                <w:szCs w:val="20"/>
                <w:color w:val="auto"/>
              </w:rPr>
            </w:pPr>
            <w:r>
              <w:rPr>
                <w:rFonts w:ascii="Arial" w:cs="Arial" w:eastAsia="Arial" w:hAnsi="Arial"/>
                <w:sz w:val="12"/>
                <w:szCs w:val="12"/>
                <w:color w:val="auto"/>
              </w:rPr>
              <w:t>16,966</w:t>
            </w:r>
          </w:p>
        </w:tc>
        <w:tc>
          <w:tcPr>
            <w:tcW w:w="100" w:type="dxa"/>
            <w:vAlign w:val="bottom"/>
          </w:tcPr>
          <w:p>
            <w:pPr>
              <w:spacing w:after="0"/>
              <w:rPr>
                <w:sz w:val="17"/>
                <w:szCs w:val="17"/>
                <w:color w:val="auto"/>
              </w:rPr>
            </w:pP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30,989</w:t>
            </w:r>
          </w:p>
        </w:tc>
        <w:tc>
          <w:tcPr>
            <w:tcW w:w="100" w:type="dxa"/>
            <w:vAlign w:val="bottom"/>
          </w:tcPr>
          <w:p>
            <w:pPr>
              <w:spacing w:after="0"/>
              <w:rPr>
                <w:sz w:val="17"/>
                <w:szCs w:val="17"/>
                <w:color w:val="auto"/>
              </w:rPr>
            </w:pPr>
          </w:p>
        </w:tc>
        <w:tc>
          <w:tcPr>
            <w:tcW w:w="660" w:type="dxa"/>
            <w:vAlign w:val="bottom"/>
          </w:tcPr>
          <w:p>
            <w:pPr>
              <w:jc w:val="right"/>
              <w:ind w:right="101"/>
              <w:spacing w:after="0"/>
              <w:rPr>
                <w:sz w:val="20"/>
                <w:szCs w:val="20"/>
                <w:color w:val="auto"/>
              </w:rPr>
            </w:pPr>
            <w:r>
              <w:rPr>
                <w:rFonts w:ascii="Arial" w:cs="Arial" w:eastAsia="Arial" w:hAnsi="Arial"/>
                <w:sz w:val="12"/>
                <w:szCs w:val="12"/>
                <w:color w:val="auto"/>
              </w:rPr>
              <w:t>49,908</w:t>
            </w:r>
          </w:p>
        </w:tc>
        <w:tc>
          <w:tcPr>
            <w:tcW w:w="80" w:type="dxa"/>
            <w:vAlign w:val="bottom"/>
          </w:tcPr>
          <w:p>
            <w:pPr>
              <w:spacing w:after="0"/>
              <w:rPr>
                <w:sz w:val="17"/>
                <w:szCs w:val="17"/>
                <w:color w:val="auto"/>
              </w:rPr>
            </w:pPr>
          </w:p>
        </w:tc>
        <w:tc>
          <w:tcPr>
            <w:tcW w:w="620" w:type="dxa"/>
            <w:vAlign w:val="bottom"/>
            <w:tcBorders>
              <w:right w:val="single" w:sz="8" w:color="auto"/>
            </w:tcBorders>
          </w:tcPr>
          <w:p>
            <w:pPr>
              <w:jc w:val="right"/>
              <w:ind w:right="41"/>
              <w:spacing w:after="0"/>
              <w:rPr>
                <w:sz w:val="20"/>
                <w:szCs w:val="20"/>
                <w:color w:val="auto"/>
              </w:rPr>
            </w:pPr>
            <w:r>
              <w:rPr>
                <w:rFonts w:ascii="Arial" w:cs="Arial" w:eastAsia="Arial" w:hAnsi="Arial"/>
                <w:sz w:val="12"/>
                <w:szCs w:val="12"/>
                <w:color w:val="auto"/>
              </w:rPr>
              <w:t>36,831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28,329</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81,141</w:t>
            </w:r>
          </w:p>
        </w:tc>
      </w:tr>
      <w:tr>
        <w:trPr>
          <w:trHeight w:val="209"/>
        </w:trPr>
        <w:tc>
          <w:tcPr>
            <w:tcW w:w="308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Maintenance</w:t>
            </w:r>
            <w:r>
              <w:rPr>
                <w:rFonts w:ascii="Arial" w:cs="Arial" w:eastAsia="Arial" w:hAnsi="Arial"/>
                <w:sz w:val="14"/>
                <w:szCs w:val="14"/>
                <w:color w:val="auto"/>
                <w:vertAlign w:val="superscript"/>
              </w:rPr>
              <w:t>(2)</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20,510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8,904</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27,416</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35,286</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15,491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9,508</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35,371</w:t>
            </w:r>
          </w:p>
        </w:tc>
      </w:tr>
      <w:tr>
        <w:trPr>
          <w:trHeight w:val="193"/>
        </w:trPr>
        <w:tc>
          <w:tcPr>
            <w:tcW w:w="3080" w:type="dxa"/>
            <w:vAlign w:val="bottom"/>
            <w:gridSpan w:val="3"/>
          </w:tcPr>
          <w:p>
            <w:pPr>
              <w:ind w:left="120"/>
              <w:spacing w:after="0"/>
              <w:rPr>
                <w:sz w:val="20"/>
                <w:szCs w:val="20"/>
                <w:color w:val="auto"/>
              </w:rPr>
            </w:pPr>
            <w:r>
              <w:rPr>
                <w:rFonts w:ascii="Arial" w:cs="Arial" w:eastAsia="Arial" w:hAnsi="Arial"/>
                <w:sz w:val="12"/>
                <w:szCs w:val="12"/>
                <w:color w:val="auto"/>
              </w:rPr>
              <w:t>Sales and Marketing</w:t>
            </w:r>
          </w:p>
        </w:tc>
        <w:tc>
          <w:tcPr>
            <w:tcW w:w="6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10,932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ind w:right="41"/>
              <w:spacing w:after="0"/>
              <w:rPr>
                <w:sz w:val="20"/>
                <w:szCs w:val="20"/>
                <w:color w:val="auto"/>
              </w:rPr>
            </w:pPr>
            <w:r>
              <w:rPr>
                <w:rFonts w:ascii="Arial" w:cs="Arial" w:eastAsia="Arial" w:hAnsi="Arial"/>
                <w:sz w:val="12"/>
                <w:szCs w:val="12"/>
                <w:color w:val="auto"/>
              </w:rPr>
              <w:t>10,202</w:t>
            </w:r>
          </w:p>
        </w:tc>
        <w:tc>
          <w:tcPr>
            <w:tcW w:w="100" w:type="dxa"/>
            <w:vAlign w:val="bottom"/>
          </w:tcPr>
          <w:p>
            <w:pPr>
              <w:spacing w:after="0"/>
              <w:rPr>
                <w:sz w:val="16"/>
                <w:szCs w:val="16"/>
                <w:color w:val="auto"/>
              </w:rPr>
            </w:pP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16,570</w:t>
            </w:r>
          </w:p>
        </w:tc>
        <w:tc>
          <w:tcPr>
            <w:tcW w:w="100" w:type="dxa"/>
            <w:vAlign w:val="bottom"/>
          </w:tcPr>
          <w:p>
            <w:pPr>
              <w:spacing w:after="0"/>
              <w:rPr>
                <w:sz w:val="16"/>
                <w:szCs w:val="16"/>
                <w:color w:val="auto"/>
              </w:rPr>
            </w:pPr>
          </w:p>
        </w:tc>
        <w:tc>
          <w:tcPr>
            <w:tcW w:w="660" w:type="dxa"/>
            <w:vAlign w:val="bottom"/>
          </w:tcPr>
          <w:p>
            <w:pPr>
              <w:jc w:val="right"/>
              <w:ind w:right="101"/>
              <w:spacing w:after="0"/>
              <w:rPr>
                <w:sz w:val="20"/>
                <w:szCs w:val="20"/>
                <w:color w:val="auto"/>
              </w:rPr>
            </w:pPr>
            <w:r>
              <w:rPr>
                <w:rFonts w:ascii="Arial" w:cs="Arial" w:eastAsia="Arial" w:hAnsi="Arial"/>
                <w:sz w:val="12"/>
                <w:szCs w:val="12"/>
                <w:color w:val="auto"/>
              </w:rPr>
              <w:t>35,388</w:t>
            </w:r>
          </w:p>
        </w:tc>
        <w:tc>
          <w:tcPr>
            <w:tcW w:w="80" w:type="dxa"/>
            <w:vAlign w:val="bottom"/>
          </w:tcPr>
          <w:p>
            <w:pPr>
              <w:spacing w:after="0"/>
              <w:rPr>
                <w:sz w:val="16"/>
                <w:szCs w:val="16"/>
                <w:color w:val="auto"/>
              </w:rPr>
            </w:pPr>
          </w:p>
        </w:tc>
        <w:tc>
          <w:tcPr>
            <w:tcW w:w="620" w:type="dxa"/>
            <w:vAlign w:val="bottom"/>
            <w:tcBorders>
              <w:right w:val="single" w:sz="8" w:color="auto"/>
            </w:tcBorders>
          </w:tcPr>
          <w:p>
            <w:pPr>
              <w:jc w:val="right"/>
              <w:ind w:right="41"/>
              <w:spacing w:after="0"/>
              <w:rPr>
                <w:sz w:val="20"/>
                <w:szCs w:val="20"/>
                <w:color w:val="auto"/>
              </w:rPr>
            </w:pPr>
            <w:r>
              <w:rPr>
                <w:rFonts w:ascii="Arial" w:cs="Arial" w:eastAsia="Arial" w:hAnsi="Arial"/>
                <w:sz w:val="12"/>
                <w:szCs w:val="12"/>
                <w:color w:val="auto"/>
              </w:rPr>
              <w:t>17,180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10,854</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36,320</w:t>
            </w:r>
          </w:p>
        </w:tc>
      </w:tr>
      <w:tr>
        <w:trPr>
          <w:trHeight w:val="214"/>
        </w:trPr>
        <w:tc>
          <w:tcPr>
            <w:tcW w:w="308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r>
              <w:rPr>
                <w:rFonts w:ascii="Arial" w:cs="Arial" w:eastAsia="Arial" w:hAnsi="Arial"/>
                <w:sz w:val="14"/>
                <w:szCs w:val="14"/>
                <w:color w:val="auto"/>
                <w:vertAlign w:val="superscript"/>
              </w:rPr>
              <w:t>(3)</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26,075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22,702</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48,086</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34,877</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14,405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2,526</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10,301</w:t>
            </w:r>
          </w:p>
        </w:tc>
      </w:tr>
      <w:tr>
        <w:trPr>
          <w:trHeight w:val="193"/>
        </w:trPr>
        <w:tc>
          <w:tcPr>
            <w:tcW w:w="3080" w:type="dxa"/>
            <w:vAlign w:val="bottom"/>
            <w:gridSpan w:val="3"/>
          </w:tcPr>
          <w:p>
            <w:pPr>
              <w:ind w:left="120"/>
              <w:spacing w:after="0"/>
              <w:rPr>
                <w:sz w:val="20"/>
                <w:szCs w:val="20"/>
                <w:color w:val="auto"/>
              </w:rPr>
            </w:pPr>
            <w:r>
              <w:rPr>
                <w:rFonts w:ascii="Arial" w:cs="Arial" w:eastAsia="Arial" w:hAnsi="Arial"/>
                <w:sz w:val="12"/>
                <w:szCs w:val="12"/>
                <w:color w:val="auto"/>
              </w:rPr>
              <w:t>Ground Handling</w:t>
            </w:r>
          </w:p>
        </w:tc>
        <w:tc>
          <w:tcPr>
            <w:tcW w:w="6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11,781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ind w:right="41"/>
              <w:spacing w:after="0"/>
              <w:rPr>
                <w:sz w:val="20"/>
                <w:szCs w:val="20"/>
                <w:color w:val="auto"/>
              </w:rPr>
            </w:pPr>
            <w:r>
              <w:rPr>
                <w:rFonts w:ascii="Arial" w:cs="Arial" w:eastAsia="Arial" w:hAnsi="Arial"/>
                <w:sz w:val="12"/>
                <w:szCs w:val="12"/>
                <w:color w:val="auto"/>
              </w:rPr>
              <w:t>10,906</w:t>
            </w:r>
          </w:p>
        </w:tc>
        <w:tc>
          <w:tcPr>
            <w:tcW w:w="100" w:type="dxa"/>
            <w:vAlign w:val="bottom"/>
          </w:tcPr>
          <w:p>
            <w:pPr>
              <w:spacing w:after="0"/>
              <w:rPr>
                <w:sz w:val="16"/>
                <w:szCs w:val="16"/>
                <w:color w:val="auto"/>
              </w:rPr>
            </w:pP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20,596</w:t>
            </w:r>
          </w:p>
        </w:tc>
        <w:tc>
          <w:tcPr>
            <w:tcW w:w="100" w:type="dxa"/>
            <w:vAlign w:val="bottom"/>
          </w:tcPr>
          <w:p>
            <w:pPr>
              <w:spacing w:after="0"/>
              <w:rPr>
                <w:sz w:val="16"/>
                <w:szCs w:val="16"/>
                <w:color w:val="auto"/>
              </w:rPr>
            </w:pPr>
          </w:p>
        </w:tc>
        <w:tc>
          <w:tcPr>
            <w:tcW w:w="660" w:type="dxa"/>
            <w:vAlign w:val="bottom"/>
          </w:tcPr>
          <w:p>
            <w:pPr>
              <w:jc w:val="right"/>
              <w:ind w:right="101"/>
              <w:spacing w:after="0"/>
              <w:rPr>
                <w:sz w:val="20"/>
                <w:szCs w:val="20"/>
                <w:color w:val="auto"/>
              </w:rPr>
            </w:pPr>
            <w:r>
              <w:rPr>
                <w:rFonts w:ascii="Arial" w:cs="Arial" w:eastAsia="Arial" w:hAnsi="Arial"/>
                <w:sz w:val="12"/>
                <w:szCs w:val="12"/>
                <w:color w:val="auto"/>
              </w:rPr>
              <w:t>41,719</w:t>
            </w:r>
          </w:p>
        </w:tc>
        <w:tc>
          <w:tcPr>
            <w:tcW w:w="80" w:type="dxa"/>
            <w:vAlign w:val="bottom"/>
          </w:tcPr>
          <w:p>
            <w:pPr>
              <w:spacing w:after="0"/>
              <w:rPr>
                <w:sz w:val="16"/>
                <w:szCs w:val="16"/>
                <w:color w:val="auto"/>
              </w:rPr>
            </w:pPr>
          </w:p>
        </w:tc>
        <w:tc>
          <w:tcPr>
            <w:tcW w:w="620" w:type="dxa"/>
            <w:vAlign w:val="bottom"/>
            <w:tcBorders>
              <w:right w:val="single" w:sz="8" w:color="auto"/>
            </w:tcBorders>
          </w:tcPr>
          <w:p>
            <w:pPr>
              <w:jc w:val="right"/>
              <w:ind w:right="41"/>
              <w:spacing w:after="0"/>
              <w:rPr>
                <w:sz w:val="20"/>
                <w:szCs w:val="20"/>
                <w:color w:val="auto"/>
              </w:rPr>
            </w:pPr>
            <w:r>
              <w:rPr>
                <w:rFonts w:ascii="Arial" w:cs="Arial" w:eastAsia="Arial" w:hAnsi="Arial"/>
                <w:sz w:val="12"/>
                <w:szCs w:val="12"/>
                <w:color w:val="auto"/>
              </w:rPr>
              <w:t>23,828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8,619</w:t>
            </w: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214"/>
        </w:trPr>
        <w:tc>
          <w:tcPr>
            <w:tcW w:w="308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Landing Fees and Airport Rent</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17,537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13,781</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31,256</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rPr>
              <w:t>44,400</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25,977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10,481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5280660</wp:posOffset>
            </wp:positionH>
            <wp:positionV relativeFrom="paragraph">
              <wp:posOffset>-1136650</wp:posOffset>
            </wp:positionV>
            <wp:extent cx="9080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-1136650</wp:posOffset>
            </wp:positionV>
            <wp:extent cx="11176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-1136650</wp:posOffset>
            </wp:positionV>
            <wp:extent cx="8382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-1136650</wp:posOffset>
            </wp:positionV>
            <wp:extent cx="10477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-1136650</wp:posOffset>
            </wp:positionV>
            <wp:extent cx="10477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-1136650</wp:posOffset>
            </wp:positionV>
            <wp:extent cx="264414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441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-1269365</wp:posOffset>
            </wp:positionV>
            <wp:extent cx="2095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-1269365</wp:posOffset>
            </wp:positionV>
            <wp:extent cx="3492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-1269365</wp:posOffset>
            </wp:positionV>
            <wp:extent cx="349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-1875790</wp:posOffset>
            </wp:positionV>
            <wp:extent cx="2794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-1875790</wp:posOffset>
            </wp:positionV>
            <wp:extent cx="349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-1875790</wp:posOffset>
            </wp:positionV>
            <wp:extent cx="2794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-1875790</wp:posOffset>
            </wp:positionV>
            <wp:extent cx="2794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-1875790</wp:posOffset>
            </wp:positionV>
            <wp:extent cx="2794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-1875790</wp:posOffset>
            </wp:positionV>
            <wp:extent cx="2794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-1875790</wp:posOffset>
            </wp:positionV>
            <wp:extent cx="2794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940" cy="6985"/>
                    </a:xfrm>
                    <a:prstGeom prst="rect">
                      <a:avLst/>
                    </a:prstGeom>
                    <a:noFill/>
                  </pic:spPr>
                </pic:pic>
              </a:graphicData>
            </a:graphic>
          </wp:anchor>
        </w:drawing>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tbl>
      <w:tblPr>
        <w:tblLayout w:type="fixed"/>
        <w:tblInd w:w="140" w:type="dxa"/>
        <w:tblCellMar>
          <w:top w:w="0" w:type="dxa"/>
          <w:left w:w="0" w:type="dxa"/>
          <w:bottom w:w="0" w:type="dxa"/>
          <w:right w:w="0" w:type="dxa"/>
        </w:tblCellMar>
      </w:tblPr>
      <w:tr>
        <w:trPr>
          <w:trHeight w:val="139"/>
        </w:trPr>
        <w:tc>
          <w:tcPr>
            <w:tcW w:w="3460" w:type="dxa"/>
            <w:vAlign w:val="bottom"/>
            <w:gridSpan w:val="4"/>
          </w:tcPr>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vMerge w:val="restart"/>
          </w:tcPr>
          <w:p>
            <w:pPr>
              <w:jc w:val="right"/>
              <w:ind w:right="61"/>
              <w:spacing w:after="0"/>
              <w:rPr>
                <w:sz w:val="20"/>
                <w:szCs w:val="20"/>
                <w:color w:val="auto"/>
              </w:rPr>
            </w:pPr>
            <w:r>
              <w:rPr>
                <w:rFonts w:ascii="Arial" w:cs="Arial" w:eastAsia="Arial" w:hAnsi="Arial"/>
                <w:sz w:val="12"/>
                <w:szCs w:val="12"/>
                <w:b w:val="1"/>
                <w:bCs w:val="1"/>
                <w:color w:val="auto"/>
                <w:w w:val="85"/>
              </w:rPr>
              <w:t>Successor</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5"/>
            <w:vMerge w:val="restart"/>
          </w:tcPr>
          <w:p>
            <w:pPr>
              <w:jc w:val="right"/>
              <w:ind w:right="420"/>
              <w:spacing w:after="0"/>
              <w:rPr>
                <w:sz w:val="20"/>
                <w:szCs w:val="20"/>
                <w:color w:val="auto"/>
              </w:rPr>
            </w:pPr>
            <w:r>
              <w:rPr>
                <w:rFonts w:ascii="Arial" w:cs="Arial" w:eastAsia="Arial" w:hAnsi="Arial"/>
                <w:sz w:val="12"/>
                <w:szCs w:val="12"/>
                <w:b w:val="1"/>
                <w:bCs w:val="1"/>
                <w:color w:val="auto"/>
              </w:rPr>
              <w:t>Predecessor</w:t>
            </w: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2"/>
                <w:szCs w:val="12"/>
                <w:color w:val="auto"/>
              </w:rPr>
            </w:pPr>
          </w:p>
        </w:tc>
        <w:tc>
          <w:tcPr>
            <w:tcW w:w="620" w:type="dxa"/>
            <w:vAlign w:val="bottom"/>
          </w:tcPr>
          <w:p>
            <w:pPr>
              <w:jc w:val="center"/>
              <w:ind w:right="141"/>
              <w:spacing w:after="0"/>
              <w:rPr>
                <w:sz w:val="20"/>
                <w:szCs w:val="20"/>
                <w:color w:val="auto"/>
              </w:rPr>
            </w:pPr>
            <w:r>
              <w:rPr>
                <w:rFonts w:ascii="Arial" w:cs="Arial" w:eastAsia="Arial" w:hAnsi="Arial"/>
                <w:sz w:val="12"/>
                <w:szCs w:val="12"/>
                <w:b w:val="1"/>
                <w:bCs w:val="1"/>
                <w:color w:val="auto"/>
                <w:w w:val="83"/>
              </w:rPr>
              <w:t>For the</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tcPr>
          <w:p>
            <w:pPr>
              <w:jc w:val="center"/>
              <w:ind w:right="121"/>
              <w:spacing w:after="0"/>
              <w:rPr>
                <w:sz w:val="20"/>
                <w:szCs w:val="20"/>
                <w:color w:val="auto"/>
              </w:rPr>
            </w:pPr>
            <w:r>
              <w:rPr>
                <w:rFonts w:ascii="Arial" w:cs="Arial" w:eastAsia="Arial" w:hAnsi="Arial"/>
                <w:sz w:val="12"/>
                <w:szCs w:val="12"/>
                <w:b w:val="1"/>
                <w:bCs w:val="1"/>
                <w:color w:val="auto"/>
                <w:w w:val="83"/>
              </w:rPr>
              <w:t>For the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81"/>
              <w:spacing w:after="0"/>
              <w:rPr>
                <w:sz w:val="20"/>
                <w:szCs w:val="20"/>
                <w:color w:val="auto"/>
              </w:rPr>
            </w:pPr>
            <w:r>
              <w:rPr>
                <w:rFonts w:ascii="Arial" w:cs="Arial" w:eastAsia="Arial" w:hAnsi="Arial"/>
                <w:sz w:val="12"/>
                <w:szCs w:val="12"/>
                <w:b w:val="1"/>
                <w:bCs w:val="1"/>
                <w:color w:val="auto"/>
                <w:w w:val="88"/>
              </w:rPr>
              <w:t>For the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six</w:t>
            </w:r>
          </w:p>
        </w:tc>
        <w:tc>
          <w:tcPr>
            <w:tcW w:w="80" w:type="dxa"/>
            <w:vAlign w:val="bottom"/>
          </w:tcPr>
          <w:p>
            <w:pPr>
              <w:spacing w:after="0"/>
              <w:rPr>
                <w:sz w:val="11"/>
                <w:szCs w:val="11"/>
                <w:color w:val="auto"/>
              </w:rPr>
            </w:pPr>
          </w:p>
        </w:tc>
        <w:tc>
          <w:tcPr>
            <w:tcW w:w="620" w:type="dxa"/>
            <w:vAlign w:val="bottom"/>
          </w:tcPr>
          <w:p>
            <w:pPr>
              <w:jc w:val="center"/>
              <w:ind w:right="161"/>
              <w:spacing w:after="0" w:line="132" w:lineRule="exact"/>
              <w:rPr>
                <w:sz w:val="20"/>
                <w:szCs w:val="20"/>
                <w:color w:val="auto"/>
              </w:rPr>
            </w:pPr>
            <w:r>
              <w:rPr>
                <w:rFonts w:ascii="Arial" w:cs="Arial" w:eastAsia="Arial" w:hAnsi="Arial"/>
                <w:sz w:val="12"/>
                <w:szCs w:val="12"/>
                <w:b w:val="1"/>
                <w:bCs w:val="1"/>
                <w:color w:val="auto"/>
                <w:w w:val="71"/>
              </w:rPr>
              <w:t>six</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ind w:right="141"/>
              <w:spacing w:after="0" w:line="132" w:lineRule="exact"/>
              <w:rPr>
                <w:sz w:val="20"/>
                <w:szCs w:val="20"/>
                <w:color w:val="auto"/>
              </w:rPr>
            </w:pPr>
            <w:r>
              <w:rPr>
                <w:rFonts w:ascii="Arial" w:cs="Arial" w:eastAsia="Arial" w:hAnsi="Arial"/>
                <w:sz w:val="12"/>
                <w:szCs w:val="12"/>
                <w:b w:val="1"/>
                <w:bCs w:val="1"/>
                <w:color w:val="auto"/>
                <w:w w:val="85"/>
              </w:rPr>
              <w:t>Period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81"/>
              <w:spacing w:after="0" w:line="132" w:lineRule="exact"/>
              <w:rPr>
                <w:sz w:val="20"/>
                <w:szCs w:val="20"/>
                <w:color w:val="auto"/>
              </w:rPr>
            </w:pPr>
            <w:r>
              <w:rPr>
                <w:rFonts w:ascii="Arial" w:cs="Arial" w:eastAsia="Arial" w:hAnsi="Arial"/>
                <w:sz w:val="12"/>
                <w:szCs w:val="12"/>
                <w:b w:val="1"/>
                <w:bCs w:val="1"/>
                <w:color w:val="auto"/>
                <w:w w:val="87"/>
              </w:rPr>
              <w:t>period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82"/>
              </w:rPr>
              <w:t>months</w:t>
            </w:r>
          </w:p>
        </w:tc>
        <w:tc>
          <w:tcPr>
            <w:tcW w:w="80" w:type="dxa"/>
            <w:vAlign w:val="bottom"/>
          </w:tcPr>
          <w:p>
            <w:pPr>
              <w:spacing w:after="0"/>
              <w:rPr>
                <w:sz w:val="11"/>
                <w:szCs w:val="11"/>
                <w:color w:val="auto"/>
              </w:rPr>
            </w:pPr>
          </w:p>
        </w:tc>
        <w:tc>
          <w:tcPr>
            <w:tcW w:w="620" w:type="dxa"/>
            <w:vAlign w:val="bottom"/>
          </w:tcPr>
          <w:p>
            <w:pPr>
              <w:jc w:val="center"/>
              <w:ind w:right="121"/>
              <w:spacing w:after="0" w:line="132" w:lineRule="exact"/>
              <w:rPr>
                <w:sz w:val="20"/>
                <w:szCs w:val="20"/>
                <w:color w:val="auto"/>
              </w:rPr>
            </w:pPr>
            <w:r>
              <w:rPr>
                <w:rFonts w:ascii="Arial" w:cs="Arial" w:eastAsia="Arial" w:hAnsi="Arial"/>
                <w:sz w:val="12"/>
                <w:szCs w:val="12"/>
                <w:b w:val="1"/>
                <w:bCs w:val="1"/>
                <w:color w:val="auto"/>
                <w:w w:val="82"/>
              </w:rPr>
              <w:t>months</w:t>
            </w:r>
          </w:p>
        </w:tc>
        <w:tc>
          <w:tcPr>
            <w:tcW w:w="60" w:type="dxa"/>
            <w:vAlign w:val="bottom"/>
          </w:tcPr>
          <w:p>
            <w:pPr>
              <w:spacing w:after="0"/>
              <w:rPr>
                <w:sz w:val="11"/>
                <w:szCs w:val="11"/>
                <w:color w:val="auto"/>
              </w:rPr>
            </w:pPr>
          </w:p>
        </w:tc>
        <w:tc>
          <w:tcPr>
            <w:tcW w:w="660" w:type="dxa"/>
            <w:vAlign w:val="bottom"/>
          </w:tcPr>
          <w:p>
            <w:pPr>
              <w:jc w:val="center"/>
              <w:ind w:right="161"/>
              <w:spacing w:after="0" w:line="132" w:lineRule="exact"/>
              <w:rPr>
                <w:sz w:val="20"/>
                <w:szCs w:val="20"/>
                <w:color w:val="auto"/>
              </w:rPr>
            </w:pPr>
            <w:r>
              <w:rPr>
                <w:rFonts w:ascii="Arial" w:cs="Arial" w:eastAsia="Arial" w:hAnsi="Arial"/>
                <w:sz w:val="12"/>
                <w:szCs w:val="12"/>
                <w:b w:val="1"/>
                <w:bCs w:val="1"/>
                <w:color w:val="auto"/>
                <w:w w:val="88"/>
              </w:rPr>
              <w:t>For the</w:t>
            </w:r>
          </w:p>
        </w:tc>
        <w:tc>
          <w:tcPr>
            <w:tcW w:w="60" w:type="dxa"/>
            <w:vAlign w:val="bottom"/>
          </w:tcPr>
          <w:p>
            <w:pPr>
              <w:spacing w:after="0"/>
              <w:rPr>
                <w:sz w:val="11"/>
                <w:szCs w:val="11"/>
                <w:color w:val="auto"/>
              </w:rPr>
            </w:pPr>
          </w:p>
        </w:tc>
        <w:tc>
          <w:tcPr>
            <w:tcW w:w="660" w:type="dxa"/>
            <w:vAlign w:val="bottom"/>
          </w:tcPr>
          <w:p>
            <w:pPr>
              <w:jc w:val="center"/>
              <w:ind w:right="161"/>
              <w:spacing w:after="0" w:line="132" w:lineRule="exact"/>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ind w:right="121"/>
              <w:spacing w:after="0" w:line="132" w:lineRule="exact"/>
              <w:rPr>
                <w:sz w:val="20"/>
                <w:szCs w:val="20"/>
                <w:color w:val="auto"/>
              </w:rPr>
            </w:pPr>
            <w:r>
              <w:rPr>
                <w:rFonts w:ascii="Arial" w:cs="Arial" w:eastAsia="Arial" w:hAnsi="Arial"/>
                <w:sz w:val="12"/>
                <w:szCs w:val="12"/>
                <w:b w:val="1"/>
                <w:bCs w:val="1"/>
                <w:color w:val="auto"/>
                <w:w w:val="88"/>
              </w:rPr>
              <w:t>April 11,</w:t>
            </w:r>
          </w:p>
        </w:tc>
        <w:tc>
          <w:tcPr>
            <w:tcW w:w="20" w:type="dxa"/>
            <w:vAlign w:val="bottom"/>
          </w:tcPr>
          <w:p>
            <w:pPr>
              <w:spacing w:after="0"/>
              <w:rPr>
                <w:sz w:val="11"/>
                <w:szCs w:val="11"/>
                <w:color w:val="auto"/>
              </w:rPr>
            </w:pPr>
          </w:p>
        </w:tc>
        <w:tc>
          <w:tcPr>
            <w:tcW w:w="700" w:type="dxa"/>
            <w:vAlign w:val="bottom"/>
            <w:gridSpan w:val="2"/>
          </w:tcPr>
          <w:p>
            <w:pPr>
              <w:jc w:val="center"/>
              <w:ind w:right="1"/>
              <w:spacing w:after="0" w:line="132" w:lineRule="exact"/>
              <w:rPr>
                <w:sz w:val="20"/>
                <w:szCs w:val="20"/>
                <w:color w:val="auto"/>
              </w:rPr>
            </w:pPr>
            <w:r>
              <w:rPr>
                <w:rFonts w:ascii="Arial" w:cs="Arial" w:eastAsia="Arial" w:hAnsi="Arial"/>
                <w:sz w:val="12"/>
                <w:szCs w:val="12"/>
                <w:b w:val="1"/>
                <w:bCs w:val="1"/>
                <w:color w:val="auto"/>
                <w:w w:val="87"/>
              </w:rPr>
              <w:t>January 1,</w:t>
            </w:r>
          </w:p>
        </w:tc>
        <w:tc>
          <w:tcPr>
            <w:tcW w:w="120" w:type="dxa"/>
            <w:vAlign w:val="bottom"/>
          </w:tcPr>
          <w:p>
            <w:pPr>
              <w:spacing w:after="0"/>
              <w:rPr>
                <w:sz w:val="11"/>
                <w:szCs w:val="11"/>
                <w:color w:val="auto"/>
              </w:rPr>
            </w:pPr>
          </w:p>
        </w:tc>
        <w:tc>
          <w:tcPr>
            <w:tcW w:w="58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For the</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1"/>
                <w:szCs w:val="11"/>
                <w:color w:val="auto"/>
              </w:rPr>
            </w:pPr>
          </w:p>
        </w:tc>
        <w:tc>
          <w:tcPr>
            <w:tcW w:w="620" w:type="dxa"/>
            <w:vAlign w:val="bottom"/>
          </w:tcPr>
          <w:p>
            <w:pPr>
              <w:jc w:val="center"/>
              <w:ind w:right="141"/>
              <w:spacing w:after="0" w:line="132" w:lineRule="exact"/>
              <w:rPr>
                <w:sz w:val="20"/>
                <w:szCs w:val="20"/>
                <w:color w:val="auto"/>
              </w:rPr>
            </w:pPr>
            <w:r>
              <w:rPr>
                <w:rFonts w:ascii="Arial" w:cs="Arial" w:eastAsia="Arial" w:hAnsi="Arial"/>
                <w:sz w:val="12"/>
                <w:szCs w:val="12"/>
                <w:b w:val="1"/>
                <w:bCs w:val="1"/>
                <w:color w:val="auto"/>
                <w:w w:val="84"/>
              </w:rPr>
              <w:t>ended</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year ended</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year ended</w:t>
            </w:r>
          </w:p>
        </w:tc>
        <w:tc>
          <w:tcPr>
            <w:tcW w:w="680" w:type="dxa"/>
            <w:vAlign w:val="bottom"/>
            <w:tcBorders>
              <w:right w:val="single" w:sz="8" w:color="auto"/>
            </w:tcBorders>
            <w:gridSpan w:val="2"/>
          </w:tcPr>
          <w:p>
            <w:pPr>
              <w:jc w:val="center"/>
              <w:ind w:right="21"/>
              <w:spacing w:after="0" w:line="132" w:lineRule="exact"/>
              <w:rPr>
                <w:sz w:val="20"/>
                <w:szCs w:val="20"/>
                <w:color w:val="auto"/>
              </w:rPr>
            </w:pPr>
            <w:r>
              <w:rPr>
                <w:rFonts w:ascii="Arial" w:cs="Arial" w:eastAsia="Arial" w:hAnsi="Arial"/>
                <w:sz w:val="12"/>
                <w:szCs w:val="12"/>
                <w:b w:val="1"/>
                <w:bCs w:val="1"/>
                <w:color w:val="auto"/>
                <w:w w:val="79"/>
              </w:rPr>
              <w:t>2018 through</w:t>
            </w:r>
          </w:p>
        </w:tc>
        <w:tc>
          <w:tcPr>
            <w:tcW w:w="20" w:type="dxa"/>
            <w:vAlign w:val="bottom"/>
          </w:tcPr>
          <w:p>
            <w:pPr>
              <w:spacing w:after="0"/>
              <w:rPr>
                <w:sz w:val="11"/>
                <w:szCs w:val="11"/>
                <w:color w:val="auto"/>
              </w:rPr>
            </w:pPr>
          </w:p>
        </w:tc>
        <w:tc>
          <w:tcPr>
            <w:tcW w:w="700" w:type="dxa"/>
            <w:vAlign w:val="bottom"/>
            <w:gridSpan w:val="2"/>
          </w:tcPr>
          <w:p>
            <w:pPr>
              <w:jc w:val="center"/>
              <w:ind w:right="1"/>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70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1"/>
              </w:rPr>
              <w:t>year ended</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83"/>
              </w:rPr>
              <w:t>June 30,</w:t>
            </w:r>
          </w:p>
        </w:tc>
        <w:tc>
          <w:tcPr>
            <w:tcW w:w="80" w:type="dxa"/>
            <w:vAlign w:val="bottom"/>
          </w:tcPr>
          <w:p>
            <w:pPr>
              <w:spacing w:after="0"/>
              <w:rPr>
                <w:sz w:val="11"/>
                <w:szCs w:val="11"/>
                <w:color w:val="auto"/>
              </w:rPr>
            </w:pPr>
          </w:p>
        </w:tc>
        <w:tc>
          <w:tcPr>
            <w:tcW w:w="620" w:type="dxa"/>
            <w:vAlign w:val="bottom"/>
          </w:tcPr>
          <w:p>
            <w:pPr>
              <w:jc w:val="center"/>
              <w:ind w:right="121"/>
              <w:spacing w:after="0" w:line="132" w:lineRule="exact"/>
              <w:rPr>
                <w:sz w:val="20"/>
                <w:szCs w:val="20"/>
                <w:color w:val="auto"/>
              </w:rPr>
            </w:pPr>
            <w:r>
              <w:rPr>
                <w:rFonts w:ascii="Arial" w:cs="Arial" w:eastAsia="Arial" w:hAnsi="Arial"/>
                <w:sz w:val="12"/>
                <w:szCs w:val="12"/>
                <w:b w:val="1"/>
                <w:bCs w:val="1"/>
                <w:color w:val="auto"/>
                <w:w w:val="83"/>
              </w:rPr>
              <w:t>June 30,</w:t>
            </w:r>
          </w:p>
        </w:tc>
        <w:tc>
          <w:tcPr>
            <w:tcW w:w="720" w:type="dxa"/>
            <w:vAlign w:val="bottom"/>
            <w:gridSpan w:val="2"/>
          </w:tcPr>
          <w:p>
            <w:pPr>
              <w:jc w:val="center"/>
              <w:ind w:right="61"/>
              <w:spacing w:after="0" w:line="132" w:lineRule="exact"/>
              <w:rPr>
                <w:sz w:val="20"/>
                <w:szCs w:val="20"/>
                <w:color w:val="auto"/>
              </w:rPr>
            </w:pPr>
            <w:r>
              <w:rPr>
                <w:rFonts w:ascii="Arial" w:cs="Arial" w:eastAsia="Arial" w:hAnsi="Arial"/>
                <w:sz w:val="12"/>
                <w:szCs w:val="12"/>
                <w:b w:val="1"/>
                <w:bCs w:val="1"/>
                <w:color w:val="auto"/>
                <w:w w:val="76"/>
              </w:rPr>
              <w:t>December 31,</w:t>
            </w:r>
          </w:p>
        </w:tc>
        <w:tc>
          <w:tcPr>
            <w:tcW w:w="720" w:type="dxa"/>
            <w:vAlign w:val="bottom"/>
            <w:gridSpan w:val="2"/>
          </w:tcPr>
          <w:p>
            <w:pPr>
              <w:jc w:val="center"/>
              <w:ind w:right="41"/>
              <w:spacing w:after="0" w:line="132" w:lineRule="exact"/>
              <w:rPr>
                <w:sz w:val="20"/>
                <w:szCs w:val="20"/>
                <w:color w:val="auto"/>
              </w:rPr>
            </w:pPr>
            <w:r>
              <w:rPr>
                <w:rFonts w:ascii="Arial" w:cs="Arial" w:eastAsia="Arial" w:hAnsi="Arial"/>
                <w:sz w:val="12"/>
                <w:szCs w:val="12"/>
                <w:b w:val="1"/>
                <w:bCs w:val="1"/>
                <w:color w:val="auto"/>
                <w:w w:val="79"/>
              </w:rPr>
              <w:t>December 31,</w:t>
            </w:r>
          </w:p>
        </w:tc>
        <w:tc>
          <w:tcPr>
            <w:tcW w:w="680" w:type="dxa"/>
            <w:vAlign w:val="bottom"/>
            <w:tcBorders>
              <w:right w:val="single" w:sz="8" w:color="auto"/>
            </w:tcBorders>
            <w:gridSpan w:val="2"/>
          </w:tcPr>
          <w:p>
            <w:pPr>
              <w:jc w:val="center"/>
              <w:ind w:right="1"/>
              <w:spacing w:after="0" w:line="132" w:lineRule="exact"/>
              <w:rPr>
                <w:sz w:val="20"/>
                <w:szCs w:val="20"/>
                <w:color w:val="auto"/>
              </w:rPr>
            </w:pPr>
            <w:r>
              <w:rPr>
                <w:rFonts w:ascii="Arial" w:cs="Arial" w:eastAsia="Arial" w:hAnsi="Arial"/>
                <w:sz w:val="12"/>
                <w:szCs w:val="12"/>
                <w:b w:val="1"/>
                <w:bCs w:val="1"/>
                <w:color w:val="auto"/>
                <w:w w:val="79"/>
              </w:rPr>
              <w:t>December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81"/>
              <w:spacing w:after="0" w:line="132" w:lineRule="exact"/>
              <w:rPr>
                <w:sz w:val="20"/>
                <w:szCs w:val="20"/>
                <w:color w:val="auto"/>
              </w:rPr>
            </w:pPr>
            <w:r>
              <w:rPr>
                <w:rFonts w:ascii="Arial" w:cs="Arial" w:eastAsia="Arial" w:hAnsi="Arial"/>
                <w:sz w:val="12"/>
                <w:szCs w:val="12"/>
                <w:b w:val="1"/>
                <w:bCs w:val="1"/>
                <w:color w:val="auto"/>
                <w:w w:val="92"/>
              </w:rPr>
              <w:t>April 10,</w:t>
            </w:r>
          </w:p>
        </w:tc>
        <w:tc>
          <w:tcPr>
            <w:tcW w:w="70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4"/>
              </w:rPr>
              <w:t>December 31,</w:t>
            </w:r>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3060" w:type="dxa"/>
            <w:vAlign w:val="bottom"/>
            <w:gridSpan w:val="3"/>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60" w:type="dxa"/>
            <w:vAlign w:val="bottom"/>
          </w:tcPr>
          <w:p>
            <w:pPr>
              <w:spacing w:after="0"/>
              <w:rPr>
                <w:sz w:val="13"/>
                <w:szCs w:val="13"/>
                <w:color w:val="auto"/>
              </w:rPr>
            </w:pPr>
          </w:p>
        </w:tc>
        <w:tc>
          <w:tcPr>
            <w:tcW w:w="520" w:type="dxa"/>
            <w:vAlign w:val="bottom"/>
          </w:tcPr>
          <w:p>
            <w:pPr>
              <w:jc w:val="center"/>
              <w:ind w:right="21"/>
              <w:spacing w:after="0"/>
              <w:rPr>
                <w:sz w:val="20"/>
                <w:szCs w:val="20"/>
                <w:color w:val="auto"/>
              </w:rPr>
            </w:pPr>
            <w:r>
              <w:rPr>
                <w:rFonts w:ascii="Arial" w:cs="Arial" w:eastAsia="Arial" w:hAnsi="Arial"/>
                <w:sz w:val="12"/>
                <w:szCs w:val="12"/>
                <w:b w:val="1"/>
                <w:bCs w:val="1"/>
                <w:color w:val="auto"/>
                <w:w w:val="89"/>
              </w:rPr>
              <w:t>2021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right="101"/>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3"/>
                <w:szCs w:val="13"/>
                <w:color w:val="auto"/>
              </w:rPr>
            </w:pPr>
          </w:p>
        </w:tc>
        <w:tc>
          <w:tcPr>
            <w:tcW w:w="660" w:type="dxa"/>
            <w:vAlign w:val="bottom"/>
          </w:tcPr>
          <w:p>
            <w:pPr>
              <w:jc w:val="center"/>
              <w:ind w:right="141"/>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3"/>
                <w:szCs w:val="13"/>
                <w:color w:val="auto"/>
              </w:rPr>
            </w:pPr>
          </w:p>
        </w:tc>
        <w:tc>
          <w:tcPr>
            <w:tcW w:w="660" w:type="dxa"/>
            <w:vAlign w:val="bottom"/>
          </w:tcPr>
          <w:p>
            <w:pPr>
              <w:jc w:val="center"/>
              <w:ind w:right="121"/>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Pr>
          <w:p>
            <w:pPr>
              <w:spacing w:after="0"/>
              <w:rPr>
                <w:sz w:val="13"/>
                <w:szCs w:val="13"/>
                <w:color w:val="auto"/>
              </w:rPr>
            </w:pPr>
          </w:p>
        </w:tc>
        <w:tc>
          <w:tcPr>
            <w:tcW w:w="600" w:type="dxa"/>
            <w:vAlign w:val="bottom"/>
            <w:tcBorders>
              <w:right w:val="single" w:sz="8" w:color="auto"/>
            </w:tcBorders>
          </w:tcPr>
          <w:p>
            <w:pPr>
              <w:jc w:val="center"/>
              <w:ind w:right="101"/>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right="61"/>
              <w:spacing w:after="0"/>
              <w:rPr>
                <w:sz w:val="20"/>
                <w:szCs w:val="20"/>
                <w:color w:val="auto"/>
              </w:rPr>
            </w:pPr>
            <w:r>
              <w:rPr>
                <w:rFonts w:ascii="Arial" w:cs="Arial" w:eastAsia="Arial" w:hAnsi="Arial"/>
                <w:sz w:val="12"/>
                <w:szCs w:val="12"/>
                <w:b w:val="1"/>
                <w:bCs w:val="1"/>
                <w:color w:val="auto"/>
                <w:w w:val="82"/>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center"/>
              <w:ind w:right="1"/>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306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Special Items, net</w:t>
            </w:r>
            <w:r>
              <w:rPr>
                <w:rFonts w:ascii="Arial" w:cs="Arial" w:eastAsia="Arial" w:hAnsi="Arial"/>
                <w:sz w:val="14"/>
                <w:szCs w:val="14"/>
                <w:color w:val="auto"/>
                <w:vertAlign w:val="superscript"/>
              </w:rPr>
              <w:t>(4)</w:t>
            </w: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(65,392)</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(31,481)</w:t>
            </w:r>
          </w:p>
        </w:tc>
        <w:tc>
          <w:tcPr>
            <w:tcW w:w="6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(64,563)</w:t>
            </w:r>
          </w:p>
        </w:tc>
        <w:tc>
          <w:tcPr>
            <w:tcW w:w="6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7,092</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(6,706)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3060" w:type="dxa"/>
            <w:vAlign w:val="bottom"/>
            <w:gridSpan w:val="3"/>
          </w:tcPr>
          <w:p>
            <w:pPr>
              <w:ind w:left="120"/>
              <w:spacing w:after="0"/>
              <w:rPr>
                <w:sz w:val="20"/>
                <w:szCs w:val="20"/>
                <w:color w:val="auto"/>
              </w:rPr>
            </w:pPr>
            <w:r>
              <w:rPr>
                <w:rFonts w:ascii="Arial" w:cs="Arial" w:eastAsia="Arial" w:hAnsi="Arial"/>
                <w:sz w:val="12"/>
                <w:szCs w:val="12"/>
                <w:color w:val="auto"/>
              </w:rPr>
              <w:t>Other Operating, net</w:t>
            </w:r>
          </w:p>
        </w:tc>
        <w:tc>
          <w:tcPr>
            <w:tcW w:w="6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31,397</w:t>
            </w:r>
          </w:p>
        </w:tc>
        <w:tc>
          <w:tcPr>
            <w:tcW w:w="80" w:type="dxa"/>
            <w:vAlign w:val="bottom"/>
          </w:tcPr>
          <w:p>
            <w:pPr>
              <w:spacing w:after="0"/>
              <w:rPr>
                <w:sz w:val="15"/>
                <w:szCs w:val="15"/>
                <w:color w:val="auto"/>
              </w:rPr>
            </w:pP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23,917</w:t>
            </w:r>
          </w:p>
        </w:tc>
        <w:tc>
          <w:tcPr>
            <w:tcW w:w="60" w:type="dxa"/>
            <w:vAlign w:val="bottom"/>
          </w:tcPr>
          <w:p>
            <w:pPr>
              <w:spacing w:after="0"/>
              <w:rPr>
                <w:sz w:val="15"/>
                <w:szCs w:val="15"/>
                <w:color w:val="auto"/>
              </w:rPr>
            </w:pPr>
          </w:p>
        </w:tc>
        <w:tc>
          <w:tcPr>
            <w:tcW w:w="660" w:type="dxa"/>
            <w:vAlign w:val="bottom"/>
          </w:tcPr>
          <w:p>
            <w:pPr>
              <w:jc w:val="right"/>
              <w:ind w:right="81"/>
              <w:spacing w:after="0"/>
              <w:rPr>
                <w:sz w:val="20"/>
                <w:szCs w:val="20"/>
                <w:color w:val="auto"/>
              </w:rPr>
            </w:pPr>
            <w:r>
              <w:rPr>
                <w:rFonts w:ascii="Arial" w:cs="Arial" w:eastAsia="Arial" w:hAnsi="Arial"/>
                <w:sz w:val="12"/>
                <w:szCs w:val="12"/>
                <w:color w:val="auto"/>
              </w:rPr>
              <w:t>48,718</w:t>
            </w:r>
          </w:p>
        </w:tc>
        <w:tc>
          <w:tcPr>
            <w:tcW w:w="60" w:type="dxa"/>
            <w:vAlign w:val="bottom"/>
          </w:tcPr>
          <w:p>
            <w:pPr>
              <w:spacing w:after="0"/>
              <w:rPr>
                <w:sz w:val="15"/>
                <w:szCs w:val="15"/>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68,187</w:t>
            </w:r>
          </w:p>
        </w:tc>
        <w:tc>
          <w:tcPr>
            <w:tcW w:w="80" w:type="dxa"/>
            <w:vAlign w:val="bottom"/>
          </w:tcPr>
          <w:p>
            <w:pPr>
              <w:spacing w:after="0"/>
              <w:rPr>
                <w:sz w:val="15"/>
                <w:szCs w:val="15"/>
                <w:color w:val="auto"/>
              </w:rPr>
            </w:pPr>
          </w:p>
        </w:tc>
        <w:tc>
          <w:tcPr>
            <w:tcW w:w="60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rPr>
              <w:t>40,877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17,994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82"/>
              </w:rPr>
              <w:t>124,047</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Operating Expenses</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202,630</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202,710</w:t>
            </w: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384,101</w:t>
            </w: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623,262</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right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377,699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171,336</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2"/>
              </w:rPr>
              <w:t>530,008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2"/>
                <w:szCs w:val="12"/>
                <w:color w:val="auto"/>
              </w:rPr>
              <w:t>Operating Income</w:t>
            </w: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74,172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12,996</w:t>
            </w:r>
          </w:p>
        </w:tc>
        <w:tc>
          <w:tcPr>
            <w:tcW w:w="60" w:type="dxa"/>
            <w:vAlign w:val="bottom"/>
          </w:tcPr>
          <w:p>
            <w:pPr>
              <w:spacing w:after="0"/>
              <w:rPr>
                <w:sz w:val="14"/>
                <w:szCs w:val="14"/>
                <w:color w:val="auto"/>
              </w:rPr>
            </w:pPr>
          </w:p>
        </w:tc>
        <w:tc>
          <w:tcPr>
            <w:tcW w:w="660" w:type="dxa"/>
            <w:vAlign w:val="bottom"/>
          </w:tcPr>
          <w:p>
            <w:pPr>
              <w:jc w:val="right"/>
              <w:ind w:right="81"/>
              <w:spacing w:after="0"/>
              <w:rPr>
                <w:sz w:val="20"/>
                <w:szCs w:val="20"/>
                <w:color w:val="auto"/>
              </w:rPr>
            </w:pPr>
            <w:r>
              <w:rPr>
                <w:rFonts w:ascii="Arial" w:cs="Arial" w:eastAsia="Arial" w:hAnsi="Arial"/>
                <w:sz w:val="12"/>
                <w:szCs w:val="12"/>
                <w:color w:val="auto"/>
              </w:rPr>
              <w:t>17,385</w:t>
            </w:r>
          </w:p>
        </w:tc>
        <w:tc>
          <w:tcPr>
            <w:tcW w:w="60" w:type="dxa"/>
            <w:vAlign w:val="bottom"/>
          </w:tcPr>
          <w:p>
            <w:pPr>
              <w:spacing w:after="0"/>
              <w:rPr>
                <w:sz w:val="14"/>
                <w:szCs w:val="14"/>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78,122</w:t>
            </w:r>
          </w:p>
        </w:tc>
        <w:tc>
          <w:tcPr>
            <w:tcW w:w="80" w:type="dxa"/>
            <w:vAlign w:val="bottom"/>
          </w:tcPr>
          <w:p>
            <w:pPr>
              <w:spacing w:after="0"/>
              <w:rPr>
                <w:sz w:val="14"/>
                <w:szCs w:val="14"/>
                <w:color w:val="auto"/>
              </w:rPr>
            </w:pPr>
          </w:p>
        </w:tc>
        <w:tc>
          <w:tcPr>
            <w:tcW w:w="60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rPr>
              <w:t>7,232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26,116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29,668</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00" w:type="dxa"/>
            <w:vAlign w:val="bottom"/>
          </w:tcPr>
          <w:p>
            <w:pPr>
              <w:spacing w:after="0"/>
              <w:rPr>
                <w:sz w:val="15"/>
                <w:szCs w:val="15"/>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Non-operating Income (Expense):</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3060" w:type="dxa"/>
            <w:vAlign w:val="bottom"/>
            <w:gridSpan w:val="3"/>
          </w:tcPr>
          <w:p>
            <w:pPr>
              <w:ind w:left="120"/>
              <w:spacing w:after="0"/>
              <w:rPr>
                <w:sz w:val="20"/>
                <w:szCs w:val="20"/>
                <w:color w:val="auto"/>
              </w:rPr>
            </w:pPr>
            <w:r>
              <w:rPr>
                <w:rFonts w:ascii="Arial" w:cs="Arial" w:eastAsia="Arial" w:hAnsi="Arial"/>
                <w:sz w:val="12"/>
                <w:szCs w:val="12"/>
                <w:color w:val="auto"/>
              </w:rPr>
              <w:t>Interest Income</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24</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314</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81"/>
              <w:spacing w:after="0"/>
              <w:rPr>
                <w:sz w:val="20"/>
                <w:szCs w:val="20"/>
                <w:color w:val="auto"/>
              </w:rPr>
            </w:pPr>
            <w:r>
              <w:rPr>
                <w:rFonts w:ascii="Arial" w:cs="Arial" w:eastAsia="Arial" w:hAnsi="Arial"/>
                <w:sz w:val="12"/>
                <w:szCs w:val="12"/>
                <w:color w:val="auto"/>
              </w:rPr>
              <w:t>377</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937</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rPr>
              <w:t>258</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96</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418</w:t>
            </w: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306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Interest Expense .</w:t>
            </w: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(13,201)</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(11,058)</w:t>
            </w:r>
          </w:p>
        </w:tc>
        <w:tc>
          <w:tcPr>
            <w:tcW w:w="6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(22,073)</w:t>
            </w:r>
          </w:p>
        </w:tc>
        <w:tc>
          <w:tcPr>
            <w:tcW w:w="6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(17,170)</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(1,134)</w:t>
            </w: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3060" w:type="dxa"/>
            <w:vAlign w:val="bottom"/>
            <w:gridSpan w:val="3"/>
          </w:tcPr>
          <w:p>
            <w:pPr>
              <w:ind w:left="120"/>
              <w:spacing w:after="0"/>
              <w:rPr>
                <w:sz w:val="20"/>
                <w:szCs w:val="20"/>
                <w:color w:val="auto"/>
              </w:rPr>
            </w:pPr>
            <w:r>
              <w:rPr>
                <w:rFonts w:ascii="Arial" w:cs="Arial" w:eastAsia="Arial" w:hAnsi="Arial"/>
                <w:sz w:val="12"/>
                <w:szCs w:val="12"/>
                <w:color w:val="auto"/>
              </w:rPr>
              <w:t>Other, net</w:t>
            </w:r>
          </w:p>
        </w:tc>
        <w:tc>
          <w:tcPr>
            <w:tcW w:w="6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18,049</w:t>
            </w:r>
          </w:p>
        </w:tc>
        <w:tc>
          <w:tcPr>
            <w:tcW w:w="80" w:type="dxa"/>
            <w:vAlign w:val="bottom"/>
          </w:tcPr>
          <w:p>
            <w:pPr>
              <w:spacing w:after="0"/>
              <w:rPr>
                <w:sz w:val="15"/>
                <w:szCs w:val="15"/>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(494)</w:t>
            </w:r>
          </w:p>
        </w:tc>
        <w:tc>
          <w:tcPr>
            <w:tcW w:w="60" w:type="dxa"/>
            <w:vAlign w:val="bottom"/>
          </w:tcPr>
          <w:p>
            <w:pPr>
              <w:spacing w:after="0"/>
              <w:rPr>
                <w:sz w:val="15"/>
                <w:szCs w:val="15"/>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(371)</w:t>
            </w:r>
          </w:p>
        </w:tc>
        <w:tc>
          <w:tcPr>
            <w:tcW w:w="6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(1,729)</w:t>
            </w:r>
          </w:p>
        </w:tc>
        <w:tc>
          <w:tcPr>
            <w:tcW w:w="80" w:type="dxa"/>
            <w:vAlign w:val="bottom"/>
          </w:tcPr>
          <w:p>
            <w:pPr>
              <w:spacing w:after="0"/>
              <w:rPr>
                <w:sz w:val="15"/>
                <w:szCs w:val="15"/>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(1,636)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(506)</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00" w:type="dxa"/>
            <w:vAlign w:val="bottom"/>
          </w:tcPr>
          <w:p>
            <w:pPr>
              <w:spacing w:after="0"/>
              <w:rPr>
                <w:sz w:val="15"/>
                <w:szCs w:val="15"/>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Non-operating Income (Expense)</w:t>
            </w: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4,872</w:t>
            </w:r>
          </w:p>
        </w:tc>
        <w:tc>
          <w:tcPr>
            <w:tcW w:w="8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(11,238)</w:t>
            </w:r>
          </w:p>
        </w:tc>
        <w:tc>
          <w:tcPr>
            <w:tcW w:w="6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(22,067)</w:t>
            </w:r>
          </w:p>
        </w:tc>
        <w:tc>
          <w:tcPr>
            <w:tcW w:w="6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(17,962)</w:t>
            </w:r>
          </w:p>
        </w:tc>
        <w:tc>
          <w:tcPr>
            <w:tcW w:w="8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(1,222)</w:t>
            </w: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3060" w:type="dxa"/>
            <w:vAlign w:val="bottom"/>
            <w:gridSpan w:val="3"/>
          </w:tcPr>
          <w:p>
            <w:pPr>
              <w:spacing w:after="0"/>
              <w:rPr>
                <w:sz w:val="20"/>
                <w:szCs w:val="20"/>
                <w:color w:val="auto"/>
              </w:rPr>
            </w:pPr>
            <w:r>
              <w:rPr>
                <w:rFonts w:ascii="Arial" w:cs="Arial" w:eastAsia="Arial" w:hAnsi="Arial"/>
                <w:sz w:val="12"/>
                <w:szCs w:val="12"/>
                <w:color w:val="auto"/>
              </w:rPr>
              <w:t>Income (Loss) before Income Tax</w:t>
            </w:r>
          </w:p>
        </w:tc>
        <w:tc>
          <w:tcPr>
            <w:tcW w:w="6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79,044</w:t>
            </w:r>
          </w:p>
        </w:tc>
        <w:tc>
          <w:tcPr>
            <w:tcW w:w="80" w:type="dxa"/>
            <w:vAlign w:val="bottom"/>
          </w:tcPr>
          <w:p>
            <w:pPr>
              <w:spacing w:after="0"/>
              <w:rPr>
                <w:sz w:val="15"/>
                <w:szCs w:val="15"/>
                <w:color w:val="auto"/>
              </w:rPr>
            </w:pP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1,758</w:t>
            </w:r>
          </w:p>
        </w:tc>
        <w:tc>
          <w:tcPr>
            <w:tcW w:w="60" w:type="dxa"/>
            <w:vAlign w:val="bottom"/>
          </w:tcPr>
          <w:p>
            <w:pPr>
              <w:spacing w:after="0"/>
              <w:rPr>
                <w:sz w:val="15"/>
                <w:szCs w:val="15"/>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(4,682)</w:t>
            </w:r>
          </w:p>
        </w:tc>
        <w:tc>
          <w:tcPr>
            <w:tcW w:w="60" w:type="dxa"/>
            <w:vAlign w:val="bottom"/>
          </w:tcPr>
          <w:p>
            <w:pPr>
              <w:spacing w:after="0"/>
              <w:rPr>
                <w:sz w:val="15"/>
                <w:szCs w:val="15"/>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60,160</w:t>
            </w:r>
          </w:p>
        </w:tc>
        <w:tc>
          <w:tcPr>
            <w:tcW w:w="80" w:type="dxa"/>
            <w:vAlign w:val="bottom"/>
          </w:tcPr>
          <w:p>
            <w:pPr>
              <w:spacing w:after="0"/>
              <w:rPr>
                <w:sz w:val="15"/>
                <w:szCs w:val="15"/>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25,910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28,446</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14,875</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547</w:t>
            </w: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(778)</w:t>
            </w: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14,088</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right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161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Arial" w:cs="Arial" w:eastAsia="Arial" w:hAnsi="Arial"/>
                <w:sz w:val="12"/>
                <w:szCs w:val="12"/>
                <w:color w:val="auto"/>
              </w:rPr>
              <w:t>Net Income (Loss)</w:t>
            </w:r>
          </w:p>
        </w:tc>
        <w:tc>
          <w:tcPr>
            <w:tcW w:w="80" w:type="dxa"/>
            <w:vAlign w:val="bottom"/>
            <w:gridSpan w:val="2"/>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64,169</w:t>
            </w:r>
          </w:p>
        </w:tc>
        <w:tc>
          <w:tcPr>
            <w:tcW w:w="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1,211</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(3,904)</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46,072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(367)</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25,910</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28,446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 w:type="dxa"/>
            <w:vAlign w:val="bottom"/>
          </w:tcPr>
          <w:p>
            <w:pPr>
              <w:spacing w:after="0"/>
              <w:rPr>
                <w:sz w:val="12"/>
                <w:szCs w:val="12"/>
                <w:color w:val="auto"/>
              </w:rPr>
            </w:pPr>
          </w:p>
        </w:tc>
        <w:tc>
          <w:tcPr>
            <w:tcW w:w="306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Net Income (Loss) per share to common stockholders:</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3060" w:type="dxa"/>
            <w:vAlign w:val="bottom"/>
            <w:gridSpan w:val="3"/>
          </w:tcPr>
          <w:p>
            <w:pPr>
              <w:ind w:left="120"/>
              <w:spacing w:after="0"/>
              <w:rPr>
                <w:sz w:val="20"/>
                <w:szCs w:val="20"/>
                <w:color w:val="auto"/>
              </w:rPr>
            </w:pPr>
            <w:r>
              <w:rPr>
                <w:rFonts w:ascii="Arial" w:cs="Arial" w:eastAsia="Arial" w:hAnsi="Arial"/>
                <w:sz w:val="12"/>
                <w:szCs w:val="12"/>
                <w:color w:val="auto"/>
              </w:rPr>
              <w:t>Basic</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1.21</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0.03</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(0.08)</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0.99</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(0.01)</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0.26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0.02</w:t>
            </w: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(0.08)</w:t>
            </w: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CCEEFF"/>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0.96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0.26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298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Shares used for computation</w:t>
            </w:r>
          </w:p>
        </w:tc>
        <w:tc>
          <w:tcPr>
            <w:tcW w:w="80" w:type="dxa"/>
            <w:vAlign w:val="bottom"/>
            <w:gridSpan w:val="2"/>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6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52,850,041</w:t>
            </w: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w w:val="83"/>
              </w:rPr>
              <w:t>46,805,950</w:t>
            </w:r>
          </w:p>
        </w:tc>
        <w:tc>
          <w:tcPr>
            <w:tcW w:w="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w w:val="83"/>
              </w:rPr>
              <w:t>46,805,951</w:t>
            </w:r>
          </w:p>
        </w:tc>
        <w:tc>
          <w:tcPr>
            <w:tcW w:w="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w w:val="86"/>
              </w:rPr>
              <w:t>46,773,038</w:t>
            </w:r>
          </w:p>
        </w:tc>
        <w:tc>
          <w:tcPr>
            <w:tcW w:w="8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3"/>
              </w:rPr>
              <w:t>46,700,900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3"/>
              </w:rPr>
              <w:t>100,000,000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3060" w:type="dxa"/>
            <w:vAlign w:val="bottom"/>
            <w:gridSpan w:val="3"/>
          </w:tcPr>
          <w:p>
            <w:pPr>
              <w:ind w:left="120"/>
              <w:spacing w:after="0"/>
              <w:rPr>
                <w:sz w:val="20"/>
                <w:szCs w:val="20"/>
                <w:color w:val="auto"/>
              </w:rPr>
            </w:pPr>
            <w:r>
              <w:rPr>
                <w:rFonts w:ascii="Arial" w:cs="Arial" w:eastAsia="Arial" w:hAnsi="Arial"/>
                <w:sz w:val="12"/>
                <w:szCs w:val="12"/>
                <w:color w:val="auto"/>
              </w:rPr>
              <w:t>Diluted</w:t>
            </w:r>
          </w:p>
        </w:tc>
        <w:tc>
          <w:tcPr>
            <w:tcW w:w="6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83"/>
              </w:rPr>
              <w:t>57,403,593</w:t>
            </w:r>
          </w:p>
        </w:tc>
        <w:tc>
          <w:tcPr>
            <w:tcW w:w="80" w:type="dxa"/>
            <w:vAlign w:val="bottom"/>
          </w:tcPr>
          <w:p>
            <w:pPr>
              <w:spacing w:after="0"/>
              <w:rPr>
                <w:sz w:val="16"/>
                <w:szCs w:val="16"/>
                <w:color w:val="auto"/>
              </w:rPr>
            </w:pPr>
          </w:p>
        </w:tc>
        <w:tc>
          <w:tcPr>
            <w:tcW w:w="620" w:type="dxa"/>
            <w:vAlign w:val="bottom"/>
          </w:tcPr>
          <w:p>
            <w:pPr>
              <w:jc w:val="right"/>
              <w:ind w:right="41"/>
              <w:spacing w:after="0"/>
              <w:rPr>
                <w:sz w:val="20"/>
                <w:szCs w:val="20"/>
                <w:color w:val="auto"/>
              </w:rPr>
            </w:pPr>
            <w:r>
              <w:rPr>
                <w:rFonts w:ascii="Arial" w:cs="Arial" w:eastAsia="Arial" w:hAnsi="Arial"/>
                <w:sz w:val="12"/>
                <w:szCs w:val="12"/>
                <w:color w:val="auto"/>
                <w:w w:val="83"/>
              </w:rPr>
              <w:t>48,243,146</w:t>
            </w:r>
          </w:p>
        </w:tc>
        <w:tc>
          <w:tcPr>
            <w:tcW w:w="60" w:type="dxa"/>
            <w:vAlign w:val="bottom"/>
          </w:tcPr>
          <w:p>
            <w:pPr>
              <w:spacing w:after="0"/>
              <w:rPr>
                <w:sz w:val="16"/>
                <w:szCs w:val="16"/>
                <w:color w:val="auto"/>
              </w:rPr>
            </w:pPr>
          </w:p>
        </w:tc>
        <w:tc>
          <w:tcPr>
            <w:tcW w:w="660" w:type="dxa"/>
            <w:vAlign w:val="bottom"/>
          </w:tcPr>
          <w:p>
            <w:pPr>
              <w:jc w:val="right"/>
              <w:ind w:right="81"/>
              <w:spacing w:after="0"/>
              <w:rPr>
                <w:sz w:val="20"/>
                <w:szCs w:val="20"/>
                <w:color w:val="auto"/>
              </w:rPr>
            </w:pPr>
            <w:r>
              <w:rPr>
                <w:rFonts w:ascii="Arial" w:cs="Arial" w:eastAsia="Arial" w:hAnsi="Arial"/>
                <w:sz w:val="12"/>
                <w:szCs w:val="12"/>
                <w:color w:val="auto"/>
                <w:w w:val="83"/>
              </w:rPr>
              <w:t>46,805,951</w:t>
            </w:r>
          </w:p>
        </w:tc>
        <w:tc>
          <w:tcPr>
            <w:tcW w:w="60" w:type="dxa"/>
            <w:vAlign w:val="bottom"/>
          </w:tcPr>
          <w:p>
            <w:pPr>
              <w:spacing w:after="0"/>
              <w:rPr>
                <w:sz w:val="16"/>
                <w:szCs w:val="16"/>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w w:val="86"/>
              </w:rPr>
              <w:t>47,909,413</w:t>
            </w:r>
          </w:p>
        </w:tc>
        <w:tc>
          <w:tcPr>
            <w:tcW w:w="80" w:type="dxa"/>
            <w:vAlign w:val="bottom"/>
          </w:tcPr>
          <w:p>
            <w:pPr>
              <w:spacing w:after="0"/>
              <w:rPr>
                <w:sz w:val="16"/>
                <w:szCs w:val="16"/>
                <w:color w:val="auto"/>
              </w:rPr>
            </w:pPr>
          </w:p>
        </w:tc>
        <w:tc>
          <w:tcPr>
            <w:tcW w:w="600" w:type="dxa"/>
            <w:vAlign w:val="bottom"/>
            <w:tcBorders>
              <w:right w:val="single" w:sz="8" w:color="auto"/>
            </w:tcBorders>
          </w:tcPr>
          <w:p>
            <w:pPr>
              <w:jc w:val="right"/>
              <w:ind w:right="21"/>
              <w:spacing w:after="0"/>
              <w:rPr>
                <w:sz w:val="20"/>
                <w:szCs w:val="20"/>
                <w:color w:val="auto"/>
              </w:rPr>
            </w:pPr>
            <w:r>
              <w:rPr>
                <w:rFonts w:ascii="Arial" w:cs="Arial" w:eastAsia="Arial" w:hAnsi="Arial"/>
                <w:sz w:val="12"/>
                <w:szCs w:val="12"/>
                <w:color w:val="auto"/>
                <w:w w:val="83"/>
              </w:rPr>
              <w:t>46,700,900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83"/>
              </w:rPr>
              <w:t>100,000,000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-389890</wp:posOffset>
            </wp:positionV>
            <wp:extent cx="2095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-389890</wp:posOffset>
            </wp:positionV>
            <wp:extent cx="349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-389890</wp:posOffset>
            </wp:positionV>
            <wp:extent cx="349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-522605</wp:posOffset>
            </wp:positionV>
            <wp:extent cx="46736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6736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-522605</wp:posOffset>
            </wp:positionV>
            <wp:extent cx="6985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-522605</wp:posOffset>
            </wp:positionV>
            <wp:extent cx="8382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-522605</wp:posOffset>
            </wp:positionV>
            <wp:extent cx="8382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-522605</wp:posOffset>
            </wp:positionV>
            <wp:extent cx="5588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-522605</wp:posOffset>
            </wp:positionV>
            <wp:extent cx="234378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43785" cy="698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-906145</wp:posOffset>
            </wp:positionV>
            <wp:extent cx="2095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-906145</wp:posOffset>
            </wp:positionV>
            <wp:extent cx="349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-906145</wp:posOffset>
            </wp:positionV>
            <wp:extent cx="349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-1038860</wp:posOffset>
            </wp:positionV>
            <wp:extent cx="7683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-1038860</wp:posOffset>
            </wp:positionV>
            <wp:extent cx="10477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-1038860</wp:posOffset>
            </wp:positionV>
            <wp:extent cx="6985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-1038860</wp:posOffset>
            </wp:positionV>
            <wp:extent cx="8382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-1038860</wp:posOffset>
            </wp:positionV>
            <wp:extent cx="8382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-1038860</wp:posOffset>
            </wp:positionV>
            <wp:extent cx="5588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-1038860</wp:posOffset>
            </wp:positionV>
            <wp:extent cx="234378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43785" cy="698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-1290320</wp:posOffset>
            </wp:positionV>
            <wp:extent cx="7683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-1290320</wp:posOffset>
            </wp:positionV>
            <wp:extent cx="10477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-1290320</wp:posOffset>
            </wp:positionV>
            <wp:extent cx="6985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-1290320</wp:posOffset>
            </wp:positionV>
            <wp:extent cx="8382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-1290320</wp:posOffset>
            </wp:positionV>
            <wp:extent cx="8382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-1290320</wp:posOffset>
            </wp:positionV>
            <wp:extent cx="5588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-1290320</wp:posOffset>
            </wp:positionV>
            <wp:extent cx="234378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43785" cy="698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-1778635</wp:posOffset>
            </wp:positionV>
            <wp:extent cx="7683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-1778635</wp:posOffset>
            </wp:positionV>
            <wp:extent cx="10477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-1778635</wp:posOffset>
            </wp:positionV>
            <wp:extent cx="6985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-1778635</wp:posOffset>
            </wp:positionV>
            <wp:extent cx="8382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-1778635</wp:posOffset>
            </wp:positionV>
            <wp:extent cx="8382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-1778635</wp:posOffset>
            </wp:positionV>
            <wp:extent cx="5588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-1778635</wp:posOffset>
            </wp:positionV>
            <wp:extent cx="234378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43785" cy="698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-1910715</wp:posOffset>
            </wp:positionV>
            <wp:extent cx="2095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-1910715</wp:posOffset>
            </wp:positionV>
            <wp:extent cx="3492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-1910715</wp:posOffset>
            </wp:positionV>
            <wp:extent cx="349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-2043430</wp:posOffset>
            </wp:positionV>
            <wp:extent cx="7683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-2043430</wp:posOffset>
            </wp:positionV>
            <wp:extent cx="10477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-2043430</wp:posOffset>
            </wp:positionV>
            <wp:extent cx="6985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-2043430</wp:posOffset>
            </wp:positionV>
            <wp:extent cx="8382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-2043430</wp:posOffset>
            </wp:positionV>
            <wp:extent cx="8382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-2043430</wp:posOffset>
            </wp:positionV>
            <wp:extent cx="5588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-2043430</wp:posOffset>
            </wp:positionV>
            <wp:extent cx="234378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4378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-2301875</wp:posOffset>
            </wp:positionV>
            <wp:extent cx="2794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-2301875</wp:posOffset>
            </wp:positionV>
            <wp:extent cx="3492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-2301875</wp:posOffset>
            </wp:positionV>
            <wp:extent cx="2794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-2301875</wp:posOffset>
            </wp:positionV>
            <wp:extent cx="2794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-2301875</wp:posOffset>
            </wp:positionV>
            <wp:extent cx="2794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-2301875</wp:posOffset>
            </wp:positionV>
            <wp:extent cx="2794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2239010</wp:posOffset>
            </wp:positionH>
            <wp:positionV relativeFrom="paragraph">
              <wp:posOffset>-2301875</wp:posOffset>
            </wp:positionV>
            <wp:extent cx="279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44" w:lineRule="exact"/>
        <w:rPr>
          <w:sz w:val="20"/>
          <w:szCs w:val="20"/>
          <w:color w:val="auto"/>
        </w:rPr>
      </w:pPr>
    </w:p>
    <w:p>
      <w:pPr>
        <w:ind w:left="1460" w:right="1279" w:hanging="296"/>
        <w:spacing w:after="0" w:line="237" w:lineRule="auto"/>
        <w:tabs>
          <w:tab w:leader="none" w:pos="1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34" w:lineRule="exact"/>
        <w:rPr>
          <w:rFonts w:ascii="Arial" w:cs="Arial" w:eastAsia="Arial" w:hAnsi="Arial"/>
          <w:sz w:val="14"/>
          <w:szCs w:val="14"/>
          <w:color w:val="auto"/>
        </w:rPr>
      </w:pPr>
    </w:p>
    <w:p>
      <w:pPr>
        <w:ind w:left="1460" w:right="1239" w:hanging="296"/>
        <w:spacing w:after="0" w:line="237" w:lineRule="auto"/>
        <w:tabs>
          <w:tab w:leader="none" w:pos="1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23" w:lineRule="exact"/>
        <w:rPr>
          <w:rFonts w:ascii="Arial" w:cs="Arial" w:eastAsia="Arial" w:hAnsi="Arial"/>
          <w:sz w:val="14"/>
          <w:szCs w:val="14"/>
          <w:color w:val="auto"/>
        </w:rPr>
      </w:pPr>
    </w:p>
    <w:p>
      <w:pPr>
        <w:ind w:left="1460" w:right="1259" w:hanging="296"/>
        <w:spacing w:after="0" w:line="225" w:lineRule="auto"/>
        <w:tabs>
          <w:tab w:leader="none" w:pos="1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23" w:lineRule="exact"/>
        <w:rPr>
          <w:rFonts w:ascii="Arial" w:cs="Arial" w:eastAsia="Arial" w:hAnsi="Arial"/>
          <w:sz w:val="15"/>
          <w:szCs w:val="15"/>
          <w:color w:val="auto"/>
        </w:rPr>
      </w:pPr>
    </w:p>
    <w:p>
      <w:pPr>
        <w:jc w:val="both"/>
        <w:ind w:left="1460" w:right="1339" w:hanging="296"/>
        <w:spacing w:after="0" w:line="229" w:lineRule="auto"/>
        <w:tabs>
          <w:tab w:leader="none" w:pos="1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109"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79"/>
              </w:rPr>
              <w:t>As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0"/>
        </w:trPr>
        <w:tc>
          <w:tcPr>
            <w:tcW w:w="10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3"/>
              </w:rPr>
              <w:t>June 30,</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right"/>
              <w:ind w:right="360"/>
              <w:spacing w:after="0"/>
              <w:rPr>
                <w:sz w:val="20"/>
                <w:szCs w:val="20"/>
                <w:color w:val="auto"/>
              </w:rPr>
            </w:pPr>
            <w:r>
              <w:rPr>
                <w:rFonts w:ascii="Arial" w:cs="Arial" w:eastAsia="Arial" w:hAnsi="Arial"/>
                <w:sz w:val="12"/>
                <w:szCs w:val="12"/>
                <w:b w:val="1"/>
                <w:bCs w:val="1"/>
                <w:color w:val="auto"/>
                <w:w w:val="86"/>
              </w:rPr>
              <w:t>As of December 31,</w:t>
            </w: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2"/>
              </w:rPr>
              <w:t>2021</w:t>
            </w:r>
          </w:p>
        </w:tc>
        <w:tc>
          <w:tcPr>
            <w:tcW w:w="100" w:type="dxa"/>
            <w:vAlign w:val="bottom"/>
          </w:tcPr>
          <w:p>
            <w:pPr>
              <w:spacing w:after="0"/>
              <w:rPr>
                <w:sz w:val="14"/>
                <w:szCs w:val="14"/>
                <w:color w:val="auto"/>
              </w:rPr>
            </w:pPr>
          </w:p>
        </w:tc>
        <w:tc>
          <w:tcPr>
            <w:tcW w:w="680" w:type="dxa"/>
            <w:vAlign w:val="bottom"/>
          </w:tcPr>
          <w:p>
            <w:pPr>
              <w:jc w:val="right"/>
              <w:ind w:right="152"/>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2"/>
                <w:szCs w:val="12"/>
                <w:b w:val="1"/>
                <w:bCs w:val="1"/>
                <w:color w:val="auto"/>
              </w:rPr>
              <w:t>2017</w:t>
            </w:r>
          </w:p>
        </w:tc>
        <w:tc>
          <w:tcPr>
            <w:tcW w:w="1020" w:type="dxa"/>
            <w:vAlign w:val="bottom"/>
          </w:tcPr>
          <w:p>
            <w:pPr>
              <w:spacing w:after="0"/>
              <w:rPr>
                <w:sz w:val="14"/>
                <w:szCs w:val="14"/>
                <w:color w:val="auto"/>
              </w:rPr>
            </w:pPr>
          </w:p>
        </w:tc>
      </w:tr>
      <w:tr>
        <w:trPr>
          <w:trHeight w:val="21"/>
        </w:trPr>
        <w:tc>
          <w:tcPr>
            <w:tcW w:w="102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Consolidated Balance Sheet Data:</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5"/>
                <w:szCs w:val="15"/>
                <w:color w:val="auto"/>
              </w:rPr>
              <w:t>Cash and equivalents</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  310,723</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w w:val="98"/>
              </w:rPr>
              <w:t>$   62,028</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51,006</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$ 29,600</w:t>
            </w: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w w:val="99"/>
              </w:rPr>
              <w:t>$  4,276</w:t>
            </w:r>
          </w:p>
        </w:tc>
      </w:tr>
      <w:tr>
        <w:trPr>
          <w:trHeight w:val="198"/>
        </w:trPr>
        <w:tc>
          <w:tcPr>
            <w:tcW w:w="1020" w:type="dxa"/>
            <w:vAlign w:val="bottom"/>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assets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8"/>
              </w:rPr>
              <w:t>1,309,964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8"/>
              </w:rPr>
              <w:t>1,053,267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3"/>
              </w:rPr>
              <w:t>1,007,876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9"/>
              </w:rPr>
              <w:t>675,832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216,828</w:t>
            </w:r>
          </w:p>
        </w:tc>
        <w:tc>
          <w:tcPr>
            <w:tcW w:w="1020" w:type="dxa"/>
            <w:vAlign w:val="bottom"/>
          </w:tcPr>
          <w:p>
            <w:pPr>
              <w:spacing w:after="0"/>
              <w:rPr>
                <w:sz w:val="17"/>
                <w:szCs w:val="17"/>
                <w:color w:val="auto"/>
              </w:rPr>
            </w:pPr>
          </w:p>
        </w:tc>
      </w:tr>
      <w:tr>
        <w:trPr>
          <w:trHeight w:val="505"/>
        </w:trPr>
        <w:tc>
          <w:tcPr>
            <w:tcW w:w="10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354"/>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-920115</wp:posOffset>
            </wp:positionV>
            <wp:extent cx="5588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-920115</wp:posOffset>
            </wp:positionV>
            <wp:extent cx="5588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3655060</wp:posOffset>
            </wp:positionH>
            <wp:positionV relativeFrom="paragraph">
              <wp:posOffset>-920115</wp:posOffset>
            </wp:positionV>
            <wp:extent cx="5588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-920115</wp:posOffset>
            </wp:positionV>
            <wp:extent cx="5588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-920115</wp:posOffset>
            </wp:positionV>
            <wp:extent cx="5588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tbl>
      <w:tblPr>
        <w:tblLayout w:type="fixed"/>
        <w:tblInd w:w="140" w:type="dxa"/>
        <w:tblCellMar>
          <w:top w:w="0" w:type="dxa"/>
          <w:left w:w="0" w:type="dxa"/>
          <w:bottom w:w="0" w:type="dxa"/>
          <w:right w:w="0" w:type="dxa"/>
        </w:tblCellMar>
      </w:tblPr>
      <w:tr>
        <w:trPr>
          <w:trHeight w:val="139"/>
        </w:trPr>
        <w:tc>
          <w:tcPr>
            <w:tcW w:w="4240" w:type="dxa"/>
            <w:vAlign w:val="bottom"/>
            <w:gridSpan w:val="3"/>
          </w:tcPr>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784"/>
        </w:trPr>
        <w:tc>
          <w:tcPr>
            <w:tcW w:w="10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As of</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0"/>
        </w:trPr>
        <w:tc>
          <w:tcPr>
            <w:tcW w:w="10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3"/>
              </w:rPr>
              <w:t>June 30,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ind w:left="180"/>
              <w:spacing w:after="0"/>
              <w:rPr>
                <w:sz w:val="20"/>
                <w:szCs w:val="20"/>
                <w:color w:val="auto"/>
              </w:rPr>
            </w:pPr>
            <w:r>
              <w:rPr>
                <w:rFonts w:ascii="Arial" w:cs="Arial" w:eastAsia="Arial" w:hAnsi="Arial"/>
                <w:sz w:val="12"/>
                <w:szCs w:val="12"/>
                <w:b w:val="1"/>
                <w:bCs w:val="1"/>
                <w:color w:val="auto"/>
              </w:rPr>
              <w:t>As of December 31,</w:t>
            </w:r>
          </w:p>
        </w:tc>
        <w:tc>
          <w:tcPr>
            <w:tcW w:w="56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9"/>
              </w:rPr>
              <w:t>2021</w:t>
            </w:r>
          </w:p>
        </w:tc>
        <w:tc>
          <w:tcPr>
            <w:tcW w:w="80" w:type="dxa"/>
            <w:vAlign w:val="bottom"/>
          </w:tcPr>
          <w:p>
            <w:pPr>
              <w:spacing w:after="0"/>
              <w:rPr>
                <w:sz w:val="13"/>
                <w:szCs w:val="13"/>
                <w:color w:val="auto"/>
              </w:rPr>
            </w:pPr>
          </w:p>
        </w:tc>
        <w:tc>
          <w:tcPr>
            <w:tcW w:w="640" w:type="dxa"/>
            <w:vAlign w:val="bottom"/>
          </w:tcPr>
          <w:p>
            <w:pPr>
              <w:jc w:val="right"/>
              <w:ind w:right="13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640" w:type="dxa"/>
            <w:vAlign w:val="bottom"/>
          </w:tcPr>
          <w:p>
            <w:pPr>
              <w:jc w:val="right"/>
              <w:ind w:right="15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640" w:type="dxa"/>
            <w:vAlign w:val="bottom"/>
          </w:tcPr>
          <w:p>
            <w:pPr>
              <w:jc w:val="right"/>
              <w:ind w:right="132"/>
              <w:spacing w:after="0"/>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2017</w:t>
            </w:r>
          </w:p>
        </w:tc>
      </w:tr>
      <w:tr>
        <w:trPr>
          <w:trHeight w:val="21"/>
        </w:trPr>
        <w:tc>
          <w:tcPr>
            <w:tcW w:w="102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62"/>
        </w:trPr>
        <w:tc>
          <w:tcPr>
            <w:tcW w:w="1020" w:type="dxa"/>
            <w:vAlign w:val="bottom"/>
          </w:tcPr>
          <w:p>
            <w:pPr>
              <w:spacing w:after="0"/>
              <w:rPr>
                <w:sz w:val="14"/>
                <w:szCs w:val="14"/>
                <w:color w:val="auto"/>
              </w:rPr>
            </w:pPr>
          </w:p>
        </w:tc>
        <w:tc>
          <w:tcPr>
            <w:tcW w:w="32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Long-term debt and finance lease obligations,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225"/>
        </w:trPr>
        <w:tc>
          <w:tcPr>
            <w:tcW w:w="1020" w:type="dxa"/>
            <w:vAlign w:val="bottom"/>
          </w:tcPr>
          <w:p>
            <w:pPr>
              <w:spacing w:after="0"/>
              <w:rPr>
                <w:sz w:val="19"/>
                <w:szCs w:val="19"/>
                <w:color w:val="auto"/>
              </w:rPr>
            </w:pPr>
          </w:p>
        </w:tc>
        <w:tc>
          <w:tcPr>
            <w:tcW w:w="32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including current portion</w:t>
            </w:r>
            <w:r>
              <w:rPr>
                <w:rFonts w:ascii="Arial" w:cs="Arial" w:eastAsia="Arial" w:hAnsi="Arial"/>
                <w:sz w:val="19"/>
                <w:szCs w:val="19"/>
                <w:color w:val="auto"/>
                <w:vertAlign w:val="superscript"/>
              </w:rPr>
              <w:t>(1)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432,171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389,633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284,272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150,246</w:t>
            </w:r>
          </w:p>
        </w:tc>
        <w:tc>
          <w:tcPr>
            <w:tcW w:w="5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82"/>
              </w:rPr>
              <w:t>11,273</w:t>
            </w:r>
          </w:p>
        </w:tc>
      </w:tr>
      <w:tr>
        <w:trPr>
          <w:trHeight w:val="209"/>
        </w:trPr>
        <w:tc>
          <w:tcPr>
            <w:tcW w:w="10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5"/>
                <w:szCs w:val="15"/>
                <w:color w:val="auto"/>
              </w:rPr>
              <w:t>Stockholders’ equity</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464,233</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283,817</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283,724</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235,647</w:t>
            </w:r>
          </w:p>
        </w:tc>
        <w:tc>
          <w:tcPr>
            <w:tcW w:w="560" w:type="dxa"/>
            <w:vAlign w:val="bottom"/>
          </w:tcPr>
          <w:p>
            <w:pPr>
              <w:ind w:left="160"/>
              <w:spacing w:after="0"/>
              <w:rPr>
                <w:sz w:val="20"/>
                <w:szCs w:val="20"/>
                <w:color w:val="auto"/>
              </w:rPr>
            </w:pPr>
            <w:r>
              <w:rPr>
                <w:rFonts w:ascii="Arial" w:cs="Arial" w:eastAsia="Arial" w:hAnsi="Arial"/>
                <w:sz w:val="15"/>
                <w:szCs w:val="15"/>
                <w:color w:val="auto"/>
                <w:w w:val="82"/>
              </w:rPr>
              <w:t>34,442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-389890</wp:posOffset>
            </wp:positionV>
            <wp:extent cx="5588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-389890</wp:posOffset>
            </wp:positionV>
            <wp:extent cx="5588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-389890</wp:posOffset>
            </wp:positionV>
            <wp:extent cx="5588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-389890</wp:posOffset>
            </wp:positionV>
            <wp:extent cx="5588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-389890</wp:posOffset>
            </wp:positionV>
            <wp:extent cx="5588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44" w:lineRule="exact"/>
        <w:rPr>
          <w:sz w:val="20"/>
          <w:szCs w:val="20"/>
          <w:color w:val="auto"/>
        </w:rPr>
      </w:pPr>
    </w:p>
    <w:p>
      <w:pPr>
        <w:ind w:left="1460" w:right="1239" w:hanging="296"/>
        <w:spacing w:after="0" w:line="225" w:lineRule="auto"/>
        <w:tabs>
          <w:tab w:leader="none" w:pos="1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Finance lease obligations were formerly referred to as capital lease obligations prior to our adoption of Accounting Standards Codification 842: Leases (“ASC 842”) on January 1, 2019. See Note 2 to our audited consolidated financial statements included 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MANAGEMENT’S DISCUSSION AND ANALYSIS OF FINANCIAL CONDITION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RESULTS OF OPERATIONS</w:t>
      </w:r>
    </w:p>
    <w:p>
      <w:pPr>
        <w:spacing w:after="0" w:line="9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i w:val="1"/>
          <w:iCs w:val="1"/>
          <w:color w:val="auto"/>
        </w:rPr>
        <w:t>You should read the following discussion of our financial condition and results of operations in conjunction with our consolidated financial statements and the related notes thereto included elsewhere in this prospectus.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“Cautionary Note Regarding Forward-Looking Statements.”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VFR passengers and charter customers and providing CMI services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99"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Our scheduled service business combines low costs with a high quality product to generate higher TRASM than ULCCs while maintaining lower Adjusted CASM than LCCs, resulting in best-in-class unit profitability. Our business includes many cost characteristics of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one of the early beneficiaries of the industry rebound following the COVID-19 pandemic.</w:t>
      </w:r>
    </w:p>
    <w:p>
      <w:pPr>
        <w:spacing w:after="0" w:line="92"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Our charter business, which is one of the largest narrow body charter operations in the United 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65" w:lineRule="auto"/>
        <w:rPr>
          <w:sz w:val="20"/>
          <w:szCs w:val="20"/>
          <w:color w:val="auto"/>
        </w:rPr>
      </w:pPr>
      <w:r>
        <w:rPr>
          <w:rFonts w:ascii="Arial" w:cs="Arial" w:eastAsia="Arial" w:hAnsi="Arial"/>
          <w:sz w:val="14"/>
          <w:szCs w:val="14"/>
          <w:color w:val="auto"/>
        </w:rPr>
        <w:t>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 second half of 2020. In the second quarter of 2021, our charter revenues were 30.7% lower when compared to the second quarter of 2019. In comparison, combined U.S. passenger airline revenues were 39.9% lower during the second quarter of 2021 when compared to the second quarter of 2019.</w:t>
      </w:r>
    </w:p>
    <w:p>
      <w:pPr>
        <w:spacing w:after="0" w:line="84"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On December 13, 2019, we signed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of Presentation</w:t>
      </w:r>
    </w:p>
    <w:p>
      <w:pPr>
        <w:spacing w:after="0" w:line="128" w:lineRule="exact"/>
        <w:rPr>
          <w:sz w:val="20"/>
          <w:szCs w:val="20"/>
          <w:color w:val="auto"/>
        </w:rPr>
      </w:pPr>
    </w:p>
    <w:p>
      <w:pPr>
        <w:ind w:left="1160" w:right="1319" w:firstLine="293"/>
        <w:spacing w:after="0" w:line="267" w:lineRule="auto"/>
        <w:rPr>
          <w:sz w:val="20"/>
          <w:szCs w:val="20"/>
          <w:color w:val="auto"/>
        </w:rPr>
      </w:pPr>
      <w:r>
        <w:rPr>
          <w:rFonts w:ascii="Arial" w:cs="Arial" w:eastAsia="Arial" w:hAnsi="Arial"/>
          <w:sz w:val="14"/>
          <w:szCs w:val="14"/>
          <w:color w:val="auto"/>
        </w:rPr>
        <w:t>On April 11, 2018, Sun Country Airlines was acquired by the Apollo Funds.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Additionally, in May 2019, we converted the operating entity of the airline from MN Airlines, LLC d/b/a Sun Country Airlines to Sun Country, Inc. d/b/a Sun Country Airlines.</w:t>
      </w:r>
    </w:p>
    <w:p>
      <w:pPr>
        <w:spacing w:after="0" w:line="94"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Due to the change in the basis of accounting resulting from the acquisition, the financial information for the Predecessor and Successor periods are not necessarily comparable. 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w:t>
      </w:r>
    </w:p>
    <w:p>
      <w:pPr>
        <w:spacing w:after="0" w:line="3" w:lineRule="exact"/>
        <w:rPr>
          <w:sz w:val="20"/>
          <w:szCs w:val="20"/>
          <w:color w:val="auto"/>
        </w:rPr>
      </w:pPr>
    </w:p>
    <w:p>
      <w:pPr>
        <w:ind w:left="1160" w:right="1299" w:firstLine="4"/>
        <w:spacing w:after="0" w:line="266" w:lineRule="auto"/>
        <w:tabs>
          <w:tab w:leader="none" w:pos="1379"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See Note 2 to our audited consolidated financial statements included elsewhere in this prospectus for additional information.</w:t>
      </w:r>
    </w:p>
    <w:p>
      <w:pPr>
        <w:spacing w:after="0" w:line="83"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financial information, accounting policies and activities of the Successor and Predecessor are referred to as those of the Company. The Successor adopted the Predecessor’s accounting policies. See Note 2 to our audited consolidated financial statements included elsewhere in this prospectus for additional information.</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For the years ended December 31, 2019 and 2018, we were managed as a single segment that provided scheduled service and charter air transportation to passengers. In May 2020, we began providing air cargo services under the ATSA and, during the fourth quarter of 2020, we determined that we have two reportable segments: passenger and cargo. To the extent material to the understanding of segment profitability, we more fully describe the segment expenses per financial statement line item. As air cargo operations commenced in May 2020, the cargo segment had no comparable operations for any other prior period presented.</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Years in Review</w:t>
      </w:r>
    </w:p>
    <w:p>
      <w:pPr>
        <w:spacing w:after="0" w:line="117"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We believe a key component of our success is establishing Sun Country as a high growth, low-cost carrier in the United States by attracting customers with low fares and garnering repeat business by delivering a high quality passenger experience, offering state-of-the-art interiors, free streaming in-flight entertainment to passenger devices, seat recline and seat-back power in all of our aircraft, none of which are offered by ULCCs.</w:t>
      </w:r>
    </w:p>
    <w:p>
      <w:pPr>
        <w:spacing w:after="0" w:line="105"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From late 2017 through 2019, we transformed our business by implementing our strategy of providing a high quality travel experience at affordable fares. We redesigned our network to focus our flying on peak demand opportunities at both our MSP hub and our growing network of non-MSP point-to-point markets, which supported a 43% increase in passengers from 2017 to 2019. During those years, we invested significantly in mid-life Boeing 737-800 aircraft, new aircraft interiors and seat densification and other growth-oriented and cost-saving initiatives. During 2019, we reconfigured the seat density of substantially all our aircraft to 183 seats, and subsequently further increased the seat density of our fleet to 186 seats. At 186 seats, we offer two different seat categories: Best and Standard. The Best category includes preferred boarding, one complimentary alcoholic beverage, four inches of extra legroom and 150% extra recline. Additionally, we meaningfully expanded our ancillary product offerings by introducing carry-on and checked bag fees and increasing our buy-on-board options, stimulating passenger demand for our product through low base fares and enabling passengers to identify, select and pay for the products and services they want to use. Average ancillary revenue per scheduled service passenger increased by 148% from 2017 to 2019. These efforts were further complemented by the implementation of a robust and scalable reservation and distribution system and new website in 2019, the redesign of our loyalty program in 2018 to be simple and family friendly, and improved flexibility of our cancellation policy.</w:t>
      </w:r>
    </w:p>
    <w:p>
      <w:pPr>
        <w:spacing w:after="0" w:line="100"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Our revenue grew from $560 million in 2017 to $701 million in 2019 primarily as a result of our increased capacity following the expansion of our network. Our ASMs increased from 5.3 billion in 2017 to 7.1 billion in 2019, driven primarily by an increase in average seat density of our aircraft and an increase in the number of flights and block hours. Our scheduled service revenue grew from $372 million in 2017 to $396 million in 2019. We have focused on the expansion of our network of point-to-point travel outside of MSP to leverage seasonal demand where other airlines are unable to respond effectively to the needs of the market. Since implementing our non-MSP route strategy in early 2018, we grew this service to 10% of scheduled service block hours in 2018 and further increased non-MSP service to 20% of scheduled service block hours in 2019. Our charter service revenue grew from $132 million in 2017 to $175 million in 2019 primarily due to an increase in the number of charter flights for our casino and sports customers and the U.S. Department of Defense.</w:t>
      </w:r>
    </w:p>
    <w:p>
      <w:pPr>
        <w:spacing w:after="0" w:line="99" w:lineRule="exact"/>
        <w:rPr>
          <w:sz w:val="20"/>
          <w:szCs w:val="20"/>
          <w:color w:val="auto"/>
        </w:rPr>
      </w:pPr>
    </w:p>
    <w:p>
      <w:pPr>
        <w:ind w:left="1160" w:right="1479" w:firstLine="293"/>
        <w:spacing w:after="0" w:line="290" w:lineRule="auto"/>
        <w:rPr>
          <w:sz w:val="20"/>
          <w:szCs w:val="20"/>
          <w:color w:val="auto"/>
        </w:rPr>
      </w:pPr>
      <w:r>
        <w:rPr>
          <w:rFonts w:ascii="Arial" w:cs="Arial" w:eastAsia="Arial" w:hAnsi="Arial"/>
          <w:sz w:val="13"/>
          <w:szCs w:val="13"/>
          <w:color w:val="auto"/>
        </w:rPr>
        <w:t>Our transformation reduced operating costs during this same time period, resulting in a decrease in CASM from 10.09 cents in 2017 to 8.82 cents in 2019 and Adjusted CASM from 7.80 cents in 2017 to</w:t>
      </w:r>
    </w:p>
    <w:p>
      <w:pPr>
        <w:spacing w:after="0" w:line="1" w:lineRule="exact"/>
        <w:rPr>
          <w:sz w:val="20"/>
          <w:szCs w:val="20"/>
          <w:color w:val="auto"/>
        </w:rPr>
      </w:pPr>
    </w:p>
    <w:p>
      <w:pPr>
        <w:ind w:left="1160" w:right="1199"/>
        <w:spacing w:after="0" w:line="265" w:lineRule="auto"/>
        <w:rPr>
          <w:sz w:val="20"/>
          <w:szCs w:val="20"/>
          <w:color w:val="auto"/>
        </w:rPr>
      </w:pPr>
      <w:r>
        <w:rPr>
          <w:rFonts w:ascii="Arial" w:cs="Arial" w:eastAsia="Arial" w:hAnsi="Arial"/>
          <w:sz w:val="14"/>
          <w:szCs w:val="14"/>
          <w:color w:val="auto"/>
        </w:rPr>
        <w:t>6.31 cents in 2019, which allowed us to offer highly competitive low-cost fares to our customers and reduce our average fare per scheduled service passenger from $148.60 in 2017 to $111.08 in 2019. The primary drivers of our cost savings were renegotiating our component maintenance agreement, fuel savings initiatives, catering cost reductions, renegotiation of distribution contracts and various other initiatives. In December 2019, we arranged for the financing or refinancing of 13 used aircraft in a EETC structure, which we completed in June 2020, further reducing costs in 2020 and beyond. Our cost structure has resulted in our ability to maintain low costs at lower utilizations, which enables us to tailor schedules to peak periods of demand. These efforts improved our operating margin from 5.3% in 2017 to 11.1% in 2019.</w:t>
      </w:r>
    </w:p>
    <w:p>
      <w:pPr>
        <w:spacing w:after="0" w:line="94" w:lineRule="exact"/>
        <w:rPr>
          <w:sz w:val="20"/>
          <w:szCs w:val="20"/>
          <w:color w:val="auto"/>
        </w:rPr>
      </w:pPr>
    </w:p>
    <w:p>
      <w:pPr>
        <w:ind w:left="1160" w:right="1319" w:firstLine="293"/>
        <w:spacing w:after="0" w:line="341" w:lineRule="auto"/>
        <w:rPr>
          <w:sz w:val="20"/>
          <w:szCs w:val="20"/>
          <w:color w:val="auto"/>
        </w:rPr>
      </w:pPr>
      <w:r>
        <w:rPr>
          <w:rFonts w:ascii="Arial" w:cs="Arial" w:eastAsia="Arial" w:hAnsi="Arial"/>
          <w:sz w:val="13"/>
          <w:szCs w:val="13"/>
          <w:color w:val="auto"/>
        </w:rPr>
        <w:t>In May 2020, we began providing air cargo transportation services under the ATSA. In June 2020, we entered into an amendment to the ATSA that added two additional aircraft to the agreement, which were</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39"/>
        <w:spacing w:after="0" w:line="254" w:lineRule="auto"/>
        <w:rPr>
          <w:sz w:val="20"/>
          <w:szCs w:val="20"/>
          <w:color w:val="auto"/>
        </w:rPr>
      </w:pPr>
      <w:r>
        <w:rPr>
          <w:rFonts w:ascii="Arial" w:cs="Arial" w:eastAsia="Arial" w:hAnsi="Arial"/>
          <w:sz w:val="15"/>
          <w:szCs w:val="15"/>
          <w:color w:val="auto"/>
        </w:rPr>
        <w:t>delivered in the fourth quarter of 2020, bringing the total number of aircraft we fly for Amazon to 12. In August 2020, we entered into a contract with Major League Soccer to provide charter flights for professional soccer teams.</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COVID-19 pandemic resulted in a dramatic decline in passenger demand across the U.S. airline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industry. We have experienced a significant decline in demand related to the COVID-19 pandemic, which</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has caused a material decline in our 2020 revenues and negatively impacted our financial condition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operating results during the COVID-19 pandemic, which is likely to continue for the duration of the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COVID-19 pandemic, and our business operations were adjusted in response to the pandemic. Actions we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took during 2020 to mitigate the impact of the COVID-19 induced downturn include: capacity reductions; a</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company-wide hiring freeze; voluntary leave programs; reduced capital expenditures; and deferred vendor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payments. In February 2021, we entered into the Credit Agreement. In connection with the COVID-19</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pandemic, we received CARES Act grants of $62.3 million during 2020 and a loan of $45.0 million in</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October 2020. On January 22, 2021, we were informed by Treasury that we would receive a grant of</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$32.2 million under the Payroll Support Program Extension under the Consolidated Appropriations Act</w:t>
      </w:r>
    </w:p>
    <w:p>
      <w:pPr>
        <w:spacing w:after="0" w:line="15" w:lineRule="exact"/>
        <w:rPr>
          <w:sz w:val="20"/>
          <w:szCs w:val="20"/>
          <w:color w:val="auto"/>
        </w:rPr>
      </w:pPr>
    </w:p>
    <w:p>
      <w:pPr>
        <w:ind w:left="1160" w:right="1199"/>
        <w:spacing w:after="0" w:line="262" w:lineRule="auto"/>
        <w:rPr>
          <w:sz w:val="20"/>
          <w:szCs w:val="20"/>
          <w:color w:val="auto"/>
        </w:rPr>
      </w:pPr>
      <w:r>
        <w:rPr>
          <w:rFonts w:ascii="Arial" w:cs="Arial" w:eastAsia="Arial" w:hAnsi="Arial"/>
          <w:sz w:val="14"/>
          <w:szCs w:val="14"/>
          <w:color w:val="auto"/>
        </w:rPr>
        <w:t>of 2021. We received $16.1 million on February 2, 2021, an additional $16.1 million on March 26, 2021 and an additional $4.8 million in grants on April 22, 2021. Further, we were notified on April 15, 2021 that</w:t>
      </w:r>
    </w:p>
    <w:p>
      <w:pPr>
        <w:jc w:val="both"/>
        <w:ind w:left="1160" w:right="1419"/>
        <w:spacing w:after="0" w:line="246" w:lineRule="auto"/>
        <w:rPr>
          <w:sz w:val="20"/>
          <w:szCs w:val="20"/>
          <w:color w:val="auto"/>
        </w:rPr>
      </w:pPr>
      <w:r>
        <w:rPr>
          <w:rFonts w:ascii="Arial" w:cs="Arial" w:eastAsia="Arial" w:hAnsi="Arial"/>
          <w:sz w:val="15"/>
          <w:szCs w:val="15"/>
          <w:color w:val="auto"/>
        </w:rPr>
        <w:t>we would receive a grant of approximately $34.5 million under Payroll Support Program 3. Of this grant amount, $17.3 million was received on April 29, 2021 and the remaining $17.2 million was received on May 27, 2021.</w:t>
      </w:r>
    </w:p>
    <w:p>
      <w:pPr>
        <w:spacing w:after="0" w:line="107"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While the COVID-19 induced industry downturn has delayed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 While Adjusted CASM for all U.S. airlines increased in 2020 as a result of the COVID-19 induced downturn, we believe that our business model and strategy positions us well to maintain and improve our Adjusted CASM in the future, while maintaining lower utilization rates than most of our peers.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Fleet Plan</w:t>
      </w:r>
    </w:p>
    <w:p>
      <w:pPr>
        <w:spacing w:after="0" w:line="128"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color w:val="auto"/>
        </w:rPr>
        <w:t>During 2019, we completed the transition of our fleet to substantially all mid-life Boeing 737-800s, a Boeing 737-NG variant, and as of the date of this prospectus, we operate a fleet of 47 aircraft, including 35 passenger and 12 cargo aircraft. The use of a single aircraft variant allows for additional cost efficiencies as a result of simplified scheduling, maintenance, flight operations and training. The transition to 737-800s also resulted in an increase in seat density on substantially all of our passenger aircraft to 183 seats in 2019, which will provide for greater fuel efficiency per ASM. We further increased the seat density of our fleet to 186 seats as a result of additional seat reconfiguration which was completed in 2020.</w:t>
      </w:r>
    </w:p>
    <w:p>
      <w:pPr>
        <w:spacing w:after="0" w:line="82" w:lineRule="exact"/>
        <w:rPr>
          <w:sz w:val="20"/>
          <w:szCs w:val="20"/>
          <w:color w:val="auto"/>
        </w:rPr>
      </w:pPr>
    </w:p>
    <w:p>
      <w:pPr>
        <w:ind w:left="1160" w:right="1359" w:firstLine="293"/>
        <w:spacing w:after="0" w:line="264" w:lineRule="auto"/>
        <w:rPr>
          <w:sz w:val="20"/>
          <w:szCs w:val="20"/>
          <w:color w:val="auto"/>
        </w:rPr>
      </w:pPr>
      <w:r>
        <w:rPr>
          <w:rFonts w:ascii="Arial" w:cs="Arial" w:eastAsia="Arial" w:hAnsi="Arial"/>
          <w:sz w:val="15"/>
          <w:szCs w:val="15"/>
          <w:color w:val="auto"/>
        </w:rPr>
        <w:t>We currently have plans to grow our operating capacity as we take delivery of additional aircraft and make changes to our network:</w:t>
      </w:r>
    </w:p>
    <w:p>
      <w:pPr>
        <w:spacing w:after="0" w:line="71" w:lineRule="exact"/>
        <w:rPr>
          <w:sz w:val="20"/>
          <w:szCs w:val="20"/>
          <w:color w:val="auto"/>
        </w:rPr>
      </w:pPr>
    </w:p>
    <w:p>
      <w:pPr>
        <w:ind w:left="1600" w:right="1459" w:hanging="143"/>
        <w:spacing w:after="0" w:line="264" w:lineRule="auto"/>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took delivery of an additional two Boeing 737-800 aircraft provided by Amazon in the fourth quarter of 2020, which brought the total Amazon aircraft to 12.</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plan to grow the passenger fleet to an estimated 50 aircraft by the end of 2023.</w:t>
      </w:r>
    </w:p>
    <w:p>
      <w:pPr>
        <w:spacing w:after="0" w:line="113"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We expect to finance all of our additional passenger aircraft through debt or finance leases, though we also may enter into new operating leases on an opportunistic basis. Additionally, we may buy out a certain portion of our existing aircraft currently financed under operating lease agreements over the next several years, using either mortgage based financings or enhanced equipment trust certificates (EETC). EETC structures are issued through pass-through trusts, which are structured to provide for certain credit enhancements that reduce the risks to the purchasers of the trust certificates and, as a result, reduce the cost of our aircraft financing. As of December 31, 2020, 13 of our aircraft were structured under the 2019-1 EETC. These aircraft consisted of a portion of previously leased aircraft (operating and finance leases), previously owned aircraft which were refinanced with favorable terms under the EETC, and aircraft new to the fleet. The EETC has and will continue to reduce our financing costs.</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Our strategy is to target mid-life aircraft due to the lower ownership costs relative to new aircraft and the flexibility associated with a liquid market for mid-life aircraft. This allows us to adjust the composition of our fleet with limited forward commitments. The average age of the passenger aircraft in our fleet as of December 31, 2020 was approximately 15 years, and we do not expect this to change in the near future. We view aircraft ownership as preferable to leasing due to:</w:t>
      </w:r>
    </w:p>
    <w:p>
      <w:pPr>
        <w:spacing w:after="0" w:line="56" w:lineRule="exact"/>
        <w:rPr>
          <w:sz w:val="20"/>
          <w:szCs w:val="20"/>
          <w:color w:val="auto"/>
        </w:rPr>
      </w:pPr>
    </w:p>
    <w:p>
      <w:pPr>
        <w:ind w:left="1600" w:hanging="143"/>
        <w:spacing w:after="0"/>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Increased level of control to optimize and utilize maintenance value;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Competitive financing costs at investment grade rates;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Flexibility to sell or retire aircraft at any time.</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Trends and Uncertainties Affecting Our Business</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i w:val="1"/>
          <w:iCs w:val="1"/>
          <w:color w:val="auto"/>
        </w:rPr>
        <w:t>COVID-19 Pandemic</w:t>
      </w:r>
      <w:r>
        <w:rPr>
          <w:rFonts w:ascii="Arial" w:cs="Arial" w:eastAsia="Arial" w:hAnsi="Arial"/>
          <w:sz w:val="14"/>
          <w:szCs w:val="14"/>
          <w:color w:val="auto"/>
        </w:rPr>
        <w:t>: The COVID-19 pandemic and shelter-in-place directives greatly impacted our</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results for the year ended December 31, 2020 and will continue to do so into the future. Air traffic demand is down substantially, and base air fares are down as well. We cannot predict when air travel will return to customary levels or at what pace. In the meantime, our revenues will be adversely affected. We believe that demand in the foreseeable future will continue to fluctuate in response to fluctuations in COVID-19 cases, hospitalizations, deaths, treatment efficacy and the availability of a vaccine. The impacts of the COVID-19 pandemic have resulted in a reduction in our flight schedule. It is likely that reduced schedules will continue into the future. We currently allow customers to cancel their flights for travel credits that they are able to use within 12 months of the original booking date, and record as revenue when such credits expire unused or when passenger flights occur. A significant amount of outstanding passenger credits from reservations made in early 2020 are expiring within the next year, and as passengers use such credits to book flights, our cash receipts in 2021 are expected to be adversely impacted. We are closely monitoring bookings and making decisions on schedule changes as necessary based on demand. As the COVID-19 pandemic continues to evolve, our financial and operational outlook remains subject to change. We currently expect to incur near-term operating losses and negative cash flows as a result of the expected continued decline in passenger and charter bookings as compared to 2019. The extent of the impact of COVID-19 on our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 See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 including “</w:t>
      </w:r>
      <w:r>
        <w:rPr>
          <w:rFonts w:ascii="Arial" w:cs="Arial" w:eastAsia="Arial" w:hAnsi="Arial"/>
          <w:sz w:val="14"/>
          <w:szCs w:val="14"/>
          <w:i w:val="1"/>
          <w:iCs w:val="1"/>
          <w:color w:val="auto"/>
        </w:rPr>
        <w:t>Risk Factors—Risks Related to Our Industry—The global pandemic</w:t>
      </w:r>
      <w:r>
        <w:rPr>
          <w:rFonts w:ascii="Arial" w:cs="Arial" w:eastAsia="Arial" w:hAnsi="Arial"/>
          <w:sz w:val="14"/>
          <w:szCs w:val="14"/>
          <w:color w:val="auto"/>
        </w:rPr>
        <w:t xml:space="preserve"> </w:t>
      </w:r>
      <w:r>
        <w:rPr>
          <w:rFonts w:ascii="Arial" w:cs="Arial" w:eastAsia="Arial" w:hAnsi="Arial"/>
          <w:sz w:val="14"/>
          <w:szCs w:val="14"/>
          <w:i w:val="1"/>
          <w:iCs w:val="1"/>
          <w:color w:val="auto"/>
        </w:rPr>
        <w:t>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r>
        <w:rPr>
          <w:rFonts w:ascii="Arial" w:cs="Arial" w:eastAsia="Arial" w:hAnsi="Arial"/>
          <w:sz w:val="14"/>
          <w:szCs w:val="14"/>
          <w:color w:val="auto"/>
        </w:rPr>
        <w:t>” and “</w:t>
      </w:r>
      <w:r>
        <w:rPr>
          <w:rFonts w:ascii="Arial" w:cs="Arial" w:eastAsia="Arial" w:hAnsi="Arial"/>
          <w:sz w:val="14"/>
          <w:szCs w:val="14"/>
          <w:i w:val="1"/>
          <w:iCs w:val="1"/>
          <w:color w:val="auto"/>
        </w:rPr>
        <w:t>Risk Factors—Risks Related to Our Business—The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r>
        <w:rPr>
          <w:rFonts w:ascii="Arial" w:cs="Arial" w:eastAsia="Arial" w:hAnsi="Arial"/>
          <w:sz w:val="14"/>
          <w:szCs w:val="14"/>
          <w:color w:val="auto"/>
        </w:rPr>
        <w:t>.”</w:t>
      </w:r>
    </w:p>
    <w:p>
      <w:pPr>
        <w:spacing w:after="0" w:line="96" w:lineRule="exact"/>
        <w:rPr>
          <w:sz w:val="20"/>
          <w:szCs w:val="20"/>
          <w:color w:val="auto"/>
        </w:rPr>
      </w:pPr>
    </w:p>
    <w:p>
      <w:pPr>
        <w:ind w:left="1160" w:right="1339" w:firstLine="293"/>
        <w:spacing w:after="0" w:line="236" w:lineRule="auto"/>
        <w:rPr>
          <w:sz w:val="20"/>
          <w:szCs w:val="20"/>
          <w:color w:val="auto"/>
        </w:rPr>
      </w:pPr>
      <w:r>
        <w:rPr>
          <w:rFonts w:ascii="Arial" w:cs="Arial" w:eastAsia="Arial" w:hAnsi="Arial"/>
          <w:sz w:val="15"/>
          <w:szCs w:val="15"/>
          <w:i w:val="1"/>
          <w:iCs w:val="1"/>
          <w:color w:val="auto"/>
        </w:rPr>
        <w:t>Additional factors impacting our business</w:t>
      </w:r>
      <w:r>
        <w:rPr>
          <w:rFonts w:ascii="Arial" w:cs="Arial" w:eastAsia="Arial" w:hAnsi="Arial"/>
          <w:sz w:val="15"/>
          <w:szCs w:val="15"/>
          <w:color w:val="auto"/>
        </w:rPr>
        <w:t>: We believe our operating performance is driven by</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factors that typically affect airlines and their markets, including trends which affect the broader travel industry, as well as trends which affect the specific markets and customer base that we target. The following key factors may affect our future performance:</w:t>
      </w:r>
    </w:p>
    <w:p>
      <w:pPr>
        <w:spacing w:after="0" w:line="102"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i w:val="1"/>
          <w:iCs w:val="1"/>
          <w:color w:val="auto"/>
        </w:rPr>
        <w:t>Competition</w:t>
      </w:r>
      <w:r>
        <w:rPr>
          <w:rFonts w:ascii="Arial" w:cs="Arial" w:eastAsia="Arial" w:hAnsi="Arial"/>
          <w:sz w:val="14"/>
          <w:szCs w:val="14"/>
          <w:color w:val="auto"/>
        </w:rPr>
        <w:t>. The airline industry is highly competitive. The principal competitive factors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airline industry are the fare, flight schedules, number of routes served from a city, frequent flyer programs, product and passenger amenities, customer service, fleet type and reputation. Price competition occurs on a market-by-market basis through price discounts, changes in pricing structures, fare matching, target promotions and frequent flyer initiatives. The airline industry is particularly susceptible to price discounting because once a flight is scheduled, airlines incur only nominal incremental costs to provide service to passengers occupying otherwise unsold seats. Airlines typically use discounted fares and other promotions to stimulate traffic during normally slower travel periods to generate cash flow and to increase PRASM.</w:t>
      </w:r>
    </w:p>
    <w:p>
      <w:pPr>
        <w:spacing w:after="0" w:line="81" w:lineRule="exact"/>
        <w:rPr>
          <w:sz w:val="20"/>
          <w:szCs w:val="20"/>
          <w:color w:val="auto"/>
        </w:rPr>
      </w:pPr>
    </w:p>
    <w:p>
      <w:pPr>
        <w:jc w:val="both"/>
        <w:ind w:left="1160" w:right="1259" w:firstLine="293"/>
        <w:spacing w:after="0" w:line="264" w:lineRule="auto"/>
        <w:rPr>
          <w:sz w:val="20"/>
          <w:szCs w:val="20"/>
          <w:color w:val="auto"/>
        </w:rPr>
      </w:pPr>
      <w:r>
        <w:rPr>
          <w:rFonts w:ascii="Arial" w:cs="Arial" w:eastAsia="Arial" w:hAnsi="Arial"/>
          <w:sz w:val="14"/>
          <w:szCs w:val="14"/>
          <w:color w:val="auto"/>
        </w:rPr>
        <w:t>The availability of low-priced fares coupled with an increase in domestic capacity has led to dramatic changes in pricing behavior in many U.S. markets. Legacy network airlines have also begun matching LCC and ULCC pricing on portions of their marginal unsold capacity, which we expect to continue for the</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3" w:lineRule="auto"/>
        <w:rPr>
          <w:sz w:val="20"/>
          <w:szCs w:val="20"/>
          <w:color w:val="auto"/>
        </w:rPr>
      </w:pPr>
      <w:r>
        <w:rPr>
          <w:rFonts w:ascii="Arial" w:cs="Arial" w:eastAsia="Arial" w:hAnsi="Arial"/>
          <w:sz w:val="14"/>
          <w:szCs w:val="14"/>
          <w:color w:val="auto"/>
        </w:rPr>
        <w:t>foreseeable future. Many domestic carriers have also begun matching lower cost airline pricing, either with limited or unlimited inventory. Moreover, many other airlines have unbundled their services, at least in part, by charging separately for services such as baggage and advance seat selection, which previously were offered as a component of their base fares. This unbundling and other cost-reducing measures could enable competitor airlines to reduce fares on routes that we serve, which could materially adversely affect our business. Refer to “</w:t>
      </w:r>
      <w:r>
        <w:rPr>
          <w:rFonts w:ascii="Arial" w:cs="Arial" w:eastAsia="Arial" w:hAnsi="Arial"/>
          <w:sz w:val="14"/>
          <w:szCs w:val="14"/>
          <w:i w:val="1"/>
          <w:iCs w:val="1"/>
          <w:color w:val="auto"/>
        </w:rPr>
        <w:t>Risk Factors</w:t>
      </w:r>
      <w:r>
        <w:rPr>
          <w:rFonts w:ascii="Arial" w:cs="Arial" w:eastAsia="Arial" w:hAnsi="Arial"/>
          <w:sz w:val="14"/>
          <w:szCs w:val="14"/>
          <w:color w:val="auto"/>
        </w:rPr>
        <w:t>” included elsewhere in this prospectus for additional information.</w:t>
      </w:r>
    </w:p>
    <w:p>
      <w:pPr>
        <w:spacing w:after="0" w:line="80" w:lineRule="exact"/>
        <w:rPr>
          <w:sz w:val="20"/>
          <w:szCs w:val="20"/>
          <w:color w:val="auto"/>
        </w:rPr>
      </w:pPr>
    </w:p>
    <w:p>
      <w:pPr>
        <w:ind w:left="1160" w:right="1319" w:firstLine="293"/>
        <w:spacing w:after="0" w:line="239" w:lineRule="auto"/>
        <w:rPr>
          <w:sz w:val="20"/>
          <w:szCs w:val="20"/>
          <w:color w:val="auto"/>
        </w:rPr>
      </w:pPr>
      <w:r>
        <w:rPr>
          <w:rFonts w:ascii="Arial" w:cs="Arial" w:eastAsia="Arial" w:hAnsi="Arial"/>
          <w:sz w:val="15"/>
          <w:szCs w:val="15"/>
          <w:color w:val="auto"/>
        </w:rPr>
        <w:t>Additionally, as a result of COVID- 19, we have experienced increased competition for domestic charters as competitors are now offering charter services with otherwise grounded aircraft due to a decline in their passenger service.</w:t>
      </w:r>
    </w:p>
    <w:p>
      <w:pPr>
        <w:spacing w:after="0" w:line="100"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Aircraft Fuel</w:t>
      </w:r>
      <w:r>
        <w:rPr>
          <w:rFonts w:ascii="Arial" w:cs="Arial" w:eastAsia="Arial" w:hAnsi="Arial"/>
          <w:sz w:val="14"/>
          <w:szCs w:val="14"/>
          <w:color w:val="auto"/>
        </w:rPr>
        <w:t>. Fuel expense generally represents our single largest operating expense. Jet fuel prices</w:t>
      </w:r>
      <w:r>
        <w:rPr>
          <w:rFonts w:ascii="Arial" w:cs="Arial" w:eastAsia="Arial" w:hAnsi="Arial"/>
          <w:sz w:val="14"/>
          <w:szCs w:val="14"/>
          <w:i w:val="1"/>
          <w:iCs w:val="1"/>
          <w:color w:val="auto"/>
        </w:rPr>
        <w:t xml:space="preserve"> </w:t>
      </w:r>
      <w:r>
        <w:rPr>
          <w:rFonts w:ascii="Arial" w:cs="Arial" w:eastAsia="Arial" w:hAnsi="Arial"/>
          <w:sz w:val="14"/>
          <w:szCs w:val="14"/>
          <w:color w:val="auto"/>
        </w:rPr>
        <w:t>and availability are subject to market fluctuations, refining capacity, periods of market surplus and shortage and demand for heating oil, gasoline and other petroleum products, as well as meteorological, economic and political factors and events occurring throughout the world, which we can neither control nor accurately predict. The future cost and availability of jet fuel cannot be predicted with any degree of certainty. The uncertainty and volatility of oil prices has a correlated material effect on the cost of fuel, which has been markedly demonstrated throughout 2021 by the rising cost of fuel which may negatively affect our results of operations. For the years ended December 31, 2020 and 2019, approximately 57% and 58%, respectively, of our fuel was purchased from two vendors. This concentration is largely driven by our substantial operations in MSP. We currently participate in fuel consortia at multiple airports. These agreements generally include cost-sharing provisions and environmental indemnities that are generally joint and several among the participating airlines.</w:t>
      </w:r>
    </w:p>
    <w:p>
      <w:pPr>
        <w:spacing w:after="0" w:line="94" w:lineRule="exact"/>
        <w:rPr>
          <w:sz w:val="20"/>
          <w:szCs w:val="20"/>
          <w:color w:val="auto"/>
        </w:rPr>
      </w:pPr>
    </w:p>
    <w:p>
      <w:pPr>
        <w:ind w:left="1160" w:right="1279" w:firstLine="293"/>
        <w:spacing w:after="0" w:line="234" w:lineRule="auto"/>
        <w:rPr>
          <w:sz w:val="20"/>
          <w:szCs w:val="20"/>
          <w:color w:val="auto"/>
        </w:rPr>
      </w:pPr>
      <w:r>
        <w:rPr>
          <w:rFonts w:ascii="Arial" w:cs="Arial" w:eastAsia="Arial" w:hAnsi="Arial"/>
          <w:sz w:val="15"/>
          <w:szCs w:val="15"/>
          <w:color w:val="auto"/>
        </w:rPr>
        <w:t>To hedge the economic risk associated with volatile aircraft fuel prices, we periodically enter into fuel collars, which allow us to reduce the overall cost of hedging, but may prevent us from participating in the benefit of downward price movements. In the past, we have also entered into fuel option and swap contracts. As of September 30, 2021, we had no outstanding call options. Generally, our charter operations have pass-through provisions for fuel costs, and therefore we do not hedge our fuel requirements for that component of our business.</w:t>
      </w:r>
    </w:p>
    <w:p>
      <w:pPr>
        <w:spacing w:after="0" w:line="90"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Our fuel hedging strategy is dependent upon many factors, including our assessment of market conditions for fuel, our access to the capital necessary to support margin requirements, the pricing of hedges and other derivative products in the market and our overall appetite for risk. We believe our strategy economically hedges against unexpected price volatility. However, we cannot be assured that our hedging strategy will be effective or that we will continue our strategy in the future.</w:t>
      </w:r>
    </w:p>
    <w:p>
      <w:pPr>
        <w:spacing w:after="0" w:line="100"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We do not apply hedge accounting on our fuel derivative contracts, and as a result, changes in the fair value of our fuel derivative contracts are recorded within the period as a component of aircraft fuel expense. See Note 12 to our audited consolidated financial statements included elsewhere in this prospectus for further discussion of our hedging activity.</w:t>
      </w:r>
    </w:p>
    <w:p>
      <w:pPr>
        <w:spacing w:after="0" w:line="102" w:lineRule="exact"/>
        <w:rPr>
          <w:sz w:val="20"/>
          <w:szCs w:val="20"/>
          <w:color w:val="auto"/>
        </w:rPr>
      </w:pPr>
    </w:p>
    <w:p>
      <w:pPr>
        <w:ind w:left="1160" w:right="1319" w:firstLine="293"/>
        <w:spacing w:after="0" w:line="269" w:lineRule="auto"/>
        <w:rPr>
          <w:sz w:val="20"/>
          <w:szCs w:val="20"/>
          <w:color w:val="auto"/>
        </w:rPr>
      </w:pPr>
      <w:r>
        <w:rPr>
          <w:rFonts w:ascii="Arial" w:cs="Arial" w:eastAsia="Arial" w:hAnsi="Arial"/>
          <w:sz w:val="14"/>
          <w:szCs w:val="14"/>
          <w:i w:val="1"/>
          <w:iCs w:val="1"/>
          <w:color w:val="auto"/>
        </w:rPr>
        <w:t>Seasonality and Volatility</w:t>
      </w:r>
      <w:r>
        <w:rPr>
          <w:rFonts w:ascii="Arial" w:cs="Arial" w:eastAsia="Arial" w:hAnsi="Arial"/>
          <w:sz w:val="14"/>
          <w:szCs w:val="14"/>
          <w:color w:val="auto"/>
        </w:rPr>
        <w:t>. The airline industry is affected by economic cycles and trends, where</w:t>
      </w:r>
      <w:r>
        <w:rPr>
          <w:rFonts w:ascii="Arial" w:cs="Arial" w:eastAsia="Arial" w:hAnsi="Arial"/>
          <w:sz w:val="14"/>
          <w:szCs w:val="14"/>
          <w:i w:val="1"/>
          <w:iCs w:val="1"/>
          <w:color w:val="auto"/>
        </w:rPr>
        <w:t xml:space="preserve"> </w:t>
      </w:r>
      <w:r>
        <w:rPr>
          <w:rFonts w:ascii="Arial" w:cs="Arial" w:eastAsia="Arial" w:hAnsi="Arial"/>
          <w:sz w:val="14"/>
          <w:szCs w:val="14"/>
          <w:color w:val="auto"/>
        </w:rPr>
        <w:t>unfavorable economic conditions have historically reduced airline travel spending. For most VFR travel, and cost-conscious leisure travelers, travel is a discretionary expense, and although we believe low-cost airlines are best suited to attract travelers during periods of unfavorable economic conditions as a result of such carriers’ low base fares, travelers have often elected to replace air travel at such times with car travel or other forms of ground transportation or have opted not to travel at all.</w:t>
      </w:r>
    </w:p>
    <w:p>
      <w:pPr>
        <w:spacing w:after="0" w:line="82" w:lineRule="exact"/>
        <w:rPr>
          <w:sz w:val="20"/>
          <w:szCs w:val="20"/>
          <w:color w:val="auto"/>
        </w:rPr>
      </w:pPr>
    </w:p>
    <w:p>
      <w:pPr>
        <w:ind w:left="1160" w:right="1199" w:firstLine="293"/>
        <w:spacing w:after="0" w:line="289" w:lineRule="auto"/>
        <w:rPr>
          <w:sz w:val="20"/>
          <w:szCs w:val="20"/>
          <w:color w:val="auto"/>
        </w:rPr>
      </w:pPr>
      <w:r>
        <w:rPr>
          <w:rFonts w:ascii="Arial" w:cs="Arial" w:eastAsia="Arial" w:hAnsi="Arial"/>
          <w:sz w:val="13"/>
          <w:szCs w:val="13"/>
          <w:color w:val="auto"/>
        </w:rPr>
        <w:t>Our operations are highly seasonal as we manage our route network and aircraft fleet to match demand. As a result, our results of operations for any interim period are not necessarily indicative of those for the entire year. We generally expect demand to be greater in the winter season due to our customers’ propensity to travel to warm leisure destinations from MSP, and in the summer season due to increased demand for VFR and leisure travel. We continually work to meet the needs of both VFR and leisure travelers. Accordingly, our network of destinations includes those popular year-round, as well as those that are highly seasonal, and we adapt our flight schedule according to expected patterns of demand throughout the year. Understanding the purpose of our customers’ travel and our ability to adjust capacity accordingly helps us optimize destinations, strengthen our network and increase unit revenues. We will look to incorporate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67" w:lineRule="auto"/>
        <w:rPr>
          <w:sz w:val="20"/>
          <w:szCs w:val="20"/>
          <w:color w:val="auto"/>
        </w:rPr>
      </w:pPr>
      <w:r>
        <w:rPr>
          <w:rFonts w:ascii="Arial" w:cs="Arial" w:eastAsia="Arial" w:hAnsi="Arial"/>
          <w:sz w:val="14"/>
          <w:szCs w:val="14"/>
          <w:color w:val="auto"/>
        </w:rPr>
        <w:t>new destinations with seasonality that complements our current mix of customers and destinations to mitigate the overall impact of seasonality on our business. Part of our network strategy includes expanding our presence outside of MSP to leverage seasonal demand peaks where other airlines are unable to effectively respond to the needs of the market. For example, we expect to continue to target cold-to-warm leisure markets in the upper Midwest, where we believe we have a competitive advantage due to our cold weather operational expertise and strong brand recognition, as well as other large, fragmented markets. Furthermore, our charter operations complement our network strategy by maintaining aircraft and crew utilization in periods when scheduled service would be less profitable.</w:t>
      </w:r>
    </w:p>
    <w:p>
      <w:pPr>
        <w:spacing w:after="0" w:line="83"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Due to normal seasonality, our first quarter of each fiscal year typically outperforms relative to our second quarter: during normal industry conditions our average fares and ASMs are typically lower in the second quarter than the first quarter and CASM and Adjusted CASM are typically higher in the second quarter than the first quarter. Although we believe industry conditions during the remainder of 2021 should slowly return to more normalized conditions than the past several quarters, we expect the second quarter of 2021 to reflect the ongoing trend towards our normal seasonality, with lower average fares and higher CASM and Adjusted CASM than in the first quarter, despite the continuing overall capacity growth quarter-over-quarter.</w:t>
      </w:r>
    </w:p>
    <w:p>
      <w:pPr>
        <w:spacing w:after="0" w:line="10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i w:val="1"/>
          <w:iCs w:val="1"/>
          <w:color w:val="auto"/>
        </w:rPr>
        <w:t>Labor</w:t>
      </w:r>
      <w:r>
        <w:rPr>
          <w:rFonts w:ascii="Arial" w:cs="Arial" w:eastAsia="Arial" w:hAnsi="Arial"/>
          <w:sz w:val="14"/>
          <w:szCs w:val="14"/>
          <w:color w:val="auto"/>
        </w:rPr>
        <w:t>. The airline industry is heavily unionized and our business is labor intensive. The wages,</w:t>
      </w:r>
      <w:r>
        <w:rPr>
          <w:rFonts w:ascii="Arial" w:cs="Arial" w:eastAsia="Arial" w:hAnsi="Arial"/>
          <w:sz w:val="14"/>
          <w:szCs w:val="14"/>
          <w:i w:val="1"/>
          <w:iCs w:val="1"/>
          <w:color w:val="auto"/>
        </w:rPr>
        <w:t xml:space="preserve"> </w:t>
      </w:r>
      <w:r>
        <w:rPr>
          <w:rFonts w:ascii="Arial" w:cs="Arial" w:eastAsia="Arial" w:hAnsi="Arial"/>
          <w:sz w:val="14"/>
          <w:szCs w:val="14"/>
          <w:color w:val="auto"/>
        </w:rPr>
        <w:t>benefits and work rules of unionized airline industry employees are determined by CBAs. 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This process continues until either the parties have reached agreement on a new CBA or the parties have been released to “self-help” by the NMB. In most circumstances the RLA prohibits strikes, however, after the release by the NMB, carriers and unions are free to engage in self-help measures such as lockouts and strikes.</w:t>
      </w:r>
    </w:p>
    <w:p>
      <w:pPr>
        <w:spacing w:after="0" w:line="97" w:lineRule="exact"/>
        <w:rPr>
          <w:sz w:val="20"/>
          <w:szCs w:val="20"/>
          <w:color w:val="auto"/>
        </w:rPr>
      </w:pPr>
    </w:p>
    <w:p>
      <w:pPr>
        <w:ind w:left="1160" w:right="1219" w:firstLine="293"/>
        <w:spacing w:after="0" w:line="286" w:lineRule="auto"/>
        <w:rPr>
          <w:sz w:val="20"/>
          <w:szCs w:val="20"/>
          <w:color w:val="auto"/>
        </w:rPr>
      </w:pPr>
      <w:r>
        <w:rPr>
          <w:rFonts w:ascii="Arial" w:cs="Arial" w:eastAsia="Arial" w:hAnsi="Arial"/>
          <w:sz w:val="13"/>
          <w:szCs w:val="13"/>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2019. We restarted negotiations in October of 2021. By mutual consent, the negotiations were paused in</w:t>
      </w:r>
    </w:p>
    <w:p>
      <w:pPr>
        <w:spacing w:after="0" w:line="1" w:lineRule="exact"/>
        <w:rPr>
          <w:sz w:val="20"/>
          <w:szCs w:val="20"/>
          <w:color w:val="auto"/>
        </w:rPr>
      </w:pPr>
    </w:p>
    <w:p>
      <w:pPr>
        <w:ind w:left="1160" w:right="1199"/>
        <w:spacing w:after="0" w:line="264" w:lineRule="auto"/>
        <w:rPr>
          <w:sz w:val="20"/>
          <w:szCs w:val="20"/>
          <w:color w:val="auto"/>
        </w:rPr>
      </w:pPr>
      <w:r>
        <w:rPr>
          <w:rFonts w:ascii="Arial" w:cs="Arial" w:eastAsia="Arial" w:hAnsi="Arial"/>
          <w:sz w:val="14"/>
          <w:szCs w:val="14"/>
          <w:color w:val="auto"/>
        </w:rPr>
        <w:t>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The pilots have since served notice to the Company and we have begun negotiations with our pilots; however, the contract remains in status quo until there is a newly ratified contract. If we are unable to reach an agreement with the respective unions in current or future negotiations regarding the terms of their CBAs, we may be subject to operational slowdowns or stoppages, which is likely to adversely affect our ability to conduct business. Any agreement we do reach could increase our labor and related expenses.</w:t>
      </w:r>
    </w:p>
    <w:p>
      <w:pPr>
        <w:spacing w:after="0" w:line="87" w:lineRule="exact"/>
        <w:rPr>
          <w:sz w:val="20"/>
          <w:szCs w:val="20"/>
          <w:color w:val="auto"/>
        </w:rPr>
      </w:pPr>
    </w:p>
    <w:p>
      <w:pPr>
        <w:ind w:left="1160" w:right="1339" w:firstLine="293"/>
        <w:spacing w:after="0" w:line="302" w:lineRule="auto"/>
        <w:rPr>
          <w:sz w:val="20"/>
          <w:szCs w:val="20"/>
          <w:color w:val="auto"/>
        </w:rPr>
      </w:pPr>
      <w:r>
        <w:rPr>
          <w:rFonts w:ascii="Arial" w:cs="Arial" w:eastAsia="Arial" w:hAnsi="Arial"/>
          <w:sz w:val="13"/>
          <w:szCs w:val="13"/>
          <w:i w:val="1"/>
          <w:iCs w:val="1"/>
          <w:color w:val="auto"/>
        </w:rPr>
        <w:t>Aircraft Maintenance</w:t>
      </w:r>
      <w:r>
        <w:rPr>
          <w:rFonts w:ascii="Arial" w:cs="Arial" w:eastAsia="Arial" w:hAnsi="Arial"/>
          <w:sz w:val="13"/>
          <w:szCs w:val="13"/>
          <w:color w:val="auto"/>
        </w:rPr>
        <w:t>. The amount of total maintenance costs and related depreciation of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expense is subject to variables such as estimated utilization rates, average stage length, the interval between significant maintenance events, the size, age and makeup of our fleet, maintenance holidays, government regulations and the level of unscheduled maintenance events and their actual costs.</w:t>
      </w:r>
    </w:p>
    <w:p>
      <w:pPr>
        <w:spacing w:after="0" w:line="72"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Maintenance expense has increased mainly as a result of a growing fleet, a trend that we expect to continue for the next several years as we take delivery of additional aircraft.</w:t>
      </w:r>
    </w:p>
    <w:p>
      <w:pPr>
        <w:spacing w:after="0" w:line="93" w:lineRule="exact"/>
        <w:rPr>
          <w:sz w:val="20"/>
          <w:szCs w:val="20"/>
          <w:color w:val="auto"/>
        </w:rPr>
      </w:pPr>
    </w:p>
    <w:p>
      <w:pPr>
        <w:ind w:left="1160" w:right="1419" w:firstLine="293"/>
        <w:spacing w:after="0" w:line="247" w:lineRule="auto"/>
        <w:rPr>
          <w:sz w:val="20"/>
          <w:szCs w:val="20"/>
          <w:color w:val="auto"/>
        </w:rPr>
      </w:pPr>
      <w:r>
        <w:rPr>
          <w:rFonts w:ascii="Arial" w:cs="Arial" w:eastAsia="Arial" w:hAnsi="Arial"/>
          <w:sz w:val="15"/>
          <w:szCs w:val="15"/>
          <w:color w:val="auto"/>
        </w:rPr>
        <w:t>The terms of our aircraft lease agreements generally provide that we pay maintenance reserves, also known as supplemental rent, monthly to our lessors to be held as collateral in advance of significant maintenance activities required to be performed by us, resulting in our recording significant lessor maintenance deposits on our consolidated balance sheet. Some portions of the maintenance reserve payments are fixed contractual amounts, while others are based on a utilization measure, such as actual flight hours or cycles, and vary by agreement. As a result, for leases requiring maintenance reserves, the cash costs of scheduled significant maintenance events are paid in advance of the recognition of the maintenance expense</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264" w:lineRule="auto"/>
        <w:rPr>
          <w:sz w:val="20"/>
          <w:szCs w:val="20"/>
          <w:color w:val="auto"/>
        </w:rPr>
      </w:pPr>
      <w:r>
        <w:rPr>
          <w:rFonts w:ascii="Arial" w:cs="Arial" w:eastAsia="Arial" w:hAnsi="Arial"/>
          <w:sz w:val="15"/>
          <w:szCs w:val="15"/>
          <w:color w:val="auto"/>
        </w:rPr>
        <w:t>in our results of operations. For more information, refer to “</w:t>
      </w:r>
      <w:r>
        <w:rPr>
          <w:rFonts w:ascii="Arial" w:cs="Arial" w:eastAsia="Arial" w:hAnsi="Arial"/>
          <w:sz w:val="15"/>
          <w:szCs w:val="15"/>
          <w:i w:val="1"/>
          <w:iCs w:val="1"/>
          <w:color w:val="auto"/>
        </w:rPr>
        <w:t>Critical Accounting Policies and Estimates—</w:t>
      </w:r>
      <w:r>
        <w:rPr>
          <w:rFonts w:ascii="Arial" w:cs="Arial" w:eastAsia="Arial" w:hAnsi="Arial"/>
          <w:sz w:val="15"/>
          <w:szCs w:val="15"/>
          <w:color w:val="auto"/>
        </w:rPr>
        <w:t xml:space="preserve"> </w:t>
      </w:r>
      <w:r>
        <w:rPr>
          <w:rFonts w:ascii="Arial" w:cs="Arial" w:eastAsia="Arial" w:hAnsi="Arial"/>
          <w:sz w:val="15"/>
          <w:szCs w:val="15"/>
          <w:i w:val="1"/>
          <w:iCs w:val="1"/>
          <w:color w:val="auto"/>
        </w:rPr>
        <w:t>Aircraft Maintenance</w:t>
      </w:r>
      <w:r>
        <w:rPr>
          <w:rFonts w:ascii="Arial" w:cs="Arial" w:eastAsia="Arial" w:hAnsi="Arial"/>
          <w:sz w:val="15"/>
          <w:szCs w:val="15"/>
          <w:color w:val="auto"/>
        </w:rPr>
        <w: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Components of Operations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Operating Revenues</w:t>
      </w:r>
    </w:p>
    <w:p>
      <w:pPr>
        <w:spacing w:after="0" w:line="113"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i w:val="1"/>
          <w:iCs w:val="1"/>
          <w:color w:val="auto"/>
        </w:rPr>
        <w:t>Scheduled service</w:t>
      </w:r>
      <w:r>
        <w:rPr>
          <w:rFonts w:ascii="Arial" w:cs="Arial" w:eastAsia="Arial" w:hAnsi="Arial"/>
          <w:sz w:val="15"/>
          <w:szCs w:val="15"/>
          <w:color w:val="auto"/>
        </w:rPr>
        <w:t>. Scheduled service revenue consists of base fares, unused and expired passenger</w:t>
      </w:r>
      <w:r>
        <w:rPr>
          <w:rFonts w:ascii="Arial" w:cs="Arial" w:eastAsia="Arial" w:hAnsi="Arial"/>
          <w:sz w:val="15"/>
          <w:szCs w:val="15"/>
          <w:i w:val="1"/>
          <w:iCs w:val="1"/>
          <w:color w:val="auto"/>
        </w:rPr>
        <w:t xml:space="preserve"> </w:t>
      </w:r>
      <w:r>
        <w:rPr>
          <w:rFonts w:ascii="Arial" w:cs="Arial" w:eastAsia="Arial" w:hAnsi="Arial"/>
          <w:sz w:val="15"/>
          <w:szCs w:val="15"/>
          <w:color w:val="auto"/>
        </w:rPr>
        <w:t>travel credits and expired travel credits.</w:t>
      </w:r>
    </w:p>
    <w:p>
      <w:pPr>
        <w:spacing w:after="0" w:line="93" w:lineRule="exact"/>
        <w:rPr>
          <w:sz w:val="20"/>
          <w:szCs w:val="20"/>
          <w:color w:val="auto"/>
        </w:rPr>
      </w:pPr>
    </w:p>
    <w:p>
      <w:pPr>
        <w:jc w:val="both"/>
        <w:ind w:left="1160" w:right="1519" w:firstLine="293"/>
        <w:spacing w:after="0" w:line="254" w:lineRule="auto"/>
        <w:rPr>
          <w:sz w:val="20"/>
          <w:szCs w:val="20"/>
          <w:color w:val="auto"/>
        </w:rPr>
      </w:pPr>
      <w:r>
        <w:rPr>
          <w:rFonts w:ascii="Arial" w:cs="Arial" w:eastAsia="Arial" w:hAnsi="Arial"/>
          <w:sz w:val="15"/>
          <w:szCs w:val="15"/>
          <w:i w:val="1"/>
          <w:iCs w:val="1"/>
          <w:color w:val="auto"/>
        </w:rPr>
        <w:t>Charter service</w:t>
      </w:r>
      <w:r>
        <w:rPr>
          <w:rFonts w:ascii="Arial" w:cs="Arial" w:eastAsia="Arial" w:hAnsi="Arial"/>
          <w:sz w:val="15"/>
          <w:szCs w:val="15"/>
          <w:color w:val="auto"/>
        </w:rPr>
        <w:t>. Charter service revenue consists of revenue earned from our charter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generated through our service to the U.S. Department of Defense, collegiate and professional sports teams and casinos.</w:t>
      </w:r>
    </w:p>
    <w:p>
      <w:pPr>
        <w:spacing w:after="0" w:line="101" w:lineRule="exact"/>
        <w:rPr>
          <w:sz w:val="20"/>
          <w:szCs w:val="20"/>
          <w:color w:val="auto"/>
        </w:rPr>
      </w:pPr>
    </w:p>
    <w:p>
      <w:pPr>
        <w:ind w:left="1160" w:right="1459" w:firstLine="293"/>
        <w:spacing w:after="0" w:line="254" w:lineRule="auto"/>
        <w:rPr>
          <w:sz w:val="20"/>
          <w:szCs w:val="20"/>
          <w:color w:val="auto"/>
        </w:rPr>
      </w:pPr>
      <w:r>
        <w:rPr>
          <w:rFonts w:ascii="Arial" w:cs="Arial" w:eastAsia="Arial" w:hAnsi="Arial"/>
          <w:sz w:val="15"/>
          <w:szCs w:val="15"/>
          <w:i w:val="1"/>
          <w:iCs w:val="1"/>
          <w:color w:val="auto"/>
        </w:rPr>
        <w:t>Ancillary</w:t>
      </w:r>
      <w:r>
        <w:rPr>
          <w:rFonts w:ascii="Arial" w:cs="Arial" w:eastAsia="Arial" w:hAnsi="Arial"/>
          <w:sz w:val="15"/>
          <w:szCs w:val="15"/>
          <w:color w:val="auto"/>
        </w:rPr>
        <w:t>. Ancillary revenue consists of revenue generated from air travel-related services such as</w:t>
      </w:r>
      <w:r>
        <w:rPr>
          <w:rFonts w:ascii="Arial" w:cs="Arial" w:eastAsia="Arial" w:hAnsi="Arial"/>
          <w:sz w:val="15"/>
          <w:szCs w:val="15"/>
          <w:i w:val="1"/>
          <w:iCs w:val="1"/>
          <w:color w:val="auto"/>
        </w:rPr>
        <w:t xml:space="preserve"> </w:t>
      </w:r>
      <w:r>
        <w:rPr>
          <w:rFonts w:ascii="Arial" w:cs="Arial" w:eastAsia="Arial" w:hAnsi="Arial"/>
          <w:sz w:val="15"/>
          <w:szCs w:val="15"/>
          <w:color w:val="auto"/>
        </w:rPr>
        <w:t>baggage fees, seat selection and upgrade fees, itinerary service fees, on-board sales and sales of trip insurance.</w:t>
      </w:r>
    </w:p>
    <w:p>
      <w:pPr>
        <w:spacing w:after="0" w:line="90"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i w:val="1"/>
          <w:iCs w:val="1"/>
          <w:color w:val="auto"/>
        </w:rPr>
        <w:t>Cargo</w:t>
      </w:r>
      <w:r>
        <w:rPr>
          <w:rFonts w:ascii="Arial" w:cs="Arial" w:eastAsia="Arial" w:hAnsi="Arial"/>
          <w:sz w:val="15"/>
          <w:szCs w:val="15"/>
          <w:color w:val="auto"/>
        </w:rPr>
        <w:t>. Cargo revenue consists of air cargo transportation services under the ATSA primarily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to e-commerce delivery services.</w:t>
      </w:r>
    </w:p>
    <w:p>
      <w:pPr>
        <w:spacing w:after="0" w:line="93"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4"/>
          <w:szCs w:val="14"/>
          <w:i w:val="1"/>
          <w:iCs w:val="1"/>
          <w:color w:val="auto"/>
        </w:rPr>
        <w:t>Other</w:t>
      </w:r>
      <w:r>
        <w:rPr>
          <w:rFonts w:ascii="Arial" w:cs="Arial" w:eastAsia="Arial" w:hAnsi="Arial"/>
          <w:sz w:val="14"/>
          <w:szCs w:val="14"/>
          <w:color w:val="auto"/>
        </w:rPr>
        <w:t>. Other revenue consists primarily of revenue from services in connection with our Sun Country</w:t>
      </w:r>
      <w:r>
        <w:rPr>
          <w:rFonts w:ascii="Arial" w:cs="Arial" w:eastAsia="Arial" w:hAnsi="Arial"/>
          <w:sz w:val="14"/>
          <w:szCs w:val="14"/>
          <w:i w:val="1"/>
          <w:iCs w:val="1"/>
          <w:color w:val="auto"/>
        </w:rPr>
        <w:t xml:space="preserve"> </w:t>
      </w:r>
      <w:r>
        <w:rPr>
          <w:rFonts w:ascii="Arial" w:cs="Arial" w:eastAsia="Arial" w:hAnsi="Arial"/>
          <w:sz w:val="14"/>
          <w:szCs w:val="14"/>
          <w:color w:val="auto"/>
        </w:rPr>
        <w:t>Vacations products, including organizing 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24"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includes jet fuel, federal and state taxes, other fees and the mark-to-market gains and losses associated with 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94"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i w:val="1"/>
          <w:iCs w:val="1"/>
          <w:color w:val="auto"/>
        </w:rPr>
        <w:t>Salaries, Wages, and Benefits</w:t>
      </w:r>
      <w:r>
        <w:rPr>
          <w:rFonts w:ascii="Arial" w:cs="Arial" w:eastAsia="Arial" w:hAnsi="Arial"/>
          <w:sz w:val="15"/>
          <w:szCs w:val="15"/>
          <w:color w:val="auto"/>
        </w:rPr>
        <w:t>. Salaries, wages, and benefits expense includes salaries, hourly wages,</w:t>
      </w:r>
      <w:r>
        <w:rPr>
          <w:rFonts w:ascii="Arial" w:cs="Arial" w:eastAsia="Arial" w:hAnsi="Arial"/>
          <w:sz w:val="15"/>
          <w:szCs w:val="15"/>
          <w:i w:val="1"/>
          <w:iCs w:val="1"/>
          <w:color w:val="auto"/>
        </w:rPr>
        <w:t xml:space="preserve"> </w:t>
      </w:r>
      <w:r>
        <w:rPr>
          <w:rFonts w:ascii="Arial" w:cs="Arial" w:eastAsia="Arial" w:hAnsi="Arial"/>
          <w:sz w:val="15"/>
          <w:szCs w:val="15"/>
          <w:color w:val="auto"/>
        </w:rPr>
        <w:t>bonuses, equity-based compensation and profit sharing paid to employees for their services, as well as related expenses associated with medical benefits, employee benefit plans, employer payroll taxes and other employee related costs.</w:t>
      </w:r>
    </w:p>
    <w:p>
      <w:pPr>
        <w:spacing w:after="0" w:line="102"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i w:val="1"/>
          <w:iCs w:val="1"/>
          <w:color w:val="auto"/>
        </w:rPr>
        <w:t>Aircraft Rent</w:t>
      </w:r>
      <w:r>
        <w:rPr>
          <w:rFonts w:ascii="Arial" w:cs="Arial" w:eastAsia="Arial" w:hAnsi="Arial"/>
          <w:sz w:val="14"/>
          <w:szCs w:val="14"/>
          <w:color w:val="auto"/>
        </w:rPr>
        <w:t>. Aircraft rent expense consists of monthly lease charges for aircraft and spare engines</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the terms of the related operating 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which were established as part of the acquisition. See Note 2 to our audited consolidated financial statements included elsewhere in this prospectus for further information on the over-market liabilities.</w:t>
      </w:r>
    </w:p>
    <w:p>
      <w:pPr>
        <w:spacing w:after="0" w:line="99"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i w:val="1"/>
          <w:iCs w:val="1"/>
          <w:color w:val="auto"/>
        </w:rPr>
        <w:t>Maintenance</w:t>
      </w:r>
      <w:r>
        <w:rPr>
          <w:rFonts w:ascii="Arial" w:cs="Arial" w:eastAsia="Arial" w:hAnsi="Arial"/>
          <w:sz w:val="14"/>
          <w:szCs w:val="14"/>
          <w:color w:val="auto"/>
        </w:rPr>
        <w:t>. Maintenance expense includes the cost of all parts, materials and fees for repairs</w:t>
      </w:r>
      <w:r>
        <w:rPr>
          <w:rFonts w:ascii="Arial" w:cs="Arial" w:eastAsia="Arial" w:hAnsi="Arial"/>
          <w:sz w:val="14"/>
          <w:szCs w:val="14"/>
          <w:i w:val="1"/>
          <w:iCs w:val="1"/>
          <w:color w:val="auto"/>
        </w:rPr>
        <w:t xml:space="preserve"> </w:t>
      </w:r>
      <w:r>
        <w:rPr>
          <w:rFonts w:ascii="Arial" w:cs="Arial" w:eastAsia="Arial" w:hAnsi="Arial"/>
          <w:sz w:val="14"/>
          <w:szCs w:val="14"/>
          <w:color w:val="auto"/>
        </w:rPr>
        <w:t>performed by us and our third-party vendors to 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Successor but paid for by the Predecessor, established as part of our acquisition by the Apollo Funds for</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59"/>
        <w:spacing w:after="0" w:line="264" w:lineRule="auto"/>
        <w:rPr>
          <w:sz w:val="20"/>
          <w:szCs w:val="20"/>
          <w:color w:val="auto"/>
        </w:rPr>
      </w:pPr>
      <w:r>
        <w:rPr>
          <w:rFonts w:ascii="Arial" w:cs="Arial" w:eastAsia="Arial" w:hAnsi="Arial"/>
          <w:sz w:val="15"/>
          <w:szCs w:val="15"/>
          <w:color w:val="auto"/>
        </w:rPr>
        <w:t xml:space="preserve">aircraft in our fleet as of the date of the acquisition. For more information on these accounting methods, refer to “— </w:t>
      </w:r>
      <w:r>
        <w:rPr>
          <w:rFonts w:ascii="Arial" w:cs="Arial" w:eastAsia="Arial" w:hAnsi="Arial"/>
          <w:sz w:val="15"/>
          <w:szCs w:val="15"/>
          <w:i w:val="1"/>
          <w:iCs w:val="1"/>
          <w:color w:val="auto"/>
        </w:rPr>
        <w:t>Critical Accounting Policies and Estimates—Aircraft Maintenance</w:t>
      </w:r>
      <w:r>
        <w:rPr>
          <w:rFonts w:ascii="Arial" w:cs="Arial" w:eastAsia="Arial" w:hAnsi="Arial"/>
          <w:sz w:val="15"/>
          <w:szCs w:val="15"/>
          <w:color w:val="auto"/>
        </w:rPr>
        <w:t>.”</w:t>
      </w:r>
    </w:p>
    <w:p>
      <w:pPr>
        <w:spacing w:after="0" w:line="82"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i w:val="1"/>
          <w:iCs w:val="1"/>
          <w:color w:val="auto"/>
        </w:rPr>
        <w:t>Sales and Marketing</w:t>
      </w:r>
      <w:r>
        <w:rPr>
          <w:rFonts w:ascii="Arial" w:cs="Arial" w:eastAsia="Arial" w:hAnsi="Arial"/>
          <w:sz w:val="14"/>
          <w:szCs w:val="14"/>
          <w:color w:val="auto"/>
        </w:rPr>
        <w:t>. Sales and marketing expense includes credit card processing fees, travel agent</w:t>
      </w:r>
      <w:r>
        <w:rPr>
          <w:rFonts w:ascii="Arial" w:cs="Arial" w:eastAsia="Arial" w:hAnsi="Arial"/>
          <w:sz w:val="14"/>
          <w:szCs w:val="14"/>
          <w:i w:val="1"/>
          <w:iCs w:val="1"/>
          <w:color w:val="auto"/>
        </w:rPr>
        <w:t xml:space="preserve"> </w:t>
      </w:r>
      <w:r>
        <w:rPr>
          <w:rFonts w:ascii="Arial" w:cs="Arial" w:eastAsia="Arial" w:hAnsi="Arial"/>
          <w:sz w:val="14"/>
          <w:szCs w:val="14"/>
          <w:color w:val="auto"/>
        </w:rPr>
        <w:t>commissions and related global distribution systems fees, advertising, sponsorship and distribution costs, such as the costs of our call centers, and costs associated with our frequent flier program. It excludes related salary and wages of personnel, which are included in salaries, wages and benefits expense.</w:t>
      </w:r>
    </w:p>
    <w:p>
      <w:pPr>
        <w:spacing w:after="0" w:line="89"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i w:val="1"/>
          <w:iCs w:val="1"/>
          <w:color w:val="auto"/>
        </w:rPr>
        <w:t>Depreciation and Amortization</w:t>
      </w:r>
      <w:r>
        <w:rPr>
          <w:rFonts w:ascii="Arial" w:cs="Arial" w:eastAsia="Arial" w:hAnsi="Arial"/>
          <w:sz w:val="15"/>
          <w:szCs w:val="15"/>
          <w:color w:val="auto"/>
        </w:rPr>
        <w:t>. Depreciation and amortization expense includes depreciation of fixed</w:t>
      </w:r>
      <w:r>
        <w:rPr>
          <w:rFonts w:ascii="Arial" w:cs="Arial" w:eastAsia="Arial" w:hAnsi="Arial"/>
          <w:sz w:val="15"/>
          <w:szCs w:val="15"/>
          <w:i w:val="1"/>
          <w:iCs w:val="1"/>
          <w:color w:val="auto"/>
        </w:rPr>
        <w:t xml:space="preserve"> </w:t>
      </w:r>
      <w:r>
        <w:rPr>
          <w:rFonts w:ascii="Arial" w:cs="Arial" w:eastAsia="Arial" w:hAnsi="Arial"/>
          <w:sz w:val="15"/>
          <w:szCs w:val="15"/>
          <w:color w:val="auto"/>
        </w:rPr>
        <w:t>assets we own and leasehold improvements, amortization of finance leased assets, as well as the amortization of finite-lived intangible assets. It also includes the depreciation of significant maintenance expenses we deferred under the built-in overhaul method for owned aircraft.</w:t>
      </w:r>
    </w:p>
    <w:p>
      <w:pPr>
        <w:spacing w:after="0" w:line="102" w:lineRule="exact"/>
        <w:rPr>
          <w:sz w:val="20"/>
          <w:szCs w:val="20"/>
          <w:color w:val="auto"/>
        </w:rPr>
      </w:pPr>
    </w:p>
    <w:p>
      <w:pPr>
        <w:ind w:left="1160" w:right="1499" w:firstLine="293"/>
        <w:spacing w:after="0" w:line="264" w:lineRule="auto"/>
        <w:rPr>
          <w:sz w:val="20"/>
          <w:szCs w:val="20"/>
          <w:color w:val="auto"/>
        </w:rPr>
      </w:pPr>
      <w:r>
        <w:rPr>
          <w:rFonts w:ascii="Arial" w:cs="Arial" w:eastAsia="Arial" w:hAnsi="Arial"/>
          <w:sz w:val="15"/>
          <w:szCs w:val="15"/>
          <w:i w:val="1"/>
          <w:iCs w:val="1"/>
          <w:color w:val="auto"/>
        </w:rPr>
        <w:t xml:space="preserve">Ground Handling. </w:t>
      </w:r>
      <w:r>
        <w:rPr>
          <w:rFonts w:ascii="Arial" w:cs="Arial" w:eastAsia="Arial" w:hAnsi="Arial"/>
          <w:sz w:val="15"/>
          <w:szCs w:val="15"/>
          <w:color w:val="auto"/>
        </w:rPr>
        <w:t>Ground handling includes ground activities including baggage handling, ticket</w:t>
      </w:r>
      <w:r>
        <w:rPr>
          <w:rFonts w:ascii="Arial" w:cs="Arial" w:eastAsia="Arial" w:hAnsi="Arial"/>
          <w:sz w:val="15"/>
          <w:szCs w:val="15"/>
          <w:i w:val="1"/>
          <w:iCs w:val="1"/>
          <w:color w:val="auto"/>
        </w:rPr>
        <w:t xml:space="preserve"> </w:t>
      </w:r>
      <w:r>
        <w:rPr>
          <w:rFonts w:ascii="Arial" w:cs="Arial" w:eastAsia="Arial" w:hAnsi="Arial"/>
          <w:sz w:val="15"/>
          <w:szCs w:val="15"/>
          <w:color w:val="auto"/>
        </w:rPr>
        <w:t>counter and other ground services.</w:t>
      </w:r>
    </w:p>
    <w:p>
      <w:pPr>
        <w:spacing w:after="0" w:line="82"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i w:val="1"/>
          <w:iCs w:val="1"/>
          <w:color w:val="auto"/>
        </w:rPr>
        <w:t xml:space="preserve">Landing Fees and Airport Rent. </w:t>
      </w:r>
      <w:r>
        <w:rPr>
          <w:rFonts w:ascii="Arial" w:cs="Arial" w:eastAsia="Arial" w:hAnsi="Arial"/>
          <w:sz w:val="15"/>
          <w:szCs w:val="15"/>
          <w:color w:val="auto"/>
        </w:rPr>
        <w:t>Landing fees and airport rent includes aircraft landing fees and</w:t>
      </w:r>
      <w:r>
        <w:rPr>
          <w:rFonts w:ascii="Arial" w:cs="Arial" w:eastAsia="Arial" w:hAnsi="Arial"/>
          <w:sz w:val="15"/>
          <w:szCs w:val="15"/>
          <w:i w:val="1"/>
          <w:iCs w:val="1"/>
          <w:color w:val="auto"/>
        </w:rPr>
        <w:t xml:space="preserve"> </w:t>
      </w:r>
      <w:r>
        <w:rPr>
          <w:rFonts w:ascii="Arial" w:cs="Arial" w:eastAsia="Arial" w:hAnsi="Arial"/>
          <w:sz w:val="15"/>
          <w:szCs w:val="15"/>
          <w:color w:val="auto"/>
        </w:rPr>
        <w:t>charges for the use of airport facilities.</w:t>
      </w:r>
    </w:p>
    <w:p>
      <w:pPr>
        <w:spacing w:after="0" w:line="93" w:lineRule="exact"/>
        <w:rPr>
          <w:sz w:val="20"/>
          <w:szCs w:val="20"/>
          <w:color w:val="auto"/>
        </w:rPr>
      </w:pPr>
    </w:p>
    <w:p>
      <w:pPr>
        <w:ind w:left="1160" w:right="1339" w:firstLine="293"/>
        <w:spacing w:after="0" w:line="254" w:lineRule="auto"/>
        <w:rPr>
          <w:sz w:val="20"/>
          <w:szCs w:val="20"/>
          <w:color w:val="auto"/>
        </w:rPr>
      </w:pPr>
      <w:r>
        <w:rPr>
          <w:rFonts w:ascii="Arial" w:cs="Arial" w:eastAsia="Arial" w:hAnsi="Arial"/>
          <w:sz w:val="15"/>
          <w:szCs w:val="15"/>
          <w:i w:val="1"/>
          <w:iCs w:val="1"/>
          <w:color w:val="auto"/>
        </w:rPr>
        <w:t xml:space="preserve">Special Items, net. </w:t>
      </w:r>
      <w:r>
        <w:rPr>
          <w:rFonts w:ascii="Arial" w:cs="Arial" w:eastAsia="Arial" w:hAnsi="Arial"/>
          <w:sz w:val="15"/>
          <w:szCs w:val="15"/>
          <w:color w:val="auto"/>
        </w:rPr>
        <w:t>Special items, net reflects expenses, or credits to expense, that are not</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 of our ongoing costs for the period presented and may vary from period to period in nature, frequency and amount.</w:t>
      </w:r>
    </w:p>
    <w:p>
      <w:pPr>
        <w:spacing w:after="0" w:line="101" w:lineRule="exact"/>
        <w:rPr>
          <w:sz w:val="20"/>
          <w:szCs w:val="20"/>
          <w:color w:val="auto"/>
        </w:rPr>
      </w:pPr>
    </w:p>
    <w:p>
      <w:pPr>
        <w:ind w:left="1160" w:right="1239" w:firstLine="293"/>
        <w:spacing w:after="0" w:line="281" w:lineRule="auto"/>
        <w:rPr>
          <w:sz w:val="20"/>
          <w:szCs w:val="20"/>
          <w:color w:val="auto"/>
        </w:rPr>
      </w:pPr>
      <w:r>
        <w:rPr>
          <w:rFonts w:ascii="Arial" w:cs="Arial" w:eastAsia="Arial" w:hAnsi="Arial"/>
          <w:sz w:val="14"/>
          <w:szCs w:val="14"/>
          <w:i w:val="1"/>
          <w:iCs w:val="1"/>
          <w:color w:val="auto"/>
        </w:rPr>
        <w:t xml:space="preserve">Other Operating. </w:t>
      </w:r>
      <w:r>
        <w:rPr>
          <w:rFonts w:ascii="Arial" w:cs="Arial" w:eastAsia="Arial" w:hAnsi="Arial"/>
          <w:sz w:val="14"/>
          <w:szCs w:val="14"/>
          <w:color w:val="auto"/>
        </w:rPr>
        <w:t>Other operating expenses include crew and other employee travel, interrupted trip</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information technology, property taxes and insurance, including hull-liability insurance, supplies, legal and other professional fees, facilities and all other administrative and operational overhead expenses.</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Non-operating Income (Expense)</w:t>
      </w:r>
    </w:p>
    <w:p>
      <w:pPr>
        <w:spacing w:after="0" w:line="113"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includes interest on our cash and equivalent and investment balances.</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income is generally immaterial to our results of operations, reflecting the current low interest rate environment and our unrestricted cash balances.</w:t>
      </w:r>
    </w:p>
    <w:p>
      <w:pPr>
        <w:spacing w:after="0" w:line="101"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includes interest related to our outstanding debt and our finance/</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leases, as well as the amortization of debt financing costs.</w:t>
      </w:r>
    </w:p>
    <w:p>
      <w:pPr>
        <w:spacing w:after="0" w:line="93" w:lineRule="exact"/>
        <w:rPr>
          <w:sz w:val="20"/>
          <w:szCs w:val="20"/>
          <w:color w:val="auto"/>
        </w:rPr>
      </w:pPr>
    </w:p>
    <w:p>
      <w:pPr>
        <w:ind w:left="1160" w:right="1179" w:firstLine="293"/>
        <w:spacing w:after="0" w:line="311" w:lineRule="auto"/>
        <w:rPr>
          <w:sz w:val="20"/>
          <w:szCs w:val="20"/>
          <w:color w:val="auto"/>
        </w:rPr>
      </w:pPr>
      <w:r>
        <w:rPr>
          <w:rFonts w:ascii="Arial" w:cs="Arial" w:eastAsia="Arial" w:hAnsi="Arial"/>
          <w:sz w:val="13"/>
          <w:szCs w:val="13"/>
          <w:i w:val="1"/>
          <w:iCs w:val="1"/>
          <w:color w:val="auto"/>
        </w:rPr>
        <w:t>Other, net</w:t>
      </w:r>
      <w:r>
        <w:rPr>
          <w:rFonts w:ascii="Arial" w:cs="Arial" w:eastAsia="Arial" w:hAnsi="Arial"/>
          <w:sz w:val="13"/>
          <w:szCs w:val="13"/>
          <w:color w:val="auto"/>
        </w:rPr>
        <w:t>. Other expenses include activities not classified in any other area of the consolidated</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of operations, such as gain or loss on sale or retirement of assets and certain consulting expenses. The change in the income tax receivable agreement liability is also included in other, net expense.</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Income Taxes</w:t>
      </w:r>
    </w:p>
    <w:p>
      <w:pPr>
        <w:spacing w:after="0" w:line="113" w:lineRule="exact"/>
        <w:rPr>
          <w:sz w:val="20"/>
          <w:szCs w:val="20"/>
          <w:color w:val="auto"/>
        </w:rPr>
      </w:pPr>
    </w:p>
    <w:p>
      <w:pPr>
        <w:ind w:left="1160" w:right="1379" w:firstLine="293"/>
        <w:spacing w:after="0" w:line="249" w:lineRule="auto"/>
        <w:rPr>
          <w:sz w:val="20"/>
          <w:szCs w:val="20"/>
          <w:color w:val="auto"/>
        </w:rPr>
      </w:pPr>
      <w:r>
        <w:rPr>
          <w:rFonts w:ascii="Arial" w:cs="Arial" w:eastAsia="Arial" w:hAnsi="Arial"/>
          <w:sz w:val="15"/>
          <w:szCs w:val="15"/>
          <w:color w:val="auto"/>
        </w:rPr>
        <w:t>During the Predecessor period, we were taxed as a limited liability company as our prior owners had elected to be treated as a partnership under the Internal Revenue Code of 1986, as amended (the “Code”), whereby our income or loss was reported by the partners on their individual tax returns. Therefore, no provision for income tax expense was included on the consolidated statements of operations during the Predecessor 2018 period.</w:t>
      </w:r>
    </w:p>
    <w:p>
      <w:pPr>
        <w:spacing w:after="0" w:line="105"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At the acquisition date, we elected to be treated as a corporation for income tax purposes. Therefore, within the Successor periods 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Results of Operations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six months ended June 30, 2021 and 2020</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6"/>
          </w:tcPr>
          <w:p>
            <w:pPr>
              <w:ind w:left="20"/>
              <w:spacing w:after="0"/>
              <w:rPr>
                <w:sz w:val="20"/>
                <w:szCs w:val="20"/>
                <w:color w:val="auto"/>
              </w:rPr>
            </w:pPr>
            <w:r>
              <w:rPr>
                <w:rFonts w:ascii="Arial" w:cs="Arial" w:eastAsia="Arial" w:hAnsi="Arial"/>
                <w:sz w:val="12"/>
                <w:szCs w:val="12"/>
                <w:b w:val="1"/>
                <w:bCs w:val="1"/>
                <w:color w:val="auto"/>
                <w:w w:val="95"/>
              </w:rPr>
              <w:t>Six Months Ended June30,</w:t>
            </w:r>
          </w:p>
        </w:tc>
        <w:tc>
          <w:tcPr>
            <w:tcW w:w="540" w:type="dxa"/>
            <w:vAlign w:val="bottom"/>
          </w:tcPr>
          <w:p>
            <w:pPr>
              <w:jc w:val="right"/>
              <w:ind w:right="18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380" w:type="dxa"/>
            <w:vAlign w:val="bottom"/>
          </w:tcPr>
          <w:p>
            <w:pPr>
              <w:jc w:val="right"/>
              <w:ind w:right="6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7"/>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7"/>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5"/>
              </w:rPr>
              <w:t>Change</w:t>
            </w:r>
          </w:p>
        </w:tc>
        <w:tc>
          <w:tcPr>
            <w:tcW w:w="560" w:type="dxa"/>
            <w:vAlign w:val="bottom"/>
            <w:gridSpan w:val="2"/>
          </w:tcPr>
          <w:p>
            <w:pPr>
              <w:jc w:val="right"/>
              <w:ind w:right="107"/>
              <w:spacing w:after="0"/>
              <w:rPr>
                <w:sz w:val="20"/>
                <w:szCs w:val="20"/>
                <w:color w:val="auto"/>
              </w:rPr>
            </w:pPr>
            <w:r>
              <w:rPr>
                <w:rFonts w:ascii="Arial" w:cs="Arial" w:eastAsia="Arial" w:hAnsi="Arial"/>
                <w:sz w:val="12"/>
                <w:szCs w:val="12"/>
                <w:b w:val="1"/>
                <w:bCs w:val="1"/>
                <w:color w:val="auto"/>
                <w:w w:val="81"/>
              </w:rPr>
              <w:t>Change</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0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060" w:type="dxa"/>
            <w:vAlign w:val="bottom"/>
            <w:gridSpan w:val="2"/>
          </w:tcPr>
          <w:p>
            <w:pPr>
              <w:spacing w:after="0"/>
              <w:rPr>
                <w:sz w:val="20"/>
                <w:szCs w:val="20"/>
                <w:color w:val="auto"/>
              </w:rPr>
            </w:pPr>
            <w:r>
              <w:rPr>
                <w:rFonts w:ascii="Arial" w:cs="Arial" w:eastAsia="Arial" w:hAnsi="Arial"/>
                <w:sz w:val="15"/>
                <w:szCs w:val="15"/>
                <w:color w:val="auto"/>
              </w:rPr>
              <w:t>Scheduled Service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121,693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132,110</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$(10,417)</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209"/>
        </w:trPr>
        <w:tc>
          <w:tcPr>
            <w:tcW w:w="4060" w:type="dxa"/>
            <w:vAlign w:val="bottom"/>
            <w:gridSpan w:val="2"/>
          </w:tcPr>
          <w:p>
            <w:pPr>
              <w:spacing w:after="0"/>
              <w:rPr>
                <w:sz w:val="20"/>
                <w:szCs w:val="20"/>
                <w:color w:val="auto"/>
              </w:rPr>
            </w:pPr>
            <w:r>
              <w:rPr>
                <w:rFonts w:ascii="Arial" w:cs="Arial" w:eastAsia="Arial" w:hAnsi="Arial"/>
                <w:sz w:val="15"/>
                <w:szCs w:val="15"/>
                <w:color w:val="auto"/>
              </w:rPr>
              <w:t>Charter Service</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54,703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37,718</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16,985</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45%</w:t>
            </w:r>
          </w:p>
        </w:tc>
      </w:tr>
      <w:tr>
        <w:trPr>
          <w:trHeight w:val="214"/>
        </w:trPr>
        <w:tc>
          <w:tcPr>
            <w:tcW w:w="4060" w:type="dxa"/>
            <w:vAlign w:val="bottom"/>
            <w:gridSpan w:val="2"/>
          </w:tcPr>
          <w:p>
            <w:pPr>
              <w:spacing w:after="0"/>
              <w:rPr>
                <w:sz w:val="20"/>
                <w:szCs w:val="20"/>
                <w:color w:val="auto"/>
              </w:rPr>
            </w:pPr>
            <w:r>
              <w:rPr>
                <w:rFonts w:ascii="Arial" w:cs="Arial" w:eastAsia="Arial" w:hAnsi="Arial"/>
                <w:sz w:val="15"/>
                <w:szCs w:val="15"/>
                <w:color w:val="auto"/>
              </w:rPr>
              <w:t>Ancillary</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52,929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39,999</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12,930</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32%</w:t>
            </w:r>
          </w:p>
        </w:tc>
      </w:tr>
      <w:tr>
        <w:trPr>
          <w:trHeight w:val="20"/>
        </w:trPr>
        <w:tc>
          <w:tcPr>
            <w:tcW w:w="40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Passenger</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229,325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209,827</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19,498</w:t>
            </w: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9%</w:t>
            </w:r>
          </w:p>
        </w:tc>
      </w:tr>
      <w:tr>
        <w:trPr>
          <w:trHeight w:val="209"/>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Cargo</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43,684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3,219</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40,465</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4"/>
              </w:rPr>
              <w:t>1,257%</w:t>
            </w:r>
          </w:p>
        </w:tc>
      </w:tr>
      <w:tr>
        <w:trPr>
          <w:trHeight w:val="214"/>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3,793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2,660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1,133</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43%</w:t>
            </w:r>
          </w:p>
        </w:tc>
      </w:tr>
      <w:tr>
        <w:trPr>
          <w:trHeight w:val="20"/>
        </w:trPr>
        <w:tc>
          <w:tcPr>
            <w:tcW w:w="3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4060" w:type="dxa"/>
            <w:vAlign w:val="bottom"/>
            <w:gridSpan w:val="2"/>
          </w:tcPr>
          <w:p>
            <w:pPr>
              <w:ind w:left="300"/>
              <w:spacing w:after="0"/>
              <w:rPr>
                <w:sz w:val="20"/>
                <w:szCs w:val="20"/>
                <w:color w:val="auto"/>
              </w:rPr>
            </w:pPr>
            <w:r>
              <w:rPr>
                <w:rFonts w:ascii="Arial" w:cs="Arial" w:eastAsia="Arial" w:hAnsi="Arial"/>
                <w:sz w:val="15"/>
                <w:szCs w:val="15"/>
                <w:color w:val="auto"/>
              </w:rPr>
              <w:t>Total Operating Revenue</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276,802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215,706</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61,096</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28%</w:t>
            </w:r>
          </w:p>
        </w:tc>
      </w:tr>
      <w:tr>
        <w:trPr>
          <w:trHeight w:val="205"/>
        </w:trPr>
        <w:tc>
          <w:tcPr>
            <w:tcW w:w="40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Aircraft Fuel</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53,984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56,238</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(2,254)</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w:t>
            </w:r>
          </w:p>
        </w:tc>
      </w:tr>
      <w:tr>
        <w:trPr>
          <w:trHeight w:val="209"/>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86,392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70,575</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15,817</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22%</w:t>
            </w:r>
          </w:p>
        </w:tc>
      </w:tr>
      <w:tr>
        <w:trPr>
          <w:trHeight w:val="209"/>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Aircraft Rent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9,414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16,966</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(7,552)</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(45)%</w:t>
            </w:r>
          </w:p>
        </w:tc>
      </w:tr>
      <w:tr>
        <w:trPr>
          <w:trHeight w:val="209"/>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Maintenance</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20,510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8,904</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11,606</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130%</w:t>
            </w:r>
          </w:p>
        </w:tc>
      </w:tr>
      <w:tr>
        <w:trPr>
          <w:trHeight w:val="209"/>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Sales and Marketing</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10,932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10,202</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730</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7%</w:t>
            </w:r>
          </w:p>
        </w:tc>
      </w:tr>
      <w:tr>
        <w:trPr>
          <w:trHeight w:val="209"/>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26,075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22,702</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3,373</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15%</w:t>
            </w:r>
          </w:p>
        </w:tc>
      </w:tr>
      <w:tr>
        <w:trPr>
          <w:trHeight w:val="209"/>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Ground Handling</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11,781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10,906</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875</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209"/>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Landing Fees and Airport Rent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17,537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13,781</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3,756</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27%</w:t>
            </w:r>
          </w:p>
        </w:tc>
      </w:tr>
      <w:tr>
        <w:trPr>
          <w:trHeight w:val="209"/>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w w:val="89"/>
              </w:rPr>
              <w:t>(65,392)</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w w:val="89"/>
              </w:rPr>
              <w:t>(31,481)</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(33,911)</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108%</w:t>
            </w:r>
          </w:p>
        </w:tc>
      </w:tr>
      <w:tr>
        <w:trPr>
          <w:trHeight w:val="214"/>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Operating,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31,397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23,917</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7,480</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31%</w:t>
            </w:r>
          </w:p>
        </w:tc>
      </w:tr>
      <w:tr>
        <w:trPr>
          <w:trHeight w:val="20"/>
        </w:trPr>
        <w:tc>
          <w:tcPr>
            <w:tcW w:w="3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3880" w:type="dxa"/>
            <w:vAlign w:val="bottom"/>
          </w:tcPr>
          <w:p>
            <w:pPr>
              <w:ind w:left="300"/>
              <w:spacing w:after="0"/>
              <w:rPr>
                <w:sz w:val="20"/>
                <w:szCs w:val="20"/>
                <w:color w:val="auto"/>
              </w:rPr>
            </w:pPr>
            <w:r>
              <w:rPr>
                <w:rFonts w:ascii="Arial" w:cs="Arial" w:eastAsia="Arial" w:hAnsi="Arial"/>
                <w:sz w:val="15"/>
                <w:szCs w:val="15"/>
                <w:color w:val="auto"/>
              </w:rPr>
              <w:t>Total Operating 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202,630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202,710</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(80)</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(0)%</w:t>
            </w:r>
          </w:p>
        </w:tc>
      </w:tr>
      <w:tr>
        <w:trPr>
          <w:trHeight w:val="20"/>
        </w:trPr>
        <w:tc>
          <w:tcPr>
            <w:tcW w:w="38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74,172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12,996</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61,176</w:t>
            </w: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471%</w:t>
            </w:r>
          </w:p>
        </w:tc>
      </w:tr>
      <w:tr>
        <w:trPr>
          <w:trHeight w:val="216"/>
        </w:trPr>
        <w:tc>
          <w:tcPr>
            <w:tcW w:w="406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Non-operating Income (Expense):</w:t>
            </w: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w:t>
            </w:r>
          </w:p>
        </w:tc>
        <w:tc>
          <w:tcPr>
            <w:tcW w:w="200" w:type="dxa"/>
            <w:vAlign w:val="bottom"/>
            <w:tcBorders>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(290)</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w w:val="89"/>
              </w:rPr>
              <w:t>(13,201)</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w w:val="89"/>
              </w:rPr>
              <w:t>(11,058)</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(2,143)</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19%</w:t>
            </w:r>
          </w:p>
        </w:tc>
      </w:tr>
      <w:tr>
        <w:trPr>
          <w:trHeight w:val="225"/>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18,049</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(494)</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18,543</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5"/>
              </w:rPr>
              <w:t>(3,754)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3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060" w:type="dxa"/>
            <w:vAlign w:val="bottom"/>
            <w:gridSpan w:val="2"/>
          </w:tcPr>
          <w:p>
            <w:pPr>
              <w:ind w:left="300"/>
              <w:spacing w:after="0"/>
              <w:rPr>
                <w:sz w:val="20"/>
                <w:szCs w:val="20"/>
                <w:color w:val="auto"/>
              </w:rPr>
            </w:pPr>
            <w:r>
              <w:rPr>
                <w:rFonts w:ascii="Arial" w:cs="Arial" w:eastAsia="Arial" w:hAnsi="Arial"/>
                <w:sz w:val="15"/>
                <w:szCs w:val="15"/>
                <w:color w:val="auto"/>
              </w:rPr>
              <w:t>Total Non-operating Income (Expense), net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4,872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w w:val="89"/>
              </w:rPr>
              <w:t>(11,238)</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16,110</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(143)%</w:t>
            </w:r>
          </w:p>
        </w:tc>
      </w:tr>
      <w:tr>
        <w:trPr>
          <w:trHeight w:val="225"/>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Income before Income Tax</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79,044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1,758</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77,286</w:t>
            </w: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4"/>
              </w:rPr>
              <w:t>4,396%</w:t>
            </w:r>
          </w:p>
        </w:tc>
      </w:tr>
      <w:tr>
        <w:trPr>
          <w:trHeight w:val="20"/>
        </w:trPr>
        <w:tc>
          <w:tcPr>
            <w:tcW w:w="3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060" w:type="dxa"/>
            <w:vAlign w:val="bottom"/>
            <w:gridSpan w:val="2"/>
          </w:tcPr>
          <w:p>
            <w:pPr>
              <w:ind w:left="160"/>
              <w:spacing w:after="0"/>
              <w:rPr>
                <w:sz w:val="20"/>
                <w:szCs w:val="20"/>
                <w:color w:val="auto"/>
              </w:rPr>
            </w:pPr>
            <w:r>
              <w:rPr>
                <w:rFonts w:ascii="Arial" w:cs="Arial" w:eastAsia="Arial" w:hAnsi="Arial"/>
                <w:sz w:val="15"/>
                <w:szCs w:val="15"/>
                <w:color w:val="auto"/>
              </w:rPr>
              <w:t>Income Tax Expense</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14,875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547</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14,328</w:t>
            </w: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4"/>
              </w:rPr>
              <w:t>2,619%</w:t>
            </w: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406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64,169</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1,211</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8"/>
              </w:rPr>
              <w:t>$ 62,958</w:t>
            </w: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4"/>
              </w:rPr>
              <w:t>5,199%</w:t>
            </w:r>
          </w:p>
        </w:tc>
      </w:tr>
      <w:tr>
        <w:trPr>
          <w:trHeight w:val="44"/>
        </w:trPr>
        <w:tc>
          <w:tcPr>
            <w:tcW w:w="3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-3801745</wp:posOffset>
            </wp:positionV>
            <wp:extent cx="4241800" cy="132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-3257550</wp:posOffset>
            </wp:positionV>
            <wp:extent cx="4241800" cy="139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-2699385</wp:posOffset>
            </wp:positionV>
            <wp:extent cx="4241800" cy="132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-2433955</wp:posOffset>
            </wp:positionV>
            <wp:extent cx="4241800" cy="132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-2169160</wp:posOffset>
            </wp:positionV>
            <wp:extent cx="4241800" cy="132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-1903730</wp:posOffset>
            </wp:positionV>
            <wp:extent cx="4241800" cy="132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-1638935</wp:posOffset>
            </wp:positionV>
            <wp:extent cx="4241800" cy="139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-480695</wp:posOffset>
            </wp:positionV>
            <wp:extent cx="4241800" cy="146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167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41800" cy="16764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-1352550</wp:posOffset>
            </wp:positionV>
            <wp:extent cx="4241800" cy="1536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4618355</wp:posOffset>
            </wp:positionH>
            <wp:positionV relativeFrom="paragraph">
              <wp:posOffset>-2971165</wp:posOffset>
            </wp:positionV>
            <wp:extent cx="11874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-2971165</wp:posOffset>
            </wp:positionV>
            <wp:extent cx="353695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369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-3529330</wp:posOffset>
            </wp:positionV>
            <wp:extent cx="4241800" cy="1397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4618355</wp:posOffset>
            </wp:positionH>
            <wp:positionV relativeFrom="paragraph">
              <wp:posOffset>-4073525</wp:posOffset>
            </wp:positionV>
            <wp:extent cx="11176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-4073525</wp:posOffset>
            </wp:positionV>
            <wp:extent cx="352996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29965" cy="6985"/>
                    </a:xfrm>
                    <a:prstGeom prst="rect">
                      <a:avLst/>
                    </a:prstGeom>
                    <a:noFill/>
                  </pic:spPr>
                </pic:pic>
              </a:graphicData>
            </a:graphic>
          </wp:anchor>
        </w:drawing>
      </w:r>
    </w:p>
    <w:p>
      <w:pPr>
        <w:spacing w:after="0" w:line="22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Revenue</w:t>
      </w:r>
    </w:p>
    <w:p>
      <w:pPr>
        <w:spacing w:after="0" w:line="113" w:lineRule="exact"/>
        <w:rPr>
          <w:sz w:val="20"/>
          <w:szCs w:val="20"/>
          <w:color w:val="auto"/>
        </w:rPr>
      </w:pPr>
    </w:p>
    <w:p>
      <w:pPr>
        <w:ind w:left="1160" w:right="1219" w:firstLine="293"/>
        <w:spacing w:after="0" w:line="311" w:lineRule="auto"/>
        <w:rPr>
          <w:sz w:val="20"/>
          <w:szCs w:val="20"/>
          <w:color w:val="auto"/>
        </w:rPr>
      </w:pPr>
      <w:r>
        <w:rPr>
          <w:rFonts w:ascii="Arial" w:cs="Arial" w:eastAsia="Arial" w:hAnsi="Arial"/>
          <w:sz w:val="13"/>
          <w:szCs w:val="13"/>
          <w:color w:val="auto"/>
        </w:rPr>
        <w:t>Total operating revenues increased by $61.1 million, or 28%, to $276.8 million for the six months ended June 30, 2021, from $215.7 million for the six months ended June 30, 2020. The increase is primarily due to a $40.5 million increase in cargo revenue and a $17.0 million increase in charter service revenue.</w:t>
      </w:r>
    </w:p>
    <w:p>
      <w:pPr>
        <w:spacing w:after="0" w:line="67"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i w:val="1"/>
          <w:iCs w:val="1"/>
          <w:color w:val="auto"/>
        </w:rPr>
        <w:t>Scheduled Service</w:t>
      </w:r>
      <w:r>
        <w:rPr>
          <w:rFonts w:ascii="Arial" w:cs="Arial" w:eastAsia="Arial" w:hAnsi="Arial"/>
          <w:sz w:val="14"/>
          <w:szCs w:val="14"/>
          <w:color w:val="auto"/>
        </w:rPr>
        <w:t>. Scheduled service revenue decreased by $10.4 million, or 8%, to $121.7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six months ended June 30, 2021, from $132.1 million for the six months ended June 30, 2020. The decrease in scheduled service revenue was driven by a decline in passenger demand due to government travel restrictions and quarantine requirements related to the COVID-19 pandemic.</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table below presents select operating data for scheduled service: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w w:val="84"/>
              </w:rPr>
              <w:t>Six Months Ended June 30,</w:t>
            </w: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2"/>
              </w:rPr>
              <w:t>Increase</w:t>
            </w:r>
          </w:p>
        </w:tc>
        <w:tc>
          <w:tcPr>
            <w:tcW w:w="36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70"/>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69"/>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1"/>
              </w:rPr>
              <w:t>(Decrease)</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77"/>
              </w:rPr>
              <w:t>Change</w:t>
            </w:r>
          </w:p>
        </w:tc>
        <w:tc>
          <w:tcPr>
            <w:tcW w:w="0" w:type="dxa"/>
            <w:vAlign w:val="bottom"/>
          </w:tcPr>
          <w:p>
            <w:pPr>
              <w:spacing w:after="0"/>
              <w:rPr>
                <w:sz w:val="1"/>
                <w:szCs w:val="1"/>
                <w:color w:val="auto"/>
              </w:rPr>
            </w:pP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Passengers</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1,253,051</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935,860</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317,191</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5"/>
                <w:szCs w:val="15"/>
                <w:color w:val="auto"/>
              </w:rPr>
              <w:t>Average base fare per passenger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97.12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141.16</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(44.04)</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RPMs (thousands)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1,694,033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1,303,004</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391,029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00" w:type="dxa"/>
            <w:vAlign w:val="bottom"/>
          </w:tcPr>
          <w:p>
            <w:pPr>
              <w:spacing w:after="0"/>
              <w:rPr>
                <w:sz w:val="20"/>
                <w:szCs w:val="20"/>
                <w:color w:val="auto"/>
              </w:rPr>
            </w:pPr>
            <w:r>
              <w:rPr>
                <w:rFonts w:ascii="Arial" w:cs="Arial" w:eastAsia="Arial" w:hAnsi="Arial"/>
                <w:sz w:val="15"/>
                <w:szCs w:val="15"/>
                <w:color w:val="auto"/>
              </w:rPr>
              <w:t>ASMs (thousands)</w:t>
            </w:r>
          </w:p>
        </w:tc>
        <w:tc>
          <w:tcPr>
            <w:tcW w:w="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2,356,780</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1,826,245</w:t>
            </w:r>
          </w:p>
        </w:tc>
        <w:tc>
          <w:tcPr>
            <w:tcW w:w="540" w:type="dxa"/>
            <w:vAlign w:val="bottom"/>
          </w:tcPr>
          <w:p>
            <w:pPr>
              <w:jc w:val="right"/>
              <w:spacing w:after="0"/>
              <w:rPr>
                <w:sz w:val="20"/>
                <w:szCs w:val="20"/>
                <w:color w:val="auto"/>
              </w:rPr>
            </w:pPr>
            <w:r>
              <w:rPr>
                <w:rFonts w:ascii="Arial" w:cs="Arial" w:eastAsia="Arial" w:hAnsi="Arial"/>
                <w:sz w:val="15"/>
                <w:szCs w:val="15"/>
                <w:color w:val="auto"/>
                <w:w w:val="92"/>
              </w:rPr>
              <w:t>530,535</w:t>
            </w:r>
          </w:p>
        </w:tc>
        <w:tc>
          <w:tcPr>
            <w:tcW w:w="1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20"/>
        </w:trPr>
        <w:tc>
          <w:tcPr>
            <w:tcW w:w="3900" w:type="dxa"/>
            <w:vAlign w:val="bottom"/>
          </w:tcPr>
          <w:p>
            <w:pPr>
              <w:spacing w:after="0"/>
              <w:rPr>
                <w:sz w:val="20"/>
                <w:szCs w:val="20"/>
                <w:color w:val="auto"/>
              </w:rPr>
            </w:pPr>
            <w:r>
              <w:rPr>
                <w:rFonts w:ascii="Arial" w:cs="Arial" w:eastAsia="Arial" w:hAnsi="Arial"/>
                <w:sz w:val="15"/>
                <w:szCs w:val="15"/>
                <w:color w:val="auto"/>
              </w:rPr>
              <w:t>PRASM (cents)</w:t>
            </w:r>
          </w:p>
        </w:tc>
        <w:tc>
          <w:tcPr>
            <w:tcW w:w="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5.16</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7.23</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(2.07)</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20"/>
        </w:trPr>
        <w:tc>
          <w:tcPr>
            <w:tcW w:w="3900" w:type="dxa"/>
            <w:vAlign w:val="bottom"/>
          </w:tcPr>
          <w:p>
            <w:pPr>
              <w:spacing w:after="0"/>
              <w:rPr>
                <w:sz w:val="20"/>
                <w:szCs w:val="20"/>
                <w:color w:val="auto"/>
              </w:rPr>
            </w:pPr>
            <w:r>
              <w:rPr>
                <w:rFonts w:ascii="Arial" w:cs="Arial" w:eastAsia="Arial" w:hAnsi="Arial"/>
                <w:sz w:val="15"/>
                <w:szCs w:val="15"/>
                <w:color w:val="auto"/>
              </w:rPr>
              <w:t>Passenger load factor</w:t>
            </w: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71.9%</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71.3%</w:t>
            </w:r>
          </w:p>
        </w:tc>
        <w:tc>
          <w:tcPr>
            <w:tcW w:w="720" w:type="dxa"/>
            <w:vAlign w:val="bottom"/>
            <w:gridSpan w:val="2"/>
          </w:tcPr>
          <w:p>
            <w:pPr>
              <w:jc w:val="center"/>
              <w:ind w:right="180"/>
              <w:spacing w:after="0"/>
              <w:rPr>
                <w:sz w:val="20"/>
                <w:szCs w:val="20"/>
                <w:color w:val="auto"/>
              </w:rPr>
            </w:pPr>
            <w:r>
              <w:rPr>
                <w:rFonts w:ascii="Arial" w:cs="Arial" w:eastAsia="Arial" w:hAnsi="Arial"/>
                <w:sz w:val="15"/>
                <w:szCs w:val="15"/>
                <w:color w:val="auto"/>
                <w:w w:val="93"/>
              </w:rPr>
              <w:t>0.6 pts</w:t>
            </w: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-278765</wp:posOffset>
            </wp:positionV>
            <wp:extent cx="4241800" cy="139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-822325</wp:posOffset>
            </wp:positionV>
            <wp:extent cx="400431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004310" cy="6985"/>
                    </a:xfrm>
                    <a:prstGeom prst="rect">
                      <a:avLst/>
                    </a:prstGeom>
                    <a:noFill/>
                  </pic:spPr>
                </pic:pic>
              </a:graphicData>
            </a:graphic>
          </wp:anchor>
        </w:drawing>
      </w:r>
    </w:p>
    <w:p>
      <w:pPr>
        <w:spacing w:after="0" w:line="79" w:lineRule="exact"/>
        <w:rPr>
          <w:sz w:val="20"/>
          <w:szCs w:val="20"/>
          <w:color w:val="auto"/>
        </w:rPr>
      </w:pPr>
    </w:p>
    <w:p>
      <w:pPr>
        <w:ind w:left="1160" w:right="1279" w:firstLine="293"/>
        <w:spacing w:after="0" w:line="234" w:lineRule="auto"/>
        <w:rPr>
          <w:sz w:val="20"/>
          <w:szCs w:val="20"/>
          <w:color w:val="auto"/>
        </w:rPr>
      </w:pPr>
      <w:r>
        <w:rPr>
          <w:rFonts w:ascii="Arial" w:cs="Arial" w:eastAsia="Arial" w:hAnsi="Arial"/>
          <w:sz w:val="15"/>
          <w:szCs w:val="15"/>
          <w:color w:val="auto"/>
        </w:rPr>
        <w:t>The 34% increase in the number of scheduled service passengers in the six months ended June 30, 2021, as compared to the six months ended June 30, 2020, was primarily due to 2020 COVID-19 pandemic related demand reductions. For the six months ended June 30, 2021, our average base fare was $ 97.12, compared to $141.16 for the six months ended June 30, 2020. The net change is the result of the impact of indirect revenue related transactions (such as deferred revenue breakage) spread over significantly fewer passengers during 2020.</w:t>
      </w:r>
    </w:p>
    <w:p>
      <w:pPr>
        <w:spacing w:after="0" w:line="101"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i w:val="1"/>
          <w:iCs w:val="1"/>
          <w:color w:val="auto"/>
        </w:rPr>
        <w:t>Charter Service</w:t>
      </w:r>
      <w:r>
        <w:rPr>
          <w:rFonts w:ascii="Arial" w:cs="Arial" w:eastAsia="Arial" w:hAnsi="Arial"/>
          <w:sz w:val="14"/>
          <w:szCs w:val="14"/>
          <w:color w:val="auto"/>
        </w:rPr>
        <w:t>. Charter service revenue increased by $17.0 million, or 45%, to $54.7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six months ended June 30, 2021, from $37.7 million for the six months ended June 30, 2020. There was a 42% increase in charter service block hours for the six months ended June 30, 2021 as compared to the same period in 2020. This block hour increase is due to the ongoing recovery from the impacts of the COVID-19 pandemic. Charter revenue per block hour was $7,800 for the six months ended June 30, 2021, as compared to $7,600 for the six months ended June 30, 2020, for an increase of 2%.</w:t>
      </w:r>
    </w:p>
    <w:p>
      <w:pPr>
        <w:spacing w:after="0" w:line="91" w:lineRule="exact"/>
        <w:rPr>
          <w:sz w:val="20"/>
          <w:szCs w:val="20"/>
          <w:color w:val="auto"/>
        </w:rPr>
      </w:pPr>
    </w:p>
    <w:p>
      <w:pPr>
        <w:ind w:left="1160" w:right="1259" w:firstLine="293"/>
        <w:spacing w:after="0" w:line="252" w:lineRule="auto"/>
        <w:rPr>
          <w:sz w:val="20"/>
          <w:szCs w:val="20"/>
          <w:color w:val="auto"/>
        </w:rPr>
      </w:pPr>
      <w:r>
        <w:rPr>
          <w:rFonts w:ascii="Arial" w:cs="Arial" w:eastAsia="Arial" w:hAnsi="Arial"/>
          <w:sz w:val="14"/>
          <w:szCs w:val="14"/>
          <w:i w:val="1"/>
          <w:iCs w:val="1"/>
          <w:color w:val="auto"/>
        </w:rPr>
        <w:t>Ancillary</w:t>
      </w:r>
      <w:r>
        <w:rPr>
          <w:rFonts w:ascii="Arial" w:cs="Arial" w:eastAsia="Arial" w:hAnsi="Arial"/>
          <w:sz w:val="14"/>
          <w:szCs w:val="14"/>
          <w:color w:val="auto"/>
        </w:rPr>
        <w:t>. Ancillary revenue increased by $12.9 million, or 32%, to $ 52.9 million for the six months</w:t>
      </w:r>
      <w:r>
        <w:rPr>
          <w:rFonts w:ascii="Arial" w:cs="Arial" w:eastAsia="Arial" w:hAnsi="Arial"/>
          <w:sz w:val="14"/>
          <w:szCs w:val="14"/>
          <w:i w:val="1"/>
          <w:iCs w:val="1"/>
          <w:color w:val="auto"/>
        </w:rPr>
        <w:t xml:space="preserve"> </w:t>
      </w:r>
      <w:r>
        <w:rPr>
          <w:rFonts w:ascii="Arial" w:cs="Arial" w:eastAsia="Arial" w:hAnsi="Arial"/>
          <w:sz w:val="14"/>
          <w:szCs w:val="14"/>
          <w:color w:val="auto"/>
        </w:rPr>
        <w:t>ended June 30, 2021, from $40.0 million for the six months ended June 30, 2020. The number of scheduled service passengers was 1.3 million in the six months ended June 30, 2021, up 34% from 936,000 in the six months ended June 30, 2020. There was a small decline in ancillary revenue per passenger due to reductions in sales of air travel-related services such as baggage fees, seat selection and upgrade fees, and on-board sales. Specifically, ancillary revenue was $42.24 per passenger in the six months ended June 30, 2021, down from $42.74 per passenger in the six months ended June 30, 2020.</w:t>
      </w:r>
    </w:p>
    <w:p>
      <w:pPr>
        <w:spacing w:after="0" w:line="80"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i w:val="1"/>
          <w:iCs w:val="1"/>
          <w:color w:val="auto"/>
        </w:rPr>
        <w:t>Cargo</w:t>
      </w:r>
      <w:r>
        <w:rPr>
          <w:rFonts w:ascii="Arial" w:cs="Arial" w:eastAsia="Arial" w:hAnsi="Arial"/>
          <w:sz w:val="14"/>
          <w:szCs w:val="14"/>
          <w:color w:val="auto"/>
        </w:rPr>
        <w:t>. Revenue from cargo services was $43.7 million for the six months ended June 30, 2021,</w:t>
      </w:r>
      <w:r>
        <w:rPr>
          <w:rFonts w:ascii="Arial" w:cs="Arial" w:eastAsia="Arial" w:hAnsi="Arial"/>
          <w:sz w:val="14"/>
          <w:szCs w:val="14"/>
          <w:i w:val="1"/>
          <w:iCs w:val="1"/>
          <w:color w:val="auto"/>
        </w:rPr>
        <w:t xml:space="preserve"> </w:t>
      </w:r>
      <w:r>
        <w:rPr>
          <w:rFonts w:ascii="Arial" w:cs="Arial" w:eastAsia="Arial" w:hAnsi="Arial"/>
          <w:sz w:val="14"/>
          <w:szCs w:val="14"/>
          <w:color w:val="auto"/>
        </w:rPr>
        <w:t>compared with $3.2 million for the six months ended June 30, 2020. All of our 2021 and 2020 cargo service revenue is related to flights operated under the ATSA with Amazon. Cargo service began in May 2020, so the increase is due to the year-over- year ramp up of operations. Cargo service departures were 5,317 in the six months ended June 30, 2021, as compared to 413 for the six months ended June 30, 2020.</w:t>
      </w:r>
    </w:p>
    <w:p>
      <w:pPr>
        <w:spacing w:after="0" w:line="90" w:lineRule="exact"/>
        <w:rPr>
          <w:sz w:val="20"/>
          <w:szCs w:val="20"/>
          <w:color w:val="auto"/>
        </w:rPr>
      </w:pPr>
    </w:p>
    <w:p>
      <w:pPr>
        <w:ind w:left="1460"/>
        <w:spacing w:after="0"/>
        <w:tabs>
          <w:tab w:leader="none" w:pos="1960" w:val="left"/>
        </w:tabs>
        <w:rPr>
          <w:sz w:val="20"/>
          <w:szCs w:val="20"/>
          <w:color w:val="auto"/>
        </w:rPr>
      </w:pPr>
      <w:r>
        <w:rPr>
          <w:rFonts w:ascii="Arial" w:cs="Arial" w:eastAsia="Arial" w:hAnsi="Arial"/>
          <w:sz w:val="15"/>
          <w:szCs w:val="15"/>
          <w:i w:val="1"/>
          <w:iCs w:val="1"/>
          <w:color w:val="auto"/>
        </w:rPr>
        <w:t>Other</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revenue was $3.8 million for the six months ended June 30, 2021 compared to</w:t>
      </w:r>
    </w:p>
    <w:p>
      <w:pPr>
        <w:spacing w:after="0" w:line="4" w:lineRule="exact"/>
        <w:rPr>
          <w:sz w:val="20"/>
          <w:szCs w:val="20"/>
          <w:color w:val="auto"/>
        </w:rPr>
      </w:pPr>
    </w:p>
    <w:p>
      <w:pPr>
        <w:jc w:val="both"/>
        <w:ind w:left="1160" w:right="1379"/>
        <w:spacing w:after="0" w:line="233" w:lineRule="auto"/>
        <w:rPr>
          <w:sz w:val="20"/>
          <w:szCs w:val="20"/>
          <w:color w:val="auto"/>
        </w:rPr>
      </w:pPr>
      <w:r>
        <w:rPr>
          <w:rFonts w:ascii="Arial" w:cs="Arial" w:eastAsia="Arial" w:hAnsi="Arial"/>
          <w:sz w:val="15"/>
          <w:szCs w:val="15"/>
          <w:color w:val="auto"/>
        </w:rPr>
        <w:t>$2.7 million for the six months ended June 30, 2020. This was mainly the result of an increase in revenue from Sun Country Vacations due to improved bookings and an increase in mail revenue due to increased departures.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24"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Aircraft fuel expense decreased by $2.3 million, or 4%, to $54.0 million for the</w:t>
      </w:r>
    </w:p>
    <w:p>
      <w:pPr>
        <w:spacing w:after="0" w:line="4" w:lineRule="exact"/>
        <w:rPr>
          <w:sz w:val="20"/>
          <w:szCs w:val="20"/>
          <w:color w:val="auto"/>
        </w:rPr>
      </w:pPr>
    </w:p>
    <w:p>
      <w:pPr>
        <w:ind w:left="1160" w:right="1259"/>
        <w:spacing w:after="0" w:line="231" w:lineRule="auto"/>
        <w:rPr>
          <w:sz w:val="20"/>
          <w:szCs w:val="20"/>
          <w:color w:val="auto"/>
        </w:rPr>
      </w:pPr>
      <w:r>
        <w:rPr>
          <w:rFonts w:ascii="Arial" w:cs="Arial" w:eastAsia="Arial" w:hAnsi="Arial"/>
          <w:sz w:val="15"/>
          <w:szCs w:val="15"/>
          <w:color w:val="auto"/>
        </w:rPr>
        <w:t>six months ended June 30, 2021, as compared to $56.2 million for the six months ended June 30, 2020. The decrease was largely driven by a $ 21.6 million change in the mark-to-market gains/losses from our fuel derivative contracts, consisting of a $3.6 million gain in the six months ended June 30, 2021 compared to a $18.0 million loss in the six months ended June 30, 2020. Offsetting this derivative gain in 2021 as compared to 2020 was a 28% increase in fuel gallons consumed, due to our increased level of operations as demonstrated by a 27% increase in passenger service block hours and a 17% increase in the average price per gallon of fuel.</w:t>
      </w:r>
    </w:p>
    <w:p>
      <w:pPr>
        <w:spacing w:after="0" w:line="89" w:lineRule="exact"/>
        <w:rPr>
          <w:sz w:val="20"/>
          <w:szCs w:val="20"/>
          <w:color w:val="auto"/>
        </w:rPr>
      </w:pPr>
    </w:p>
    <w:p>
      <w:pPr>
        <w:ind w:left="1160" w:right="1399" w:firstLine="293"/>
        <w:spacing w:after="0" w:line="254" w:lineRule="auto"/>
        <w:rPr>
          <w:sz w:val="20"/>
          <w:szCs w:val="20"/>
          <w:color w:val="auto"/>
        </w:rPr>
      </w:pPr>
      <w:r>
        <w:rPr>
          <w:rFonts w:ascii="Arial" w:cs="Arial" w:eastAsia="Arial" w:hAnsi="Arial"/>
          <w:sz w:val="14"/>
          <w:szCs w:val="14"/>
          <w:i w:val="1"/>
          <w:iCs w:val="1"/>
          <w:color w:val="auto"/>
        </w:rPr>
        <w:t>Salaries, Wages, and Benefits</w:t>
      </w:r>
      <w:r>
        <w:rPr>
          <w:rFonts w:ascii="Arial" w:cs="Arial" w:eastAsia="Arial" w:hAnsi="Arial"/>
          <w:sz w:val="14"/>
          <w:szCs w:val="14"/>
          <w:color w:val="auto"/>
        </w:rPr>
        <w:t>. Salaries, wages, and benefits expense increased by $15.8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22%, to $86.4 million for the six months ended June 30, 2021, as compared to $70.6 million for the</w:t>
      </w:r>
    </w:p>
    <w:p>
      <w:pPr>
        <w:spacing w:after="0" w:line="1" w:lineRule="exact"/>
        <w:rPr>
          <w:sz w:val="20"/>
          <w:szCs w:val="20"/>
          <w:color w:val="auto"/>
        </w:rPr>
      </w:pPr>
    </w:p>
    <w:p>
      <w:pPr>
        <w:jc w:val="both"/>
        <w:ind w:left="1160" w:right="1539"/>
        <w:spacing w:after="0" w:line="233" w:lineRule="auto"/>
        <w:rPr>
          <w:sz w:val="20"/>
          <w:szCs w:val="20"/>
          <w:color w:val="auto"/>
        </w:rPr>
      </w:pPr>
      <w:r>
        <w:rPr>
          <w:rFonts w:ascii="Arial" w:cs="Arial" w:eastAsia="Arial" w:hAnsi="Arial"/>
          <w:sz w:val="15"/>
          <w:szCs w:val="15"/>
          <w:color w:val="auto"/>
        </w:rPr>
        <w:t>six months ended June 30, 2020. Approximately $2.1 million of the increase relates to insourcing MSP ground handling operations starting in April 2020. The increase was also the result of increased stock-compensation expense.</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8" w:lineRule="auto"/>
        <w:rPr>
          <w:sz w:val="20"/>
          <w:szCs w:val="20"/>
          <w:color w:val="auto"/>
        </w:rPr>
      </w:pPr>
      <w:r>
        <w:rPr>
          <w:rFonts w:ascii="Arial" w:cs="Arial" w:eastAsia="Arial" w:hAnsi="Arial"/>
          <w:sz w:val="14"/>
          <w:szCs w:val="14"/>
          <w:color w:val="auto"/>
        </w:rPr>
        <w:t>Our initial public offering made it probable that a portion of our performance-based stock options would vest over a specific timeframe. Therefore, we expensed $2.5 million related to these options for the three months ended March 31, 2021, plus an additional $0.3 million for the three months ended June 30, 2021. No expense was recorded in the six months ended June 30, 2020 for performance-based stock options. Our cargo segment was responsible for $21.4 million of the consolidated salaries, wages, and benefits expense for the six months ended June 30, 2021, compared to a $3.4 million in the six months ended</w:t>
      </w:r>
    </w:p>
    <w:p>
      <w:pPr>
        <w:spacing w:after="0" w:line="3" w:lineRule="exact"/>
        <w:rPr>
          <w:sz w:val="20"/>
          <w:szCs w:val="20"/>
          <w:color w:val="auto"/>
        </w:rPr>
      </w:pPr>
    </w:p>
    <w:p>
      <w:pPr>
        <w:ind w:left="1160" w:right="1219"/>
        <w:spacing w:after="0" w:line="233" w:lineRule="auto"/>
        <w:rPr>
          <w:sz w:val="20"/>
          <w:szCs w:val="20"/>
          <w:color w:val="auto"/>
        </w:rPr>
      </w:pPr>
      <w:r>
        <w:rPr>
          <w:rFonts w:ascii="Arial" w:cs="Arial" w:eastAsia="Arial" w:hAnsi="Arial"/>
          <w:sz w:val="15"/>
          <w:szCs w:val="15"/>
          <w:color w:val="auto"/>
        </w:rPr>
        <w:t>June 30, 2020. There has been increased pilot pay and per diems to support operations under the ATSA. The cargo segment began in May 2020, driving additional headcount required to support the operations and aircraft under the ATSA.</w:t>
      </w:r>
    </w:p>
    <w:p>
      <w:pPr>
        <w:spacing w:after="0" w:line="9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i w:val="1"/>
          <w:iCs w:val="1"/>
          <w:color w:val="auto"/>
        </w:rPr>
        <w:t xml:space="preserve">Aircraft Rent </w:t>
      </w:r>
      <w:r>
        <w:rPr>
          <w:rFonts w:ascii="Arial" w:cs="Arial" w:eastAsia="Arial" w:hAnsi="Arial"/>
          <w:sz w:val="15"/>
          <w:szCs w:val="15"/>
          <w:color w:val="auto"/>
        </w:rPr>
        <w:t>. Aircraft rent expense decreased by $7.6 million, or 45%, to $ 9.4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six months ended June 30, 2021, as compared to $17.0 million for the six months ended June 30, 2020. Aircraft rent expense decreased primarily due to the composition of our aircraft fleet shifting from aircraft under operating leases (for which expense is recorded within aircraft rent) to owned aircraft. Specifically, in late first quarter 2021 and early second quarter 2021, we purchased six aircraft previously under operating leases. There were also aircraft acquisitions completed in 2020 that reduced aircraft rent by $3.4 million in the six months ended June 30, 2021 as compared to the six months ended June 30, 2020. For the six months ended June 30, 2021 and 2020, there was an average of nine and thirteen aircraft under operating leases, respectively.</w:t>
      </w:r>
    </w:p>
    <w:p>
      <w:pPr>
        <w:spacing w:after="0" w:line="103" w:lineRule="exact"/>
        <w:rPr>
          <w:sz w:val="20"/>
          <w:szCs w:val="20"/>
          <w:color w:val="auto"/>
        </w:rPr>
      </w:pPr>
    </w:p>
    <w:p>
      <w:pPr>
        <w:ind w:left="1460"/>
        <w:spacing w:after="0"/>
        <w:tabs>
          <w:tab w:leader="none" w:pos="2400" w:val="left"/>
        </w:tabs>
        <w:rPr>
          <w:sz w:val="20"/>
          <w:szCs w:val="20"/>
          <w:color w:val="auto"/>
        </w:rPr>
      </w:pPr>
      <w:r>
        <w:rPr>
          <w:rFonts w:ascii="Arial" w:cs="Arial" w:eastAsia="Arial" w:hAnsi="Arial"/>
          <w:sz w:val="15"/>
          <w:szCs w:val="15"/>
          <w:i w:val="1"/>
          <w:iCs w:val="1"/>
          <w:color w:val="auto"/>
        </w:rPr>
        <w:t>Maintenance</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Maintenance materials and repair expense increased by $11.6 million, or 130%,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$20.5 million for the six months ended June 30, 2021, as compared to $8.9 million for the six months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June 30, 2020. The cost of heavy checks increased $4.0 million due to ten heavy checks performed in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six months ended June 30, 2021, as compared to two for the six months ended June 30, 2020. There was a</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$1.3 million increase in costs, including wheels, brakes, consumables, and expendables, driven by increased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departures. Our cargo segment was responsible for $5.3 million of the consolidated maintenance expense for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the six months ended June 30, 2021, as compared to $0.5 million for the prior year six-month period since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cargo segment service did not begin until May 2020. The cargo segment expense primarily relates to line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maintenance, since heavy maintenance is reimbursed under the ATSA.</w:t>
      </w:r>
    </w:p>
    <w:p>
      <w:pPr>
        <w:spacing w:after="0" w:line="101" w:lineRule="exact"/>
        <w:rPr>
          <w:sz w:val="20"/>
          <w:szCs w:val="20"/>
          <w:color w:val="auto"/>
        </w:rPr>
      </w:pPr>
    </w:p>
    <w:p>
      <w:pPr>
        <w:ind w:left="1160" w:right="1259" w:firstLine="293"/>
        <w:spacing w:after="0" w:line="258" w:lineRule="auto"/>
        <w:rPr>
          <w:sz w:val="20"/>
          <w:szCs w:val="20"/>
          <w:color w:val="auto"/>
        </w:rPr>
      </w:pPr>
      <w:r>
        <w:rPr>
          <w:rFonts w:ascii="Arial" w:cs="Arial" w:eastAsia="Arial" w:hAnsi="Arial"/>
          <w:sz w:val="14"/>
          <w:szCs w:val="14"/>
          <w:i w:val="1"/>
          <w:iCs w:val="1"/>
          <w:color w:val="auto"/>
        </w:rPr>
        <w:t>Sales and Marketing</w:t>
      </w:r>
      <w:r>
        <w:rPr>
          <w:rFonts w:ascii="Arial" w:cs="Arial" w:eastAsia="Arial" w:hAnsi="Arial"/>
          <w:sz w:val="14"/>
          <w:szCs w:val="14"/>
          <w:color w:val="auto"/>
        </w:rPr>
        <w:t>. Sales and marketing expense increased by $0.7 million, or 7%, to $ 10.9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six months ended June 30, 2021, as compared to $ 10.2 million for the six months ended June 30, 2020. The passenger revenue increase between these two periods was 9%, which drove a $1.3 million increase in global distribution system fees, partially offset by $0.7 million lower interchange rates.</w:t>
      </w:r>
    </w:p>
    <w:p>
      <w:pPr>
        <w:spacing w:after="0" w:line="77" w:lineRule="exact"/>
        <w:rPr>
          <w:sz w:val="20"/>
          <w:szCs w:val="20"/>
          <w:color w:val="auto"/>
        </w:rPr>
      </w:pPr>
    </w:p>
    <w:p>
      <w:pPr>
        <w:ind w:left="1160" w:right="1299" w:firstLine="293"/>
        <w:spacing w:after="0" w:line="254"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increased by $ 3.4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15%, to $26.1 million for the six months ended June 30, 2021, as compared to $22.7 million for the</w:t>
      </w:r>
    </w:p>
    <w:p>
      <w:pPr>
        <w:spacing w:after="0" w:line="1" w:lineRule="exact"/>
        <w:rPr>
          <w:sz w:val="20"/>
          <w:szCs w:val="20"/>
          <w:color w:val="auto"/>
        </w:rPr>
      </w:pPr>
    </w:p>
    <w:p>
      <w:pPr>
        <w:ind w:left="1160" w:right="1299"/>
        <w:spacing w:after="0" w:line="232" w:lineRule="auto"/>
        <w:rPr>
          <w:sz w:val="20"/>
          <w:szCs w:val="20"/>
          <w:color w:val="auto"/>
        </w:rPr>
      </w:pPr>
      <w:r>
        <w:rPr>
          <w:rFonts w:ascii="Arial" w:cs="Arial" w:eastAsia="Arial" w:hAnsi="Arial"/>
          <w:sz w:val="15"/>
          <w:szCs w:val="15"/>
          <w:color w:val="auto"/>
        </w:rPr>
        <w:t>six months ended June 30, 2020. The increase was primarily due to the impact of a change in the composition of our aircraft fleet to an increased number of owned aircraft in connection with our 2019-1 EETC, Delayed Draw Term Loan Facility, and aircraft under finance leases (for which expense is recorded within depreciation and amortization). For the six months ended June 30, 2021 and 2020, there was an average of 17 and 10 owned aircraft, respectively.</w:t>
      </w:r>
    </w:p>
    <w:p>
      <w:pPr>
        <w:spacing w:after="0" w:line="99"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i w:val="1"/>
          <w:iCs w:val="1"/>
          <w:color w:val="auto"/>
        </w:rPr>
        <w:t>Ground Handling</w:t>
      </w:r>
      <w:r>
        <w:rPr>
          <w:rFonts w:ascii="Arial" w:cs="Arial" w:eastAsia="Arial" w:hAnsi="Arial"/>
          <w:sz w:val="14"/>
          <w:szCs w:val="14"/>
          <w:color w:val="auto"/>
        </w:rPr>
        <w:t>. Ground handling expense increased by $0.9 million, or 8%, to $11.8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six months ended June 30, 2021, as compared to $10.9 million for the six months ended June 30, 2020. There was an increase of $3.1 million, primarily due to the 29% increase in scheduled departures during the same time periods. However, we insourced our MSP operations in April 2020, contributing to a reduction of $2.2 million in ground handling expenses for the six months ended June 30, 2021, compared to June 30, 2020, but resulting in higher salaries, wages, and benefits.</w:t>
      </w:r>
    </w:p>
    <w:p>
      <w:pPr>
        <w:spacing w:after="0" w:line="91"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i w:val="1"/>
          <w:iCs w:val="1"/>
          <w:color w:val="auto"/>
        </w:rPr>
        <w:t>Landing Fees and Airport Rent</w:t>
      </w:r>
      <w:r>
        <w:rPr>
          <w:rFonts w:ascii="Arial" w:cs="Arial" w:eastAsia="Arial" w:hAnsi="Arial"/>
          <w:sz w:val="15"/>
          <w:szCs w:val="15"/>
          <w:color w:val="auto"/>
        </w:rPr>
        <w:t>. Landing fees and airport rent increased by $3.8 million, or 27%, to</w:t>
      </w:r>
      <w:r>
        <w:rPr>
          <w:rFonts w:ascii="Arial" w:cs="Arial" w:eastAsia="Arial" w:hAnsi="Arial"/>
          <w:sz w:val="15"/>
          <w:szCs w:val="15"/>
          <w:i w:val="1"/>
          <w:iCs w:val="1"/>
          <w:color w:val="auto"/>
        </w:rPr>
        <w:t xml:space="preserve"> </w:t>
      </w:r>
      <w:r>
        <w:rPr>
          <w:rFonts w:ascii="Arial" w:cs="Arial" w:eastAsia="Arial" w:hAnsi="Arial"/>
          <w:sz w:val="15"/>
          <w:szCs w:val="15"/>
          <w:color w:val="auto"/>
        </w:rPr>
        <w:t>$17.5 million for the six months ended June 30, 2021, as compared to $13.8 million for the six months ended June 30, 2020. There was a $4.7 million increase driven by the 29% increase in scheduled departures for the six months ended June 30, 2021, over 2020. During the six months ended June 30, 2021, we also received a $1.4 million MSP terminal user fee airline relief credit, which partially offset the increase discussed above.</w:t>
      </w:r>
    </w:p>
    <w:p>
      <w:pPr>
        <w:spacing w:after="0" w:line="90" w:lineRule="exact"/>
        <w:rPr>
          <w:sz w:val="20"/>
          <w:szCs w:val="20"/>
          <w:color w:val="auto"/>
        </w:rPr>
      </w:pPr>
    </w:p>
    <w:p>
      <w:pPr>
        <w:jc w:val="both"/>
        <w:ind w:left="1160" w:right="1239" w:firstLine="293"/>
        <w:spacing w:after="0" w:line="323" w:lineRule="auto"/>
        <w:rPr>
          <w:sz w:val="20"/>
          <w:szCs w:val="20"/>
          <w:color w:val="auto"/>
        </w:rPr>
      </w:pPr>
      <w:r>
        <w:rPr>
          <w:rFonts w:ascii="Arial" w:cs="Arial" w:eastAsia="Arial" w:hAnsi="Arial"/>
          <w:sz w:val="13"/>
          <w:szCs w:val="13"/>
          <w:i w:val="1"/>
          <w:iCs w:val="1"/>
          <w:color w:val="auto"/>
        </w:rPr>
        <w:t>Special Items, net</w:t>
      </w:r>
      <w:r>
        <w:rPr>
          <w:rFonts w:ascii="Arial" w:cs="Arial" w:eastAsia="Arial" w:hAnsi="Arial"/>
          <w:sz w:val="13"/>
          <w:szCs w:val="13"/>
          <w:color w:val="auto"/>
        </w:rPr>
        <w:t>. Special items, net was a contra-expense of $65.4 million for the six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June 30, 2021 and $31.5 million for the six months ended June 30, 2020. For the six months ended June 30,</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66" w:lineRule="auto"/>
        <w:rPr>
          <w:sz w:val="20"/>
          <w:szCs w:val="20"/>
          <w:color w:val="auto"/>
        </w:rPr>
      </w:pPr>
      <w:r>
        <w:rPr>
          <w:rFonts w:ascii="Arial" w:cs="Arial" w:eastAsia="Arial" w:hAnsi="Arial"/>
          <w:sz w:val="14"/>
          <w:szCs w:val="14"/>
          <w:color w:val="auto"/>
        </w:rPr>
        <w:t>2021, Special items, net included $71.6 million of contra-expense related to funds received under PSP2 and PSP3 of the CARES Act, to be used exclusively for the continuation of payments for salaries, wages, and benefits, and $0.8 million in refundable tax credits related to employee retention under the CARES Act. This was partially offset by a $7.0 million net charge relating to the purchase of six aircraft during the</w:t>
      </w:r>
    </w:p>
    <w:p>
      <w:pPr>
        <w:ind w:left="1160" w:right="1419"/>
        <w:spacing w:after="0" w:line="266" w:lineRule="auto"/>
        <w:rPr>
          <w:sz w:val="20"/>
          <w:szCs w:val="20"/>
          <w:color w:val="auto"/>
        </w:rPr>
      </w:pPr>
      <w:r>
        <w:rPr>
          <w:rFonts w:ascii="Arial" w:cs="Arial" w:eastAsia="Arial" w:hAnsi="Arial"/>
          <w:sz w:val="14"/>
          <w:szCs w:val="14"/>
          <w:color w:val="auto"/>
        </w:rPr>
        <w:t>six months that were previously under operating leases. For the six months ended June 30, 2020, Special items, net included $31.5 million of contra-expense related to funds received under PSP2 of the CARES Act, to be used exclusively for the continuation of payments for salaries, wages, and benefits. Our cargo segment was responsible for $18.4 million of the consolidated income from Special items, net for the six months ended June 30, 2021, and $3.4 million for the six months ended June 30, 2020. The segment allocation of these credits is based on the respective segment salaries, wages, and benefits.</w:t>
      </w:r>
    </w:p>
    <w:p>
      <w:pPr>
        <w:spacing w:after="0" w:line="83" w:lineRule="exact"/>
        <w:rPr>
          <w:sz w:val="20"/>
          <w:szCs w:val="20"/>
          <w:color w:val="auto"/>
        </w:rPr>
      </w:pPr>
    </w:p>
    <w:p>
      <w:pPr>
        <w:ind w:left="1460"/>
        <w:spacing w:after="0"/>
        <w:tabs>
          <w:tab w:leader="none" w:pos="2880" w:val="left"/>
        </w:tabs>
        <w:rPr>
          <w:sz w:val="20"/>
          <w:szCs w:val="20"/>
          <w:color w:val="auto"/>
        </w:rPr>
      </w:pPr>
      <w:r>
        <w:rPr>
          <w:rFonts w:ascii="Arial" w:cs="Arial" w:eastAsia="Arial" w:hAnsi="Arial"/>
          <w:sz w:val="15"/>
          <w:szCs w:val="15"/>
          <w:i w:val="1"/>
          <w:iCs w:val="1"/>
          <w:color w:val="auto"/>
        </w:rPr>
        <w:t>Other Operating,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operating, net expense increased by $7.5 million, or 31%, to</w:t>
      </w:r>
    </w:p>
    <w:p>
      <w:pPr>
        <w:spacing w:after="0" w:line="14" w:lineRule="exact"/>
        <w:rPr>
          <w:sz w:val="20"/>
          <w:szCs w:val="20"/>
          <w:color w:val="auto"/>
        </w:rPr>
      </w:pPr>
    </w:p>
    <w:p>
      <w:pPr>
        <w:ind w:left="1160" w:right="1199"/>
        <w:spacing w:after="0" w:line="266" w:lineRule="auto"/>
        <w:rPr>
          <w:sz w:val="20"/>
          <w:szCs w:val="20"/>
          <w:color w:val="auto"/>
        </w:rPr>
      </w:pPr>
      <w:r>
        <w:rPr>
          <w:rFonts w:ascii="Arial" w:cs="Arial" w:eastAsia="Arial" w:hAnsi="Arial"/>
          <w:sz w:val="14"/>
          <w:szCs w:val="14"/>
          <w:color w:val="auto"/>
        </w:rPr>
        <w:t>$31.4 million for the six months ended June 30, 2021, as compared to $23.9 million for the six months ended June 30, 2020. A passenger segment increase of $0.9 million was primarily driven by our higher level of operations for 2021, which resulted in increased crew and other employee travel costs, catering expenses, and other operational overhead costs. Our cargo segment was responsible for $7.5 million and $1.0 million of our consolidated Other Operating, net expense for the six months ended June 30, 2021 and 2020, respectively, driven by overhead expenses as well as crew and employee travel costs.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24" w:lineRule="exact"/>
        <w:rPr>
          <w:sz w:val="20"/>
          <w:szCs w:val="20"/>
          <w:color w:val="auto"/>
        </w:rPr>
      </w:pPr>
    </w:p>
    <w:p>
      <w:pPr>
        <w:ind w:left="1460"/>
        <w:spacing w:after="0"/>
        <w:tabs>
          <w:tab w:leader="none" w:pos="2600" w:val="left"/>
        </w:tabs>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Interest expense increased by $2.1 million, or 19%, to $13.2 million for the</w:t>
      </w:r>
    </w:p>
    <w:p>
      <w:pPr>
        <w:spacing w:after="0" w:line="14" w:lineRule="exact"/>
        <w:rPr>
          <w:sz w:val="20"/>
          <w:szCs w:val="20"/>
          <w:color w:val="auto"/>
        </w:rPr>
      </w:pPr>
    </w:p>
    <w:p>
      <w:pPr>
        <w:ind w:left="1160" w:right="1259"/>
        <w:spacing w:after="0" w:line="292" w:lineRule="auto"/>
        <w:rPr>
          <w:sz w:val="20"/>
          <w:szCs w:val="20"/>
          <w:color w:val="auto"/>
        </w:rPr>
      </w:pPr>
      <w:r>
        <w:rPr>
          <w:rFonts w:ascii="Arial" w:cs="Arial" w:eastAsia="Arial" w:hAnsi="Arial"/>
          <w:sz w:val="13"/>
          <w:szCs w:val="13"/>
          <w:color w:val="auto"/>
        </w:rPr>
        <w:t>six months ended June 30, 2021, as compared to $11.1 million for the six months ended June 30, 2020. The increase was primarily due to debt issued for the acquisition of new aircraft and spare engines, including new debt incurred in connection with the 2019-1 EETC, and the Delayed Draw Term Loan Facility. During the six months ended June 30, 2021, the Company expensed $1.2 million of debt financing costs due to the $46.3 million pay-off of the CARES Act Loan and the replacement of the $25.0 million ABL Facility.</w:t>
      </w:r>
    </w:p>
    <w:p>
      <w:pPr>
        <w:spacing w:after="0" w:line="80" w:lineRule="exact"/>
        <w:rPr>
          <w:sz w:val="20"/>
          <w:szCs w:val="20"/>
          <w:color w:val="auto"/>
        </w:rPr>
      </w:pPr>
    </w:p>
    <w:p>
      <w:pPr>
        <w:ind w:left="1160" w:right="1279" w:firstLine="293"/>
        <w:spacing w:after="0" w:line="271" w:lineRule="auto"/>
        <w:rPr>
          <w:sz w:val="20"/>
          <w:szCs w:val="20"/>
          <w:color w:val="auto"/>
        </w:rPr>
      </w:pPr>
      <w:r>
        <w:rPr>
          <w:rFonts w:ascii="Arial" w:cs="Arial" w:eastAsia="Arial" w:hAnsi="Arial"/>
          <w:sz w:val="14"/>
          <w:szCs w:val="14"/>
          <w:i w:val="1"/>
          <w:iCs w:val="1"/>
          <w:color w:val="auto"/>
        </w:rPr>
        <w:t>Other, net</w:t>
      </w:r>
      <w:r>
        <w:rPr>
          <w:rFonts w:ascii="Arial" w:cs="Arial" w:eastAsia="Arial" w:hAnsi="Arial"/>
          <w:sz w:val="14"/>
          <w:szCs w:val="14"/>
          <w:color w:val="auto"/>
        </w:rPr>
        <w:t>. Other, net for the six months ended June 30, 2021 was $18.0 million and includes a credit</w:t>
      </w:r>
      <w:r>
        <w:rPr>
          <w:rFonts w:ascii="Arial" w:cs="Arial" w:eastAsia="Arial" w:hAnsi="Arial"/>
          <w:sz w:val="14"/>
          <w:szCs w:val="14"/>
          <w:i w:val="1"/>
          <w:iCs w:val="1"/>
          <w:color w:val="auto"/>
        </w:rPr>
        <w:t xml:space="preserve"> </w:t>
      </w:r>
      <w:r>
        <w:rPr>
          <w:rFonts w:ascii="Arial" w:cs="Arial" w:eastAsia="Arial" w:hAnsi="Arial"/>
          <w:sz w:val="14"/>
          <w:szCs w:val="14"/>
          <w:color w:val="auto"/>
        </w:rPr>
        <w:t>of $18.7 million for the adjustment of our income tax receivable agreement liability. The decrease in the income tax receivable agreement liability was mainly due to the receipt of the PSP3 grant of $34.5 million, which extended the time period in which distributions made to shareholders are restricted from March 31, 2022 to September 30, 2022, and also resulted in an increase in forecasted 2021 pre-tax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Segment Information</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ind w:right="148"/>
              <w:spacing w:after="0"/>
              <w:rPr>
                <w:sz w:val="20"/>
                <w:szCs w:val="20"/>
                <w:color w:val="auto"/>
              </w:rPr>
            </w:pPr>
            <w:r>
              <w:rPr>
                <w:rFonts w:ascii="Arial" w:cs="Arial" w:eastAsia="Arial" w:hAnsi="Arial"/>
                <w:sz w:val="12"/>
                <w:szCs w:val="12"/>
                <w:b w:val="1"/>
                <w:bCs w:val="1"/>
                <w:color w:val="auto"/>
                <w:w w:val="90"/>
              </w:rPr>
              <w:t>Six Months Ended June 30, 2021</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2"/>
                <w:szCs w:val="12"/>
                <w:b w:val="1"/>
                <w:bCs w:val="1"/>
                <w:color w:val="auto"/>
                <w:w w:val="86"/>
              </w:rPr>
              <w:t>Six Months Ended June 30, 2020</w:t>
            </w:r>
            <w:r>
              <w:rPr>
                <w:rFonts w:ascii="Arial" w:cs="Arial" w:eastAsia="Arial" w:hAnsi="Arial"/>
                <w:sz w:val="14"/>
                <w:szCs w:val="14"/>
                <w:b w:val="1"/>
                <w:bCs w:val="1"/>
                <w:color w:val="auto"/>
                <w:w w:val="86"/>
                <w:vertAlign w:val="superscript"/>
              </w:rPr>
              <w:t>(1)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78"/>
              </w:rPr>
              <w:t>Passenger</w:t>
            </w: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2"/>
              </w:rPr>
              <w:t>Cargo</w:t>
            </w:r>
          </w:p>
        </w:tc>
        <w:tc>
          <w:tcPr>
            <w:tcW w:w="8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80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82"/>
              </w:rPr>
              <w:t>Passenger</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Cargo</w:t>
            </w:r>
          </w:p>
        </w:tc>
        <w:tc>
          <w:tcPr>
            <w:tcW w:w="8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Operating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233,118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43,684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276,802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4"/>
              </w:rPr>
              <w:t>212,487</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9"/>
              </w:rPr>
              <w:t>$ 3,219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215,706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53,912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53,984</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56,238</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64,997</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21,395</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86,392</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67,208</w:t>
            </w: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3,367</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70,575</w:t>
            </w:r>
          </w:p>
        </w:tc>
        <w:tc>
          <w:tcPr>
            <w:tcW w:w="0" w:type="dxa"/>
            <w:vAlign w:val="bottom"/>
          </w:tcPr>
          <w:p>
            <w:pPr>
              <w:spacing w:after="0"/>
              <w:rPr>
                <w:sz w:val="1"/>
                <w:szCs w:val="1"/>
                <w:color w:val="auto"/>
              </w:rPr>
            </w:pPr>
          </w:p>
        </w:tc>
      </w:tr>
      <w:tr>
        <w:trPr>
          <w:trHeight w:val="209"/>
        </w:trPr>
        <w:tc>
          <w:tcPr>
            <w:tcW w:w="2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9,414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9,414</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16,966</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15,242</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5,268</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20,510</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8,395</w:t>
            </w: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509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8,904</w:t>
            </w:r>
          </w:p>
        </w:tc>
        <w:tc>
          <w:tcPr>
            <w:tcW w:w="0" w:type="dxa"/>
            <w:vAlign w:val="bottom"/>
          </w:tcPr>
          <w:p>
            <w:pPr>
              <w:spacing w:after="0"/>
              <w:rPr>
                <w:sz w:val="1"/>
                <w:szCs w:val="1"/>
                <w:color w:val="auto"/>
              </w:rPr>
            </w:pPr>
          </w:p>
        </w:tc>
      </w:tr>
      <w:tr>
        <w:trPr>
          <w:trHeight w:val="209"/>
        </w:trPr>
        <w:tc>
          <w:tcPr>
            <w:tcW w:w="2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10,932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10,932</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10,202</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26,022</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26,075</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22,681</w:t>
            </w: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22,702</w:t>
            </w:r>
          </w:p>
        </w:tc>
        <w:tc>
          <w:tcPr>
            <w:tcW w:w="0" w:type="dxa"/>
            <w:vAlign w:val="bottom"/>
          </w:tcPr>
          <w:p>
            <w:pPr>
              <w:spacing w:after="0"/>
              <w:rPr>
                <w:sz w:val="1"/>
                <w:szCs w:val="1"/>
                <w:color w:val="auto"/>
              </w:rPr>
            </w:pPr>
          </w:p>
        </w:tc>
      </w:tr>
      <w:tr>
        <w:trPr>
          <w:trHeight w:val="209"/>
        </w:trPr>
        <w:tc>
          <w:tcPr>
            <w:tcW w:w="2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11,781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11,781</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10,906</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17,279</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258</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17,537</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13,738</w:t>
            </w: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13,781</w:t>
            </w:r>
          </w:p>
        </w:tc>
        <w:tc>
          <w:tcPr>
            <w:tcW w:w="0" w:type="dxa"/>
            <w:vAlign w:val="bottom"/>
          </w:tcPr>
          <w:p>
            <w:pPr>
              <w:spacing w:after="0"/>
              <w:rPr>
                <w:sz w:val="1"/>
                <w:szCs w:val="1"/>
                <w:color w:val="auto"/>
              </w:rPr>
            </w:pPr>
          </w:p>
        </w:tc>
      </w:tr>
      <w:tr>
        <w:trPr>
          <w:trHeight w:val="209"/>
        </w:trPr>
        <w:tc>
          <w:tcPr>
            <w:tcW w:w="2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(46,991)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(18,401)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3"/>
              </w:rPr>
              <w:t>(65,392)</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(28,111)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(3,370)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(31,481)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60" w:type="dxa"/>
            <w:vAlign w:val="bottom"/>
            <w:gridSpan w:val="2"/>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23,899</w:t>
            </w:r>
          </w:p>
        </w:tc>
        <w:tc>
          <w:tcPr>
            <w:tcW w:w="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7,498</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31,397</w:t>
            </w: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22,950</w:t>
            </w: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967</w:t>
            </w:r>
          </w:p>
        </w:tc>
        <w:tc>
          <w:tcPr>
            <w:tcW w:w="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23,917</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8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6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186,487</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16,143</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202,630</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4"/>
              </w:rPr>
              <w:t>201,173</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202,710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8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560" w:type="dxa"/>
            <w:vAlign w:val="bottom"/>
            <w:gridSpan w:val="2"/>
          </w:tcPr>
          <w:p>
            <w:pPr>
              <w:spacing w:after="0"/>
              <w:rPr>
                <w:sz w:val="20"/>
                <w:szCs w:val="20"/>
                <w:color w:val="auto"/>
              </w:rPr>
            </w:pPr>
            <w:r>
              <w:rPr>
                <w:rFonts w:ascii="Arial" w:cs="Arial" w:eastAsia="Arial" w:hAnsi="Arial"/>
                <w:sz w:val="15"/>
                <w:szCs w:val="15"/>
                <w:color w:val="auto"/>
              </w:rPr>
              <w:t>Operating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46,631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27,541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74,172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11,314</w:t>
            </w: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w w:val="79"/>
              </w:rPr>
              <w:t>$ 1,682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12,996</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Adjustment for Special Items</w:t>
            </w: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(46,991)</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(18,401)</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3"/>
              </w:rPr>
              <w:t>(65,392)</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(28,111)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(3,370)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(31,481)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8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60" w:type="dxa"/>
            <w:vAlign w:val="bottom"/>
            <w:gridSpan w:val="2"/>
          </w:tcPr>
          <w:p>
            <w:pPr>
              <w:spacing w:after="0"/>
              <w:rPr>
                <w:sz w:val="20"/>
                <w:szCs w:val="20"/>
                <w:color w:val="auto"/>
              </w:rPr>
            </w:pPr>
            <w:r>
              <w:rPr>
                <w:rFonts w:ascii="Arial" w:cs="Arial" w:eastAsia="Arial" w:hAnsi="Arial"/>
                <w:sz w:val="15"/>
                <w:szCs w:val="15"/>
                <w:b w:val="1"/>
                <w:bCs w:val="1"/>
                <w:color w:val="auto"/>
                <w:w w:val="98"/>
              </w:rPr>
              <w:t>Operating Income (Loss), Excluding</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(360)</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5"/>
                <w:szCs w:val="15"/>
                <w:b w:val="1"/>
                <w:bCs w:val="1"/>
                <w:color w:val="auto"/>
              </w:rPr>
              <w:t>9,140</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5"/>
                <w:szCs w:val="15"/>
                <w:b w:val="1"/>
                <w:bCs w:val="1"/>
                <w:color w:val="auto"/>
              </w:rPr>
              <w:t>8,780</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5"/>
                <w:szCs w:val="15"/>
                <w:b w:val="1"/>
                <w:bCs w:val="1"/>
                <w:color w:val="auto"/>
                <w:w w:val="93"/>
              </w:rPr>
              <w:t>(16,797)</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w w:val="78"/>
              </w:rPr>
              <w:t>$(1,688)</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w w:val="93"/>
              </w:rPr>
              <w:t>(18,485)</w:t>
            </w:r>
          </w:p>
        </w:tc>
        <w:tc>
          <w:tcPr>
            <w:tcW w:w="0" w:type="dxa"/>
            <w:vAlign w:val="bottom"/>
          </w:tcPr>
          <w:p>
            <w:pPr>
              <w:spacing w:after="0"/>
              <w:rPr>
                <w:sz w:val="1"/>
                <w:szCs w:val="1"/>
                <w:color w:val="auto"/>
              </w:rPr>
            </w:pPr>
          </w:p>
        </w:tc>
      </w:tr>
      <w:tr>
        <w:trPr>
          <w:trHeight w:val="192"/>
        </w:trPr>
        <w:tc>
          <w:tcPr>
            <w:tcW w:w="2560" w:type="dxa"/>
            <w:vAlign w:val="bottom"/>
            <w:gridSpan w:val="2"/>
          </w:tcPr>
          <w:p>
            <w:pPr>
              <w:ind w:left="160"/>
              <w:spacing w:after="0"/>
              <w:rPr>
                <w:sz w:val="20"/>
                <w:szCs w:val="20"/>
                <w:color w:val="auto"/>
              </w:rPr>
            </w:pPr>
            <w:r>
              <w:rPr>
                <w:rFonts w:ascii="Arial" w:cs="Arial" w:eastAsia="Arial" w:hAnsi="Arial"/>
                <w:sz w:val="15"/>
                <w:szCs w:val="15"/>
                <w:b w:val="1"/>
                <w:bCs w:val="1"/>
                <w:color w:val="auto"/>
              </w:rPr>
              <w:t>Special Items</w:t>
            </w:r>
          </w:p>
        </w:tc>
        <w:tc>
          <w:tcPr>
            <w:tcW w:w="6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Operating Margin %, Excluding</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2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5"/>
                <w:szCs w:val="15"/>
                <w:b w:val="1"/>
                <w:bCs w:val="1"/>
                <w:color w:val="auto"/>
              </w:rPr>
              <w:t>0%</w:t>
            </w:r>
          </w:p>
        </w:tc>
        <w:tc>
          <w:tcPr>
            <w:tcW w:w="80" w:type="dxa"/>
            <w:vAlign w:val="bottom"/>
          </w:tcPr>
          <w:p>
            <w:pPr>
              <w:spacing w:after="0"/>
              <w:rPr>
                <w:sz w:val="13"/>
                <w:szCs w:val="13"/>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5"/>
                <w:szCs w:val="15"/>
                <w:b w:val="1"/>
                <w:bCs w:val="1"/>
                <w:color w:val="auto"/>
              </w:rPr>
              <w:t>21%</w:t>
            </w:r>
          </w:p>
        </w:tc>
        <w:tc>
          <w:tcPr>
            <w:tcW w:w="80" w:type="dxa"/>
            <w:vAlign w:val="bottom"/>
          </w:tcPr>
          <w:p>
            <w:pPr>
              <w:spacing w:after="0"/>
              <w:rPr>
                <w:sz w:val="13"/>
                <w:szCs w:val="13"/>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5"/>
                <w:szCs w:val="15"/>
                <w:b w:val="1"/>
                <w:bCs w:val="1"/>
                <w:color w:val="auto"/>
              </w:rPr>
              <w:t>3%</w:t>
            </w:r>
          </w:p>
        </w:tc>
        <w:tc>
          <w:tcPr>
            <w:tcW w:w="80" w:type="dxa"/>
            <w:vAlign w:val="bottom"/>
          </w:tcPr>
          <w:p>
            <w:pPr>
              <w:spacing w:after="0"/>
              <w:rPr>
                <w:sz w:val="13"/>
                <w:szCs w:val="13"/>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5"/>
                <w:szCs w:val="15"/>
                <w:b w:val="1"/>
                <w:bCs w:val="1"/>
                <w:color w:val="auto"/>
              </w:rPr>
              <w:t>(8)%</w:t>
            </w:r>
          </w:p>
        </w:tc>
        <w:tc>
          <w:tcPr>
            <w:tcW w:w="68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(52)%</w:t>
            </w:r>
          </w:p>
        </w:tc>
        <w:tc>
          <w:tcPr>
            <w:tcW w:w="6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(9)%</w:t>
            </w:r>
          </w:p>
        </w:tc>
        <w:tc>
          <w:tcPr>
            <w:tcW w:w="0" w:type="dxa"/>
            <w:vAlign w:val="bottom"/>
          </w:tcPr>
          <w:p>
            <w:pPr>
              <w:spacing w:after="0"/>
              <w:rPr>
                <w:sz w:val="1"/>
                <w:szCs w:val="1"/>
                <w:color w:val="auto"/>
              </w:rPr>
            </w:pPr>
          </w:p>
        </w:tc>
      </w:tr>
      <w:tr>
        <w:trPr>
          <w:trHeight w:val="225"/>
        </w:trPr>
        <w:tc>
          <w:tcPr>
            <w:tcW w:w="2560" w:type="dxa"/>
            <w:vAlign w:val="bottom"/>
            <w:gridSpan w:val="2"/>
          </w:tcPr>
          <w:p>
            <w:pPr>
              <w:ind w:left="160"/>
              <w:spacing w:after="0"/>
              <w:rPr>
                <w:sz w:val="20"/>
                <w:szCs w:val="20"/>
                <w:color w:val="auto"/>
              </w:rPr>
            </w:pPr>
            <w:r>
              <w:rPr>
                <w:rFonts w:ascii="Arial" w:cs="Arial" w:eastAsia="Arial" w:hAnsi="Arial"/>
                <w:sz w:val="15"/>
                <w:szCs w:val="15"/>
                <w:b w:val="1"/>
                <w:bCs w:val="1"/>
                <w:color w:val="auto"/>
              </w:rPr>
              <w:t>Special Items</w:t>
            </w:r>
          </w:p>
        </w:tc>
        <w:tc>
          <w:tcPr>
            <w:tcW w:w="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70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-340995</wp:posOffset>
            </wp:positionV>
            <wp:extent cx="4241800" cy="2584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41800" cy="25844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-1087755</wp:posOffset>
            </wp:positionV>
            <wp:extent cx="11874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-1087755</wp:posOffset>
            </wp:positionV>
            <wp:extent cx="11874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-1087755</wp:posOffset>
            </wp:positionV>
            <wp:extent cx="11874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-1087755</wp:posOffset>
            </wp:positionV>
            <wp:extent cx="11176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-1087755</wp:posOffset>
            </wp:positionV>
            <wp:extent cx="207200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07200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-2699385</wp:posOffset>
            </wp:positionV>
            <wp:extent cx="11176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-2699385</wp:posOffset>
            </wp:positionV>
            <wp:extent cx="11176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-2699385</wp:posOffset>
            </wp:positionV>
            <wp:extent cx="11176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3152775</wp:posOffset>
            </wp:positionH>
            <wp:positionV relativeFrom="paragraph">
              <wp:posOffset>-2699385</wp:posOffset>
            </wp:positionV>
            <wp:extent cx="10477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-2699385</wp:posOffset>
            </wp:positionV>
            <wp:extent cx="206502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65020" cy="6985"/>
                    </a:xfrm>
                    <a:prstGeom prst="rect">
                      <a:avLst/>
                    </a:prstGeom>
                    <a:noFill/>
                  </pic:spPr>
                </pic:pic>
              </a:graphicData>
            </a:graphic>
          </wp:anchor>
        </w:drawing>
      </w:r>
    </w:p>
    <w:p>
      <w:pPr>
        <w:spacing w:after="0" w:line="68"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Air cargo operations with Amazon commenced in May 2020.</w:t>
      </w:r>
    </w:p>
    <w:p>
      <w:pPr>
        <w:spacing w:after="0" w:line="124"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i w:val="1"/>
          <w:iCs w:val="1"/>
          <w:color w:val="auto"/>
        </w:rPr>
        <w:t>Passenger</w:t>
      </w:r>
      <w:r>
        <w:rPr>
          <w:rFonts w:ascii="Arial" w:cs="Arial" w:eastAsia="Arial" w:hAnsi="Arial"/>
          <w:sz w:val="15"/>
          <w:szCs w:val="15"/>
          <w:color w:val="auto"/>
        </w:rPr>
        <w:t>. Passenger operating income increased by $35.3 million, or 312%, to $46.6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six months ended June 30, 2021 from $11.3 million for the six months ended June 30, 2020. For more information on the changes in the components of operating income for the passenger segment, refer to the consolidated results of operations discussion above.</w:t>
      </w:r>
    </w:p>
    <w:p>
      <w:pPr>
        <w:spacing w:after="0" w:line="102" w:lineRule="exact"/>
        <w:rPr>
          <w:sz w:val="20"/>
          <w:szCs w:val="20"/>
          <w:color w:val="auto"/>
        </w:rPr>
      </w:pPr>
    </w:p>
    <w:p>
      <w:pPr>
        <w:ind w:left="1160" w:right="1379" w:firstLine="293"/>
        <w:spacing w:after="0" w:line="248" w:lineRule="auto"/>
        <w:rPr>
          <w:sz w:val="20"/>
          <w:szCs w:val="20"/>
          <w:color w:val="auto"/>
        </w:rPr>
      </w:pPr>
      <w:r>
        <w:rPr>
          <w:rFonts w:ascii="Arial" w:cs="Arial" w:eastAsia="Arial" w:hAnsi="Arial"/>
          <w:sz w:val="15"/>
          <w:szCs w:val="15"/>
          <w:i w:val="1"/>
          <w:iCs w:val="1"/>
          <w:color w:val="auto"/>
        </w:rPr>
        <w:t>Cargo</w:t>
      </w:r>
      <w:r>
        <w:rPr>
          <w:rFonts w:ascii="Arial" w:cs="Arial" w:eastAsia="Arial" w:hAnsi="Arial"/>
          <w:sz w:val="15"/>
          <w:szCs w:val="15"/>
          <w:color w:val="auto"/>
        </w:rPr>
        <w:t>. Cargo operating income was $27.5 million for the six months ended June 30, 2021, as</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$1.7 million for the six months ended June 30, 2020. As air cargo operations commenced in May 2020, the cargo segment had limited comparable operations for the six months ended June 30, 2020.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years ended December 31, 2020 and 2019</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6"/>
          </w:tcPr>
          <w:p>
            <w:pPr>
              <w:jc w:val="right"/>
              <w:ind w:right="200"/>
              <w:spacing w:after="0"/>
              <w:rPr>
                <w:sz w:val="20"/>
                <w:szCs w:val="20"/>
                <w:color w:val="auto"/>
              </w:rPr>
            </w:pPr>
            <w:r>
              <w:rPr>
                <w:rFonts w:ascii="Arial" w:cs="Arial" w:eastAsia="Arial" w:hAnsi="Arial"/>
                <w:sz w:val="12"/>
                <w:szCs w:val="12"/>
                <w:b w:val="1"/>
                <w:bCs w:val="1"/>
                <w:color w:val="auto"/>
              </w:rPr>
              <w:t>For the year ended December 31,</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Change</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2440" w:type="dxa"/>
            <w:vAlign w:val="bottom"/>
          </w:tcPr>
          <w:p>
            <w:pPr>
              <w:spacing w:after="0"/>
              <w:rPr>
                <w:sz w:val="20"/>
                <w:szCs w:val="20"/>
                <w:color w:val="auto"/>
              </w:rPr>
            </w:pPr>
            <w:r>
              <w:rPr>
                <w:rFonts w:ascii="Arial" w:cs="Arial" w:eastAsia="Arial" w:hAnsi="Arial"/>
                <w:sz w:val="12"/>
                <w:szCs w:val="12"/>
                <w:b w:val="1"/>
                <w:bCs w:val="1"/>
                <w:color w:val="auto"/>
              </w:rPr>
              <w:t>(in thousands, except percentages)</w:t>
            </w:r>
          </w:p>
        </w:tc>
        <w:tc>
          <w:tcPr>
            <w:tcW w:w="2320" w:type="dxa"/>
            <w:vAlign w:val="bottom"/>
            <w:gridSpan w:val="3"/>
          </w:tcPr>
          <w:p>
            <w:pPr>
              <w:jc w:val="right"/>
              <w:ind w:right="112"/>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80" w:type="dxa"/>
            <w:vAlign w:val="bottom"/>
          </w:tcPr>
          <w:p>
            <w:pPr>
              <w:jc w:val="right"/>
              <w:ind w:right="11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40" w:type="dxa"/>
            <w:vAlign w:val="bottom"/>
          </w:tcPr>
          <w:p>
            <w:pPr>
              <w:jc w:val="right"/>
              <w:ind w:right="176"/>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r>
              <w:rPr>
                <w:rFonts w:ascii="Arial" w:cs="Arial" w:eastAsia="Arial" w:hAnsi="Arial"/>
                <w:sz w:val="15"/>
                <w:szCs w:val="15"/>
                <w:color w:val="auto"/>
              </w:rPr>
              <w:t>:</w:t>
            </w:r>
          </w:p>
        </w:tc>
        <w:tc>
          <w:tcPr>
            <w:tcW w:w="1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98"/>
        </w:trPr>
        <w:tc>
          <w:tcPr>
            <w:tcW w:w="10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2500" w:type="dxa"/>
            <w:vAlign w:val="bottom"/>
            <w:gridSpan w:val="4"/>
          </w:tcPr>
          <w:p>
            <w:pPr>
              <w:jc w:val="right"/>
              <w:ind w:right="180"/>
              <w:spacing w:after="0"/>
              <w:rPr>
                <w:sz w:val="20"/>
                <w:szCs w:val="20"/>
                <w:color w:val="auto"/>
              </w:rPr>
            </w:pPr>
            <w:r>
              <w:rPr>
                <w:rFonts w:ascii="Arial" w:cs="Arial" w:eastAsia="Arial" w:hAnsi="Arial"/>
                <w:sz w:val="15"/>
                <w:szCs w:val="15"/>
                <w:color w:val="auto"/>
              </w:rPr>
              <w:t>$ 359,232</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83"/>
              </w:rPr>
              <w:t>$ 688,833</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w w:val="90"/>
              </w:rPr>
              <w:t>(329,601)</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(48)%</w:t>
            </w:r>
          </w:p>
        </w:tc>
      </w:tr>
      <w:tr>
        <w:trPr>
          <w:trHeight w:val="198"/>
        </w:trPr>
        <w:tc>
          <w:tcPr>
            <w:tcW w:w="1020" w:type="dxa"/>
            <w:vAlign w:val="bottom"/>
          </w:tcPr>
          <w:p>
            <w:pPr>
              <w:spacing w:after="0"/>
              <w:rPr>
                <w:sz w:val="17"/>
                <w:szCs w:val="17"/>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250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36,809</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22"/>
                <w:szCs w:val="22"/>
                <w:color w:val="auto"/>
                <w:vertAlign w:val="subscript"/>
              </w:rPr>
              <w:t>NM</w:t>
            </w:r>
            <w:r>
              <w:rPr>
                <w:rFonts w:ascii="Arial" w:cs="Arial" w:eastAsia="Arial" w:hAnsi="Arial"/>
                <w:sz w:val="9"/>
                <w:szCs w:val="9"/>
                <w:color w:val="auto"/>
              </w:rPr>
              <w:t>(2)</w:t>
            </w:r>
          </w:p>
        </w:tc>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NM</w:t>
            </w:r>
          </w:p>
        </w:tc>
        <w:tc>
          <w:tcPr>
            <w:tcW w:w="1020" w:type="dxa"/>
            <w:vAlign w:val="bottom"/>
          </w:tcPr>
          <w:p>
            <w:pPr>
              <w:jc w:val="right"/>
              <w:ind w:right="825"/>
              <w:spacing w:after="0"/>
              <w:rPr>
                <w:sz w:val="20"/>
                <w:szCs w:val="20"/>
                <w:color w:val="auto"/>
              </w:rPr>
            </w:pPr>
            <w:r>
              <w:rPr>
                <w:rFonts w:ascii="Arial" w:cs="Arial" w:eastAsia="Arial" w:hAnsi="Arial"/>
                <w:sz w:val="11"/>
                <w:szCs w:val="11"/>
                <w:color w:val="auto"/>
                <w:w w:val="88"/>
              </w:rPr>
              <w:t>(2)</w:t>
            </w:r>
          </w:p>
        </w:tc>
      </w:tr>
      <w:tr>
        <w:trPr>
          <w:trHeight w:val="225"/>
        </w:trPr>
        <w:tc>
          <w:tcPr>
            <w:tcW w:w="10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Arial" w:cs="Arial" w:eastAsia="Arial" w:hAnsi="Arial"/>
                <w:sz w:val="15"/>
                <w:szCs w:val="15"/>
                <w:color w:val="auto"/>
              </w:rPr>
              <w:t>Other</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5,445</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12,551</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(7,106)</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(57)%</w:t>
            </w:r>
          </w:p>
        </w:tc>
      </w:tr>
      <w:tr>
        <w:trPr>
          <w:trHeight w:val="20"/>
        </w:trPr>
        <w:tc>
          <w:tcPr>
            <w:tcW w:w="1020" w:type="dxa"/>
            <w:vAlign w:val="bottom"/>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Revenue</w:t>
            </w:r>
          </w:p>
        </w:tc>
        <w:tc>
          <w:tcPr>
            <w:tcW w:w="156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401,486</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701,384</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w w:val="90"/>
              </w:rPr>
              <w:t>(299,898)</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(43)%</w:t>
            </w:r>
          </w:p>
        </w:tc>
      </w:tr>
      <w:tr>
        <w:trPr>
          <w:trHeight w:val="216"/>
        </w:trPr>
        <w:tc>
          <w:tcPr>
            <w:tcW w:w="1020" w:type="dxa"/>
            <w:vAlign w:val="bottom"/>
          </w:tcPr>
          <w:p>
            <w:pPr>
              <w:spacing w:after="0"/>
              <w:rPr>
                <w:sz w:val="18"/>
                <w:szCs w:val="18"/>
                <w:color w:val="auto"/>
              </w:rPr>
            </w:pPr>
          </w:p>
        </w:tc>
        <w:tc>
          <w:tcPr>
            <w:tcW w:w="24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r>
      <w:tr>
        <w:trPr>
          <w:trHeight w:val="516"/>
        </w:trPr>
        <w:tc>
          <w:tcPr>
            <w:tcW w:w="1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60" w:type="dxa"/>
            <w:vAlign w:val="bottom"/>
          </w:tcPr>
          <w:p>
            <w:pPr>
              <w:jc w:val="right"/>
              <w:ind w:right="530"/>
              <w:spacing w:after="0"/>
              <w:rPr>
                <w:sz w:val="20"/>
                <w:szCs w:val="20"/>
                <w:color w:val="auto"/>
              </w:rPr>
            </w:pPr>
            <w:r>
              <w:rPr>
                <w:rFonts w:ascii="Arial" w:cs="Arial" w:eastAsia="Arial" w:hAnsi="Arial"/>
                <w:sz w:val="15"/>
                <w:szCs w:val="15"/>
                <w:color w:val="auto"/>
              </w:rPr>
              <w:t>82</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-843280</wp:posOffset>
            </wp:positionV>
            <wp:extent cx="4241800" cy="1536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-1366520</wp:posOffset>
            </wp:positionV>
            <wp:extent cx="11176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-1366520</wp:posOffset>
            </wp:positionV>
            <wp:extent cx="11176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-1366520</wp:posOffset>
            </wp:positionV>
            <wp:extent cx="11176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-1366520</wp:posOffset>
            </wp:positionV>
            <wp:extent cx="11176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tbl>
      <w:tblPr>
        <w:tblLayout w:type="fixed"/>
        <w:tblInd w:w="140" w:type="dxa"/>
        <w:tblCellMar>
          <w:top w:w="0" w:type="dxa"/>
          <w:left w:w="0" w:type="dxa"/>
          <w:bottom w:w="0" w:type="dxa"/>
          <w:right w:w="0" w:type="dxa"/>
        </w:tblCellMar>
      </w:tblPr>
      <w:tr>
        <w:trPr>
          <w:trHeight w:val="139"/>
        </w:trPr>
        <w:tc>
          <w:tcPr>
            <w:tcW w:w="5160" w:type="dxa"/>
            <w:vAlign w:val="bottom"/>
            <w:gridSpan w:val="3"/>
          </w:tcPr>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791"/>
        </w:trPr>
        <w:tc>
          <w:tcPr>
            <w:tcW w:w="10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gridSpan w:val="7"/>
          </w:tcPr>
          <w:p>
            <w:pPr>
              <w:jc w:val="right"/>
              <w:ind w:right="200"/>
              <w:spacing w:after="0"/>
              <w:rPr>
                <w:sz w:val="20"/>
                <w:szCs w:val="20"/>
                <w:color w:val="auto"/>
              </w:rPr>
            </w:pPr>
            <w:r>
              <w:rPr>
                <w:rFonts w:ascii="Arial" w:cs="Arial" w:eastAsia="Arial" w:hAnsi="Arial"/>
                <w:sz w:val="12"/>
                <w:szCs w:val="12"/>
                <w:b w:val="1"/>
                <w:bCs w:val="1"/>
                <w:color w:val="auto"/>
              </w:rPr>
              <w:t>For the year ended December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
        </w:trPr>
        <w:tc>
          <w:tcPr>
            <w:tcW w:w="1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6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600" w:type="dxa"/>
            <w:vAlign w:val="bottom"/>
          </w:tcPr>
          <w:p>
            <w:pPr>
              <w:jc w:val="right"/>
              <w:ind w:right="20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80" w:type="dxa"/>
            <w:vAlign w:val="bottom"/>
          </w:tcPr>
          <w:p>
            <w:pPr>
              <w:jc w:val="right"/>
              <w:ind w:right="7"/>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4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83,392</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165,666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(82,274)</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(50)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 .</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141,641</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140,739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902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1020" w:type="dxa"/>
            <w:vAlign w:val="bottom"/>
          </w:tcPr>
          <w:p>
            <w:pPr>
              <w:spacing w:after="0"/>
              <w:rPr>
                <w:sz w:val="18"/>
                <w:szCs w:val="18"/>
                <w:color w:val="auto"/>
              </w:rPr>
            </w:pPr>
          </w:p>
        </w:tc>
        <w:tc>
          <w:tcPr>
            <w:tcW w:w="4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30,989</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49,908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(18,919)</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27,416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35,286</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(7,870)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(22)%</w:t>
            </w:r>
          </w:p>
        </w:tc>
      </w:tr>
      <w:tr>
        <w:trPr>
          <w:trHeight w:val="209"/>
        </w:trPr>
        <w:tc>
          <w:tcPr>
            <w:tcW w:w="1020" w:type="dxa"/>
            <w:vAlign w:val="bottom"/>
          </w:tcPr>
          <w:p>
            <w:pPr>
              <w:spacing w:after="0"/>
              <w:rPr>
                <w:sz w:val="18"/>
                <w:szCs w:val="18"/>
                <w:color w:val="auto"/>
              </w:rPr>
            </w:pPr>
          </w:p>
        </w:tc>
        <w:tc>
          <w:tcPr>
            <w:tcW w:w="4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16,570</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35,388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(18,818)</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(53)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48,086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34,877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13,209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9"/>
        </w:trPr>
        <w:tc>
          <w:tcPr>
            <w:tcW w:w="1020" w:type="dxa"/>
            <w:vAlign w:val="bottom"/>
          </w:tcPr>
          <w:p>
            <w:pPr>
              <w:spacing w:after="0"/>
              <w:rPr>
                <w:sz w:val="18"/>
                <w:szCs w:val="18"/>
                <w:color w:val="auto"/>
              </w:rPr>
            </w:pPr>
          </w:p>
        </w:tc>
        <w:tc>
          <w:tcPr>
            <w:tcW w:w="4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20,596</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41,719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(21,123)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(51)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31,256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44,400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(13,144)</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209"/>
        </w:trPr>
        <w:tc>
          <w:tcPr>
            <w:tcW w:w="1020" w:type="dxa"/>
            <w:vAlign w:val="bottom"/>
          </w:tcPr>
          <w:p>
            <w:pPr>
              <w:spacing w:after="0"/>
              <w:rPr>
                <w:sz w:val="18"/>
                <w:szCs w:val="18"/>
                <w:color w:val="auto"/>
              </w:rPr>
            </w:pPr>
          </w:p>
        </w:tc>
        <w:tc>
          <w:tcPr>
            <w:tcW w:w="4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(64,563)</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7,092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(71,655)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(2)</w:t>
            </w:r>
          </w:p>
        </w:tc>
      </w:tr>
      <w:tr>
        <w:trPr>
          <w:trHeight w:val="214"/>
        </w:trPr>
        <w:tc>
          <w:tcPr>
            <w:tcW w:w="10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48,718</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68,187</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(19,469)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20"/>
        </w:trPr>
        <w:tc>
          <w:tcPr>
            <w:tcW w:w="102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3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384,101</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623,262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9"/>
              </w:rPr>
              <w:t>(239,161)</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102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10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17,385</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78,122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(60,737)</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(78)%</w:t>
            </w:r>
          </w:p>
        </w:tc>
      </w:tr>
      <w:tr>
        <w:trPr>
          <w:trHeight w:val="205"/>
        </w:trPr>
        <w:tc>
          <w:tcPr>
            <w:tcW w:w="1020" w:type="dxa"/>
            <w:vAlign w:val="bottom"/>
          </w:tcPr>
          <w:p>
            <w:pPr>
              <w:spacing w:after="0"/>
              <w:rPr>
                <w:sz w:val="17"/>
                <w:szCs w:val="17"/>
                <w:color w:val="auto"/>
              </w:rPr>
            </w:pPr>
          </w:p>
        </w:tc>
        <w:tc>
          <w:tcPr>
            <w:tcW w:w="41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r>
              <w:rPr>
                <w:rFonts w:ascii="Arial" w:cs="Arial" w:eastAsia="Arial" w:hAnsi="Arial"/>
                <w:sz w:val="15"/>
                <w:szCs w:val="15"/>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377</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(560)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(60)%</w:t>
            </w:r>
          </w:p>
        </w:tc>
      </w:tr>
      <w:tr>
        <w:trPr>
          <w:trHeight w:val="220"/>
        </w:trPr>
        <w:tc>
          <w:tcPr>
            <w:tcW w:w="1020" w:type="dxa"/>
            <w:vAlign w:val="bottom"/>
          </w:tcPr>
          <w:p>
            <w:pPr>
              <w:spacing w:after="0"/>
              <w:rPr>
                <w:sz w:val="19"/>
                <w:szCs w:val="19"/>
                <w:color w:val="auto"/>
              </w:rPr>
            </w:pPr>
          </w:p>
        </w:tc>
        <w:tc>
          <w:tcPr>
            <w:tcW w:w="4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(22,073)</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(17,170)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(4,903)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1020" w:type="dxa"/>
            <w:vAlign w:val="bottom"/>
          </w:tcPr>
          <w:p>
            <w:pPr>
              <w:spacing w:after="0"/>
              <w:rPr>
                <w:sz w:val="19"/>
                <w:szCs w:val="19"/>
                <w:color w:val="auto"/>
              </w:rPr>
            </w:pPr>
          </w:p>
        </w:tc>
        <w:tc>
          <w:tcPr>
            <w:tcW w:w="4140" w:type="dxa"/>
            <w:vAlign w:val="bottom"/>
            <w:gridSpan w:val="2"/>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(1,729)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1,358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79%</w:t>
            </w:r>
          </w:p>
        </w:tc>
      </w:tr>
      <w:tr>
        <w:trPr>
          <w:trHeight w:val="20"/>
        </w:trPr>
        <w:tc>
          <w:tcPr>
            <w:tcW w:w="1020" w:type="dxa"/>
            <w:vAlign w:val="bottom"/>
          </w:tcPr>
          <w:p>
            <w:pPr>
              <w:spacing w:after="0" w:line="20" w:lineRule="exact"/>
              <w:rPr>
                <w:sz w:val="1"/>
                <w:szCs w:val="1"/>
                <w:color w:val="auto"/>
              </w:rPr>
            </w:pPr>
          </w:p>
        </w:tc>
        <w:tc>
          <w:tcPr>
            <w:tcW w:w="414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414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(22,067)</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(17,962)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(4,105)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10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5"/>
                <w:szCs w:val="15"/>
                <w:color w:val="auto"/>
              </w:rPr>
              <w:t>Income (Loss) before Income Tax</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60,160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(64,842)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(108)%</w:t>
            </w:r>
          </w:p>
        </w:tc>
      </w:tr>
      <w:tr>
        <w:trPr>
          <w:trHeight w:val="20"/>
        </w:trPr>
        <w:tc>
          <w:tcPr>
            <w:tcW w:w="102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Expense (Benefit)</w:t>
            </w:r>
          </w:p>
        </w:tc>
        <w:tc>
          <w:tcPr>
            <w:tcW w:w="2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14,088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(14,866)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(106)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102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1020" w:type="dxa"/>
            <w:vAlign w:val="bottom"/>
          </w:tcPr>
          <w:p>
            <w:pPr>
              <w:spacing w:after="0"/>
              <w:rPr>
                <w:sz w:val="19"/>
                <w:szCs w:val="19"/>
                <w:color w:val="auto"/>
              </w:rPr>
            </w:pPr>
          </w:p>
        </w:tc>
        <w:tc>
          <w:tcPr>
            <w:tcW w:w="4140" w:type="dxa"/>
            <w:vAlign w:val="bottom"/>
            <w:gridSpan w:val="2"/>
          </w:tcPr>
          <w:p>
            <w:pPr>
              <w:ind w:left="300"/>
              <w:spacing w:after="0"/>
              <w:rPr>
                <w:sz w:val="20"/>
                <w:szCs w:val="20"/>
                <w:color w:val="auto"/>
              </w:rPr>
            </w:pPr>
            <w:r>
              <w:rPr>
                <w:rFonts w:ascii="Arial" w:cs="Arial" w:eastAsia="Arial" w:hAnsi="Arial"/>
                <w:sz w:val="15"/>
                <w:szCs w:val="15"/>
                <w:color w:val="auto"/>
              </w:rPr>
              <w:t>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 (49,976)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(109)%</w:t>
            </w:r>
          </w:p>
        </w:tc>
      </w:tr>
      <w:tr>
        <w:trPr>
          <w:trHeight w:val="20"/>
        </w:trPr>
        <w:tc>
          <w:tcPr>
            <w:tcW w:w="1020" w:type="dxa"/>
            <w:vAlign w:val="bottom"/>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1"/>
        </w:trPr>
        <w:tc>
          <w:tcPr>
            <w:tcW w:w="1020" w:type="dxa"/>
            <w:vAlign w:val="bottom"/>
          </w:tcPr>
          <w:p>
            <w:pPr>
              <w:spacing w:after="0"/>
              <w:rPr>
                <w:sz w:val="14"/>
                <w:szCs w:val="14"/>
                <w:color w:val="auto"/>
              </w:rPr>
            </w:pPr>
          </w:p>
        </w:tc>
        <w:tc>
          <w:tcPr>
            <w:tcW w:w="4140" w:type="dxa"/>
            <w:vAlign w:val="bottom"/>
            <w:tcBorders>
              <w:right w:val="single" w:sz="8" w:color="CCEEFF"/>
            </w:tcBorders>
            <w:gridSpan w:val="2"/>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Non-GAAP Financial Data</w:t>
            </w: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r>
      <w:tr>
        <w:trPr>
          <w:trHeight w:val="242"/>
        </w:trPr>
        <w:tc>
          <w:tcPr>
            <w:tcW w:w="102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15"/>
                <w:szCs w:val="15"/>
                <w:color w:val="auto"/>
              </w:rPr>
              <w:t>Adjusted Net Income (Loss)</w:t>
            </w:r>
            <w:r>
              <w:rPr>
                <w:rFonts w:ascii="Arial" w:cs="Arial" w:eastAsia="Arial" w:hAnsi="Arial"/>
                <w:sz w:val="19"/>
                <w:szCs w:val="19"/>
                <w:color w:val="auto"/>
                <w:vertAlign w:val="superscript"/>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(47,916)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53,734</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$(101,650)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(189)%</w:t>
            </w:r>
          </w:p>
        </w:tc>
      </w:tr>
      <w:tr>
        <w:trPr>
          <w:trHeight w:val="242"/>
        </w:trPr>
        <w:tc>
          <w:tcPr>
            <w:tcW w:w="102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15"/>
                <w:szCs w:val="15"/>
                <w:color w:val="auto"/>
              </w:rPr>
              <w:t>Adjusted EBITDAR</w:t>
            </w:r>
            <w:r>
              <w:rPr>
                <w:rFonts w:ascii="Arial" w:cs="Arial" w:eastAsia="Arial" w:hAnsi="Arial"/>
                <w:sz w:val="19"/>
                <w:szCs w:val="19"/>
                <w:color w:val="auto"/>
                <w:vertAlign w:val="superscript"/>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38,930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171,129</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$(132,199)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1536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-760095</wp:posOffset>
            </wp:positionV>
            <wp:extent cx="29273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-760095</wp:posOffset>
            </wp:positionV>
            <wp:extent cx="356489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-1052830</wp:posOffset>
            </wp:positionV>
            <wp:extent cx="29273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-1052830</wp:posOffset>
            </wp:positionV>
            <wp:extent cx="356489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-1610995</wp:posOffset>
            </wp:positionV>
            <wp:extent cx="29273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-1610995</wp:posOffset>
            </wp:positionV>
            <wp:extent cx="356489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-1903730</wp:posOffset>
            </wp:positionV>
            <wp:extent cx="29273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-1903730</wp:posOffset>
            </wp:positionV>
            <wp:extent cx="356489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-3243580</wp:posOffset>
            </wp:positionV>
            <wp:extent cx="11176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-3243580</wp:posOffset>
            </wp:positionV>
            <wp:extent cx="111760"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-3243580</wp:posOffset>
            </wp:positionV>
            <wp:extent cx="11176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-3243580</wp:posOffset>
            </wp:positionV>
            <wp:extent cx="11176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125730</wp:posOffset>
            </wp:positionV>
            <wp:extent cx="44640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88" w:lineRule="exact"/>
        <w:rPr>
          <w:sz w:val="20"/>
          <w:szCs w:val="20"/>
          <w:color w:val="auto"/>
        </w:rPr>
      </w:pPr>
    </w:p>
    <w:p>
      <w:pPr>
        <w:ind w:left="1460" w:right="1379" w:hanging="296"/>
        <w:spacing w:after="0" w:line="236" w:lineRule="auto"/>
        <w:tabs>
          <w:tab w:leader="none" w:pos="1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See “— </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for definitions of these measures and reconciliations to the most comparable GAAP metric.</w:t>
      </w:r>
    </w:p>
    <w:p>
      <w:pPr>
        <w:spacing w:after="0" w:line="45" w:lineRule="exact"/>
        <w:rPr>
          <w:rFonts w:ascii="Arial" w:cs="Arial" w:eastAsia="Arial" w:hAnsi="Arial"/>
          <w:sz w:val="15"/>
          <w:szCs w:val="15"/>
          <w:color w:val="auto"/>
        </w:rPr>
      </w:pPr>
    </w:p>
    <w:p>
      <w:pPr>
        <w:ind w:left="1460" w:hanging="296"/>
        <w:spacing w:after="0"/>
        <w:tabs>
          <w:tab w:leader="none" w:pos="1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“NM” stands for not meaningful.</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Revenues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For the year ended December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Change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60" w:type="dxa"/>
            <w:vAlign w:val="bottom"/>
            <w:gridSpan w:val="3"/>
          </w:tcPr>
          <w:p>
            <w:pPr>
              <w:spacing w:after="0"/>
              <w:rPr>
                <w:sz w:val="20"/>
                <w:szCs w:val="20"/>
                <w:color w:val="auto"/>
              </w:rPr>
            </w:pPr>
            <w:r>
              <w:rPr>
                <w:rFonts w:ascii="Arial" w:cs="Arial" w:eastAsia="Arial" w:hAnsi="Arial"/>
                <w:sz w:val="12"/>
                <w:szCs w:val="12"/>
                <w:b w:val="1"/>
                <w:bCs w:val="1"/>
                <w:color w:val="auto"/>
              </w:rPr>
              <w:t>(in thousands, except percentages)</w:t>
            </w:r>
          </w:p>
        </w:tc>
        <w:tc>
          <w:tcPr>
            <w:tcW w:w="56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600" w:type="dxa"/>
            <w:vAlign w:val="bottom"/>
          </w:tcPr>
          <w:p>
            <w:pPr>
              <w:jc w:val="right"/>
              <w:ind w:right="21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Scheduled service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$193,047</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$396,113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$(203,066)</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(51)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gridSpan w:val="3"/>
          </w:tcPr>
          <w:p>
            <w:pPr>
              <w:spacing w:after="0"/>
              <w:rPr>
                <w:sz w:val="20"/>
                <w:szCs w:val="20"/>
                <w:color w:val="auto"/>
              </w:rPr>
            </w:pPr>
            <w:r>
              <w:rPr>
                <w:rFonts w:ascii="Arial" w:cs="Arial" w:eastAsia="Arial" w:hAnsi="Arial"/>
                <w:sz w:val="15"/>
                <w:szCs w:val="15"/>
                <w:color w:val="auto"/>
              </w:rPr>
              <w:t>Charter service</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98,130</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174,562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(76,432)</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(44)%</w:t>
            </w:r>
          </w:p>
        </w:tc>
      </w:tr>
      <w:tr>
        <w:trPr>
          <w:trHeight w:val="214"/>
        </w:trPr>
        <w:tc>
          <w:tcPr>
            <w:tcW w:w="3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Ancillary</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68,055</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9"/>
              </w:rPr>
              <w:t>118,158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(50,103)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(42)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4160" w:type="dxa"/>
            <w:vAlign w:val="bottom"/>
            <w:gridSpan w:val="3"/>
          </w:tcPr>
          <w:p>
            <w:pPr>
              <w:ind w:left="160"/>
              <w:spacing w:after="0"/>
              <w:rPr>
                <w:sz w:val="20"/>
                <w:szCs w:val="20"/>
                <w:color w:val="auto"/>
              </w:rPr>
            </w:pPr>
            <w:r>
              <w:rPr>
                <w:rFonts w:ascii="Arial" w:cs="Arial" w:eastAsia="Arial" w:hAnsi="Arial"/>
                <w:sz w:val="15"/>
                <w:szCs w:val="15"/>
                <w:color w:val="auto"/>
              </w:rPr>
              <w:t>Passenger</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359,232</w:t>
            </w:r>
          </w:p>
        </w:tc>
        <w:tc>
          <w:tcPr>
            <w:tcW w:w="1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688,833</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(329,601)</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(48)%</w:t>
            </w:r>
          </w:p>
        </w:tc>
      </w:tr>
      <w:tr>
        <w:trPr>
          <w:trHeight w:val="209"/>
        </w:trPr>
        <w:tc>
          <w:tcPr>
            <w:tcW w:w="41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36,809</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36,809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4"/>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(1)</w:t>
            </w:r>
          </w:p>
        </w:tc>
      </w:tr>
      <w:tr>
        <w:trPr>
          <w:trHeight w:val="214"/>
        </w:trPr>
        <w:tc>
          <w:tcPr>
            <w:tcW w:w="4160" w:type="dxa"/>
            <w:vAlign w:val="bottom"/>
            <w:gridSpan w:val="3"/>
          </w:tcPr>
          <w:p>
            <w:pPr>
              <w:ind w:left="160"/>
              <w:spacing w:after="0"/>
              <w:rPr>
                <w:sz w:val="20"/>
                <w:szCs w:val="20"/>
                <w:color w:val="auto"/>
              </w:rPr>
            </w:pPr>
            <w:r>
              <w:rPr>
                <w:rFonts w:ascii="Arial" w:cs="Arial" w:eastAsia="Arial" w:hAnsi="Arial"/>
                <w:sz w:val="15"/>
                <w:szCs w:val="15"/>
                <w:color w:val="auto"/>
              </w:rPr>
              <w:t>Other</w:t>
            </w:r>
          </w:p>
        </w:tc>
        <w:tc>
          <w:tcPr>
            <w:tcW w:w="560" w:type="dxa"/>
            <w:vAlign w:val="bottom"/>
          </w:tcPr>
          <w:p>
            <w:pPr>
              <w:jc w:val="right"/>
              <w:spacing w:after="0"/>
              <w:rPr>
                <w:sz w:val="20"/>
                <w:szCs w:val="20"/>
                <w:color w:val="auto"/>
              </w:rPr>
            </w:pPr>
            <w:r>
              <w:rPr>
                <w:rFonts w:ascii="Arial" w:cs="Arial" w:eastAsia="Arial" w:hAnsi="Arial"/>
                <w:sz w:val="15"/>
                <w:szCs w:val="15"/>
                <w:color w:val="auto"/>
              </w:rPr>
              <w:t>5,445</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12,551</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(7,106)</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(57)%</w:t>
            </w:r>
          </w:p>
        </w:tc>
      </w:tr>
      <w:tr>
        <w:trPr>
          <w:trHeight w:val="20"/>
        </w:trPr>
        <w:tc>
          <w:tcPr>
            <w:tcW w:w="7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4160" w:type="dxa"/>
            <w:vAlign w:val="bottom"/>
            <w:tcBorders>
              <w:right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$401,486</w:t>
            </w: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$701,384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$(299,898)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(43)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5"/>
        </w:trPr>
        <w:tc>
          <w:tcPr>
            <w:tcW w:w="70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-257810</wp:posOffset>
            </wp:positionV>
            <wp:extent cx="27178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17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-257810</wp:posOffset>
            </wp:positionV>
            <wp:extent cx="358584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585845" cy="6985"/>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-1080770</wp:posOffset>
            </wp:positionV>
            <wp:extent cx="11176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-1080770</wp:posOffset>
            </wp:positionV>
            <wp:extent cx="11176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-1080770</wp:posOffset>
            </wp:positionV>
            <wp:extent cx="11176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-1080770</wp:posOffset>
            </wp:positionV>
            <wp:extent cx="11176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0" w:name="page91"/>
    <w:bookmarkEnd w:id="9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Total operating revenues decreased by $299.9 million, or 43%, to $401.5 million for the year ended December 31, 2020 from $701.4 million for the year ended December 31, 2019.</w:t>
      </w:r>
    </w:p>
    <w:p>
      <w:pPr>
        <w:spacing w:after="0" w:line="83"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decreased by $203.1 million, or 51%, to $193.0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year ended December 31, 2020 from $396.1 million for the year ended December 31, 2019. The decrease in scheduled service revenue was driven by a dramatic decline in passenger demand due to government travel restrictions and quarantine requirements related to the COVID-19 pandemic. Specifically, the number of scheduled service passengers was 1.7 million in the year ended December 31, 2020, down from 3.6 million in the year ended December 31, 2019. This drove a 42% decrease in departures and a</w:t>
      </w:r>
    </w:p>
    <w:p>
      <w:pPr>
        <w:ind w:left="1160"/>
        <w:spacing w:after="0" w:line="232" w:lineRule="auto"/>
        <w:rPr>
          <w:sz w:val="20"/>
          <w:szCs w:val="20"/>
          <w:color w:val="auto"/>
        </w:rPr>
      </w:pPr>
      <w:r>
        <w:rPr>
          <w:rFonts w:ascii="Arial" w:cs="Arial" w:eastAsia="Arial" w:hAnsi="Arial"/>
          <w:sz w:val="15"/>
          <w:szCs w:val="15"/>
          <w:color w:val="auto"/>
        </w:rPr>
        <w:t>18 percentage point decrease in load factor. The decrease in load factor resulted in a decrease in PRASM of</w:t>
      </w:r>
    </w:p>
    <w:p>
      <w:pPr>
        <w:ind w:left="1160"/>
        <w:spacing w:after="0" w:line="230" w:lineRule="auto"/>
        <w:rPr>
          <w:sz w:val="20"/>
          <w:szCs w:val="20"/>
          <w:color w:val="auto"/>
        </w:rPr>
      </w:pPr>
      <w:r>
        <w:rPr>
          <w:rFonts w:ascii="Arial" w:cs="Arial" w:eastAsia="Arial" w:hAnsi="Arial"/>
          <w:sz w:val="15"/>
          <w:szCs w:val="15"/>
          <w:color w:val="auto"/>
        </w:rPr>
        <w:t>19% to $5.57 from $6.89. Further, our scheduled service capacity, as measured by ASMs, decreased by</w:t>
      </w:r>
    </w:p>
    <w:p>
      <w:pPr>
        <w:ind w:left="1160"/>
        <w:spacing w:after="0"/>
        <w:rPr>
          <w:sz w:val="20"/>
          <w:szCs w:val="20"/>
          <w:color w:val="auto"/>
        </w:rPr>
      </w:pPr>
      <w:r>
        <w:rPr>
          <w:rFonts w:ascii="Arial" w:cs="Arial" w:eastAsia="Arial" w:hAnsi="Arial"/>
          <w:sz w:val="15"/>
          <w:szCs w:val="15"/>
          <w:color w:val="auto"/>
        </w:rPr>
        <w:t>40%.</w:t>
      </w:r>
    </w:p>
    <w:p>
      <w:pPr>
        <w:spacing w:after="0" w:line="101" w:lineRule="exact"/>
        <w:rPr>
          <w:sz w:val="20"/>
          <w:szCs w:val="20"/>
          <w:color w:val="auto"/>
        </w:rPr>
      </w:pPr>
    </w:p>
    <w:p>
      <w:pPr>
        <w:ind w:left="1160" w:right="1239" w:firstLine="293"/>
        <w:spacing w:after="0" w:line="250" w:lineRule="auto"/>
        <w:rPr>
          <w:sz w:val="20"/>
          <w:szCs w:val="20"/>
          <w:color w:val="auto"/>
        </w:rPr>
      </w:pPr>
      <w:r>
        <w:rPr>
          <w:rFonts w:ascii="Arial" w:cs="Arial" w:eastAsia="Arial" w:hAnsi="Arial"/>
          <w:sz w:val="14"/>
          <w:szCs w:val="14"/>
          <w:i w:val="1"/>
          <w:iCs w:val="1"/>
          <w:color w:val="auto"/>
        </w:rPr>
        <w:t xml:space="preserve">Charter Service. </w:t>
      </w:r>
      <w:r>
        <w:rPr>
          <w:rFonts w:ascii="Arial" w:cs="Arial" w:eastAsia="Arial" w:hAnsi="Arial"/>
          <w:sz w:val="14"/>
          <w:szCs w:val="14"/>
          <w:color w:val="auto"/>
        </w:rPr>
        <w:t>Charter service revenue decreased by $76.4 million, or 44%, to $98.1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year ended December 31, 2020 from $174.6 million for the year ended December 31, 2019. The COVID-19 pandemic drove a decrease in our charter service revenue due to a decrease in the number of charter flights for our casino and sports customers and the U.S. Department of Defense, resulting in a 38% decrease in charter departures. Our charter service revenue began to rebound in the second half of 2020 as charter customers such as the U.S. Department of Defense and large university sports teams continued to fly throughout the year ended December 31, 2020, while our casino customers subject to long term contracts began flying again in June 2020. In addition, we entered into a contract with Major League Soccer to provide charter flights for professional soccer teams which commenced in August 2020.</w:t>
      </w:r>
    </w:p>
    <w:p>
      <w:pPr>
        <w:spacing w:after="0" w:line="95"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i w:val="1"/>
          <w:iCs w:val="1"/>
          <w:color w:val="auto"/>
        </w:rPr>
        <w:t xml:space="preserve">Ancillary. </w:t>
      </w:r>
      <w:r>
        <w:rPr>
          <w:rFonts w:ascii="Arial" w:cs="Arial" w:eastAsia="Arial" w:hAnsi="Arial"/>
          <w:sz w:val="14"/>
          <w:szCs w:val="14"/>
          <w:color w:val="auto"/>
        </w:rPr>
        <w:t>Ancillary revenue decreased by $50.1 million, or 42%, to $68.1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2020 from $118.2 million for the year ended December 31, 2019. The decline in passenger demand due to the COVID-19 pandemic resulted in lower demand for air travel- related services such as baggage fees, seat selection and upgrade fees, and on- board sales. This decrease was partially offset by an increase in ancillary revenue on a per passenger basis which is largely related to increased itinerary service fees. Specifically, ancillary revenue was $40.53 per passenger in the year ended December 31, 2020, up from $33.14 per passenger in the year ended December 31, 2019.</w:t>
      </w:r>
    </w:p>
    <w:p>
      <w:pPr>
        <w:spacing w:after="0" w:line="80"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4"/>
          <w:szCs w:val="14"/>
          <w:i w:val="1"/>
          <w:iCs w:val="1"/>
          <w:color w:val="auto"/>
        </w:rPr>
        <w:t xml:space="preserve">Cargo. </w:t>
      </w:r>
      <w:r>
        <w:rPr>
          <w:rFonts w:ascii="Arial" w:cs="Arial" w:eastAsia="Arial" w:hAnsi="Arial"/>
          <w:sz w:val="14"/>
          <w:szCs w:val="14"/>
          <w:color w:val="auto"/>
        </w:rPr>
        <w:t>Revenue from cargo services was $36.8 million for the year ended December 31, 2020, with</w:t>
      </w:r>
      <w:r>
        <w:rPr>
          <w:rFonts w:ascii="Arial" w:cs="Arial" w:eastAsia="Arial" w:hAnsi="Arial"/>
          <w:sz w:val="14"/>
          <w:szCs w:val="14"/>
          <w:i w:val="1"/>
          <w:iCs w:val="1"/>
          <w:color w:val="auto"/>
        </w:rPr>
        <w:t xml:space="preserve"> </w:t>
      </w:r>
      <w:r>
        <w:rPr>
          <w:rFonts w:ascii="Arial" w:cs="Arial" w:eastAsia="Arial" w:hAnsi="Arial"/>
          <w:sz w:val="14"/>
          <w:szCs w:val="14"/>
          <w:color w:val="auto"/>
        </w:rPr>
        <w:t>no comparative revenue for the year ended December 31, 2019. All of our 2020 cargo service revenue related to the commencement of air cargo transportation services under the ATSA with Amazon in</w:t>
      </w:r>
    </w:p>
    <w:p>
      <w:pPr>
        <w:spacing w:after="0" w:line="1" w:lineRule="exact"/>
        <w:rPr>
          <w:sz w:val="20"/>
          <w:szCs w:val="20"/>
          <w:color w:val="auto"/>
        </w:rPr>
      </w:pPr>
    </w:p>
    <w:p>
      <w:pPr>
        <w:ind w:left="1160" w:right="1359"/>
        <w:spacing w:after="0" w:line="233" w:lineRule="auto"/>
        <w:rPr>
          <w:sz w:val="20"/>
          <w:szCs w:val="20"/>
          <w:color w:val="auto"/>
        </w:rPr>
      </w:pPr>
      <w:r>
        <w:rPr>
          <w:rFonts w:ascii="Arial" w:cs="Arial" w:eastAsia="Arial" w:hAnsi="Arial"/>
          <w:sz w:val="15"/>
          <w:szCs w:val="15"/>
          <w:color w:val="auto"/>
        </w:rPr>
        <w:t>May 2020. In June 2020, we entered into an amendment to the ATSA with Amazon that added two additional aircraft to the agreement, which were delivered in the fourth quarter of 2020, bringing the total number of aircraft we fly for Amazon to 12.</w:t>
      </w:r>
    </w:p>
    <w:p>
      <w:pPr>
        <w:spacing w:after="0" w:line="101"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decreased by $7.1 million, or 57%, to $5.4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from $12.6 million for the year ended December 31, 2019. The decrease in our other revenue was driven by lower bookings for our Sun Country Vacations products due to a decline in demand for leisure travel related to the COVID-19 pandemic.</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For the year ended December 31,</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9"/>
        </w:trPr>
        <w:tc>
          <w:tcPr>
            <w:tcW w:w="10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Change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9"/>
        </w:trPr>
        <w:tc>
          <w:tcPr>
            <w:tcW w:w="1020" w:type="dxa"/>
            <w:vAlign w:val="bottom"/>
          </w:tcPr>
          <w:p>
            <w:pPr>
              <w:spacing w:after="0"/>
              <w:rPr>
                <w:sz w:val="15"/>
                <w:szCs w:val="15"/>
                <w:color w:val="auto"/>
              </w:rPr>
            </w:pPr>
          </w:p>
        </w:tc>
        <w:tc>
          <w:tcPr>
            <w:tcW w:w="2640" w:type="dxa"/>
            <w:vAlign w:val="bottom"/>
          </w:tcPr>
          <w:p>
            <w:pPr>
              <w:spacing w:after="0"/>
              <w:rPr>
                <w:sz w:val="20"/>
                <w:szCs w:val="20"/>
                <w:color w:val="auto"/>
              </w:rPr>
            </w:pPr>
            <w:r>
              <w:rPr>
                <w:rFonts w:ascii="Arial" w:cs="Arial" w:eastAsia="Arial" w:hAnsi="Arial"/>
                <w:sz w:val="12"/>
                <w:szCs w:val="12"/>
                <w:b w:val="1"/>
                <w:bCs w:val="1"/>
                <w:color w:val="auto"/>
              </w:rPr>
              <w:t>(in thousands, except percentages)</w:t>
            </w:r>
          </w:p>
        </w:tc>
        <w:tc>
          <w:tcPr>
            <w:tcW w:w="2120" w:type="dxa"/>
            <w:vAlign w:val="bottom"/>
            <w:gridSpan w:val="3"/>
          </w:tcPr>
          <w:p>
            <w:pPr>
              <w:jc w:val="right"/>
              <w:ind w:right="121"/>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5"/>
                <w:szCs w:val="15"/>
                <w:color w:val="auto"/>
              </w:rPr>
            </w:pPr>
          </w:p>
        </w:tc>
        <w:tc>
          <w:tcPr>
            <w:tcW w:w="600" w:type="dxa"/>
            <w:vAlign w:val="bottom"/>
          </w:tcPr>
          <w:p>
            <w:pPr>
              <w:jc w:val="right"/>
              <w:ind w:right="129"/>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5"/>
                <w:szCs w:val="15"/>
                <w:color w:val="auto"/>
              </w:rPr>
            </w:pPr>
          </w:p>
        </w:tc>
        <w:tc>
          <w:tcPr>
            <w:tcW w:w="580" w:type="dxa"/>
            <w:vAlign w:val="bottom"/>
          </w:tcPr>
          <w:p>
            <w:pPr>
              <w:jc w:val="right"/>
              <w:ind w:right="19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20" w:type="dxa"/>
            <w:vAlign w:val="bottom"/>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5"/>
                <w:szCs w:val="15"/>
                <w:color w:val="auto"/>
              </w:rPr>
              <w:t>Aircraft fuel</w:t>
            </w:r>
          </w:p>
        </w:tc>
        <w:tc>
          <w:tcPr>
            <w:tcW w:w="2300" w:type="dxa"/>
            <w:vAlign w:val="bottom"/>
            <w:gridSpan w:val="4"/>
          </w:tcPr>
          <w:p>
            <w:pPr>
              <w:jc w:val="right"/>
              <w:ind w:right="180"/>
              <w:spacing w:after="0"/>
              <w:rPr>
                <w:sz w:val="20"/>
                <w:szCs w:val="20"/>
                <w:color w:val="auto"/>
              </w:rPr>
            </w:pPr>
            <w:r>
              <w:rPr>
                <w:rFonts w:ascii="Arial" w:cs="Arial" w:eastAsia="Arial" w:hAnsi="Arial"/>
                <w:sz w:val="15"/>
                <w:szCs w:val="15"/>
                <w:color w:val="auto"/>
              </w:rPr>
              <w:t>$ 83,392</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$ 165,666</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 (82,274)</w:t>
            </w:r>
          </w:p>
        </w:tc>
        <w:tc>
          <w:tcPr>
            <w:tcW w:w="1240" w:type="dxa"/>
            <w:vAlign w:val="bottom"/>
            <w:gridSpan w:val="2"/>
          </w:tcPr>
          <w:p>
            <w:pPr>
              <w:jc w:val="right"/>
              <w:ind w:right="767"/>
              <w:spacing w:after="0"/>
              <w:rPr>
                <w:sz w:val="20"/>
                <w:szCs w:val="20"/>
                <w:color w:val="auto"/>
              </w:rPr>
            </w:pPr>
            <w:r>
              <w:rPr>
                <w:rFonts w:ascii="Arial" w:cs="Arial" w:eastAsia="Arial" w:hAnsi="Arial"/>
                <w:sz w:val="15"/>
                <w:szCs w:val="15"/>
                <w:color w:val="auto"/>
                <w:w w:val="94"/>
              </w:rPr>
              <w:t>(50)%</w:t>
            </w:r>
          </w:p>
        </w:tc>
      </w:tr>
      <w:tr>
        <w:trPr>
          <w:trHeight w:val="209"/>
        </w:trPr>
        <w:tc>
          <w:tcPr>
            <w:tcW w:w="10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5"/>
                <w:szCs w:val="15"/>
                <w:color w:val="auto"/>
              </w:rPr>
              <w:t>Salaries, wages and benefits.</w:t>
            </w:r>
          </w:p>
        </w:tc>
        <w:tc>
          <w:tcPr>
            <w:tcW w:w="2300" w:type="dxa"/>
            <w:vAlign w:val="bottom"/>
            <w:gridSpan w:val="4"/>
          </w:tcPr>
          <w:p>
            <w:pPr>
              <w:jc w:val="right"/>
              <w:ind w:right="180"/>
              <w:spacing w:after="0"/>
              <w:rPr>
                <w:sz w:val="20"/>
                <w:szCs w:val="20"/>
                <w:color w:val="auto"/>
              </w:rPr>
            </w:pPr>
            <w:r>
              <w:rPr>
                <w:rFonts w:ascii="Arial" w:cs="Arial" w:eastAsia="Arial" w:hAnsi="Arial"/>
                <w:sz w:val="15"/>
                <w:szCs w:val="15"/>
                <w:color w:val="auto"/>
              </w:rPr>
              <w:t>141,641</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140,739</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902</w:t>
            </w:r>
          </w:p>
        </w:tc>
        <w:tc>
          <w:tcPr>
            <w:tcW w:w="1240" w:type="dxa"/>
            <w:vAlign w:val="bottom"/>
            <w:gridSpan w:val="2"/>
          </w:tcPr>
          <w:p>
            <w:pPr>
              <w:jc w:val="right"/>
              <w:ind w:right="827"/>
              <w:spacing w:after="0"/>
              <w:rPr>
                <w:sz w:val="20"/>
                <w:szCs w:val="20"/>
                <w:color w:val="auto"/>
              </w:rPr>
            </w:pPr>
            <w:r>
              <w:rPr>
                <w:rFonts w:ascii="Arial" w:cs="Arial" w:eastAsia="Arial" w:hAnsi="Arial"/>
                <w:sz w:val="15"/>
                <w:szCs w:val="15"/>
                <w:color w:val="auto"/>
              </w:rPr>
              <w:t>1%</w:t>
            </w:r>
          </w:p>
        </w:tc>
      </w:tr>
      <w:tr>
        <w:trPr>
          <w:trHeight w:val="209"/>
        </w:trPr>
        <w:tc>
          <w:tcPr>
            <w:tcW w:w="10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5"/>
                <w:szCs w:val="15"/>
                <w:color w:val="auto"/>
              </w:rPr>
              <w:t>Aircraft rent</w:t>
            </w:r>
          </w:p>
        </w:tc>
        <w:tc>
          <w:tcPr>
            <w:tcW w:w="2300" w:type="dxa"/>
            <w:vAlign w:val="bottom"/>
            <w:gridSpan w:val="4"/>
          </w:tcPr>
          <w:p>
            <w:pPr>
              <w:jc w:val="right"/>
              <w:ind w:right="180"/>
              <w:spacing w:after="0"/>
              <w:rPr>
                <w:sz w:val="20"/>
                <w:szCs w:val="20"/>
                <w:color w:val="auto"/>
              </w:rPr>
            </w:pPr>
            <w:r>
              <w:rPr>
                <w:rFonts w:ascii="Arial" w:cs="Arial" w:eastAsia="Arial" w:hAnsi="Arial"/>
                <w:sz w:val="15"/>
                <w:szCs w:val="15"/>
                <w:color w:val="auto"/>
              </w:rPr>
              <w:t>30,989</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49,908</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(18,919)</w:t>
            </w:r>
          </w:p>
        </w:tc>
        <w:tc>
          <w:tcPr>
            <w:tcW w:w="1240" w:type="dxa"/>
            <w:vAlign w:val="bottom"/>
            <w:gridSpan w:val="2"/>
          </w:tcPr>
          <w:p>
            <w:pPr>
              <w:jc w:val="right"/>
              <w:ind w:right="767"/>
              <w:spacing w:after="0"/>
              <w:rPr>
                <w:sz w:val="20"/>
                <w:szCs w:val="20"/>
                <w:color w:val="auto"/>
              </w:rPr>
            </w:pPr>
            <w:r>
              <w:rPr>
                <w:rFonts w:ascii="Arial" w:cs="Arial" w:eastAsia="Arial" w:hAnsi="Arial"/>
                <w:sz w:val="15"/>
                <w:szCs w:val="15"/>
                <w:color w:val="auto"/>
                <w:w w:val="94"/>
              </w:rPr>
              <w:t>(38)%</w:t>
            </w:r>
          </w:p>
        </w:tc>
      </w:tr>
      <w:tr>
        <w:trPr>
          <w:trHeight w:val="209"/>
        </w:trPr>
        <w:tc>
          <w:tcPr>
            <w:tcW w:w="10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Maintenance</w:t>
            </w:r>
          </w:p>
        </w:tc>
        <w:tc>
          <w:tcPr>
            <w:tcW w:w="230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27,416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35,286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(7,870)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(22)</w:t>
            </w:r>
          </w:p>
        </w:tc>
        <w:tc>
          <w:tcPr>
            <w:tcW w:w="1020" w:type="dxa"/>
            <w:vAlign w:val="bottom"/>
          </w:tcPr>
          <w:p>
            <w:pPr>
              <w:jc w:val="right"/>
              <w:ind w:right="767"/>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5"/>
                <w:szCs w:val="15"/>
                <w:color w:val="auto"/>
              </w:rPr>
              <w:t>Sales and marketing</w:t>
            </w:r>
          </w:p>
        </w:tc>
        <w:tc>
          <w:tcPr>
            <w:tcW w:w="2300" w:type="dxa"/>
            <w:vAlign w:val="bottom"/>
            <w:gridSpan w:val="4"/>
          </w:tcPr>
          <w:p>
            <w:pPr>
              <w:jc w:val="right"/>
              <w:ind w:right="180"/>
              <w:spacing w:after="0"/>
              <w:rPr>
                <w:sz w:val="20"/>
                <w:szCs w:val="20"/>
                <w:color w:val="auto"/>
              </w:rPr>
            </w:pPr>
            <w:r>
              <w:rPr>
                <w:rFonts w:ascii="Arial" w:cs="Arial" w:eastAsia="Arial" w:hAnsi="Arial"/>
                <w:sz w:val="15"/>
                <w:szCs w:val="15"/>
                <w:color w:val="auto"/>
              </w:rPr>
              <w:t>16,570</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35,388</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(18,818)</w:t>
            </w:r>
          </w:p>
        </w:tc>
        <w:tc>
          <w:tcPr>
            <w:tcW w:w="1240" w:type="dxa"/>
            <w:vAlign w:val="bottom"/>
            <w:gridSpan w:val="2"/>
          </w:tcPr>
          <w:p>
            <w:pPr>
              <w:jc w:val="right"/>
              <w:ind w:right="767"/>
              <w:spacing w:after="0"/>
              <w:rPr>
                <w:sz w:val="20"/>
                <w:szCs w:val="20"/>
                <w:color w:val="auto"/>
              </w:rPr>
            </w:pPr>
            <w:r>
              <w:rPr>
                <w:rFonts w:ascii="Arial" w:cs="Arial" w:eastAsia="Arial" w:hAnsi="Arial"/>
                <w:sz w:val="15"/>
                <w:szCs w:val="15"/>
                <w:color w:val="auto"/>
                <w:w w:val="94"/>
              </w:rPr>
              <w:t>(53)%</w:t>
            </w:r>
          </w:p>
        </w:tc>
      </w:tr>
      <w:tr>
        <w:trPr>
          <w:trHeight w:val="209"/>
        </w:trPr>
        <w:tc>
          <w:tcPr>
            <w:tcW w:w="10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2300" w:type="dxa"/>
            <w:vAlign w:val="bottom"/>
            <w:gridSpan w:val="4"/>
          </w:tcPr>
          <w:p>
            <w:pPr>
              <w:jc w:val="right"/>
              <w:ind w:right="180"/>
              <w:spacing w:after="0"/>
              <w:rPr>
                <w:sz w:val="20"/>
                <w:szCs w:val="20"/>
                <w:color w:val="auto"/>
              </w:rPr>
            </w:pPr>
            <w:r>
              <w:rPr>
                <w:rFonts w:ascii="Arial" w:cs="Arial" w:eastAsia="Arial" w:hAnsi="Arial"/>
                <w:sz w:val="15"/>
                <w:szCs w:val="15"/>
                <w:color w:val="auto"/>
              </w:rPr>
              <w:t>48,086</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34,877</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13,209</w:t>
            </w:r>
          </w:p>
        </w:tc>
        <w:tc>
          <w:tcPr>
            <w:tcW w:w="1240" w:type="dxa"/>
            <w:vAlign w:val="bottom"/>
            <w:gridSpan w:val="2"/>
          </w:tcPr>
          <w:p>
            <w:pPr>
              <w:jc w:val="right"/>
              <w:ind w:right="827"/>
              <w:spacing w:after="0"/>
              <w:rPr>
                <w:sz w:val="20"/>
                <w:szCs w:val="20"/>
                <w:color w:val="auto"/>
              </w:rPr>
            </w:pPr>
            <w:r>
              <w:rPr>
                <w:rFonts w:ascii="Arial" w:cs="Arial" w:eastAsia="Arial" w:hAnsi="Arial"/>
                <w:sz w:val="15"/>
                <w:szCs w:val="15"/>
                <w:color w:val="auto"/>
              </w:rPr>
              <w:t>38%</w:t>
            </w:r>
          </w:p>
        </w:tc>
      </w:tr>
      <w:tr>
        <w:trPr>
          <w:trHeight w:val="231"/>
        </w:trPr>
        <w:tc>
          <w:tcPr>
            <w:tcW w:w="10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5"/>
                <w:szCs w:val="15"/>
                <w:color w:val="auto"/>
              </w:rPr>
              <w:t>Ground handling</w:t>
            </w:r>
          </w:p>
        </w:tc>
        <w:tc>
          <w:tcPr>
            <w:tcW w:w="2300" w:type="dxa"/>
            <w:vAlign w:val="bottom"/>
            <w:gridSpan w:val="4"/>
          </w:tcPr>
          <w:p>
            <w:pPr>
              <w:jc w:val="right"/>
              <w:ind w:right="180"/>
              <w:spacing w:after="0"/>
              <w:rPr>
                <w:sz w:val="20"/>
                <w:szCs w:val="20"/>
                <w:color w:val="auto"/>
              </w:rPr>
            </w:pPr>
            <w:r>
              <w:rPr>
                <w:rFonts w:ascii="Arial" w:cs="Arial" w:eastAsia="Arial" w:hAnsi="Arial"/>
                <w:sz w:val="15"/>
                <w:szCs w:val="15"/>
                <w:color w:val="auto"/>
              </w:rPr>
              <w:t>20,596</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41,719</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(21,123)</w:t>
            </w:r>
          </w:p>
        </w:tc>
        <w:tc>
          <w:tcPr>
            <w:tcW w:w="1240" w:type="dxa"/>
            <w:vAlign w:val="bottom"/>
            <w:gridSpan w:val="2"/>
          </w:tcPr>
          <w:p>
            <w:pPr>
              <w:jc w:val="right"/>
              <w:ind w:right="767"/>
              <w:spacing w:after="0"/>
              <w:rPr>
                <w:sz w:val="20"/>
                <w:szCs w:val="20"/>
                <w:color w:val="auto"/>
              </w:rPr>
            </w:pPr>
            <w:r>
              <w:rPr>
                <w:rFonts w:ascii="Arial" w:cs="Arial" w:eastAsia="Arial" w:hAnsi="Arial"/>
                <w:sz w:val="15"/>
                <w:szCs w:val="15"/>
                <w:color w:val="auto"/>
                <w:w w:val="94"/>
              </w:rPr>
              <w:t>(51)%</w:t>
            </w:r>
          </w:p>
        </w:tc>
      </w:tr>
      <w:tr>
        <w:trPr>
          <w:trHeight w:val="483"/>
        </w:trPr>
        <w:tc>
          <w:tcPr>
            <w:tcW w:w="1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tcPr>
          <w:p>
            <w:pPr>
              <w:jc w:val="right"/>
              <w:ind w:right="528"/>
              <w:spacing w:after="0"/>
              <w:rPr>
                <w:sz w:val="20"/>
                <w:szCs w:val="20"/>
                <w:color w:val="auto"/>
              </w:rPr>
            </w:pPr>
            <w:r>
              <w:rPr>
                <w:rFonts w:ascii="Arial" w:cs="Arial" w:eastAsia="Arial" w:hAnsi="Arial"/>
                <w:sz w:val="15"/>
                <w:szCs w:val="15"/>
                <w:color w:val="auto"/>
              </w:rPr>
              <w:t>84</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-1331595</wp:posOffset>
            </wp:positionV>
            <wp:extent cx="4241800" cy="132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-801370</wp:posOffset>
            </wp:positionV>
            <wp:extent cx="4241800" cy="132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-1604010</wp:posOffset>
            </wp:positionV>
            <wp:extent cx="11176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-1604010</wp:posOffset>
            </wp:positionV>
            <wp:extent cx="11176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-1604010</wp:posOffset>
            </wp:positionV>
            <wp:extent cx="11176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-1604010</wp:posOffset>
            </wp:positionV>
            <wp:extent cx="11176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1" w:name="page92"/>
    <w:bookmarkEnd w:id="91"/>
    <w:tbl>
      <w:tblPr>
        <w:tblLayout w:type="fixed"/>
        <w:tblInd w:w="140" w:type="dxa"/>
        <w:tblCellMar>
          <w:top w:w="0" w:type="dxa"/>
          <w:left w:w="0" w:type="dxa"/>
          <w:bottom w:w="0" w:type="dxa"/>
          <w:right w:w="0" w:type="dxa"/>
        </w:tblCellMar>
      </w:tblPr>
      <w:tr>
        <w:trPr>
          <w:trHeight w:val="139"/>
        </w:trPr>
        <w:tc>
          <w:tcPr>
            <w:tcW w:w="5180" w:type="dxa"/>
            <w:vAlign w:val="bottom"/>
            <w:gridSpan w:val="4"/>
          </w:tcPr>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791"/>
        </w:trPr>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For the year ended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
        </w:trPr>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Change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2"/>
                <w:szCs w:val="12"/>
                <w:b w:val="1"/>
                <w:bCs w:val="1"/>
                <w:color w:val="auto"/>
              </w:rPr>
              <w:t>(in thousands, except percentages)</w:t>
            </w:r>
          </w:p>
        </w:tc>
        <w:tc>
          <w:tcPr>
            <w:tcW w:w="560" w:type="dxa"/>
            <w:vAlign w:val="bottom"/>
          </w:tcPr>
          <w:p>
            <w:pPr>
              <w:jc w:val="right"/>
              <w:ind w:right="112"/>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600" w:type="dxa"/>
            <w:vAlign w:val="bottom"/>
          </w:tcPr>
          <w:p>
            <w:pPr>
              <w:jc w:val="right"/>
              <w:ind w:right="212"/>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41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Landing fees and airport rent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31,256</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44,400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(13,144)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5"/>
                <w:szCs w:val="15"/>
                <w:color w:val="auto"/>
              </w:rPr>
              <w:t>Special items, net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(64,563)</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7,092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(71,655)</w:t>
            </w:r>
          </w:p>
        </w:tc>
        <w:tc>
          <w:tcPr>
            <w:tcW w:w="240" w:type="dxa"/>
            <w:vAlign w:val="bottom"/>
          </w:tcPr>
          <w:p>
            <w:pPr>
              <w:jc w:val="right"/>
              <w:spacing w:after="0"/>
              <w:rPr>
                <w:sz w:val="20"/>
                <w:szCs w:val="20"/>
                <w:color w:val="auto"/>
              </w:rPr>
            </w:pPr>
            <w:r>
              <w:rPr>
                <w:rFonts w:ascii="Arial" w:cs="Arial" w:eastAsia="Arial" w:hAnsi="Arial"/>
                <w:sz w:val="15"/>
                <w:szCs w:val="15"/>
                <w:color w:val="auto"/>
                <w:w w:val="94"/>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(1)</w:t>
            </w:r>
          </w:p>
        </w:tc>
      </w:tr>
      <w:tr>
        <w:trPr>
          <w:trHeight w:val="214"/>
        </w:trPr>
        <w:tc>
          <w:tcPr>
            <w:tcW w:w="1020" w:type="dxa"/>
            <w:vAlign w:val="bottom"/>
          </w:tcPr>
          <w:p>
            <w:pPr>
              <w:spacing w:after="0"/>
              <w:rPr>
                <w:sz w:val="18"/>
                <w:szCs w:val="18"/>
                <w:color w:val="auto"/>
              </w:rPr>
            </w:pPr>
          </w:p>
        </w:tc>
        <w:tc>
          <w:tcPr>
            <w:tcW w:w="3980" w:type="dxa"/>
            <w:vAlign w:val="bottom"/>
            <w:gridSpan w:val="2"/>
            <w:shd w:val="clear" w:color="auto" w:fill="CCEEFF"/>
          </w:tcPr>
          <w:p>
            <w:pPr>
              <w:jc w:val="right"/>
              <w:ind w:right="2460"/>
              <w:spacing w:after="0"/>
              <w:rPr>
                <w:sz w:val="20"/>
                <w:szCs w:val="20"/>
                <w:color w:val="auto"/>
              </w:rPr>
            </w:pPr>
            <w:r>
              <w:rPr>
                <w:rFonts w:ascii="Arial" w:cs="Arial" w:eastAsia="Arial" w:hAnsi="Arial"/>
                <w:sz w:val="15"/>
                <w:szCs w:val="15"/>
                <w:color w:val="auto"/>
              </w:rPr>
              <w:t>Other operating, net</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48,718</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68,187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(19,469)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10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4160" w:type="dxa"/>
            <w:vAlign w:val="bottom"/>
            <w:gridSpan w:val="3"/>
          </w:tcPr>
          <w:p>
            <w:pPr>
              <w:jc w:val="right"/>
              <w:ind w:right="2640"/>
              <w:spacing w:after="0"/>
              <w:rPr>
                <w:sz w:val="20"/>
                <w:szCs w:val="20"/>
                <w:color w:val="auto"/>
              </w:rPr>
            </w:pPr>
            <w:r>
              <w:rPr>
                <w:rFonts w:ascii="Arial" w:cs="Arial" w:eastAsia="Arial" w:hAnsi="Arial"/>
                <w:sz w:val="15"/>
                <w:szCs w:val="15"/>
                <w:color w:val="auto"/>
                <w:w w:val="89"/>
              </w:rPr>
              <w:t>Total operating expenses</w:t>
            </w:r>
          </w:p>
        </w:tc>
        <w:tc>
          <w:tcPr>
            <w:tcW w:w="560" w:type="dxa"/>
            <w:vAlign w:val="bottom"/>
          </w:tcPr>
          <w:p>
            <w:pPr>
              <w:jc w:val="right"/>
              <w:spacing w:after="0"/>
              <w:rPr>
                <w:sz w:val="20"/>
                <w:szCs w:val="20"/>
                <w:color w:val="auto"/>
              </w:rPr>
            </w:pPr>
            <w:r>
              <w:rPr>
                <w:rFonts w:ascii="Arial" w:cs="Arial" w:eastAsia="Arial" w:hAnsi="Arial"/>
                <w:sz w:val="15"/>
                <w:szCs w:val="15"/>
                <w:color w:val="auto"/>
                <w:w w:val="86"/>
              </w:rPr>
              <w:t>$384,101</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$623,262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$(239,161)</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(38)%</w:t>
            </w:r>
          </w:p>
        </w:tc>
      </w:tr>
      <w:tr>
        <w:trPr>
          <w:trHeight w:val="20"/>
        </w:trPr>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1"/>
        </w:trPr>
        <w:tc>
          <w:tcPr>
            <w:tcW w:w="10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-711200</wp:posOffset>
            </wp:positionV>
            <wp:extent cx="11176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-711200</wp:posOffset>
            </wp:positionV>
            <wp:extent cx="11176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-711200</wp:posOffset>
            </wp:positionV>
            <wp:extent cx="11176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-711200</wp:posOffset>
            </wp:positionV>
            <wp:extent cx="11176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23"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24" w:lineRule="exact"/>
        <w:rPr>
          <w:sz w:val="20"/>
          <w:szCs w:val="20"/>
          <w:color w:val="auto"/>
        </w:rPr>
      </w:pPr>
    </w:p>
    <w:p>
      <w:pPr>
        <w:ind w:left="1160" w:right="1259" w:firstLine="293"/>
        <w:spacing w:after="0" w:line="232"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decreased by $82.3 million, or 50%, to $83.4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as compared to $165.7 million for the year ended December 31, 2019. The decrease was primarily driven by a 44% decrease in fuel gallons consumed due to our decreased level of operations as a result of reduced demand relating to the COVID-19 pandemic. Further contributing to the decrease in aircraft fuel expense was a 29% decline in average price per gallon of fuel which was driven by lower worldwide demand as a result of the COVID-19 pandemic. These decreases were partially offset by mark-to-market losses of $12.2 million in the year ended December 31, 2020 compared to mark-to-market gains of $10.8 million in the year ended December 31, 2019 from our fuel derivative contracts associated with our economic fuel hedges.</w:t>
      </w:r>
    </w:p>
    <w:p>
      <w:pPr>
        <w:spacing w:after="0" w:line="92"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Salaries</w:t>
      </w:r>
      <w:r>
        <w:rPr>
          <w:rFonts w:ascii="Arial" w:cs="Arial" w:eastAsia="Arial" w:hAnsi="Arial"/>
          <w:sz w:val="14"/>
          <w:szCs w:val="14"/>
          <w:color w:val="auto"/>
        </w:rPr>
        <w:t>,</w:t>
      </w:r>
      <w:r>
        <w:rPr>
          <w:rFonts w:ascii="Arial" w:cs="Arial" w:eastAsia="Arial" w:hAnsi="Arial"/>
          <w:sz w:val="14"/>
          <w:szCs w:val="14"/>
          <w:i w:val="1"/>
          <w:iCs w:val="1"/>
          <w:color w:val="auto"/>
        </w:rPr>
        <w:t xml:space="preserve"> Wages and Benefits</w:t>
      </w:r>
      <w:r>
        <w:rPr>
          <w:rFonts w:ascii="Arial" w:cs="Arial" w:eastAsia="Arial" w:hAnsi="Arial"/>
          <w:sz w:val="14"/>
          <w:szCs w:val="14"/>
          <w:color w:val="auto"/>
        </w:rPr>
        <w:t>. Salaries, wages and benefits expense increased by $ 0.9 million, or 1%,</w:t>
      </w:r>
      <w:r>
        <w:rPr>
          <w:rFonts w:ascii="Arial" w:cs="Arial" w:eastAsia="Arial" w:hAnsi="Arial"/>
          <w:sz w:val="14"/>
          <w:szCs w:val="14"/>
          <w:i w:val="1"/>
          <w:iCs w:val="1"/>
          <w:color w:val="auto"/>
        </w:rPr>
        <w:t xml:space="preserve"> </w:t>
      </w:r>
      <w:r>
        <w:rPr>
          <w:rFonts w:ascii="Arial" w:cs="Arial" w:eastAsia="Arial" w:hAnsi="Arial"/>
          <w:sz w:val="14"/>
          <w:szCs w:val="14"/>
          <w:color w:val="auto"/>
        </w:rPr>
        <w:t>to $141.6 million for the year ended December 31, 2020, as compared to $140.7 million for the year ended December 31, 2019. The increase was primarily due to increased headcount, primarily related to insourcing certain operations, and to increased pilot pay and per diems to support operations under the ATSA. The increase was partially offset by a decrease in expenses related to employee benefits, reduction in flight attendant headcount, and call center staffing due to lower volume of calls. Additionally, the grants under the Payroll Support Program received in the second and third quarters of 2020 restricted us from taking measures to reduce headcount through September 30, 2020 in response to the decline in operations. Our cargo segment was responsible for $20.5 million of the consolidated salaries, wages, and benefits expense for the year ended December 31, 2020 and was driven by headcount to support the operations and aircraft under the ATSA.</w:t>
      </w:r>
    </w:p>
    <w:p>
      <w:pPr>
        <w:spacing w:after="0" w:line="96"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Aircraft Rent</w:t>
      </w:r>
      <w:r>
        <w:rPr>
          <w:rFonts w:ascii="Arial" w:cs="Arial" w:eastAsia="Arial" w:hAnsi="Arial"/>
          <w:sz w:val="14"/>
          <w:szCs w:val="14"/>
          <w:color w:val="auto"/>
        </w:rPr>
        <w:t>. Aircraft rent expense decreased by $ 18.9 million, or 38%, to $31.0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2020, as compared to $49.9 million for the year ended December 31, 2019. Aircraft rent expense decreased primarily due to the composition of our aircraft fleet shifting from aircraft under operating leases (for which expense is recorded within aircraft rent) to owned aircraft and aircraft under finance leases (for which expense is recorded within depreciation and amortization). Specifically, in the year ended December 31, 2020 we purchased two aircraft previously under operating lease and leased two fewer seasonal aircraft. Additionally, a 28% decrease in block hours resulted in a decrease in supplemental rent. The decrease in aircraft rent expense was partially offset by a reduction in the amortization of over-market liabilities on six aircraft recorded as a result of acquisition accounting for the acquisition by the Apollo Funds, of which three were returned at the end of their lease terms during 2019, and three were financed using the 2019-01 EETC following their lease maturity during the year ended December 31, 2020.</w:t>
      </w:r>
    </w:p>
    <w:p>
      <w:pPr>
        <w:spacing w:after="0" w:line="85"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i w:val="1"/>
          <w:iCs w:val="1"/>
          <w:color w:val="auto"/>
        </w:rPr>
        <w:t>Maintenance</w:t>
      </w:r>
      <w:r>
        <w:rPr>
          <w:rFonts w:ascii="Arial" w:cs="Arial" w:eastAsia="Arial" w:hAnsi="Arial"/>
          <w:sz w:val="15"/>
          <w:szCs w:val="15"/>
          <w:color w:val="auto"/>
        </w:rPr>
        <w:t>. Maintenance materials and repair expense decreased by $7.9 million, or 22%, to</w:t>
      </w:r>
      <w:r>
        <w:rPr>
          <w:rFonts w:ascii="Arial" w:cs="Arial" w:eastAsia="Arial" w:hAnsi="Arial"/>
          <w:sz w:val="15"/>
          <w:szCs w:val="15"/>
          <w:i w:val="1"/>
          <w:iCs w:val="1"/>
          <w:color w:val="auto"/>
        </w:rPr>
        <w:t xml:space="preserve"> </w:t>
      </w:r>
      <w:r>
        <w:rPr>
          <w:rFonts w:ascii="Arial" w:cs="Arial" w:eastAsia="Arial" w:hAnsi="Arial"/>
          <w:sz w:val="15"/>
          <w:szCs w:val="15"/>
          <w:color w:val="auto"/>
        </w:rPr>
        <w:t>$27.4 million for the year ended December 31, 2020, as compared to $35.3 million for the year ended December 31, 2019. The decrease was driven primarily by the COVID -19 pandemic which caused reduced aircraft utilization, as measured by a 28% decrease in block hours and a 27% decrease in flight cycles. These factors ultimately resulted in fewer maintenance events and lower major and routine maintenance costs. The decrease in maintenance expense was partially offset by an increase in scheduled heavy maintenance for our passenger aircraft fleet and line maintenance on the additional aircraft under the ATSA related to our cargo operations. Our cargo segment was responsible for $5.0 million of the consolidated maintenance expense for the year ended December 31, 2020, driven by expenses for line maintenance on aircraft operated under the ATSA.</w:t>
      </w:r>
    </w:p>
    <w:p>
      <w:pPr>
        <w:spacing w:after="0" w:line="101" w:lineRule="exact"/>
        <w:rPr>
          <w:sz w:val="20"/>
          <w:szCs w:val="20"/>
          <w:color w:val="auto"/>
        </w:rPr>
      </w:pPr>
    </w:p>
    <w:p>
      <w:pPr>
        <w:ind w:left="1460"/>
        <w:spacing w:after="0"/>
        <w:tabs>
          <w:tab w:leader="none" w:pos="2860" w:val="left"/>
        </w:tabs>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Sales and marketing expense decreased by $18.8 million, or 53%, to</w:t>
      </w:r>
    </w:p>
    <w:p>
      <w:pPr>
        <w:ind w:left="1160"/>
        <w:spacing w:after="0" w:line="235" w:lineRule="auto"/>
        <w:rPr>
          <w:sz w:val="20"/>
          <w:szCs w:val="20"/>
          <w:color w:val="auto"/>
        </w:rPr>
      </w:pPr>
      <w:r>
        <w:rPr>
          <w:rFonts w:ascii="Arial" w:cs="Arial" w:eastAsia="Arial" w:hAnsi="Arial"/>
          <w:sz w:val="15"/>
          <w:szCs w:val="15"/>
          <w:color w:val="auto"/>
        </w:rPr>
        <w:t>$16.6 million for the year ended December 31, 2020, as compared to $35.4 million for the year ended</w:t>
      </w:r>
    </w:p>
    <w:p>
      <w:pPr>
        <w:ind w:left="1160"/>
        <w:spacing w:after="0"/>
        <w:rPr>
          <w:sz w:val="20"/>
          <w:szCs w:val="20"/>
          <w:color w:val="auto"/>
        </w:rPr>
      </w:pPr>
      <w:r>
        <w:rPr>
          <w:rFonts w:ascii="Arial" w:cs="Arial" w:eastAsia="Arial" w:hAnsi="Arial"/>
          <w:sz w:val="15"/>
          <w:szCs w:val="15"/>
          <w:color w:val="auto"/>
        </w:rPr>
        <w:t>December 31, 2019.</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2" w:name="page93"/>
    <w:bookmarkEnd w:id="9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The decrease was primarily due to a $7.1 million reduction in credit card processing fees related to lower</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sales on our scheduled service. Additionally, there was a $2.0 million decrease in advertising costs, a</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$6.1 million decrease in global distribution systems fees associated with the decrease in scheduled service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and a $1.3 million decrease in travel agent commissions, all due to the COVID-19 pandemic.</w:t>
      </w:r>
    </w:p>
    <w:p>
      <w:pPr>
        <w:spacing w:after="0" w:line="102"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increased by $13.2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38%, to $48.1 million for the year ended December 31, 2020, as compared to $34.9 million for the year ended December 31, 2019. The increase was primarily due to the impact of a change in the composition of our aircraft fleet to an increased number of owned aircraft in connection with our 2019-1 EETC and aircraft under finance leases (for which expense is recorded within depreciation and amortization). Specifically, the increase is due to the incremental depreciation related to one aircraft previously under an operating lease which was amended and converted into a finance lease in December 2019, one incremental aircraft obtained through a new finance lease, one aircraft we purchased in December 2019, two aircraft we purchased in the year ended December 31, 2020 which were previously under operating leases and two aircraft we purchased in the year ended December 31, 2020 which were new additions to the fleet.</w:t>
      </w:r>
    </w:p>
    <w:p>
      <w:pPr>
        <w:spacing w:after="0" w:line="9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i w:val="1"/>
          <w:iCs w:val="1"/>
          <w:color w:val="auto"/>
        </w:rPr>
        <w:t>Ground Handling</w:t>
      </w:r>
      <w:r>
        <w:rPr>
          <w:rFonts w:ascii="Arial" w:cs="Arial" w:eastAsia="Arial" w:hAnsi="Arial"/>
          <w:sz w:val="15"/>
          <w:szCs w:val="15"/>
          <w:color w:val="auto"/>
        </w:rPr>
        <w:t>. Ground handling expense decreased by $21.1 million, or 51%, to $20.6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 ended December 31, 2020, as compared to $41.7 million for the year ended December 31, 2019. The decrease was primarily due to the 27% decline in departures. Additionally, we insourced our MSP operations in April 2020, contributing to a reduction of $4.4 million in ground handling expenses, but resulting in higher salaries, wages and benefits.</w:t>
      </w:r>
    </w:p>
    <w:p>
      <w:pPr>
        <w:spacing w:after="0" w:line="105" w:lineRule="exact"/>
        <w:rPr>
          <w:sz w:val="20"/>
          <w:szCs w:val="20"/>
          <w:color w:val="auto"/>
        </w:rPr>
      </w:pPr>
    </w:p>
    <w:p>
      <w:pPr>
        <w:ind w:left="1160" w:right="1279" w:firstLine="293"/>
        <w:spacing w:after="0" w:line="271" w:lineRule="auto"/>
        <w:rPr>
          <w:sz w:val="20"/>
          <w:szCs w:val="20"/>
          <w:color w:val="auto"/>
        </w:rPr>
      </w:pPr>
      <w:r>
        <w:rPr>
          <w:rFonts w:ascii="Arial" w:cs="Arial" w:eastAsia="Arial" w:hAnsi="Arial"/>
          <w:sz w:val="14"/>
          <w:szCs w:val="14"/>
          <w:i w:val="1"/>
          <w:iCs w:val="1"/>
          <w:color w:val="auto"/>
        </w:rPr>
        <w:t>Landing Fees and Airport Rent</w:t>
      </w:r>
      <w:r>
        <w:rPr>
          <w:rFonts w:ascii="Arial" w:cs="Arial" w:eastAsia="Arial" w:hAnsi="Arial"/>
          <w:sz w:val="14"/>
          <w:szCs w:val="14"/>
          <w:color w:val="auto"/>
        </w:rPr>
        <w:t>. Landing fees and airport rent decreased by $13.1 million, or 30%, to</w:t>
      </w:r>
      <w:r>
        <w:rPr>
          <w:rFonts w:ascii="Arial" w:cs="Arial" w:eastAsia="Arial" w:hAnsi="Arial"/>
          <w:sz w:val="14"/>
          <w:szCs w:val="14"/>
          <w:i w:val="1"/>
          <w:iCs w:val="1"/>
          <w:color w:val="auto"/>
        </w:rPr>
        <w:t xml:space="preserve"> </w:t>
      </w:r>
      <w:r>
        <w:rPr>
          <w:rFonts w:ascii="Arial" w:cs="Arial" w:eastAsia="Arial" w:hAnsi="Arial"/>
          <w:sz w:val="14"/>
          <w:szCs w:val="14"/>
          <w:color w:val="auto"/>
        </w:rPr>
        <w:t>$31.3 million for the year ended December 31, 2020, as compared to $44.4 million for the year ended December 31, 2019. The decrease was driven by the 27% reduction in departures during the year ended December 31, 2020. Our cargo segment was responsible for $0.3 million of the consolidated landing fees and airport rent for the year ended December 31, 2020, driven by allocated airport rent.</w:t>
      </w:r>
    </w:p>
    <w:p>
      <w:pPr>
        <w:spacing w:after="0" w:line="80"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i w:val="1"/>
          <w:iCs w:val="1"/>
          <w:color w:val="auto"/>
        </w:rPr>
        <w:t>Special Items, net</w:t>
      </w:r>
      <w:r>
        <w:rPr>
          <w:rFonts w:ascii="Arial" w:cs="Arial" w:eastAsia="Arial" w:hAnsi="Arial"/>
          <w:sz w:val="14"/>
          <w:szCs w:val="14"/>
          <w:color w:val="auto"/>
        </w:rPr>
        <w:t>. Special items, net was an income of $64.6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2020 and an expense of $7.1 million for the year ended December 31, 2019. For the year ended December 31, 2020, Special items, net included a $62.3 million credit related to funds received under the CARES Act Payroll Support Program, to be used exclusively for the continuation of payments for salaries, wages, and benefits, and $2.3 million in refundable tax credits related to employee retention under the CARES Act. For the year ended December 31, 2019, Special items, net included a charge of</w:t>
      </w:r>
    </w:p>
    <w:p>
      <w:pPr>
        <w:spacing w:after="0" w:line="3" w:lineRule="exact"/>
        <w:rPr>
          <w:sz w:val="20"/>
          <w:szCs w:val="20"/>
          <w:color w:val="auto"/>
        </w:rPr>
      </w:pPr>
    </w:p>
    <w:p>
      <w:pPr>
        <w:ind w:left="1160" w:right="1299"/>
        <w:spacing w:after="0" w:line="264" w:lineRule="auto"/>
        <w:rPr>
          <w:sz w:val="20"/>
          <w:szCs w:val="20"/>
          <w:color w:val="auto"/>
        </w:rPr>
      </w:pPr>
      <w:r>
        <w:rPr>
          <w:rFonts w:ascii="Arial" w:cs="Arial" w:eastAsia="Arial" w:hAnsi="Arial"/>
          <w:sz w:val="14"/>
          <w:szCs w:val="14"/>
          <w:color w:val="auto"/>
        </w:rPr>
        <w:t>$7.6 million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We also incurred expense of $0.7 million in connection with the write-off of assets in connection with the relocation of our headquarters in 2019. Special items, net for the year ended December 31, 2019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Our cargo segment was responsible for $10.7 million of the consolidated income from consolidated special items, net for the year ended December 31, 2020, driven by allocated amounts from the CARES Act, based on the respective segment salaries, wages and benefits.</w:t>
      </w:r>
    </w:p>
    <w:p>
      <w:pPr>
        <w:spacing w:after="0" w:line="96" w:lineRule="exact"/>
        <w:rPr>
          <w:sz w:val="20"/>
          <w:szCs w:val="20"/>
          <w:color w:val="auto"/>
        </w:rPr>
      </w:pPr>
    </w:p>
    <w:p>
      <w:pPr>
        <w:ind w:left="1460"/>
        <w:spacing w:after="0"/>
        <w:tabs>
          <w:tab w:leader="none" w:pos="2880" w:val="left"/>
        </w:tabs>
        <w:rPr>
          <w:sz w:val="20"/>
          <w:szCs w:val="20"/>
          <w:color w:val="auto"/>
        </w:rPr>
      </w:pPr>
      <w:r>
        <w:rPr>
          <w:rFonts w:ascii="Arial" w:cs="Arial" w:eastAsia="Arial" w:hAnsi="Arial"/>
          <w:sz w:val="15"/>
          <w:szCs w:val="15"/>
          <w:i w:val="1"/>
          <w:iCs w:val="1"/>
          <w:color w:val="auto"/>
        </w:rPr>
        <w:t>Other Operating,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operating, net expense decreased by $19.5 million, or 29%, to</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$48.7 million for the year ended December 31, 2020, as compared to $68.2 million for the year ended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December 31, 2019.</w:t>
      </w:r>
    </w:p>
    <w:p>
      <w:pPr>
        <w:spacing w:after="0" w:line="113"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4"/>
          <w:szCs w:val="14"/>
          <w:color w:val="auto"/>
        </w:rPr>
        <w:t>This decrease was primarily driven by our lower level of operations related to the COVID-19 pandemic which resulted in reduced crew and other employee travel costs, interrupted trip expenses, catering expenses, and other operational overhead costs. Our cargo segment was responsible for $6.8 million of our consolidated other operating, net expense for the year ended December 31, 2020, driven by $4.2 million of allocated overhead expenses and $2.6 million for crew and employee travel costs.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3" w:name="page94"/>
    <w:bookmarkEnd w:id="9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rPr>
              <w:t>For the year ended December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(in thousands, except percentages)</w:t>
            </w: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40" w:type="dxa"/>
            <w:vAlign w:val="bottom"/>
          </w:tcPr>
          <w:p>
            <w:pPr>
              <w:jc w:val="right"/>
              <w:ind w:right="17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80" w:type="dxa"/>
            <w:vAlign w:val="bottom"/>
          </w:tcPr>
          <w:p>
            <w:pPr>
              <w:jc w:val="right"/>
              <w:ind w:right="11"/>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40" w:type="dxa"/>
            <w:vAlign w:val="bottom"/>
            <w:gridSpan w:val="3"/>
          </w:tcPr>
          <w:p>
            <w:pPr>
              <w:spacing w:after="0"/>
              <w:rPr>
                <w:sz w:val="20"/>
                <w:szCs w:val="20"/>
                <w:color w:val="auto"/>
              </w:rPr>
            </w:pPr>
            <w:r>
              <w:rPr>
                <w:rFonts w:ascii="Arial" w:cs="Arial" w:eastAsia="Arial" w:hAnsi="Arial"/>
                <w:sz w:val="15"/>
                <w:szCs w:val="15"/>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377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   (560)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9"/>
        </w:trPr>
        <w:tc>
          <w:tcPr>
            <w:tcW w:w="4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(22,073)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(17,170)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(4,903)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4240" w:type="dxa"/>
            <w:vAlign w:val="bottom"/>
            <w:gridSpan w:val="3"/>
          </w:tcPr>
          <w:p>
            <w:pPr>
              <w:spacing w:after="0"/>
              <w:rPr>
                <w:sz w:val="20"/>
                <w:szCs w:val="20"/>
                <w:color w:val="auto"/>
              </w:rPr>
            </w:pPr>
            <w:r>
              <w:rPr>
                <w:rFonts w:ascii="Arial" w:cs="Arial" w:eastAsia="Arial" w:hAnsi="Arial"/>
                <w:sz w:val="15"/>
                <w:szCs w:val="15"/>
                <w:color w:val="auto"/>
              </w:rPr>
              <w:t>Other, net</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(1,729)</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1,358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
        </w:trPr>
        <w:tc>
          <w:tcPr>
            <w:tcW w:w="4240" w:type="dxa"/>
            <w:vAlign w:val="bottom"/>
            <w:tcBorders>
              <w:right w:val="single" w:sz="8" w:color="CCEEFF"/>
            </w:tcBorders>
            <w:gridSpan w:val="3"/>
            <w:vMerge w:val="restart"/>
            <w:shd w:val="clear" w:color="auto" w:fill="CCEEFF"/>
          </w:tcPr>
          <w:p>
            <w:pPr>
              <w:spacing w:after="0"/>
              <w:rPr>
                <w:sz w:val="20"/>
                <w:szCs w:val="20"/>
                <w:color w:val="auto"/>
              </w:rPr>
            </w:pPr>
            <w:r>
              <w:rPr>
                <w:rFonts w:ascii="Arial" w:cs="Arial" w:eastAsia="Arial" w:hAnsi="Arial"/>
                <w:sz w:val="15"/>
                <w:szCs w:val="15"/>
                <w:b w:val="1"/>
                <w:bCs w:val="1"/>
                <w:color w:val="auto"/>
              </w:rPr>
              <w:t>Total Non-operating Expense, Net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40" w:type="dxa"/>
            <w:vAlign w:val="bottom"/>
            <w:tcBorders>
              <w:right w:val="single" w:sz="8" w:color="CCEEFF"/>
            </w:tcBorders>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(22,067)</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(17,962)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(4,105)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240" w:type="dxa"/>
            <w:vAlign w:val="bottom"/>
            <w:gridSpan w:val="3"/>
          </w:tcPr>
          <w:p>
            <w:pPr>
              <w:spacing w:after="0"/>
              <w:rPr>
                <w:sz w:val="20"/>
                <w:szCs w:val="20"/>
                <w:color w:val="auto"/>
              </w:rPr>
            </w:pPr>
            <w:r>
              <w:rPr>
                <w:rFonts w:ascii="Arial" w:cs="Arial" w:eastAsia="Arial" w:hAnsi="Arial"/>
                <w:sz w:val="15"/>
                <w:szCs w:val="15"/>
                <w:color w:val="auto"/>
              </w:rPr>
              <w:t>Income (Loss) Before Income Tax</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60,160</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(64,842)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(108)%</w:t>
            </w:r>
          </w:p>
        </w:tc>
        <w:tc>
          <w:tcPr>
            <w:tcW w:w="0" w:type="dxa"/>
            <w:vAlign w:val="bottom"/>
          </w:tcPr>
          <w:p>
            <w:pPr>
              <w:spacing w:after="0"/>
              <w:rPr>
                <w:sz w:val="1"/>
                <w:szCs w:val="1"/>
                <w:color w:val="auto"/>
              </w:rPr>
            </w:pPr>
          </w:p>
        </w:tc>
      </w:tr>
      <w:tr>
        <w:trPr>
          <w:trHeight w:val="214"/>
        </w:trPr>
        <w:tc>
          <w:tcPr>
            <w:tcW w:w="4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14,088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(14,866)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5"/>
                <w:szCs w:val="15"/>
                <w:b w:val="1"/>
                <w:bCs w:val="1"/>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46,072</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w w:val="90"/>
              </w:rPr>
              <w:t>$(49,976)</w:t>
            </w:r>
          </w:p>
        </w:tc>
        <w:tc>
          <w:tcPr>
            <w:tcW w:w="460" w:type="dxa"/>
            <w:vAlign w:val="bottom"/>
            <w:gridSpan w:val="2"/>
          </w:tcPr>
          <w:p>
            <w:pPr>
              <w:jc w:val="right"/>
              <w:spacing w:after="0" w:line="216"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70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-648335</wp:posOffset>
            </wp:positionV>
            <wp:extent cx="29273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-648335</wp:posOffset>
            </wp:positionV>
            <wp:extent cx="360680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-1192530</wp:posOffset>
            </wp:positionV>
            <wp:extent cx="11176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-1192530</wp:posOffset>
            </wp:positionV>
            <wp:extent cx="11176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-1192530</wp:posOffset>
            </wp:positionV>
            <wp:extent cx="11176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-1192530</wp:posOffset>
            </wp:positionV>
            <wp:extent cx="11176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46"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02" w:lineRule="exact"/>
        <w:rPr>
          <w:sz w:val="20"/>
          <w:szCs w:val="20"/>
          <w:color w:val="auto"/>
        </w:rPr>
      </w:pPr>
    </w:p>
    <w:p>
      <w:pPr>
        <w:ind w:left="1160" w:right="1519" w:firstLine="293"/>
        <w:spacing w:after="0" w:line="248"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decreased in the year ended December 31, 2020 related to lower</w:t>
      </w:r>
      <w:r>
        <w:rPr>
          <w:rFonts w:ascii="Arial" w:cs="Arial" w:eastAsia="Arial" w:hAnsi="Arial"/>
          <w:sz w:val="15"/>
          <w:szCs w:val="15"/>
          <w:i w:val="1"/>
          <w:iCs w:val="1"/>
          <w:color w:val="auto"/>
        </w:rPr>
        <w:t xml:space="preserve"> </w:t>
      </w:r>
      <w:r>
        <w:rPr>
          <w:rFonts w:ascii="Arial" w:cs="Arial" w:eastAsia="Arial" w:hAnsi="Arial"/>
          <w:sz w:val="15"/>
          <w:szCs w:val="15"/>
          <w:color w:val="auto"/>
        </w:rPr>
        <w:t>average cash balances.</w:t>
      </w:r>
    </w:p>
    <w:p>
      <w:pPr>
        <w:spacing w:after="0" w:line="83" w:lineRule="exact"/>
        <w:rPr>
          <w:sz w:val="20"/>
          <w:szCs w:val="20"/>
          <w:color w:val="auto"/>
        </w:rPr>
      </w:pPr>
    </w:p>
    <w:p>
      <w:pPr>
        <w:ind w:left="1160" w:right="1419" w:firstLine="293"/>
        <w:spacing w:after="0" w:line="236"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increased by $4.9 million, or 29%, to $22.1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as compared to $17.2 million for the year ended December 31, 2019. The increase was primarily due to debt issued for the acquisition of new aircraft and spare engines, including new debt incurred in connection with the 2019-1 EETC.</w:t>
      </w:r>
    </w:p>
    <w:p>
      <w:pPr>
        <w:spacing w:after="0" w:line="91" w:lineRule="exact"/>
        <w:rPr>
          <w:sz w:val="20"/>
          <w:szCs w:val="20"/>
          <w:color w:val="auto"/>
        </w:rPr>
      </w:pPr>
    </w:p>
    <w:p>
      <w:pPr>
        <w:ind w:left="1160" w:right="1439" w:firstLine="293"/>
        <w:spacing w:after="0" w:line="235" w:lineRule="auto"/>
        <w:rPr>
          <w:sz w:val="20"/>
          <w:szCs w:val="20"/>
          <w:color w:val="auto"/>
        </w:rPr>
      </w:pPr>
      <w:r>
        <w:rPr>
          <w:rFonts w:ascii="Arial" w:cs="Arial" w:eastAsia="Arial" w:hAnsi="Arial"/>
          <w:sz w:val="15"/>
          <w:szCs w:val="15"/>
          <w:i w:val="1"/>
          <w:iCs w:val="1"/>
          <w:color w:val="auto"/>
        </w:rPr>
        <w:t>Other, net</w:t>
      </w:r>
      <w:r>
        <w:rPr>
          <w:rFonts w:ascii="Arial" w:cs="Arial" w:eastAsia="Arial" w:hAnsi="Arial"/>
          <w:sz w:val="15"/>
          <w:szCs w:val="15"/>
          <w:color w:val="auto"/>
        </w:rPr>
        <w:t>. Other, net expense decreased $1.4 million, or 79%, to $0.4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as compared to $ 1.7 million for the year ended December 31, 2019. The decrease is mainly due to early-out payments and other expenses incurred in connection with outsourcing certain ground operations during the year ended December 31, 2019, which did not occur in the year ended December 31, 2020.</w:t>
      </w:r>
    </w:p>
    <w:p>
      <w:pPr>
        <w:spacing w:after="0" w:line="78" w:lineRule="exact"/>
        <w:rPr>
          <w:sz w:val="20"/>
          <w:szCs w:val="20"/>
          <w:color w:val="auto"/>
        </w:rPr>
      </w:pPr>
    </w:p>
    <w:p>
      <w:pPr>
        <w:jc w:val="both"/>
        <w:ind w:left="1160" w:right="1279" w:firstLine="293"/>
        <w:spacing w:after="0" w:line="239"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Our effective tax rate was 16.6% for the year ended December 31, 2020, as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to 23.5% for the year ended December 31, 2019. Our tax rate can vary depending on the amount of income we earn in each state and the state tax rate applicable to such income.</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Segment Information</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10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right"/>
              <w:spacing w:after="0"/>
              <w:rPr>
                <w:sz w:val="20"/>
                <w:szCs w:val="20"/>
                <w:color w:val="auto"/>
              </w:rPr>
            </w:pPr>
            <w:r>
              <w:rPr>
                <w:rFonts w:ascii="Arial" w:cs="Arial" w:eastAsia="Arial" w:hAnsi="Arial"/>
                <w:sz w:val="12"/>
                <w:szCs w:val="12"/>
                <w:b w:val="1"/>
                <w:bCs w:val="1"/>
                <w:color w:val="auto"/>
                <w:w w:val="84"/>
              </w:rPr>
              <w:t>For the year ended December 31, 2020</w:t>
            </w:r>
            <w:r>
              <w:rPr>
                <w:rFonts w:ascii="Arial" w:cs="Arial" w:eastAsia="Arial" w:hAnsi="Arial"/>
                <w:sz w:val="14"/>
                <w:szCs w:val="14"/>
                <w:b w:val="1"/>
                <w:bCs w:val="1"/>
                <w:color w:val="auto"/>
                <w:w w:val="84"/>
                <w:vertAlign w:val="superscript"/>
              </w:rPr>
              <w:t>(1)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Passenger</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Cargo</w:t>
            </w:r>
          </w:p>
        </w:tc>
        <w:tc>
          <w:tcPr>
            <w:tcW w:w="80" w:type="dxa"/>
            <w:vAlign w:val="bottom"/>
          </w:tcPr>
          <w:p>
            <w:pPr>
              <w:spacing w:after="0"/>
              <w:rPr>
                <w:sz w:val="14"/>
                <w:szCs w:val="14"/>
                <w:color w:val="auto"/>
              </w:rPr>
            </w:pPr>
          </w:p>
        </w:tc>
        <w:tc>
          <w:tcPr>
            <w:tcW w:w="1500" w:type="dxa"/>
            <w:vAlign w:val="bottom"/>
            <w:gridSpan w:val="2"/>
          </w:tcPr>
          <w:p>
            <w:pPr>
              <w:jc w:val="right"/>
              <w:ind w:right="11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r>
              <w:rPr>
                <w:rFonts w:ascii="Arial" w:cs="Arial" w:eastAsia="Arial" w:hAnsi="Arial"/>
                <w:sz w:val="15"/>
                <w:szCs w:val="15"/>
                <w:color w:val="auto"/>
              </w:rPr>
              <w:t>:</w:t>
            </w:r>
          </w:p>
        </w:tc>
        <w:tc>
          <w:tcPr>
            <w:tcW w:w="21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364,677</w:t>
            </w:r>
          </w:p>
        </w:tc>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$ 36,809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401,486</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Aircraft fuel</w:t>
            </w: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83,392</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83,392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Salaries, wages and benefits</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121,189</w:t>
            </w:r>
          </w:p>
        </w:tc>
        <w:tc>
          <w:tcPr>
            <w:tcW w:w="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20,452</w:t>
            </w:r>
          </w:p>
        </w:tc>
        <w:tc>
          <w:tcPr>
            <w:tcW w:w="80" w:type="dxa"/>
            <w:vAlign w:val="bottom"/>
          </w:tcPr>
          <w:p>
            <w:pPr>
              <w:spacing w:after="0"/>
              <w:rPr>
                <w:sz w:val="17"/>
                <w:szCs w:val="17"/>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5"/>
                <w:szCs w:val="15"/>
                <w:color w:val="auto"/>
                <w:w w:val="84"/>
              </w:rPr>
              <w:t>141,641</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Aircraft rent</w:t>
            </w: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30,989</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30,989</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Maintenance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22,457</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4,959</w:t>
            </w:r>
          </w:p>
        </w:tc>
        <w:tc>
          <w:tcPr>
            <w:tcW w:w="8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5"/>
                <w:szCs w:val="15"/>
                <w:color w:val="auto"/>
              </w:rPr>
              <w:t>27,416</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16,570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16,570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48,086</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5"/>
                <w:szCs w:val="15"/>
                <w:color w:val="auto"/>
              </w:rPr>
              <w:t>48,086</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Ground handling</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20,596</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Landing fees and airport rent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30,975</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281</w:t>
            </w:r>
          </w:p>
        </w:tc>
        <w:tc>
          <w:tcPr>
            <w:tcW w:w="8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5"/>
                <w:szCs w:val="15"/>
                <w:color w:val="auto"/>
              </w:rPr>
              <w:t>31,256</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Special items, net</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(53,842)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(10,721)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(64,563)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5"/>
                <w:szCs w:val="15"/>
                <w:color w:val="auto"/>
              </w:rPr>
              <w:t>Other operating, net</w:t>
            </w: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41,880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6,838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5"/>
                <w:szCs w:val="15"/>
                <w:color w:val="auto"/>
              </w:rPr>
              <w:t>48,718</w:t>
            </w:r>
          </w:p>
        </w:tc>
        <w:tc>
          <w:tcPr>
            <w:tcW w:w="0" w:type="dxa"/>
            <w:vAlign w:val="bottom"/>
          </w:tcPr>
          <w:p>
            <w:pPr>
              <w:spacing w:after="0"/>
              <w:rPr>
                <w:sz w:val="1"/>
                <w:szCs w:val="1"/>
                <w:color w:val="auto"/>
              </w:rPr>
            </w:pPr>
          </w:p>
        </w:tc>
      </w:tr>
      <w:tr>
        <w:trPr>
          <w:trHeight w:val="233"/>
        </w:trPr>
        <w:tc>
          <w:tcPr>
            <w:tcW w:w="1020" w:type="dxa"/>
            <w:vAlign w:val="bottom"/>
          </w:tcPr>
          <w:p>
            <w:pPr>
              <w:spacing w:after="0"/>
              <w:rPr>
                <w:sz w:val="20"/>
                <w:szCs w:val="20"/>
                <w:color w:val="auto"/>
              </w:rPr>
            </w:pPr>
          </w:p>
        </w:tc>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362,292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21,809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384,101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5"/>
                <w:szCs w:val="15"/>
                <w:b w:val="1"/>
                <w:bCs w:val="1"/>
                <w:color w:val="auto"/>
              </w:rPr>
              <w:t>Operating income</w:t>
            </w:r>
          </w:p>
        </w:tc>
        <w:tc>
          <w:tcPr>
            <w:tcW w:w="218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2,385</w:t>
            </w:r>
          </w:p>
        </w:tc>
        <w:tc>
          <w:tcPr>
            <w:tcW w:w="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$ 15,000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020"/>
              <w:spacing w:after="0"/>
              <w:rPr>
                <w:sz w:val="20"/>
                <w:szCs w:val="20"/>
                <w:color w:val="auto"/>
              </w:rPr>
            </w:pPr>
            <w:r>
              <w:rPr>
                <w:rFonts w:ascii="Arial" w:cs="Arial" w:eastAsia="Arial" w:hAnsi="Arial"/>
                <w:sz w:val="15"/>
                <w:szCs w:val="15"/>
                <w:color w:val="auto"/>
              </w:rPr>
              <w:t>17,385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00" w:type="dxa"/>
            <w:vAlign w:val="bottom"/>
            <w:vMerge w:val="restart"/>
          </w:tcPr>
          <w:p>
            <w:pPr>
              <w:jc w:val="right"/>
              <w:ind w:right="987"/>
              <w:spacing w:after="0"/>
              <w:rPr>
                <w:sz w:val="20"/>
                <w:szCs w:val="20"/>
                <w:color w:val="auto"/>
              </w:rPr>
            </w:pPr>
            <w:r>
              <w:rPr>
                <w:rFonts w:ascii="Arial" w:cs="Arial" w:eastAsia="Arial" w:hAnsi="Arial"/>
                <w:sz w:val="15"/>
                <w:szCs w:val="15"/>
                <w:color w:val="auto"/>
              </w:rPr>
              <w:t>87</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10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-885190</wp:posOffset>
            </wp:positionV>
            <wp:extent cx="388620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-2468880</wp:posOffset>
            </wp:positionV>
            <wp:extent cx="11176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-2468880</wp:posOffset>
            </wp:positionV>
            <wp:extent cx="11176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-2468880</wp:posOffset>
            </wp:positionV>
            <wp:extent cx="11176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4" w:name="page95"/>
    <w:bookmarkEnd w:id="9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425450</wp:posOffset>
            </wp:positionV>
            <wp:extent cx="44640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air cargo operations commenced in May 2020, there is no comparable prior year information.</w:t>
      </w:r>
    </w:p>
    <w:p>
      <w:pPr>
        <w:spacing w:after="0" w:line="124"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i w:val="1"/>
          <w:iCs w:val="1"/>
          <w:color w:val="auto"/>
        </w:rPr>
        <w:t xml:space="preserve">Passenger. </w:t>
      </w:r>
      <w:r>
        <w:rPr>
          <w:rFonts w:ascii="Arial" w:cs="Arial" w:eastAsia="Arial" w:hAnsi="Arial"/>
          <w:sz w:val="15"/>
          <w:szCs w:val="15"/>
          <w:color w:val="auto"/>
        </w:rPr>
        <w:t>Passenger operating income decreased by $75.7 million, or 97%, to $2.4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year-ended December 31, 2020, as compared to $78.1 million for the year ended December 31, 2019. For more information on the changes in the components of operating income for the passenger segment, refer to the consolidated results of operations discussion above.</w:t>
      </w:r>
    </w:p>
    <w:p>
      <w:pPr>
        <w:spacing w:after="0" w:line="91"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i w:val="1"/>
          <w:iCs w:val="1"/>
          <w:color w:val="auto"/>
        </w:rPr>
        <w:t xml:space="preserve">Cargo. </w:t>
      </w:r>
      <w:r>
        <w:rPr>
          <w:rFonts w:ascii="Arial" w:cs="Arial" w:eastAsia="Arial" w:hAnsi="Arial"/>
          <w:sz w:val="15"/>
          <w:szCs w:val="15"/>
          <w:color w:val="auto"/>
        </w:rPr>
        <w:t>Cargo operating income was $15.0 million as of the year-ended December 31, 2020. As air</w:t>
      </w:r>
      <w:r>
        <w:rPr>
          <w:rFonts w:ascii="Arial" w:cs="Arial" w:eastAsia="Arial" w:hAnsi="Arial"/>
          <w:sz w:val="15"/>
          <w:szCs w:val="15"/>
          <w:i w:val="1"/>
          <w:iCs w:val="1"/>
          <w:color w:val="auto"/>
        </w:rPr>
        <w:t xml:space="preserve"> </w:t>
      </w:r>
      <w:r>
        <w:rPr>
          <w:rFonts w:ascii="Arial" w:cs="Arial" w:eastAsia="Arial" w:hAnsi="Arial"/>
          <w:sz w:val="15"/>
          <w:szCs w:val="15"/>
          <w:color w:val="auto"/>
        </w:rPr>
        <w:t>cargo operations commenced in May 2020, the cargo segment had no comparable operations for any other prior period presented. For more information on the components of operating income for the cargo segment, refer to the consolidated results of operations discussion above, we more fully describe the cargo expenses embedded within each financial statement line item.</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 ended December 31, 2019 and the Successor and Predecessor 2018 periods</w:t>
      </w:r>
    </w:p>
    <w:p>
      <w:pPr>
        <w:spacing w:after="0" w:line="155"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4"/>
              </w:rPr>
              <w:t>For the period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1"/>
              </w:rPr>
              <w:t>For the year</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60" w:type="dxa"/>
            <w:vAlign w:val="bottom"/>
          </w:tcPr>
          <w:p>
            <w:pPr>
              <w:spacing w:after="0"/>
              <w:rPr>
                <w:sz w:val="11"/>
                <w:szCs w:val="11"/>
                <w:color w:val="auto"/>
              </w:rPr>
            </w:pPr>
          </w:p>
        </w:tc>
        <w:tc>
          <w:tcPr>
            <w:tcW w:w="72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34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gridSpan w:val="3"/>
          </w:tcPr>
          <w:p>
            <w:pPr>
              <w:jc w:val="center"/>
              <w:ind w:right="280"/>
              <w:spacing w:after="0" w:line="132" w:lineRule="exact"/>
              <w:rPr>
                <w:sz w:val="20"/>
                <w:szCs w:val="20"/>
                <w:color w:val="auto"/>
              </w:rPr>
            </w:pPr>
            <w:r>
              <w:rPr>
                <w:rFonts w:ascii="Arial" w:cs="Arial" w:eastAsia="Arial" w:hAnsi="Arial"/>
                <w:sz w:val="12"/>
                <w:szCs w:val="12"/>
                <w:b w:val="1"/>
                <w:bCs w:val="1"/>
                <w:color w:val="auto"/>
                <w:w w:val="88"/>
              </w:rPr>
              <w:t>through</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January 1,</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60" w:type="dxa"/>
            <w:vAlign w:val="bottom"/>
          </w:tcPr>
          <w:p>
            <w:pPr>
              <w:spacing w:after="0"/>
              <w:rPr>
                <w:sz w:val="11"/>
                <w:szCs w:val="11"/>
                <w:color w:val="auto"/>
              </w:rPr>
            </w:pPr>
          </w:p>
        </w:tc>
        <w:tc>
          <w:tcPr>
            <w:tcW w:w="72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r>
              <w:rPr>
                <w:rFonts w:ascii="Arial" w:cs="Arial" w:eastAsia="Arial" w:hAnsi="Arial"/>
                <w:sz w:val="15"/>
                <w:szCs w:val="15"/>
                <w:color w:val="auto"/>
              </w:rPr>
              <w:t>:</w:t>
            </w:r>
          </w:p>
        </w:tc>
        <w:tc>
          <w:tcPr>
            <w:tcW w:w="13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Passenger</w:t>
            </w:r>
          </w:p>
        </w:tc>
        <w:tc>
          <w:tcPr>
            <w:tcW w:w="16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688,833</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335,824</w:t>
            </w:r>
          </w:p>
        </w:tc>
        <w:tc>
          <w:tcPr>
            <w:tcW w:w="100" w:type="dxa"/>
            <w:vAlign w:val="bottom"/>
            <w:tcBorders>
              <w:right w:val="single" w:sz="8" w:color="auto"/>
            </w:tcBorders>
          </w:tcPr>
          <w:p>
            <w:pPr>
              <w:spacing w:after="0"/>
              <w:rPr>
                <w:sz w:val="17"/>
                <w:szCs w:val="17"/>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172,897</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3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49,107</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24,555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0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5"/>
                <w:szCs w:val="15"/>
                <w:b w:val="1"/>
                <w:bCs w:val="1"/>
                <w:color w:val="auto"/>
              </w:rPr>
              <w:t>Total Operating Revenue</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701,384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384,931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197,452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13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Aircraft Fuel</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165,666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119,553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45,790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Salaries, Wages, and Benefits</w:t>
            </w:r>
          </w:p>
        </w:tc>
        <w:tc>
          <w:tcPr>
            <w:tcW w:w="1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140,739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90,263</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36,964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Aircraft Rent</w:t>
            </w:r>
            <w:r>
              <w:rPr>
                <w:rFonts w:ascii="Arial" w:cs="Arial" w:eastAsia="Arial" w:hAnsi="Arial"/>
                <w:sz w:val="19"/>
                <w:szCs w:val="19"/>
                <w:color w:val="auto"/>
                <w:vertAlign w:val="superscript"/>
              </w:rPr>
              <w:t>(1)</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49,908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36,831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28,329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Maintenance</w:t>
            </w:r>
            <w:r>
              <w:rPr>
                <w:rFonts w:ascii="Arial" w:cs="Arial" w:eastAsia="Arial" w:hAnsi="Arial"/>
                <w:sz w:val="19"/>
                <w:szCs w:val="19"/>
                <w:color w:val="auto"/>
                <w:vertAlign w:val="superscript"/>
              </w:rPr>
              <w:t>(2)</w:t>
            </w:r>
          </w:p>
        </w:tc>
        <w:tc>
          <w:tcPr>
            <w:tcW w:w="13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15,491</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9,508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Sales and Marketing</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35,388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17,180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10,854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19"/>
                <w:szCs w:val="19"/>
                <w:color w:val="auto"/>
                <w:vertAlign w:val="superscript"/>
              </w:rPr>
              <w:t>(3)</w:t>
            </w:r>
          </w:p>
        </w:tc>
        <w:tc>
          <w:tcPr>
            <w:tcW w:w="13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Ground Handling</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41,719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23,828</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8,619</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Landing Fees and Airport Rent</w:t>
            </w:r>
          </w:p>
        </w:tc>
        <w:tc>
          <w:tcPr>
            <w:tcW w:w="1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25,977</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10,481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Special Items, net</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7,092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(6,706)</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271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Other Operating, net</w:t>
            </w:r>
          </w:p>
        </w:tc>
        <w:tc>
          <w:tcPr>
            <w:tcW w:w="13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40,877</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17,994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2700" w:type="dxa"/>
            <w:vAlign w:val="bottom"/>
          </w:tcPr>
          <w:p>
            <w:pPr>
              <w:ind w:left="160"/>
              <w:spacing w:after="0"/>
              <w:rPr>
                <w:sz w:val="20"/>
                <w:szCs w:val="20"/>
                <w:color w:val="auto"/>
              </w:rPr>
            </w:pPr>
            <w:r>
              <w:rPr>
                <w:rFonts w:ascii="Arial" w:cs="Arial" w:eastAsia="Arial" w:hAnsi="Arial"/>
                <w:sz w:val="15"/>
                <w:szCs w:val="15"/>
                <w:color w:val="auto"/>
              </w:rPr>
              <w:t>Total Operating Expenses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623,262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377,699</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171,336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020" w:type="dxa"/>
            <w:vAlign w:val="bottom"/>
          </w:tcPr>
          <w:p>
            <w:pPr>
              <w:spacing w:after="0"/>
              <w:rPr>
                <w:sz w:val="21"/>
                <w:szCs w:val="21"/>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Operating Income</w:t>
            </w:r>
          </w:p>
        </w:tc>
        <w:tc>
          <w:tcPr>
            <w:tcW w:w="13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78,122</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7,232</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26,116</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spacing w:after="0" w:line="169" w:lineRule="exact"/>
              <w:rPr>
                <w:sz w:val="20"/>
                <w:szCs w:val="20"/>
                <w:color w:val="auto"/>
              </w:rPr>
            </w:pPr>
            <w:r>
              <w:rPr>
                <w:rFonts w:ascii="Arial" w:cs="Arial" w:eastAsia="Arial" w:hAnsi="Arial"/>
                <w:sz w:val="15"/>
                <w:szCs w:val="15"/>
                <w:b w:val="1"/>
                <w:bCs w:val="1"/>
                <w:color w:val="auto"/>
              </w:rPr>
              <w:t>Non-operating Income (Expense)</w:t>
            </w:r>
            <w:r>
              <w:rPr>
                <w:rFonts w:ascii="Arial" w:cs="Arial" w:eastAsia="Arial" w:hAnsi="Arial"/>
                <w:sz w:val="15"/>
                <w:szCs w:val="15"/>
                <w:color w:val="auto"/>
              </w:rPr>
              <w:t>:</w:t>
            </w: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tcPr>
          <w:p>
            <w:pPr>
              <w:spacing w:after="0"/>
              <w:rPr>
                <w:sz w:val="11"/>
                <w:szCs w:val="11"/>
                <w:color w:val="auto"/>
              </w:rPr>
            </w:pPr>
          </w:p>
        </w:tc>
        <w:tc>
          <w:tcPr>
            <w:tcW w:w="2700" w:type="dxa"/>
            <w:vAlign w:val="bottom"/>
            <w:vMerge w:val="continue"/>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1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Interest Expense</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(17,170)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(339)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Other, net</w:t>
            </w:r>
          </w:p>
        </w:tc>
        <w:tc>
          <w:tcPr>
            <w:tcW w:w="13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(1,729)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(1,636)</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37</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2700" w:type="dxa"/>
            <w:vAlign w:val="bottom"/>
          </w:tcPr>
          <w:p>
            <w:pPr>
              <w:ind w:left="160"/>
              <w:spacing w:after="0"/>
              <w:rPr>
                <w:sz w:val="20"/>
                <w:szCs w:val="20"/>
                <w:color w:val="auto"/>
              </w:rPr>
            </w:pPr>
            <w:r>
              <w:rPr>
                <w:rFonts w:ascii="Arial" w:cs="Arial" w:eastAsia="Arial" w:hAnsi="Arial"/>
                <w:sz w:val="15"/>
                <w:szCs w:val="15"/>
                <w:b w:val="1"/>
                <w:bCs w:val="1"/>
                <w:color w:val="auto"/>
              </w:rPr>
              <w:t>Total Non-operating Expense, net</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(17,962)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(7,438)</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(206)</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Income Tax</w:t>
            </w:r>
          </w:p>
        </w:tc>
        <w:tc>
          <w:tcPr>
            <w:tcW w:w="13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60,160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25,910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0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5"/>
                <w:szCs w:val="15"/>
                <w:color w:val="auto"/>
              </w:rPr>
              <w:t>Income Tax Expense</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14,088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20" w:type="dxa"/>
            <w:vAlign w:val="bottom"/>
          </w:tcPr>
          <w:p>
            <w:pPr>
              <w:spacing w:after="0"/>
              <w:rPr>
                <w:sz w:val="22"/>
                <w:szCs w:val="22"/>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Net Income (Loss)</w:t>
            </w:r>
          </w:p>
        </w:tc>
        <w:tc>
          <w:tcPr>
            <w:tcW w:w="1560" w:type="dxa"/>
            <w:vAlign w:val="bottom"/>
            <w:tcBorders>
              <w:right w:val="single" w:sz="8" w:color="CCEEFF"/>
            </w:tcBorders>
            <w:gridSpan w:val="2"/>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46,072</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shd w:val="clear" w:color="auto" w:fill="CCEEFF"/>
          </w:tcPr>
          <w:p>
            <w:pPr>
              <w:spacing w:after="0"/>
              <w:rPr>
                <w:sz w:val="22"/>
                <w:szCs w:val="22"/>
                <w:color w:val="auto"/>
              </w:rPr>
            </w:pP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25,910</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Non-GAAP Financial Data</w:t>
            </w:r>
            <w:r>
              <w:rPr>
                <w:rFonts w:ascii="Arial" w:cs="Arial" w:eastAsia="Arial" w:hAnsi="Arial"/>
                <w:sz w:val="15"/>
                <w:szCs w:val="15"/>
                <w:color w:val="auto"/>
              </w:rPr>
              <w:t>:</w:t>
            </w: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20" w:type="dxa"/>
            <w:vAlign w:val="bottom"/>
          </w:tcPr>
          <w:p>
            <w:pPr>
              <w:spacing w:after="0"/>
              <w:rPr>
                <w:sz w:val="12"/>
                <w:szCs w:val="12"/>
                <w:color w:val="auto"/>
              </w:rPr>
            </w:pPr>
          </w:p>
        </w:tc>
        <w:tc>
          <w:tcPr>
            <w:tcW w:w="270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020" w:type="dxa"/>
            <w:vAlign w:val="bottom"/>
          </w:tcPr>
          <w:p>
            <w:pPr>
              <w:spacing w:after="0"/>
              <w:rPr>
                <w:sz w:val="23"/>
                <w:szCs w:val="2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Adjusted Net Income (Loss)</w:t>
            </w:r>
            <w:r>
              <w:rPr>
                <w:rFonts w:ascii="Arial" w:cs="Arial" w:eastAsia="Arial" w:hAnsi="Arial"/>
                <w:sz w:val="19"/>
                <w:szCs w:val="19"/>
                <w:color w:val="auto"/>
                <w:vertAlign w:val="superscript"/>
              </w:rPr>
              <w:t>(4)</w:t>
            </w:r>
          </w:p>
        </w:tc>
        <w:tc>
          <w:tcPr>
            <w:tcW w:w="1560" w:type="dxa"/>
            <w:vAlign w:val="bottom"/>
            <w:tcBorders>
              <w:right w:val="single" w:sz="8" w:color="CCEEFF"/>
            </w:tcBorders>
            <w:gridSpan w:val="2"/>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53,734</w:t>
            </w:r>
          </w:p>
        </w:tc>
        <w:tc>
          <w:tcPr>
            <w:tcW w:w="16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(5,871)</w:t>
            </w:r>
          </w:p>
        </w:tc>
        <w:tc>
          <w:tcPr>
            <w:tcW w:w="10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26,181</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Adjusted EBITDAR</w:t>
            </w:r>
            <w:r>
              <w:rPr>
                <w:rFonts w:ascii="Arial" w:cs="Arial" w:eastAsia="Arial" w:hAnsi="Arial"/>
                <w:sz w:val="19"/>
                <w:szCs w:val="19"/>
                <w:color w:val="auto"/>
                <w:vertAlign w:val="superscript"/>
              </w:rPr>
              <w:t>(4)</w:t>
            </w: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20" w:type="dxa"/>
            <w:vAlign w:val="bottom"/>
          </w:tcPr>
          <w:p>
            <w:pPr>
              <w:spacing w:after="0"/>
              <w:rPr>
                <w:sz w:val="20"/>
                <w:szCs w:val="20"/>
                <w:color w:val="auto"/>
              </w:rPr>
            </w:pPr>
          </w:p>
        </w:tc>
        <w:tc>
          <w:tcPr>
            <w:tcW w:w="2700" w:type="dxa"/>
            <w:vAlign w:val="bottom"/>
            <w:vMerge w:val="continue"/>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171,129</w:t>
            </w: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49,688</w:t>
            </w:r>
          </w:p>
        </w:tc>
        <w:tc>
          <w:tcPr>
            <w:tcW w:w="100" w:type="dxa"/>
            <w:vAlign w:val="bottom"/>
            <w:tcBorders>
              <w:right w:val="single" w:sz="8" w:color="auto"/>
            </w:tcBorders>
          </w:tcPr>
          <w:p>
            <w:pPr>
              <w:spacing w:after="0"/>
              <w:rPr>
                <w:sz w:val="20"/>
                <w:szCs w:val="20"/>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57,279</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10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20" w:type="dxa"/>
            <w:vAlign w:val="bottom"/>
          </w:tcPr>
          <w:p>
            <w:pPr>
              <w:jc w:val="right"/>
              <w:ind w:right="547"/>
              <w:spacing w:after="0"/>
              <w:rPr>
                <w:sz w:val="20"/>
                <w:szCs w:val="20"/>
                <w:color w:val="auto"/>
              </w:rPr>
            </w:pPr>
            <w:r>
              <w:rPr>
                <w:rFonts w:ascii="Arial" w:cs="Arial" w:eastAsia="Arial" w:hAnsi="Arial"/>
                <w:sz w:val="15"/>
                <w:szCs w:val="15"/>
                <w:color w:val="auto"/>
              </w:rPr>
              <w:t>88</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-1192530</wp:posOffset>
            </wp:positionV>
            <wp:extent cx="5588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-1192530</wp:posOffset>
            </wp:positionV>
            <wp:extent cx="383032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-2350135</wp:posOffset>
            </wp:positionV>
            <wp:extent cx="5588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-2350135</wp:posOffset>
            </wp:positionV>
            <wp:extent cx="383032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-4512945</wp:posOffset>
            </wp:positionV>
            <wp:extent cx="104775"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-4512945</wp:posOffset>
            </wp:positionV>
            <wp:extent cx="11176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-4512945</wp:posOffset>
            </wp:positionV>
            <wp:extent cx="11176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5" w:name="page96"/>
    <w:bookmarkEnd w:id="9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425450</wp:posOffset>
            </wp:positionV>
            <wp:extent cx="446405"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60" w:right="1279" w:hanging="296"/>
        <w:spacing w:after="0" w:line="237" w:lineRule="auto"/>
        <w:tabs>
          <w:tab w:leader="none" w:pos="1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23" w:lineRule="exact"/>
        <w:rPr>
          <w:rFonts w:ascii="Arial" w:cs="Arial" w:eastAsia="Arial" w:hAnsi="Arial"/>
          <w:sz w:val="14"/>
          <w:szCs w:val="14"/>
          <w:color w:val="auto"/>
        </w:rPr>
      </w:pPr>
    </w:p>
    <w:p>
      <w:pPr>
        <w:ind w:left="1460" w:right="1239" w:hanging="296"/>
        <w:spacing w:after="0" w:line="237" w:lineRule="auto"/>
        <w:tabs>
          <w:tab w:leader="none" w:pos="1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89" w:lineRule="exact"/>
        <w:rPr>
          <w:rFonts w:ascii="Arial" w:cs="Arial" w:eastAsia="Arial" w:hAnsi="Arial"/>
          <w:sz w:val="14"/>
          <w:szCs w:val="14"/>
          <w:color w:val="auto"/>
        </w:rPr>
      </w:pPr>
    </w:p>
    <w:p>
      <w:pPr>
        <w:ind w:left="1460" w:right="1319" w:hanging="296"/>
        <w:spacing w:after="0" w:line="251" w:lineRule="auto"/>
        <w:tabs>
          <w:tab w:leader="none" w:pos="1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 for certain acquired assets and to the amortization of definite-lived intangible assets. See Note 2 to our audited consolidated financial statements included elsewhere in this prospectus for additional information.</w:t>
      </w:r>
    </w:p>
    <w:p>
      <w:pPr>
        <w:spacing w:after="0" w:line="91" w:lineRule="exact"/>
        <w:rPr>
          <w:rFonts w:ascii="Arial" w:cs="Arial" w:eastAsia="Arial" w:hAnsi="Arial"/>
          <w:sz w:val="15"/>
          <w:szCs w:val="15"/>
          <w:color w:val="auto"/>
        </w:rPr>
      </w:pPr>
    </w:p>
    <w:p>
      <w:pPr>
        <w:ind w:left="1460" w:right="1379" w:hanging="296"/>
        <w:spacing w:after="0" w:line="264" w:lineRule="auto"/>
        <w:tabs>
          <w:tab w:leader="none" w:pos="1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See “— </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for definitions of these measures and reconciliations to the most comparable GAAP metric.</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Revenues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7"/>
            <w:vMerge w:val="restart"/>
          </w:tcPr>
          <w:p>
            <w:pPr>
              <w:ind w:left="500"/>
              <w:spacing w:after="0"/>
              <w:rPr>
                <w:sz w:val="20"/>
                <w:szCs w:val="20"/>
                <w:color w:val="auto"/>
              </w:rPr>
            </w:pPr>
            <w:r>
              <w:rPr>
                <w:rFonts w:ascii="Arial" w:cs="Arial" w:eastAsia="Arial" w:hAnsi="Arial"/>
                <w:sz w:val="12"/>
                <w:szCs w:val="12"/>
                <w:b w:val="1"/>
                <w:bCs w:val="1"/>
                <w:color w:val="auto"/>
              </w:rPr>
              <w:t>Successor</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7"/>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4"/>
              </w:rPr>
              <w:t>For the period</w:t>
            </w:r>
          </w:p>
        </w:tc>
        <w:tc>
          <w:tcPr>
            <w:tcW w:w="8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40"/>
              <w:spacing w:after="0" w:line="132" w:lineRule="exact"/>
              <w:rPr>
                <w:sz w:val="20"/>
                <w:szCs w:val="20"/>
                <w:color w:val="auto"/>
              </w:rPr>
            </w:pPr>
            <w:r>
              <w:rPr>
                <w:rFonts w:ascii="Arial" w:cs="Arial" w:eastAsia="Arial" w:hAnsi="Arial"/>
                <w:sz w:val="12"/>
                <w:szCs w:val="12"/>
                <w:b w:val="1"/>
                <w:bCs w:val="1"/>
                <w:color w:val="auto"/>
                <w:w w:val="81"/>
              </w:rPr>
              <w:t>For the year</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80" w:type="dxa"/>
            <w:vAlign w:val="bottom"/>
            <w:tcBorders>
              <w:left w:val="single" w:sz="8" w:color="auto"/>
            </w:tcBorders>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through</w:t>
            </w:r>
          </w:p>
        </w:tc>
        <w:tc>
          <w:tcPr>
            <w:tcW w:w="8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Borders>
              <w:left w:val="single" w:sz="8" w:color="auto"/>
            </w:tcBorders>
          </w:tcPr>
          <w:p>
            <w:pPr>
              <w:spacing w:after="0"/>
              <w:rPr>
                <w:sz w:val="11"/>
                <w:szCs w:val="11"/>
                <w:color w:val="auto"/>
              </w:rPr>
            </w:pPr>
          </w:p>
        </w:tc>
        <w:tc>
          <w:tcPr>
            <w:tcW w:w="72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40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00" w:type="dxa"/>
            <w:vAlign w:val="bottom"/>
            <w:gridSpan w:val="2"/>
          </w:tcPr>
          <w:p>
            <w:pPr>
              <w:jc w:val="center"/>
              <w:ind w:left="192"/>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ind w:left="33"/>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left w:val="single" w:sz="8" w:color="auto"/>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r>
              <w:rPr>
                <w:rFonts w:ascii="Arial" w:cs="Arial" w:eastAsia="Arial" w:hAnsi="Arial"/>
                <w:sz w:val="15"/>
                <w:szCs w:val="15"/>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5"/>
                <w:szCs w:val="15"/>
                <w:color w:val="auto"/>
              </w:rPr>
              <w:t>Scheduled service</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$396,113</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w w:val="99"/>
              </w:rPr>
              <w:t>$224,507</w:t>
            </w:r>
          </w:p>
        </w:tc>
        <w:tc>
          <w:tcPr>
            <w:tcW w:w="80" w:type="dxa"/>
            <w:vAlign w:val="bottom"/>
          </w:tcPr>
          <w:p>
            <w:pPr>
              <w:spacing w:after="0"/>
              <w:rPr>
                <w:sz w:val="18"/>
                <w:szCs w:val="18"/>
                <w:color w:val="auto"/>
              </w:rPr>
            </w:pPr>
          </w:p>
        </w:tc>
        <w:tc>
          <w:tcPr>
            <w:tcW w:w="720" w:type="dxa"/>
            <w:vAlign w:val="bottom"/>
            <w:tcBorders>
              <w:left w:val="single" w:sz="8" w:color="auto"/>
            </w:tcBorders>
            <w:gridSpan w:val="3"/>
          </w:tcPr>
          <w:p>
            <w:pPr>
              <w:jc w:val="right"/>
              <w:spacing w:after="0"/>
              <w:rPr>
                <w:sz w:val="20"/>
                <w:szCs w:val="20"/>
                <w:color w:val="auto"/>
              </w:rPr>
            </w:pPr>
            <w:r>
              <w:rPr>
                <w:rFonts w:ascii="Arial" w:cs="Arial" w:eastAsia="Arial" w:hAnsi="Arial"/>
                <w:sz w:val="15"/>
                <w:szCs w:val="15"/>
                <w:color w:val="auto"/>
              </w:rPr>
              <w:t>$132,234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Charter service</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174,562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111,317</w:t>
            </w:r>
          </w:p>
        </w:tc>
        <w:tc>
          <w:tcPr>
            <w:tcW w:w="80" w:type="dxa"/>
            <w:vAlign w:val="bottom"/>
            <w:shd w:val="clear" w:color="auto" w:fill="CCEEFF"/>
          </w:tcPr>
          <w:p>
            <w:pPr>
              <w:spacing w:after="0"/>
              <w:rPr>
                <w:sz w:val="18"/>
                <w:szCs w:val="18"/>
                <w:color w:val="auto"/>
              </w:rPr>
            </w:pPr>
          </w:p>
        </w:tc>
        <w:tc>
          <w:tcPr>
            <w:tcW w:w="80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40,663</w:t>
            </w:r>
          </w:p>
        </w:tc>
        <w:tc>
          <w:tcPr>
            <w:tcW w:w="0" w:type="dxa"/>
            <w:vAlign w:val="bottom"/>
          </w:tcPr>
          <w:p>
            <w:pPr>
              <w:spacing w:after="0"/>
              <w:rPr>
                <w:sz w:val="1"/>
                <w:szCs w:val="1"/>
                <w:color w:val="auto"/>
              </w:rPr>
            </w:pPr>
          </w:p>
        </w:tc>
      </w:tr>
      <w:tr>
        <w:trPr>
          <w:trHeight w:val="242"/>
        </w:trPr>
        <w:tc>
          <w:tcPr>
            <w:tcW w:w="4020" w:type="dxa"/>
            <w:vAlign w:val="bottom"/>
            <w:gridSpan w:val="2"/>
          </w:tcPr>
          <w:p>
            <w:pPr>
              <w:spacing w:after="0"/>
              <w:rPr>
                <w:sz w:val="20"/>
                <w:szCs w:val="20"/>
                <w:color w:val="auto"/>
              </w:rPr>
            </w:pPr>
            <w:r>
              <w:rPr>
                <w:rFonts w:ascii="Arial" w:cs="Arial" w:eastAsia="Arial" w:hAnsi="Arial"/>
                <w:sz w:val="15"/>
                <w:szCs w:val="15"/>
                <w:color w:val="auto"/>
              </w:rPr>
              <w:t>Ancillary</w:t>
            </w:r>
            <w:r>
              <w:rPr>
                <w:rFonts w:ascii="Arial" w:cs="Arial" w:eastAsia="Arial" w:hAnsi="Arial"/>
                <w:sz w:val="19"/>
                <w:szCs w:val="19"/>
                <w:color w:val="auto"/>
                <w:vertAlign w:val="superscript"/>
              </w:rPr>
              <w:t>(1)</w:t>
            </w:r>
          </w:p>
        </w:tc>
        <w:tc>
          <w:tcPr>
            <w:tcW w:w="2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118,158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Passenger</w:t>
            </w:r>
          </w:p>
        </w:tc>
        <w:tc>
          <w:tcPr>
            <w:tcW w:w="24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9"/>
              </w:rPr>
              <w:t>688,833</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335,824</w:t>
            </w:r>
          </w:p>
        </w:tc>
        <w:tc>
          <w:tcPr>
            <w:tcW w:w="80" w:type="dxa"/>
            <w:vAlign w:val="bottom"/>
            <w:shd w:val="clear" w:color="auto" w:fill="CCEEFF"/>
          </w:tcPr>
          <w:p>
            <w:pPr>
              <w:spacing w:after="0"/>
              <w:rPr>
                <w:sz w:val="17"/>
                <w:szCs w:val="17"/>
                <w:color w:val="auto"/>
              </w:rPr>
            </w:pPr>
          </w:p>
        </w:tc>
        <w:tc>
          <w:tcPr>
            <w:tcW w:w="72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172,897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20" w:type="dxa"/>
            <w:vAlign w:val="bottom"/>
            <w:gridSpan w:val="2"/>
          </w:tcPr>
          <w:p>
            <w:pPr>
              <w:spacing w:after="0"/>
              <w:rPr>
                <w:sz w:val="20"/>
                <w:szCs w:val="20"/>
                <w:color w:val="auto"/>
              </w:rPr>
            </w:pPr>
            <w:r>
              <w:rPr>
                <w:rFonts w:ascii="Arial" w:cs="Arial" w:eastAsia="Arial" w:hAnsi="Arial"/>
                <w:sz w:val="15"/>
                <w:szCs w:val="15"/>
                <w:color w:val="auto"/>
              </w:rPr>
              <w:t>Ancillary</w:t>
            </w:r>
            <w:r>
              <w:rPr>
                <w:rFonts w:ascii="Arial" w:cs="Arial" w:eastAsia="Arial" w:hAnsi="Arial"/>
                <w:sz w:val="19"/>
                <w:szCs w:val="19"/>
                <w:color w:val="auto"/>
                <w:vertAlign w:val="superscript"/>
              </w:rPr>
              <w:t>(1)</w:t>
            </w:r>
          </w:p>
        </w:tc>
        <w:tc>
          <w:tcPr>
            <w:tcW w:w="240" w:type="dxa"/>
            <w:vAlign w:val="bottom"/>
          </w:tcPr>
          <w:p>
            <w:pPr>
              <w:spacing w:after="0"/>
              <w:rPr>
                <w:sz w:val="20"/>
                <w:szCs w:val="20"/>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rPr>
              <w:t>41,065</w:t>
            </w:r>
          </w:p>
        </w:tc>
        <w:tc>
          <w:tcPr>
            <w:tcW w:w="80" w:type="dxa"/>
            <w:vAlign w:val="bottom"/>
          </w:tcPr>
          <w:p>
            <w:pPr>
              <w:spacing w:after="0"/>
              <w:rPr>
                <w:sz w:val="20"/>
                <w:szCs w:val="20"/>
                <w:color w:val="auto"/>
              </w:rPr>
            </w:pPr>
          </w:p>
        </w:tc>
        <w:tc>
          <w:tcPr>
            <w:tcW w:w="80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5"/>
                <w:szCs w:val="15"/>
                <w:color w:val="auto"/>
              </w:rPr>
              <w:t>15,670</w:t>
            </w:r>
          </w:p>
        </w:tc>
        <w:tc>
          <w:tcPr>
            <w:tcW w:w="0" w:type="dxa"/>
            <w:vAlign w:val="bottom"/>
          </w:tcPr>
          <w:p>
            <w:pPr>
              <w:spacing w:after="0"/>
              <w:rPr>
                <w:sz w:val="1"/>
                <w:szCs w:val="1"/>
                <w:color w:val="auto"/>
              </w:rPr>
            </w:pPr>
          </w:p>
        </w:tc>
      </w:tr>
      <w:tr>
        <w:trPr>
          <w:trHeight w:val="214"/>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8,042</w:t>
            </w:r>
          </w:p>
        </w:tc>
        <w:tc>
          <w:tcPr>
            <w:tcW w:w="80" w:type="dxa"/>
            <w:vAlign w:val="bottom"/>
            <w:shd w:val="clear" w:color="auto" w:fill="CCEEFF"/>
          </w:tcPr>
          <w:p>
            <w:pPr>
              <w:spacing w:after="0"/>
              <w:rPr>
                <w:sz w:val="18"/>
                <w:szCs w:val="18"/>
                <w:color w:val="auto"/>
              </w:rPr>
            </w:pPr>
          </w:p>
        </w:tc>
        <w:tc>
          <w:tcPr>
            <w:tcW w:w="72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20" w:type="dxa"/>
            <w:vAlign w:val="bottom"/>
            <w:gridSpan w:val="2"/>
          </w:tcPr>
          <w:p>
            <w:pPr>
              <w:spacing w:after="0"/>
              <w:rPr>
                <w:sz w:val="20"/>
                <w:szCs w:val="20"/>
                <w:color w:val="auto"/>
              </w:rPr>
            </w:pPr>
            <w:r>
              <w:rPr>
                <w:rFonts w:ascii="Arial" w:cs="Arial" w:eastAsia="Arial" w:hAnsi="Arial"/>
                <w:sz w:val="15"/>
                <w:szCs w:val="15"/>
                <w:color w:val="auto"/>
              </w:rPr>
              <w:t>Total operating revenues</w:t>
            </w:r>
          </w:p>
        </w:tc>
        <w:tc>
          <w:tcPr>
            <w:tcW w:w="24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$701,384</w:t>
            </w:r>
          </w:p>
        </w:tc>
        <w:tc>
          <w:tcPr>
            <w:tcW w:w="160" w:type="dxa"/>
            <w:vAlign w:val="bottom"/>
          </w:tcPr>
          <w:p>
            <w:pPr>
              <w:spacing w:after="0"/>
              <w:rPr>
                <w:sz w:val="22"/>
                <w:szCs w:val="2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w w:val="99"/>
              </w:rPr>
              <w:t>$384,931</w:t>
            </w:r>
          </w:p>
        </w:tc>
        <w:tc>
          <w:tcPr>
            <w:tcW w:w="80" w:type="dxa"/>
            <w:vAlign w:val="bottom"/>
          </w:tcPr>
          <w:p>
            <w:pPr>
              <w:spacing w:after="0"/>
              <w:rPr>
                <w:sz w:val="22"/>
                <w:szCs w:val="22"/>
                <w:color w:val="auto"/>
              </w:rPr>
            </w:pPr>
          </w:p>
        </w:tc>
        <w:tc>
          <w:tcPr>
            <w:tcW w:w="720" w:type="dxa"/>
            <w:vAlign w:val="bottom"/>
            <w:tcBorders>
              <w:left w:val="single" w:sz="8" w:color="auto"/>
            </w:tcBorders>
            <w:gridSpan w:val="3"/>
          </w:tcPr>
          <w:p>
            <w:pPr>
              <w:jc w:val="right"/>
              <w:spacing w:after="0"/>
              <w:rPr>
                <w:sz w:val="20"/>
                <w:szCs w:val="20"/>
                <w:color w:val="auto"/>
              </w:rPr>
            </w:pPr>
            <w:r>
              <w:rPr>
                <w:rFonts w:ascii="Arial" w:cs="Arial" w:eastAsia="Arial" w:hAnsi="Arial"/>
                <w:sz w:val="15"/>
                <w:szCs w:val="15"/>
                <w:color w:val="auto"/>
              </w:rPr>
              <w:t>$197,452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-669290</wp:posOffset>
            </wp:positionV>
            <wp:extent cx="5588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-669290</wp:posOffset>
            </wp:positionV>
            <wp:extent cx="383032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-1227455</wp:posOffset>
            </wp:positionV>
            <wp:extent cx="10477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-1227455</wp:posOffset>
            </wp:positionV>
            <wp:extent cx="11176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-1227455</wp:posOffset>
            </wp:positionV>
            <wp:extent cx="11176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57" w:lineRule="exact"/>
        <w:rPr>
          <w:sz w:val="20"/>
          <w:szCs w:val="20"/>
          <w:color w:val="auto"/>
        </w:rPr>
      </w:pPr>
    </w:p>
    <w:p>
      <w:pPr>
        <w:ind w:left="1460" w:right="1359" w:hanging="296"/>
        <w:spacing w:after="0" w:line="221" w:lineRule="auto"/>
        <w:tabs>
          <w:tab w:leader="none" w:pos="1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classification of Ancillary changed as a result of the adoption of Accounting Standards Codification: Revenue from Contracts with Customers (“ASC 606”). Certain ancillary revenue was included in Other revenue prior to the adoption of this standard, but is included in Passenger revenue with the adoption of this standard. Total operating revenues were $701.4 million for the year ended December 31, 2019, $384.9 million for the Successor 2018 period and $197.5 million for the Predecessor 2018 period.</w:t>
      </w:r>
    </w:p>
    <w:p>
      <w:pPr>
        <w:spacing w:after="0" w:line="102" w:lineRule="exact"/>
        <w:rPr>
          <w:sz w:val="20"/>
          <w:szCs w:val="20"/>
          <w:color w:val="auto"/>
        </w:rPr>
      </w:pPr>
    </w:p>
    <w:p>
      <w:pPr>
        <w:ind w:left="1460"/>
        <w:spacing w:after="0"/>
        <w:tabs>
          <w:tab w:leader="none" w:pos="2720" w:val="left"/>
        </w:tabs>
        <w:rPr>
          <w:sz w:val="20"/>
          <w:szCs w:val="20"/>
          <w:color w:val="auto"/>
        </w:rPr>
      </w:pPr>
      <w:r>
        <w:rPr>
          <w:rFonts w:ascii="Arial" w:cs="Arial" w:eastAsia="Arial" w:hAnsi="Arial"/>
          <w:sz w:val="15"/>
          <w:szCs w:val="15"/>
          <w:i w:val="1"/>
          <w:iCs w:val="1"/>
          <w:color w:val="auto"/>
        </w:rPr>
        <w:t>Scheduled Service.</w:t>
      </w:r>
      <w:r>
        <w:rPr>
          <w:sz w:val="20"/>
          <w:szCs w:val="20"/>
          <w:color w:val="auto"/>
        </w:rPr>
        <w:tab/>
      </w:r>
      <w:r>
        <w:rPr>
          <w:rFonts w:ascii="Arial" w:cs="Arial" w:eastAsia="Arial" w:hAnsi="Arial"/>
          <w:sz w:val="13"/>
          <w:szCs w:val="13"/>
          <w:color w:val="auto"/>
        </w:rPr>
        <w:t>Scheduled service revenue was $396.1 million for the year ended</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2019, $224.5 million for the Successor 2018 period and $132.2 million for the Predecessor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2018 period. The increase in scheduled service revenue was primarily related to increases in our capacity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and departures along with a slight increase in load factor. Our scheduled service capacity, as measured by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ASMs, increased by 30% as a result of additional aircraft in service and increases in the number of seats on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board. In the year ended December 31, 2019, we completed the reconfiguration of substantially all of our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fleet to a high-density seating configuration of 183 seats. The increase in capacity led to an increase in our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number of scheduled service passengers to 3.6 million from 2.6 million. The increase in scheduled service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revenue was partially offset by a 19% decrease in average scheduled passenger fare to $111.08 from</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$136.42 and a decrease in PRASM of 1.16 cents, or 14%, largely driven by our low-fare pricing strategy.</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6" w:name="page97"/>
    <w:bookmarkEnd w:id="9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i w:val="1"/>
          <w:iCs w:val="1"/>
          <w:color w:val="auto"/>
        </w:rPr>
        <w:t xml:space="preserve">Charter Service. </w:t>
      </w:r>
      <w:r>
        <w:rPr>
          <w:rFonts w:ascii="Arial" w:cs="Arial" w:eastAsia="Arial" w:hAnsi="Arial"/>
          <w:sz w:val="15"/>
          <w:szCs w:val="15"/>
          <w:color w:val="auto"/>
        </w:rPr>
        <w:t>Charter service revenue was $174.6 million for the year ended December 31, 2019,</w:t>
      </w:r>
      <w:r>
        <w:rPr>
          <w:rFonts w:ascii="Arial" w:cs="Arial" w:eastAsia="Arial" w:hAnsi="Arial"/>
          <w:sz w:val="15"/>
          <w:szCs w:val="15"/>
          <w:i w:val="1"/>
          <w:iCs w:val="1"/>
          <w:color w:val="auto"/>
        </w:rPr>
        <w:t xml:space="preserve"> </w:t>
      </w:r>
      <w:r>
        <w:rPr>
          <w:rFonts w:ascii="Arial" w:cs="Arial" w:eastAsia="Arial" w:hAnsi="Arial"/>
          <w:sz w:val="15"/>
          <w:szCs w:val="15"/>
          <w:color w:val="auto"/>
        </w:rPr>
        <w:t>$111.3 million for the Successor 2018 period and $40.7 million for the Predecessor 2018 period. The increase in our charter service revenue was primarily due to an increase in the number of charter flights for our casino and sports customers and the U.S. Department of Defense.</w:t>
      </w:r>
    </w:p>
    <w:p>
      <w:pPr>
        <w:spacing w:after="0" w:line="91"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4"/>
          <w:szCs w:val="14"/>
          <w:i w:val="1"/>
          <w:iCs w:val="1"/>
          <w:color w:val="auto"/>
        </w:rPr>
        <w:t xml:space="preserve">Ancillary. </w:t>
      </w:r>
      <w:r>
        <w:rPr>
          <w:rFonts w:ascii="Arial" w:cs="Arial" w:eastAsia="Arial" w:hAnsi="Arial"/>
          <w:sz w:val="14"/>
          <w:szCs w:val="14"/>
          <w:color w:val="auto"/>
        </w:rPr>
        <w:t>Ancillary revenue was $118.2 million for the year ended December 31, 2019, $41.1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Successor 2018 period and $15.7 million for the Predecessor 2018 period. The increase in ancillary revenue was driven by the unbundling of our services to improve our product segmentation in January 2018, which previously were offered as a component of the base fares. Our focus on ancillary services has driven an increase in ancillary revenue on a per passenger basis of $11.44, or 53%.</w:t>
      </w:r>
    </w:p>
    <w:p>
      <w:pPr>
        <w:spacing w:after="0" w:line="91"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was $12.6 million for the year ended December 31, 2019, $8.0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 2018 period and $8.9 million for the Predecessor 2018 period. The decrease in our other revenue was primarily due to a temporary delay in implementing our Sun Country Vacations products in our new booking system in June 2019.</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7"/>
            <w:vMerge w:val="restart"/>
          </w:tcPr>
          <w:p>
            <w:pPr>
              <w:ind w:left="500"/>
              <w:spacing w:after="0"/>
              <w:rPr>
                <w:sz w:val="20"/>
                <w:szCs w:val="20"/>
                <w:color w:val="auto"/>
              </w:rPr>
            </w:pPr>
            <w:r>
              <w:rPr>
                <w:rFonts w:ascii="Arial" w:cs="Arial" w:eastAsia="Arial" w:hAnsi="Arial"/>
                <w:sz w:val="12"/>
                <w:szCs w:val="12"/>
                <w:b w:val="1"/>
                <w:bCs w:val="1"/>
                <w:color w:val="auto"/>
              </w:rPr>
              <w:t>Successor</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4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7"/>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4"/>
              </w:rPr>
              <w:t>For the period</w:t>
            </w:r>
          </w:p>
        </w:tc>
        <w:tc>
          <w:tcPr>
            <w:tcW w:w="8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40"/>
              <w:spacing w:after="0" w:line="132" w:lineRule="exact"/>
              <w:rPr>
                <w:sz w:val="20"/>
                <w:szCs w:val="20"/>
                <w:color w:val="auto"/>
              </w:rPr>
            </w:pPr>
            <w:r>
              <w:rPr>
                <w:rFonts w:ascii="Arial" w:cs="Arial" w:eastAsia="Arial" w:hAnsi="Arial"/>
                <w:sz w:val="12"/>
                <w:szCs w:val="12"/>
                <w:b w:val="1"/>
                <w:bCs w:val="1"/>
                <w:color w:val="auto"/>
                <w:w w:val="81"/>
              </w:rPr>
              <w:t>For the year</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80" w:type="dxa"/>
            <w:vAlign w:val="bottom"/>
            <w:tcBorders>
              <w:left w:val="single" w:sz="8" w:color="auto"/>
            </w:tcBorders>
          </w:tcPr>
          <w:p>
            <w:pPr>
              <w:spacing w:after="0"/>
              <w:rPr>
                <w:sz w:val="11"/>
                <w:szCs w:val="11"/>
                <w:color w:val="auto"/>
              </w:rPr>
            </w:pPr>
          </w:p>
        </w:tc>
        <w:tc>
          <w:tcPr>
            <w:tcW w:w="72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through</w:t>
            </w:r>
          </w:p>
        </w:tc>
        <w:tc>
          <w:tcPr>
            <w:tcW w:w="8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Borders>
              <w:left w:val="single" w:sz="8" w:color="auto"/>
            </w:tcBorders>
          </w:tcPr>
          <w:p>
            <w:pPr>
              <w:spacing w:after="0"/>
              <w:rPr>
                <w:sz w:val="11"/>
                <w:szCs w:val="11"/>
                <w:color w:val="auto"/>
              </w:rPr>
            </w:pPr>
          </w:p>
        </w:tc>
        <w:tc>
          <w:tcPr>
            <w:tcW w:w="72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402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800" w:type="dxa"/>
            <w:vAlign w:val="bottom"/>
            <w:gridSpan w:val="2"/>
          </w:tcPr>
          <w:p>
            <w:pPr>
              <w:jc w:val="center"/>
              <w:ind w:left="188"/>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ind w:left="31"/>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left w:val="single" w:sz="8" w:color="auto"/>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5"/>
                <w:szCs w:val="15"/>
                <w:color w:val="auto"/>
              </w:rPr>
              <w:t>Aircraft fuel</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$165,666</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w w:val="99"/>
              </w:rPr>
              <w:t>$119,553</w:t>
            </w:r>
          </w:p>
        </w:tc>
        <w:tc>
          <w:tcPr>
            <w:tcW w:w="80" w:type="dxa"/>
            <w:vAlign w:val="bottom"/>
          </w:tcPr>
          <w:p>
            <w:pPr>
              <w:spacing w:after="0"/>
              <w:rPr>
                <w:sz w:val="18"/>
                <w:szCs w:val="18"/>
                <w:color w:val="auto"/>
              </w:rPr>
            </w:pPr>
          </w:p>
        </w:tc>
        <w:tc>
          <w:tcPr>
            <w:tcW w:w="240" w:type="dxa"/>
            <w:vAlign w:val="bottom"/>
            <w:tcBorders>
              <w:left w:val="single" w:sz="8" w:color="auto"/>
            </w:tcBorders>
            <w:gridSpan w:val="3"/>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45,790</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Salaries, wages and benefits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140,739</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90,263</w:t>
            </w:r>
          </w:p>
        </w:tc>
        <w:tc>
          <w:tcPr>
            <w:tcW w:w="80" w:type="dxa"/>
            <w:vAlign w:val="bottom"/>
            <w:shd w:val="clear" w:color="auto" w:fill="CCEEFF"/>
          </w:tcPr>
          <w:p>
            <w:pPr>
              <w:spacing w:after="0"/>
              <w:rPr>
                <w:sz w:val="18"/>
                <w:szCs w:val="18"/>
                <w:color w:val="auto"/>
              </w:rPr>
            </w:pPr>
          </w:p>
        </w:tc>
        <w:tc>
          <w:tcPr>
            <w:tcW w:w="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36,964</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5"/>
                <w:szCs w:val="15"/>
                <w:color w:val="auto"/>
              </w:rPr>
              <w:t>Aircraft rent</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49,908</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rPr>
              <w:t>36,831</w:t>
            </w:r>
          </w:p>
        </w:tc>
        <w:tc>
          <w:tcPr>
            <w:tcW w:w="80" w:type="dxa"/>
            <w:vAlign w:val="bottom"/>
          </w:tcPr>
          <w:p>
            <w:pPr>
              <w:spacing w:after="0"/>
              <w:rPr>
                <w:sz w:val="18"/>
                <w:szCs w:val="18"/>
                <w:color w:val="auto"/>
              </w:rPr>
            </w:pPr>
          </w:p>
        </w:tc>
        <w:tc>
          <w:tcPr>
            <w:tcW w:w="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28,329</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Maintenance</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15,491</w:t>
            </w:r>
          </w:p>
        </w:tc>
        <w:tc>
          <w:tcPr>
            <w:tcW w:w="80" w:type="dxa"/>
            <w:vAlign w:val="bottom"/>
            <w:shd w:val="clear" w:color="auto" w:fill="CCEEFF"/>
          </w:tcPr>
          <w:p>
            <w:pPr>
              <w:spacing w:after="0"/>
              <w:rPr>
                <w:sz w:val="18"/>
                <w:szCs w:val="18"/>
                <w:color w:val="auto"/>
              </w:rPr>
            </w:pPr>
          </w:p>
        </w:tc>
        <w:tc>
          <w:tcPr>
            <w:tcW w:w="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5"/>
                <w:szCs w:val="15"/>
                <w:color w:val="auto"/>
              </w:rPr>
              <w:t>Sales and marketing</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35,388</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rPr>
              <w:t>17,180</w:t>
            </w:r>
          </w:p>
        </w:tc>
        <w:tc>
          <w:tcPr>
            <w:tcW w:w="80" w:type="dxa"/>
            <w:vAlign w:val="bottom"/>
          </w:tcPr>
          <w:p>
            <w:pPr>
              <w:spacing w:after="0"/>
              <w:rPr>
                <w:sz w:val="18"/>
                <w:szCs w:val="18"/>
                <w:color w:val="auto"/>
              </w:rPr>
            </w:pPr>
          </w:p>
        </w:tc>
        <w:tc>
          <w:tcPr>
            <w:tcW w:w="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10,854</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14,405</w:t>
            </w:r>
          </w:p>
        </w:tc>
        <w:tc>
          <w:tcPr>
            <w:tcW w:w="80" w:type="dxa"/>
            <w:vAlign w:val="bottom"/>
            <w:shd w:val="clear" w:color="auto" w:fill="CCEEFF"/>
          </w:tcPr>
          <w:p>
            <w:pPr>
              <w:spacing w:after="0"/>
              <w:rPr>
                <w:sz w:val="18"/>
                <w:szCs w:val="18"/>
                <w:color w:val="auto"/>
              </w:rPr>
            </w:pPr>
          </w:p>
        </w:tc>
        <w:tc>
          <w:tcPr>
            <w:tcW w:w="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5"/>
                <w:szCs w:val="15"/>
                <w:color w:val="auto"/>
              </w:rPr>
              <w:t>Ground handling</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41,719</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rPr>
              <w:t>23,828</w:t>
            </w:r>
          </w:p>
        </w:tc>
        <w:tc>
          <w:tcPr>
            <w:tcW w:w="80" w:type="dxa"/>
            <w:vAlign w:val="bottom"/>
          </w:tcPr>
          <w:p>
            <w:pPr>
              <w:spacing w:after="0"/>
              <w:rPr>
                <w:sz w:val="18"/>
                <w:szCs w:val="18"/>
                <w:color w:val="auto"/>
              </w:rPr>
            </w:pPr>
          </w:p>
        </w:tc>
        <w:tc>
          <w:tcPr>
            <w:tcW w:w="8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Landing fees and airport rent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25,977</w:t>
            </w:r>
          </w:p>
        </w:tc>
        <w:tc>
          <w:tcPr>
            <w:tcW w:w="80" w:type="dxa"/>
            <w:vAlign w:val="bottom"/>
            <w:shd w:val="clear" w:color="auto" w:fill="CCEEFF"/>
          </w:tcPr>
          <w:p>
            <w:pPr>
              <w:spacing w:after="0"/>
              <w:rPr>
                <w:sz w:val="18"/>
                <w:szCs w:val="18"/>
                <w:color w:val="auto"/>
              </w:rPr>
            </w:pPr>
          </w:p>
        </w:tc>
        <w:tc>
          <w:tcPr>
            <w:tcW w:w="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10,481</w:t>
            </w:r>
          </w:p>
        </w:tc>
        <w:tc>
          <w:tcPr>
            <w:tcW w:w="0" w:type="dxa"/>
            <w:vAlign w:val="bottom"/>
          </w:tcPr>
          <w:p>
            <w:pPr>
              <w:spacing w:after="0"/>
              <w:rPr>
                <w:sz w:val="1"/>
                <w:szCs w:val="1"/>
                <w:color w:val="auto"/>
              </w:rPr>
            </w:pPr>
          </w:p>
        </w:tc>
      </w:tr>
      <w:tr>
        <w:trPr>
          <w:trHeight w:val="220"/>
        </w:trPr>
        <w:tc>
          <w:tcPr>
            <w:tcW w:w="4020" w:type="dxa"/>
            <w:vAlign w:val="bottom"/>
          </w:tcPr>
          <w:p>
            <w:pPr>
              <w:spacing w:after="0"/>
              <w:rPr>
                <w:sz w:val="20"/>
                <w:szCs w:val="20"/>
                <w:color w:val="auto"/>
              </w:rPr>
            </w:pPr>
            <w:r>
              <w:rPr>
                <w:rFonts w:ascii="Arial" w:cs="Arial" w:eastAsia="Arial" w:hAnsi="Arial"/>
                <w:sz w:val="15"/>
                <w:szCs w:val="15"/>
                <w:color w:val="auto"/>
              </w:rPr>
              <w:t>Special items, net</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7,092</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5"/>
                <w:szCs w:val="15"/>
                <w:color w:val="auto"/>
              </w:rPr>
              <w:t>(6,706)</w:t>
            </w:r>
          </w:p>
        </w:tc>
        <w:tc>
          <w:tcPr>
            <w:tcW w:w="80" w:type="dxa"/>
            <w:vAlign w:val="bottom"/>
          </w:tcPr>
          <w:p>
            <w:pPr>
              <w:spacing w:after="0"/>
              <w:rPr>
                <w:sz w:val="19"/>
                <w:szCs w:val="19"/>
                <w:color w:val="auto"/>
              </w:rPr>
            </w:pPr>
          </w:p>
        </w:tc>
        <w:tc>
          <w:tcPr>
            <w:tcW w:w="8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Other operating</w:t>
            </w:r>
          </w:p>
        </w:tc>
        <w:tc>
          <w:tcPr>
            <w:tcW w:w="24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40,877</w:t>
            </w:r>
          </w:p>
        </w:tc>
        <w:tc>
          <w:tcPr>
            <w:tcW w:w="80" w:type="dxa"/>
            <w:vAlign w:val="bottom"/>
            <w:shd w:val="clear" w:color="auto" w:fill="CCEEFF"/>
          </w:tcPr>
          <w:p>
            <w:pPr>
              <w:spacing w:after="0"/>
              <w:rPr>
                <w:sz w:val="19"/>
                <w:szCs w:val="19"/>
                <w:color w:val="auto"/>
              </w:rPr>
            </w:pPr>
          </w:p>
        </w:tc>
        <w:tc>
          <w:tcPr>
            <w:tcW w:w="80" w:type="dxa"/>
            <w:vAlign w:val="bottom"/>
            <w:tcBorders>
              <w:lef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17,994</w:t>
            </w: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020" w:type="dxa"/>
            <w:vAlign w:val="bottom"/>
          </w:tcPr>
          <w:p>
            <w:pPr>
              <w:spacing w:after="0"/>
              <w:rPr>
                <w:sz w:val="20"/>
                <w:szCs w:val="20"/>
                <w:color w:val="auto"/>
              </w:rPr>
            </w:pPr>
            <w:r>
              <w:rPr>
                <w:rFonts w:ascii="Arial" w:cs="Arial" w:eastAsia="Arial" w:hAnsi="Arial"/>
                <w:sz w:val="15"/>
                <w:szCs w:val="15"/>
                <w:color w:val="auto"/>
              </w:rPr>
              <w:t>Total operating expenses</w:t>
            </w:r>
          </w:p>
        </w:tc>
        <w:tc>
          <w:tcPr>
            <w:tcW w:w="2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$623,262</w:t>
            </w:r>
          </w:p>
        </w:tc>
        <w:tc>
          <w:tcPr>
            <w:tcW w:w="160" w:type="dxa"/>
            <w:vAlign w:val="bottom"/>
          </w:tcPr>
          <w:p>
            <w:pPr>
              <w:spacing w:after="0"/>
              <w:rPr>
                <w:sz w:val="21"/>
                <w:szCs w:val="21"/>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w w:val="99"/>
              </w:rPr>
              <w:t>$377,699</w:t>
            </w:r>
          </w:p>
        </w:tc>
        <w:tc>
          <w:tcPr>
            <w:tcW w:w="80" w:type="dxa"/>
            <w:vAlign w:val="bottom"/>
          </w:tcPr>
          <w:p>
            <w:pPr>
              <w:spacing w:after="0"/>
              <w:rPr>
                <w:sz w:val="21"/>
                <w:szCs w:val="21"/>
                <w:color w:val="auto"/>
              </w:rPr>
            </w:pPr>
          </w:p>
        </w:tc>
        <w:tc>
          <w:tcPr>
            <w:tcW w:w="240" w:type="dxa"/>
            <w:vAlign w:val="bottom"/>
            <w:tcBorders>
              <w:left w:val="single" w:sz="8" w:color="auto"/>
            </w:tcBorders>
            <w:gridSpan w:val="3"/>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171,336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-1666875</wp:posOffset>
            </wp:positionV>
            <wp:extent cx="104775"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-1666875</wp:posOffset>
            </wp:positionV>
            <wp:extent cx="11176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-1666875</wp:posOffset>
            </wp:positionV>
            <wp:extent cx="11176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67"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Aircraft fuel expense was $165.7 million for the year ended December 31, 2019,</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$119.6 million for the Successor 2018 period and $45.8 million for the Predecessor 2018 period. The change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in aircraft fuel expense was primarily due to an increase in fuel gallons consumed of 20% due to our</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increased level of operations, as measured by an increase of 18% in block hours, partially offset by a</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decrease in average price per gallon of fuel of 3%. Aircraft fuel expense also includes mark-to-market gains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or losses from fuel derivative contracts associated with our economic fuel hedges. We recognized a mark-to-</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market gain of $10.8 million in the year ended December 31, 2019 compared to a loss of $12.0 million 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Successor 2018 period, and none for the Predecessor 2018 period.</w:t>
      </w:r>
    </w:p>
    <w:p>
      <w:pPr>
        <w:spacing w:after="0" w:line="113"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i w:val="1"/>
          <w:iCs w:val="1"/>
          <w:color w:val="auto"/>
        </w:rPr>
        <w:t>Salaries</w:t>
      </w:r>
      <w:r>
        <w:rPr>
          <w:rFonts w:ascii="Arial" w:cs="Arial" w:eastAsia="Arial" w:hAnsi="Arial"/>
          <w:sz w:val="14"/>
          <w:szCs w:val="14"/>
          <w:color w:val="auto"/>
        </w:rPr>
        <w:t>,</w:t>
      </w:r>
      <w:r>
        <w:rPr>
          <w:rFonts w:ascii="Arial" w:cs="Arial" w:eastAsia="Arial" w:hAnsi="Arial"/>
          <w:sz w:val="14"/>
          <w:szCs w:val="14"/>
          <w:i w:val="1"/>
          <w:iCs w:val="1"/>
          <w:color w:val="auto"/>
        </w:rPr>
        <w:t xml:space="preserve"> Wages and Benefits</w:t>
      </w:r>
      <w:r>
        <w:rPr>
          <w:rFonts w:ascii="Arial" w:cs="Arial" w:eastAsia="Arial" w:hAnsi="Arial"/>
          <w:sz w:val="14"/>
          <w:szCs w:val="14"/>
          <w:color w:val="auto"/>
        </w:rPr>
        <w:t>. Salaries, wages and benefits expense was $140.7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2019, $90.3 million for the Successor 2018 period and $37.0 million for the Predecessor 2018 period. The increase was primarily due to higher costs and increased headcount for our pilots and flight attendants resulting from contractual rate increases and expanded operations, and higher general and administration staffing along with the full year impact of the management bonus and stock compensation plans introduced in November 2018. These increases were partially offset by a reduction in ground handling personnel as a result of the outsourcing of MSP ground operations in May 2018, which are reflected as an increase in ground handling expenses.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7" w:name="page98"/>
    <w:bookmarkEnd w:id="9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Rent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Aircraft rent expense was $50.0 million for the year ended December 31, 2019,</w:t>
      </w:r>
    </w:p>
    <w:p>
      <w:pPr>
        <w:spacing w:after="0" w:line="4" w:lineRule="exact"/>
        <w:rPr>
          <w:sz w:val="20"/>
          <w:szCs w:val="20"/>
          <w:color w:val="auto"/>
        </w:rPr>
      </w:pPr>
    </w:p>
    <w:p>
      <w:pPr>
        <w:ind w:left="1160" w:right="1199"/>
        <w:spacing w:after="0" w:line="245" w:lineRule="auto"/>
        <w:rPr>
          <w:sz w:val="20"/>
          <w:szCs w:val="20"/>
          <w:color w:val="auto"/>
        </w:rPr>
      </w:pPr>
      <w:r>
        <w:rPr>
          <w:rFonts w:ascii="Arial" w:cs="Arial" w:eastAsia="Arial" w:hAnsi="Arial"/>
          <w:sz w:val="14"/>
          <w:szCs w:val="14"/>
          <w:color w:val="auto"/>
        </w:rPr>
        <w:t>$36.8 million for the Successor 2018 period and $28.3 million for the Predecessor 2018 period. Aircraft rent expense decreased primarily due to a change in the composition of our aircraft fleet between aircraft under operating lease (for which expense is recorded within aircraft rent) and owned aircraft and aircraft under finance lease (for which expense is recorded within depreciation and amortization). The</w:t>
      </w:r>
    </w:p>
    <w:p>
      <w:pPr>
        <w:spacing w:after="0" w:line="2" w:lineRule="exact"/>
        <w:rPr>
          <w:sz w:val="20"/>
          <w:szCs w:val="20"/>
          <w:color w:val="auto"/>
        </w:rPr>
      </w:pPr>
    </w:p>
    <w:p>
      <w:pPr>
        <w:ind w:left="1160" w:right="1179"/>
        <w:spacing w:after="0" w:line="232" w:lineRule="auto"/>
        <w:rPr>
          <w:sz w:val="20"/>
          <w:szCs w:val="20"/>
          <w:color w:val="auto"/>
        </w:rPr>
      </w:pPr>
      <w:r>
        <w:rPr>
          <w:rFonts w:ascii="Arial" w:cs="Arial" w:eastAsia="Arial" w:hAnsi="Arial"/>
          <w:sz w:val="15"/>
          <w:szCs w:val="15"/>
          <w:color w:val="auto"/>
        </w:rPr>
        <w:t>decrease was primarily a result of purchasing one aircraft previously on an operating lease, returning three leased 737-700 aircraft during the year ended December 31, 2019, and reducing seasonal aircraft by one. Aircraft rent expense for the year ended December 31, 2019 and Successor 2018 period was further decreased by the amortization of over-market liabilities recorded as a result of acquisition accounting for the acquisition by the Apollo Funds.</w:t>
      </w:r>
    </w:p>
    <w:p>
      <w:pPr>
        <w:spacing w:after="0" w:line="88"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Maintenance</w:t>
      </w:r>
      <w:r>
        <w:rPr>
          <w:rFonts w:ascii="Arial" w:cs="Arial" w:eastAsia="Arial" w:hAnsi="Arial"/>
          <w:sz w:val="14"/>
          <w:szCs w:val="14"/>
          <w:color w:val="auto"/>
        </w:rPr>
        <w:t>. Maintenance materials and repair expense was $35.3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2019, $15.5 million for the Successor 2018 period and $9.5 million for the Predecessor 2018 period. The increase was primarily due to the timing and number of maintenance events, including two additional engine overhauls and four additional heavy checks in the year ended December 31, 2019. The overall increase in maintenance materials expense was partially offset by reduced expenses under our outsourced parts supply agreement and by top-off credits received from lessors for repairs performed by us but related to utilization by the prior lessee. The increase in maintenance expense was also partially offset in the year ended December 31, 2019 and the Successor 2018 period by the reduction of the maintenance liability (or contra- asset) that was recorded as a result of acquisition accounting for the acquisition by the Apollo Funds. The maintenance liability (or contra-asset) is reduced as reimbursable maintenance events are performed and maintenance expense is incurred.</w:t>
      </w:r>
    </w:p>
    <w:p>
      <w:pPr>
        <w:spacing w:after="0" w:line="96" w:lineRule="exact"/>
        <w:rPr>
          <w:sz w:val="20"/>
          <w:szCs w:val="20"/>
          <w:color w:val="auto"/>
        </w:rPr>
      </w:pPr>
    </w:p>
    <w:p>
      <w:pPr>
        <w:ind w:left="1460"/>
        <w:spacing w:after="0"/>
        <w:tabs>
          <w:tab w:leader="none" w:pos="2860" w:val="left"/>
        </w:tabs>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Sales and marketing expense was $35.4 million for the year ended</w:t>
      </w:r>
    </w:p>
    <w:p>
      <w:pPr>
        <w:spacing w:after="0" w:line="4" w:lineRule="exact"/>
        <w:rPr>
          <w:sz w:val="20"/>
          <w:szCs w:val="20"/>
          <w:color w:val="auto"/>
        </w:rPr>
      </w:pPr>
    </w:p>
    <w:p>
      <w:pPr>
        <w:ind w:left="1160" w:right="1199"/>
        <w:spacing w:after="0" w:line="232" w:lineRule="auto"/>
        <w:rPr>
          <w:sz w:val="20"/>
          <w:szCs w:val="20"/>
          <w:color w:val="auto"/>
        </w:rPr>
      </w:pPr>
      <w:r>
        <w:rPr>
          <w:rFonts w:ascii="Arial" w:cs="Arial" w:eastAsia="Arial" w:hAnsi="Arial"/>
          <w:sz w:val="15"/>
          <w:szCs w:val="15"/>
          <w:color w:val="auto"/>
        </w:rPr>
        <w:t>December 31, 2019, $17.2 million for the Successor 2018 period and $10.9 million for the Predecessor 2018 period. The increase was primarily due to higher sales that directly drove higher credit card fees, partially offset by a decrease in booking fees as a result of a higher proportion of bookings on our redesigned website, as our website is our lowest cost distribution channel, and more favorable terms in renegotiated contracts with third-party distribution channels.</w:t>
      </w:r>
    </w:p>
    <w:p>
      <w:pPr>
        <w:spacing w:after="0" w:line="9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was $34.9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2019, $14.4 million for the Successor 2018 period and $2.5 million for the Predecessor 2018 period. The increase was primarily due to the impact of a change in the composition of the fleet from primarily operating leased aircraft to an increased number of owned aircraft and aircraft under finance leases, and the impact of acquisition accounting and the resulting increase to the book value of our assets. We added four aircraft to our fleet under finance leases, purchased one aircraft previously on an operating lease, converted one operating lease to a finance lease and purchased one incremental aircraft and we returned three leased 737-700 aircraft during the year ended December 31, 2019. In addition, depreciation and amortization increased due to the recognition of a definite lived intangible asset recorded as a result of acquisition accounting for the acquisition by the Apollo Funds. The definite lived intangible asset is amortized on a straight-line basis over a useful life of 12 years.</w:t>
      </w:r>
    </w:p>
    <w:p>
      <w:pPr>
        <w:spacing w:after="0" w:line="85"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i w:val="1"/>
          <w:iCs w:val="1"/>
          <w:color w:val="auto"/>
        </w:rPr>
        <w:t>Ground Handling</w:t>
      </w:r>
      <w:r>
        <w:rPr>
          <w:rFonts w:ascii="Arial" w:cs="Arial" w:eastAsia="Arial" w:hAnsi="Arial"/>
          <w:sz w:val="13"/>
          <w:szCs w:val="13"/>
          <w:color w:val="auto"/>
        </w:rPr>
        <w:t>. Ground handling expense was $41.7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2019, $23.8 million for the Successor 2018 period and $8.6 million for the Predecessor 2018 period. The increase was due to the increase in departures and additional airports in our route network for both our scheduled service and charter operations. We outsourced MSP ground handling services in May 2018, contributing to a reduction in salaries, wages and benefits but resulting in higher ground handling expenses.</w:t>
      </w:r>
    </w:p>
    <w:p>
      <w:pPr>
        <w:spacing w:after="0" w:line="76"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i w:val="1"/>
          <w:iCs w:val="1"/>
          <w:color w:val="auto"/>
        </w:rPr>
        <w:t>Landing Fees and Airport Rent</w:t>
      </w:r>
      <w:r>
        <w:rPr>
          <w:rFonts w:ascii="Arial" w:cs="Arial" w:eastAsia="Arial" w:hAnsi="Arial"/>
          <w:sz w:val="13"/>
          <w:szCs w:val="13"/>
          <w:color w:val="auto"/>
        </w:rPr>
        <w:t>. Landing fees and airport rent was $44.4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2019, $26.0 million for the Successor 2018 period and $10.5 million for the Predecessor 2018 period. The increase was due to the increase in departures and additional airports in our route network.</w:t>
      </w:r>
    </w:p>
    <w:p>
      <w:pPr>
        <w:spacing w:after="0" w:line="66" w:lineRule="exact"/>
        <w:rPr>
          <w:sz w:val="20"/>
          <w:szCs w:val="20"/>
          <w:color w:val="auto"/>
        </w:rPr>
      </w:pPr>
    </w:p>
    <w:p>
      <w:pPr>
        <w:ind w:left="1460"/>
        <w:spacing w:after="0"/>
        <w:tabs>
          <w:tab w:leader="none" w:pos="2680" w:val="left"/>
        </w:tabs>
        <w:rPr>
          <w:sz w:val="20"/>
          <w:szCs w:val="20"/>
          <w:color w:val="auto"/>
        </w:rPr>
      </w:pPr>
      <w:r>
        <w:rPr>
          <w:rFonts w:ascii="Arial" w:cs="Arial" w:eastAsia="Arial" w:hAnsi="Arial"/>
          <w:sz w:val="15"/>
          <w:szCs w:val="15"/>
          <w:i w:val="1"/>
          <w:iCs w:val="1"/>
          <w:color w:val="auto"/>
        </w:rPr>
        <w:t>Special Items,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Special items, net was an expense of $7.1 million for the year ended December 31,</w:t>
      </w:r>
    </w:p>
    <w:p>
      <w:pPr>
        <w:ind w:left="1160"/>
        <w:spacing w:after="0" w:line="235" w:lineRule="auto"/>
        <w:rPr>
          <w:sz w:val="20"/>
          <w:szCs w:val="20"/>
          <w:color w:val="auto"/>
        </w:rPr>
      </w:pPr>
      <w:r>
        <w:rPr>
          <w:rFonts w:ascii="Arial" w:cs="Arial" w:eastAsia="Arial" w:hAnsi="Arial"/>
          <w:sz w:val="15"/>
          <w:szCs w:val="15"/>
          <w:color w:val="auto"/>
        </w:rPr>
        <w:t>2019, income of $6.7 million for the Successor 2018 period and an expense of $0.3 million for the</w:t>
      </w:r>
    </w:p>
    <w:p>
      <w:pPr>
        <w:ind w:left="1160"/>
        <w:spacing w:after="0"/>
        <w:rPr>
          <w:sz w:val="20"/>
          <w:szCs w:val="20"/>
          <w:color w:val="auto"/>
        </w:rPr>
      </w:pPr>
      <w:r>
        <w:rPr>
          <w:rFonts w:ascii="Arial" w:cs="Arial" w:eastAsia="Arial" w:hAnsi="Arial"/>
          <w:sz w:val="14"/>
          <w:szCs w:val="14"/>
          <w:color w:val="auto"/>
        </w:rPr>
        <w:t>Predecessor 2018 period. Special items, net for the year ended December 31, 2019 include a charge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$7.6 million related to contractual obligations for retired technology. In connection with implementing our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new reservations systems, we incurred obligations under the contracts for our existing systems that were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being phased out ahead of their scheduled contract terms, creating an expense that is not reflective of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normal operations of the company. This expense was partially offset by $1.2 million of proceeds from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sale of unused airport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8" w:name="page99"/>
    <w:bookmarkEnd w:id="9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9" w:lineRule="auto"/>
        <w:rPr>
          <w:sz w:val="20"/>
          <w:szCs w:val="20"/>
          <w:color w:val="auto"/>
        </w:rPr>
      </w:pPr>
      <w:r>
        <w:rPr>
          <w:rFonts w:ascii="Arial" w:cs="Arial" w:eastAsia="Arial" w:hAnsi="Arial"/>
          <w:sz w:val="14"/>
          <w:szCs w:val="14"/>
          <w:color w:val="auto"/>
        </w:rPr>
        <w:t>slot rights. We are not in the business of buying and selling operating rights and we do not hold any other remaining airport slot rights, therefore this gain does not reflect our core business operations. Special items, net recognized in the Successor 2018 period include the impact of changes to the terms of our rewards program implemented in the fourth quarter of 2018. The program changes included a net reduction in expenses of $8.5 million due to the earlier expiration of outstanding points, partially offset by an increase in expense as a result of improved terms for members’ redemption of points. We also recognized an expense of $1.7 million for the Successor 2018 period and $0.3 million for the Predecessor 2018 period related to early-out and employee separation expenses incurred in connection with outsourcing certain operations and other employee initiatives. These efforts were primarily related to airport station, flight attendants and ground handling employees.</w:t>
      </w:r>
    </w:p>
    <w:p>
      <w:pPr>
        <w:spacing w:after="0" w:line="88" w:lineRule="exact"/>
        <w:rPr>
          <w:sz w:val="20"/>
          <w:szCs w:val="20"/>
          <w:color w:val="auto"/>
        </w:rPr>
      </w:pPr>
    </w:p>
    <w:p>
      <w:pPr>
        <w:ind w:left="1460"/>
        <w:spacing w:after="0"/>
        <w:tabs>
          <w:tab w:leader="none" w:pos="2880" w:val="left"/>
        </w:tabs>
        <w:rPr>
          <w:sz w:val="20"/>
          <w:szCs w:val="20"/>
          <w:color w:val="auto"/>
        </w:rPr>
      </w:pPr>
      <w:r>
        <w:rPr>
          <w:rFonts w:ascii="Arial" w:cs="Arial" w:eastAsia="Arial" w:hAnsi="Arial"/>
          <w:sz w:val="15"/>
          <w:szCs w:val="15"/>
          <w:i w:val="1"/>
          <w:iCs w:val="1"/>
          <w:color w:val="auto"/>
        </w:rPr>
        <w:t>Other Operating,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operating, net expense was $68.2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December 31, 2019, $40.9 million for the Successor 2018 period and $18.0 million for the Predecessor 2018</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period. The increase was primarily due to our higher level of operations.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Successor</w:t>
            </w: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4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4"/>
              </w:rPr>
              <w:t>For the period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5"/>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60" w:type="dxa"/>
            <w:vAlign w:val="bottom"/>
          </w:tcPr>
          <w:p>
            <w:pPr>
              <w:spacing w:after="0"/>
              <w:rPr>
                <w:sz w:val="11"/>
                <w:szCs w:val="11"/>
                <w:color w:val="auto"/>
              </w:rPr>
            </w:pPr>
          </w:p>
        </w:tc>
        <w:tc>
          <w:tcPr>
            <w:tcW w:w="72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360"/>
              <w:spacing w:after="0" w:line="132" w:lineRule="exact"/>
              <w:rPr>
                <w:sz w:val="20"/>
                <w:szCs w:val="20"/>
                <w:color w:val="auto"/>
              </w:rPr>
            </w:pPr>
            <w:r>
              <w:rPr>
                <w:rFonts w:ascii="Arial" w:cs="Arial" w:eastAsia="Arial" w:hAnsi="Arial"/>
                <w:sz w:val="12"/>
                <w:szCs w:val="12"/>
                <w:b w:val="1"/>
                <w:bCs w:val="1"/>
                <w:color w:val="auto"/>
                <w:w w:val="84"/>
              </w:rPr>
              <w:t>ended</w:t>
            </w:r>
          </w:p>
        </w:tc>
        <w:tc>
          <w:tcPr>
            <w:tcW w:w="120" w:type="dxa"/>
            <w:vAlign w:val="bottom"/>
          </w:tcPr>
          <w:p>
            <w:pPr>
              <w:spacing w:after="0"/>
              <w:rPr>
                <w:sz w:val="11"/>
                <w:szCs w:val="11"/>
                <w:color w:val="auto"/>
              </w:rPr>
            </w:pPr>
          </w:p>
        </w:tc>
        <w:tc>
          <w:tcPr>
            <w:tcW w:w="720" w:type="dxa"/>
            <w:vAlign w:val="bottom"/>
            <w:tcBorders>
              <w:right w:val="single" w:sz="8" w:color="auto"/>
            </w:tcBorders>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8"/>
              </w:rPr>
              <w:t>through</w:t>
            </w:r>
          </w:p>
        </w:tc>
        <w:tc>
          <w:tcPr>
            <w:tcW w:w="60" w:type="dxa"/>
            <w:vAlign w:val="bottom"/>
          </w:tcPr>
          <w:p>
            <w:pPr>
              <w:spacing w:after="0"/>
              <w:rPr>
                <w:sz w:val="11"/>
                <w:szCs w:val="11"/>
                <w:color w:val="auto"/>
              </w:rPr>
            </w:pPr>
          </w:p>
        </w:tc>
        <w:tc>
          <w:tcPr>
            <w:tcW w:w="72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5"/>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60" w:type="dxa"/>
            <w:vAlign w:val="bottom"/>
          </w:tcPr>
          <w:p>
            <w:pPr>
              <w:spacing w:after="0"/>
              <w:rPr>
                <w:sz w:val="11"/>
                <w:szCs w:val="11"/>
                <w:color w:val="auto"/>
              </w:rPr>
            </w:pPr>
          </w:p>
        </w:tc>
        <w:tc>
          <w:tcPr>
            <w:tcW w:w="72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402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11"/>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2018</w:t>
            </w:r>
          </w:p>
        </w:tc>
        <w:tc>
          <w:tcPr>
            <w:tcW w:w="1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3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937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(17,170)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(6,060)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14"/>
        </w:trPr>
        <w:tc>
          <w:tcPr>
            <w:tcW w:w="402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(1,729)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88"/>
              </w:rPr>
              <w:t>(1,636)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non-operating expense,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(17,962)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(7,438)</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Arial" w:cs="Arial" w:eastAsia="Arial" w:hAnsi="Arial"/>
                <w:sz w:val="15"/>
                <w:szCs w:val="15"/>
                <w:color w:val="auto"/>
              </w:rPr>
              <w:t>Income (loss) before income tax</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60,160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25,910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14,088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20" w:type="dxa"/>
            <w:vAlign w:val="bottom"/>
          </w:tcPr>
          <w:p>
            <w:pPr>
              <w:spacing w:after="0"/>
              <w:rPr>
                <w:sz w:val="20"/>
                <w:szCs w:val="20"/>
                <w:color w:val="auto"/>
              </w:rPr>
            </w:pPr>
            <w:r>
              <w:rPr>
                <w:rFonts w:ascii="Arial" w:cs="Arial" w:eastAsia="Arial" w:hAnsi="Arial"/>
                <w:sz w:val="15"/>
                <w:szCs w:val="15"/>
                <w:color w:val="auto"/>
              </w:rPr>
              <w:t>Net income (loss)</w:t>
            </w:r>
          </w:p>
        </w:tc>
        <w:tc>
          <w:tcPr>
            <w:tcW w:w="260" w:type="dxa"/>
            <w:vAlign w:val="bottom"/>
            <w:gridSpan w:val="2"/>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5"/>
              </w:rPr>
              <w:t>46,072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20"/>
                <w:szCs w:val="20"/>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25,910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-320040</wp:posOffset>
            </wp:positionV>
            <wp:extent cx="7683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-320040</wp:posOffset>
            </wp:positionV>
            <wp:extent cx="3851275"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5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-599440</wp:posOffset>
            </wp:positionV>
            <wp:extent cx="7683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-599440</wp:posOffset>
            </wp:positionV>
            <wp:extent cx="385127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51275"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-1143635</wp:posOffset>
            </wp:positionV>
            <wp:extent cx="10477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-1143635</wp:posOffset>
            </wp:positionV>
            <wp:extent cx="11176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-1143635</wp:posOffset>
            </wp:positionV>
            <wp:extent cx="11176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45" w:lineRule="exact"/>
        <w:rPr>
          <w:sz w:val="20"/>
          <w:szCs w:val="20"/>
          <w:color w:val="auto"/>
        </w:rPr>
      </w:pPr>
    </w:p>
    <w:p>
      <w:pPr>
        <w:ind w:left="1160" w:right="1879" w:firstLine="293"/>
        <w:spacing w:after="0" w:line="248"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increased in the Successor 2018 period and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2019 related to higher average cash balances.</w:t>
      </w:r>
    </w:p>
    <w:p>
      <w:pPr>
        <w:spacing w:after="0" w:line="94" w:lineRule="exact"/>
        <w:rPr>
          <w:sz w:val="20"/>
          <w:szCs w:val="20"/>
          <w:color w:val="auto"/>
        </w:rPr>
      </w:pPr>
    </w:p>
    <w:p>
      <w:pPr>
        <w:ind w:left="1460"/>
        <w:spacing w:after="0"/>
        <w:tabs>
          <w:tab w:leader="none" w:pos="2600" w:val="left"/>
        </w:tabs>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Interest expense was $17.2 million for the year ended December 31, 2019,</w:t>
      </w:r>
    </w:p>
    <w:p>
      <w:pPr>
        <w:spacing w:after="0" w:line="4" w:lineRule="exact"/>
        <w:rPr>
          <w:sz w:val="20"/>
          <w:szCs w:val="20"/>
          <w:color w:val="auto"/>
        </w:rPr>
      </w:pPr>
    </w:p>
    <w:p>
      <w:pPr>
        <w:ind w:left="1160" w:right="1179"/>
        <w:spacing w:after="0" w:line="232" w:lineRule="auto"/>
        <w:rPr>
          <w:sz w:val="20"/>
          <w:szCs w:val="20"/>
          <w:color w:val="auto"/>
        </w:rPr>
      </w:pPr>
      <w:r>
        <w:rPr>
          <w:rFonts w:ascii="Arial" w:cs="Arial" w:eastAsia="Arial" w:hAnsi="Arial"/>
          <w:sz w:val="15"/>
          <w:szCs w:val="15"/>
          <w:color w:val="auto"/>
        </w:rPr>
        <w:t>$6.1 million for the Successor 2018 period and $0.3 million for the Predecessor 2018 period. The increase was primarily due to new finance leases and debt issued for the acquisition of new aircraft and spare engines during the year ended December 31, 2019 and the Successor 2018 period, including new debt incurred in connection with the 2019-1 EETC.</w:t>
      </w:r>
    </w:p>
    <w:p>
      <w:pPr>
        <w:spacing w:after="0" w:line="90"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i w:val="1"/>
          <w:iCs w:val="1"/>
          <w:color w:val="auto"/>
        </w:rPr>
        <w:t>Other, net</w:t>
      </w:r>
      <w:r>
        <w:rPr>
          <w:rFonts w:ascii="Arial" w:cs="Arial" w:eastAsia="Arial" w:hAnsi="Arial"/>
          <w:sz w:val="13"/>
          <w:szCs w:val="13"/>
          <w:color w:val="auto"/>
        </w:rPr>
        <w:t>. Other, net was an expense of $1.7 million for the year ended December 31, 2019, expense</w:t>
      </w:r>
      <w:r>
        <w:rPr>
          <w:rFonts w:ascii="Arial" w:cs="Arial" w:eastAsia="Arial" w:hAnsi="Arial"/>
          <w:sz w:val="13"/>
          <w:szCs w:val="13"/>
          <w:i w:val="1"/>
          <w:iCs w:val="1"/>
          <w:color w:val="auto"/>
        </w:rPr>
        <w:t xml:space="preserve"> </w:t>
      </w:r>
      <w:r>
        <w:rPr>
          <w:rFonts w:ascii="Arial" w:cs="Arial" w:eastAsia="Arial" w:hAnsi="Arial"/>
          <w:sz w:val="13"/>
          <w:szCs w:val="13"/>
          <w:color w:val="auto"/>
        </w:rPr>
        <w:t>of $ 1.6 million in the Successor 2018 period and income of $37 thousand for the Predecessor 2018 period. For the year ended December 31, 2019, the expense was primarily related to professional fees related to our planned offering that cannot be capitalized. For the Successor 2018 period, the expense was primarily related to severance payments to various executives in connection with our transformation initiatives.</w:t>
      </w:r>
    </w:p>
    <w:p>
      <w:pPr>
        <w:spacing w:after="0" w:line="76"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 In the year ended December 31, 2019, our effective tax rate was 23.5%. In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 2018 period, our effective tax rate was (77.9%) due to the impact of certain nondeductible items. Our tax rate can vary depending on the amount of income we earn in each state and the state tax rate applicable to such income. We were taxed as a limited liability company during the 2018 Predecessor period, and therefore, no provision for income tax expense was included on the consolidated statements of operations for that period.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Non-GAAP Financial Measures</w:t>
      </w:r>
    </w:p>
    <w:p>
      <w:pPr>
        <w:spacing w:after="0" w:line="106" w:lineRule="exact"/>
        <w:rPr>
          <w:sz w:val="20"/>
          <w:szCs w:val="20"/>
          <w:color w:val="auto"/>
        </w:rPr>
      </w:pPr>
    </w:p>
    <w:p>
      <w:pPr>
        <w:ind w:left="1160" w:right="1179" w:firstLine="293"/>
        <w:spacing w:after="0" w:line="283" w:lineRule="auto"/>
        <w:rPr>
          <w:sz w:val="20"/>
          <w:szCs w:val="20"/>
          <w:color w:val="auto"/>
        </w:rPr>
      </w:pPr>
      <w:r>
        <w:rPr>
          <w:rFonts w:ascii="Arial" w:cs="Arial" w:eastAsia="Arial" w:hAnsi="Arial"/>
          <w:sz w:val="14"/>
          <w:szCs w:val="14"/>
          <w:color w:val="auto"/>
        </w:rPr>
        <w:t>We sometimes use information that is derived from the consolidated financial statements, but that is not presented in accordance with GAAP. We believe these non-GAAP measures provide a meaningful</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9" w:name="page100"/>
    <w:bookmarkEnd w:id="9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spacing w:after="0" w:line="247" w:lineRule="auto"/>
        <w:rPr>
          <w:sz w:val="20"/>
          <w:szCs w:val="20"/>
          <w:color w:val="auto"/>
        </w:rPr>
      </w:pPr>
      <w:r>
        <w:rPr>
          <w:rFonts w:ascii="Arial" w:cs="Arial" w:eastAsia="Arial" w:hAnsi="Arial"/>
          <w:sz w:val="15"/>
          <w:szCs w:val="15"/>
          <w:color w:val="auto"/>
        </w:rPr>
        <w:t>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prospectus to the most directly comparable GAAP financial measures.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Adjusted Operating Income, Adjusted Operating Income Margin, Adjusted Net Income and Adjusted EBITDAR</w:t>
      </w:r>
    </w:p>
    <w:p>
      <w:pPr>
        <w:spacing w:after="0" w:line="148"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Adjusted Operating Income, 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95"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Adjusted Operating Income, Adjusted Operating Income Margin, Adjusted Net Income and Adjusted EBITDAR have limitations as analytical tools. Some of the limitations applicable to these measures include: Adjusted Operating Income, Adjusted Operating Income Margin,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Operating Income, Adjusted Operating Income Margin, Adjusted Net Income and Adjusted EBITDAR differently than we do, limiting each measure’s usefulness as a comparative measure. Because of these limitations, Adjusted Operating Income, Adjusted Operating Income Margin, Adjusted Net Income and Adjusted EBITDAR should not be considered in isolation or as a substitute for performance measures calculated in accordance with GAAP.</w:t>
      </w:r>
    </w:p>
    <w:p>
      <w:pPr>
        <w:spacing w:after="0" w:line="101" w:lineRule="exact"/>
        <w:rPr>
          <w:sz w:val="20"/>
          <w:szCs w:val="20"/>
          <w:color w:val="auto"/>
        </w:rPr>
      </w:pPr>
    </w:p>
    <w:p>
      <w:pPr>
        <w:ind w:left="1160" w:right="1299" w:firstLine="293"/>
        <w:spacing w:after="0" w:line="266" w:lineRule="auto"/>
        <w:rPr>
          <w:sz w:val="20"/>
          <w:szCs w:val="20"/>
          <w:color w:val="auto"/>
        </w:rPr>
      </w:pPr>
      <w:r>
        <w:rPr>
          <w:rFonts w:ascii="Arial" w:cs="Arial" w:eastAsia="Arial" w:hAnsi="Arial"/>
          <w:sz w:val="14"/>
          <w:szCs w:val="14"/>
          <w:color w:val="auto"/>
        </w:rPr>
        <w:t>As derivations of Adjusted Operating Income, Adjusted Operating Income Margin, Adjusted Net Income and Adjusted EBITDAR are not determined in accordance with GAAP, such measures are susceptible to varying calculations and not all companies calculate the measures in the same manner. As a result, derivations of net income, including Adjusted Operating Income, Adjusted Operating Income Margin, Adjusted Net Income and Adjusted EBITDAR, as presented may not be directly comparable to similarly titled measures presented by other companies. For the foregoing reasons, each of Adjusted Operating Income, Adjusted Operating Income Margin, Adjusted Net Income and Adjusted EBITDAR has significant limitations which affect its use as an indicator of our profitability and valuation. Accordingly, you are cautioned not to place undue reliance on this information.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0" w:name="page101"/>
    <w:bookmarkEnd w:id="10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The following table presents the reconciliation of operating income to Adjusted Operating Income for the periods presented below.</w:t>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1160"/>
        <w:spacing w:after="0"/>
        <w:rPr>
          <w:sz w:val="20"/>
          <w:szCs w:val="20"/>
          <w:color w:val="auto"/>
        </w:rPr>
      </w:pPr>
      <w:r>
        <w:rPr>
          <w:rFonts w:ascii="Arial" w:cs="Arial" w:eastAsia="Arial" w:hAnsi="Arial"/>
          <w:sz w:val="12"/>
          <w:szCs w:val="12"/>
          <w:b w:val="1"/>
          <w:bCs w:val="1"/>
          <w:color w:val="auto"/>
        </w:rPr>
        <w:t>(in thousands)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Adjusted Operating Income reconciliation</w:t>
      </w:r>
      <w:r>
        <w:rPr>
          <w:rFonts w:ascii="Arial" w:cs="Arial" w:eastAsia="Arial" w:hAnsi="Arial"/>
          <w:sz w:val="14"/>
          <w:szCs w:val="14"/>
          <w:color w:val="auto"/>
        </w:rPr>
        <w:t>:</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Operating revenues</w:t>
      </w:r>
    </w:p>
    <w:p>
      <w:pPr>
        <w:spacing w:after="0" w:line="6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Operating Income</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Stock compensation expense .</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Special Items, net</w:t>
      </w:r>
      <w:r>
        <w:rPr>
          <w:rFonts w:ascii="Arial" w:cs="Arial" w:eastAsia="Arial" w:hAnsi="Arial"/>
          <w:sz w:val="19"/>
          <w:szCs w:val="19"/>
          <w:color w:val="auto"/>
          <w:vertAlign w:val="superscript"/>
        </w:rPr>
        <w:t>(a)</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Income tax receivable agreement expense</w:t>
      </w:r>
      <w:r>
        <w:rPr>
          <w:rFonts w:ascii="Arial" w:cs="Arial" w:eastAsia="Arial" w:hAnsi="Arial"/>
          <w:sz w:val="17"/>
          <w:szCs w:val="17"/>
          <w:color w:val="auto"/>
          <w:vertAlign w:val="superscript"/>
        </w:rPr>
        <w:t>(b)</w:t>
      </w:r>
    </w:p>
    <w:p>
      <w:pPr>
        <w:spacing w:after="0" w:line="35"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Other adjustments</w:t>
      </w:r>
      <w:r>
        <w:rPr>
          <w:rFonts w:ascii="Arial" w:cs="Arial" w:eastAsia="Arial" w:hAnsi="Arial"/>
          <w:sz w:val="19"/>
          <w:szCs w:val="19"/>
          <w:color w:val="auto"/>
          <w:vertAlign w:val="superscript"/>
        </w:rPr>
        <w:t>(a)</w:t>
      </w:r>
    </w:p>
    <w:p>
      <w:pPr>
        <w:spacing w:after="0" w:line="5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Adjusted Operating Income (Loss)</w:t>
      </w:r>
    </w:p>
    <w:p>
      <w:pPr>
        <w:spacing w:after="0" w:line="6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Operating Income Margin</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Adjusted Operating Income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127635</wp:posOffset>
            </wp:positionV>
            <wp:extent cx="44640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w w:val="91"/>
              </w:rPr>
              <w:t>For the six months</w:t>
            </w:r>
          </w:p>
        </w:tc>
        <w:tc>
          <w:tcPr>
            <w:tcW w:w="80" w:type="dxa"/>
            <w:vAlign w:val="bottom"/>
          </w:tcPr>
          <w:p>
            <w:pPr>
              <w:spacing w:after="0"/>
              <w:rPr>
                <w:sz w:val="12"/>
                <w:szCs w:val="12"/>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w w:val="91"/>
              </w:rPr>
              <w:t>For the year ended</w:t>
            </w:r>
          </w:p>
        </w:tc>
      </w:tr>
      <w:tr>
        <w:trPr>
          <w:trHeight w:val="150"/>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ended June 30,</w:t>
            </w:r>
          </w:p>
        </w:tc>
        <w:tc>
          <w:tcPr>
            <w:tcW w:w="80" w:type="dxa"/>
            <w:vAlign w:val="bottom"/>
          </w:tcPr>
          <w:p>
            <w:pPr>
              <w:spacing w:after="0"/>
              <w:rPr>
                <w:sz w:val="13"/>
                <w:szCs w:val="13"/>
                <w:color w:val="auto"/>
              </w:rPr>
            </w:pPr>
          </w:p>
        </w:tc>
        <w:tc>
          <w:tcPr>
            <w:tcW w:w="134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0"/>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4"/>
        </w:trPr>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276,802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215,706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401,486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w w:val="84"/>
              </w:rPr>
              <w:t>701,384</w:t>
            </w:r>
          </w:p>
        </w:tc>
        <w:tc>
          <w:tcPr>
            <w:tcW w:w="10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1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74,172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12,996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17,385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78,122</w:t>
            </w:r>
          </w:p>
        </w:tc>
        <w:tc>
          <w:tcPr>
            <w:tcW w:w="100" w:type="dxa"/>
            <w:vAlign w:val="bottom"/>
          </w:tcPr>
          <w:p>
            <w:pPr>
              <w:spacing w:after="0"/>
              <w:rPr>
                <w:sz w:val="16"/>
                <w:szCs w:val="16"/>
                <w:color w:val="auto"/>
              </w:rPr>
            </w:pPr>
          </w:p>
        </w:tc>
      </w:tr>
      <w:tr>
        <w:trPr>
          <w:trHeight w:val="209"/>
        </w:trPr>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3,613</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757</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2,110</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1,888</w:t>
            </w:r>
          </w:p>
        </w:tc>
        <w:tc>
          <w:tcPr>
            <w:tcW w:w="100" w:type="dxa"/>
            <w:vAlign w:val="bottom"/>
          </w:tcPr>
          <w:p>
            <w:pPr>
              <w:spacing w:after="0"/>
              <w:rPr>
                <w:sz w:val="18"/>
                <w:szCs w:val="18"/>
                <w:color w:val="auto"/>
              </w:rPr>
            </w:pPr>
          </w:p>
        </w:tc>
      </w:tr>
      <w:tr>
        <w:trPr>
          <w:trHeight w:val="231"/>
        </w:trPr>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(65,392)</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(31,481)</w:t>
            </w:r>
          </w:p>
        </w:tc>
        <w:tc>
          <w:tcPr>
            <w:tcW w:w="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(64,563)</w:t>
            </w:r>
          </w:p>
        </w:tc>
        <w:tc>
          <w:tcPr>
            <w:tcW w:w="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7,092</w:t>
            </w:r>
          </w:p>
        </w:tc>
        <w:tc>
          <w:tcPr>
            <w:tcW w:w="100" w:type="dxa"/>
            <w:vAlign w:val="bottom"/>
          </w:tcPr>
          <w:p>
            <w:pPr>
              <w:spacing w:after="0"/>
              <w:rPr>
                <w:sz w:val="20"/>
                <w:szCs w:val="20"/>
                <w:color w:val="auto"/>
              </w:rPr>
            </w:pPr>
          </w:p>
        </w:tc>
      </w:tr>
      <w:tr>
        <w:trPr>
          <w:trHeight w:val="231"/>
        </w:trPr>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315</w:t>
            </w: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r>
      <w:tr>
        <w:trPr>
          <w:trHeight w:val="236"/>
        </w:trPr>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2,541</w:t>
            </w: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20"/>
                <w:szCs w:val="20"/>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12,708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(15,187)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(45,068)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87,328</w:t>
            </w:r>
          </w:p>
        </w:tc>
        <w:tc>
          <w:tcPr>
            <w:tcW w:w="1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26.8%</w:t>
            </w: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11.1%</w:t>
            </w:r>
          </w:p>
        </w:tc>
      </w:tr>
      <w:tr>
        <w:trPr>
          <w:trHeight w:val="209"/>
        </w:trPr>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-1150620</wp:posOffset>
            </wp:positionV>
            <wp:extent cx="4241800" cy="1397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-878205</wp:posOffset>
            </wp:positionV>
            <wp:extent cx="4241800" cy="1466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-271780</wp:posOffset>
            </wp:positionV>
            <wp:extent cx="4241800" cy="1397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-585470</wp:posOffset>
            </wp:positionV>
            <wp:extent cx="4241800" cy="1606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241800" cy="16065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-1443355</wp:posOffset>
            </wp:positionV>
            <wp:extent cx="4241800" cy="1397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4159"/>
          </w:cols>
          <w:pgMar w:left="1440" w:top="134" w:right="1440" w:bottom="1440" w:gutter="0" w:footer="0" w:header="0"/>
          <w:type w:val="continuous"/>
        </w:sectPr>
      </w:pPr>
    </w:p>
    <w:p>
      <w:pPr>
        <w:spacing w:after="0" w:line="75" w:lineRule="exact"/>
        <w:rPr>
          <w:sz w:val="20"/>
          <w:szCs w:val="20"/>
          <w:color w:val="auto"/>
        </w:rPr>
      </w:pPr>
    </w:p>
    <w:p>
      <w:pPr>
        <w:ind w:left="1460" w:right="1219" w:hanging="296"/>
        <w:spacing w:after="0" w:line="219" w:lineRule="auto"/>
        <w:tabs>
          <w:tab w:leader="none" w:pos="1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For the six months ended June 30, 2020 and year ended December 31, 2020, the adjustment includes employee relocation and costs to exit Sun Country’s prior headquarters building included in Special items, net within the Company’s Consolidated Statement of Operations. For the year ended December 31, 2019, the adjustments include employee relocation and costs to exit Sun Country’s prior headquarters and base closures, contractual obligations for retired technology, and a gain on the sale of an airport slot that are included in Special items, net within the Company’s Consolidated Statement of Operations, as well as an additional adjustment for expenses incurred in terminating work on a planned new crew base.</w:t>
      </w:r>
    </w:p>
    <w:p>
      <w:pPr>
        <w:spacing w:after="0" w:line="37" w:lineRule="exact"/>
        <w:rPr>
          <w:rFonts w:ascii="Arial" w:cs="Arial" w:eastAsia="Arial" w:hAnsi="Arial"/>
          <w:sz w:val="15"/>
          <w:szCs w:val="15"/>
          <w:color w:val="auto"/>
        </w:rPr>
      </w:pPr>
    </w:p>
    <w:p>
      <w:pPr>
        <w:jc w:val="both"/>
        <w:ind w:left="1460" w:right="1579" w:hanging="296"/>
        <w:spacing w:after="0" w:line="229" w:lineRule="auto"/>
        <w:tabs>
          <w:tab w:leader="none" w:pos="1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Represents the one-time costs to establish the income tax receivable agreement with our pre-IPO stockholders. See Note 10 to our unaudited condensed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01" w:name="page102"/>
    <w:bookmarkEnd w:id="10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The following tables present the reconciliation of Net Income (Loss) to Adjusted Net Income (Loss) for the periods presented below.</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Successor</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6"/>
              </w:rPr>
              <w:t>For the period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6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80" w:type="dxa"/>
            <w:vAlign w:val="bottom"/>
            <w:tcBorders>
              <w:right w:val="single" w:sz="8" w:color="auto"/>
            </w:tcBorders>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For the six</w:t>
            </w:r>
          </w:p>
        </w:tc>
        <w:tc>
          <w:tcPr>
            <w:tcW w:w="7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For the six</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100" w:type="dxa"/>
            <w:vAlign w:val="bottom"/>
          </w:tcPr>
          <w:p>
            <w:pPr>
              <w:spacing w:after="0"/>
              <w:rPr>
                <w:sz w:val="11"/>
                <w:szCs w:val="11"/>
                <w:color w:val="auto"/>
              </w:rPr>
            </w:pPr>
          </w:p>
        </w:tc>
        <w:tc>
          <w:tcPr>
            <w:tcW w:w="66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ended</w:t>
            </w:r>
          </w:p>
        </w:tc>
        <w:tc>
          <w:tcPr>
            <w:tcW w:w="120" w:type="dxa"/>
            <w:vAlign w:val="bottom"/>
          </w:tcPr>
          <w:p>
            <w:pPr>
              <w:spacing w:after="0"/>
              <w:rPr>
                <w:sz w:val="11"/>
                <w:szCs w:val="11"/>
                <w:color w:val="auto"/>
              </w:rPr>
            </w:pPr>
          </w:p>
        </w:tc>
        <w:tc>
          <w:tcPr>
            <w:tcW w:w="660" w:type="dxa"/>
            <w:vAlign w:val="bottom"/>
            <w:tcBorders>
              <w:right w:val="single" w:sz="8" w:color="auto"/>
            </w:tcBorders>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5"/>
          </w:tcPr>
          <w:p>
            <w:pPr>
              <w:jc w:val="right"/>
              <w:ind w:right="16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700" w:type="dxa"/>
            <w:vAlign w:val="bottom"/>
            <w:gridSpan w:val="4"/>
          </w:tcPr>
          <w:p>
            <w:pPr>
              <w:jc w:val="right"/>
              <w:ind w:right="100"/>
              <w:spacing w:after="0" w:line="132" w:lineRule="exact"/>
              <w:rPr>
                <w:sz w:val="20"/>
                <w:szCs w:val="20"/>
                <w:color w:val="auto"/>
              </w:rPr>
            </w:pPr>
            <w:r>
              <w:rPr>
                <w:rFonts w:ascii="Arial" w:cs="Arial" w:eastAsia="Arial" w:hAnsi="Arial"/>
                <w:sz w:val="12"/>
                <w:szCs w:val="12"/>
                <w:b w:val="1"/>
                <w:bCs w:val="1"/>
                <w:color w:val="auto"/>
                <w:w w:val="70"/>
              </w:rPr>
              <w:t>months ended</w:t>
            </w:r>
          </w:p>
        </w:tc>
        <w:tc>
          <w:tcPr>
            <w:tcW w:w="760" w:type="dxa"/>
            <w:vAlign w:val="bottom"/>
            <w:gridSpan w:val="5"/>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6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80" w:type="dxa"/>
            <w:vAlign w:val="bottom"/>
            <w:tcBorders>
              <w:right w:val="single" w:sz="8" w:color="auto"/>
            </w:tcBorders>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20" w:type="dxa"/>
            <w:vAlign w:val="bottom"/>
          </w:tcPr>
          <w:p>
            <w:pPr>
              <w:spacing w:after="0"/>
              <w:rPr>
                <w:sz w:val="11"/>
                <w:szCs w:val="11"/>
                <w:color w:val="auto"/>
              </w:rPr>
            </w:pPr>
          </w:p>
        </w:tc>
        <w:tc>
          <w:tcPr>
            <w:tcW w:w="72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06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3"/>
                <w:szCs w:val="13"/>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2"/>
                <w:szCs w:val="12"/>
                <w:b w:val="1"/>
                <w:bCs w:val="1"/>
                <w:color w:val="auto"/>
                <w:w w:val="84"/>
              </w:rPr>
              <w:t>June 30, 2021</w:t>
            </w:r>
          </w:p>
        </w:tc>
        <w:tc>
          <w:tcPr>
            <w:tcW w:w="7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w w:val="76"/>
              </w:rPr>
              <w:t>June 30, 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center"/>
              <w:ind w:left="51"/>
              <w:spacing w:after="0"/>
              <w:rPr>
                <w:sz w:val="20"/>
                <w:szCs w:val="20"/>
                <w:color w:val="auto"/>
              </w:rPr>
            </w:pPr>
            <w:r>
              <w:rPr>
                <w:rFonts w:ascii="Arial" w:cs="Arial" w:eastAsia="Arial" w:hAnsi="Arial"/>
                <w:sz w:val="12"/>
                <w:szCs w:val="12"/>
                <w:b w:val="1"/>
                <w:bCs w:val="1"/>
                <w:color w:val="auto"/>
                <w:w w:val="82"/>
              </w:rPr>
              <w:t>2019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64,169</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1,211</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(3,904)</w:t>
            </w:r>
          </w:p>
        </w:tc>
        <w:tc>
          <w:tcPr>
            <w:tcW w:w="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$46,072</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(367)</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$ 25,910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6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r>
              <w:rPr>
                <w:rFonts w:ascii="Arial" w:cs="Arial" w:eastAsia="Arial" w:hAnsi="Arial"/>
                <w:sz w:val="19"/>
                <w:szCs w:val="19"/>
                <w:color w:val="auto"/>
                <w:vertAlign w:val="superscript"/>
              </w:rPr>
              <w:t>(a)</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(65,392)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(31,481)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(64,563)</w:t>
            </w:r>
          </w:p>
        </w:tc>
        <w:tc>
          <w:tcPr>
            <w:tcW w:w="6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5"/>
                <w:szCs w:val="15"/>
                <w:color w:val="auto"/>
              </w:rPr>
              <w:t>7,092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88"/>
              </w:rPr>
              <w:t>(6,706)</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95"/>
              </w:rPr>
              <w:t>Stock compensation expense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3,613</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2,110</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60" w:type="dxa"/>
            <w:vAlign w:val="bottom"/>
            <w:gridSpan w:val="2"/>
          </w:tcPr>
          <w:p>
            <w:pPr>
              <w:ind w:left="160"/>
              <w:spacing w:after="0"/>
              <w:rPr>
                <w:sz w:val="20"/>
                <w:szCs w:val="20"/>
                <w:color w:val="auto"/>
              </w:rPr>
            </w:pPr>
            <w:r>
              <w:rPr>
                <w:rFonts w:ascii="Arial" w:cs="Arial" w:eastAsia="Arial" w:hAnsi="Arial"/>
                <w:sz w:val="15"/>
                <w:szCs w:val="15"/>
                <w:color w:val="auto"/>
              </w:rPr>
              <w:t>Loss (gain) on asset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60" w:type="dxa"/>
            <w:vAlign w:val="bottom"/>
            <w:gridSpan w:val="2"/>
          </w:tcPr>
          <w:p>
            <w:pPr>
              <w:ind w:left="300"/>
              <w:spacing w:after="0"/>
              <w:rPr>
                <w:sz w:val="20"/>
                <w:szCs w:val="20"/>
                <w:color w:val="auto"/>
              </w:rPr>
            </w:pPr>
            <w:r>
              <w:rPr>
                <w:rFonts w:ascii="Arial" w:cs="Arial" w:eastAsia="Arial" w:hAnsi="Arial"/>
                <w:sz w:val="15"/>
                <w:szCs w:val="15"/>
                <w:color w:val="auto"/>
              </w:rPr>
              <w:t>transactions, net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381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413</w:t>
            </w:r>
          </w:p>
        </w:tc>
        <w:tc>
          <w:tcPr>
            <w:tcW w:w="60" w:type="dxa"/>
            <w:vAlign w:val="bottom"/>
          </w:tcPr>
          <w:p>
            <w:pPr>
              <w:spacing w:after="0"/>
              <w:rPr>
                <w:sz w:val="16"/>
                <w:szCs w:val="16"/>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5"/>
                <w:szCs w:val="15"/>
                <w:color w:val="auto"/>
              </w:rPr>
              <w:t>745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(811)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20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Early repayment of CARES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Act Loan</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842</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060" w:type="dxa"/>
            <w:vAlign w:val="bottom"/>
            <w:gridSpan w:val="2"/>
          </w:tcPr>
          <w:p>
            <w:pPr>
              <w:ind w:left="160"/>
              <w:spacing w:after="0"/>
              <w:rPr>
                <w:sz w:val="20"/>
                <w:szCs w:val="20"/>
                <w:color w:val="auto"/>
              </w:rPr>
            </w:pPr>
            <w:r>
              <w:rPr>
                <w:rFonts w:ascii="Arial" w:cs="Arial" w:eastAsia="Arial" w:hAnsi="Arial"/>
                <w:sz w:val="15"/>
                <w:szCs w:val="15"/>
                <w:color w:val="auto"/>
              </w:rPr>
              <w:t>Secondary offering costs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640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60" w:type="dxa"/>
            <w:vAlign w:val="bottom"/>
            <w:gridSpan w:val="2"/>
            <w:shd w:val="clear" w:color="auto" w:fill="CCEEFF"/>
          </w:tcPr>
          <w:p>
            <w:pPr>
              <w:ind w:left="160"/>
              <w:spacing w:after="0" w:line="171" w:lineRule="exact"/>
              <w:rPr>
                <w:sz w:val="20"/>
                <w:szCs w:val="20"/>
                <w:color w:val="auto"/>
              </w:rPr>
            </w:pPr>
            <w:r>
              <w:rPr>
                <w:rFonts w:ascii="Arial" w:cs="Arial" w:eastAsia="Arial" w:hAnsi="Arial"/>
                <w:sz w:val="15"/>
                <w:szCs w:val="15"/>
                <w:color w:val="auto"/>
              </w:rPr>
              <w:t>Income tax receivable</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agreement expense</w:t>
            </w:r>
            <w:r>
              <w:rPr>
                <w:rFonts w:ascii="Arial" w:cs="Arial" w:eastAsia="Arial" w:hAnsi="Arial"/>
                <w:sz w:val="19"/>
                <w:szCs w:val="19"/>
                <w:color w:val="auto"/>
                <w:vertAlign w:val="superscript"/>
              </w:rPr>
              <w:t>(b)</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315</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60" w:type="dxa"/>
            <w:vAlign w:val="bottom"/>
            <w:gridSpan w:val="2"/>
          </w:tcPr>
          <w:p>
            <w:pPr>
              <w:ind w:left="160"/>
              <w:spacing w:after="0" w:line="171" w:lineRule="exact"/>
              <w:rPr>
                <w:sz w:val="20"/>
                <w:szCs w:val="20"/>
                <w:color w:val="auto"/>
              </w:rPr>
            </w:pPr>
            <w:r>
              <w:rPr>
                <w:rFonts w:ascii="Arial" w:cs="Arial" w:eastAsia="Arial" w:hAnsi="Arial"/>
                <w:sz w:val="15"/>
                <w:szCs w:val="15"/>
                <w:color w:val="auto"/>
              </w:rPr>
              <w:t>Income tax receivable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60" w:type="dxa"/>
            <w:vAlign w:val="bottom"/>
            <w:gridSpan w:val="2"/>
          </w:tcPr>
          <w:p>
            <w:pPr>
              <w:ind w:left="300"/>
              <w:spacing w:after="0"/>
              <w:rPr>
                <w:sz w:val="20"/>
                <w:szCs w:val="20"/>
                <w:color w:val="auto"/>
              </w:rPr>
            </w:pPr>
            <w:r>
              <w:rPr>
                <w:rFonts w:ascii="Arial" w:cs="Arial" w:eastAsia="Arial" w:hAnsi="Arial"/>
                <w:sz w:val="15"/>
                <w:szCs w:val="15"/>
                <w:color w:val="auto"/>
              </w:rPr>
              <w:t>agreement adjustment</w:t>
            </w:r>
            <w:r>
              <w:rPr>
                <w:rFonts w:ascii="Arial" w:cs="Arial" w:eastAsia="Arial" w:hAnsi="Arial"/>
                <w:sz w:val="19"/>
                <w:szCs w:val="19"/>
                <w:color w:val="auto"/>
                <w:vertAlign w:val="superscript"/>
              </w:rPr>
              <w:t>(c)</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(18,700)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Loss on refinancing credit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facility</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382</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2060" w:type="dxa"/>
            <w:vAlign w:val="bottom"/>
            <w:gridSpan w:val="2"/>
          </w:tcPr>
          <w:p>
            <w:pPr>
              <w:ind w:left="160"/>
              <w:spacing w:after="0"/>
              <w:rPr>
                <w:sz w:val="20"/>
                <w:szCs w:val="20"/>
                <w:color w:val="auto"/>
              </w:rPr>
            </w:pPr>
            <w:r>
              <w:rPr>
                <w:rFonts w:ascii="Arial" w:cs="Arial" w:eastAsia="Arial" w:hAnsi="Arial"/>
                <w:sz w:val="15"/>
                <w:szCs w:val="15"/>
                <w:color w:val="auto"/>
              </w:rPr>
              <w:t>Other adjustments</w:t>
            </w:r>
            <w:r>
              <w:rPr>
                <w:rFonts w:ascii="Arial" w:cs="Arial" w:eastAsia="Arial" w:hAnsi="Arial"/>
                <w:sz w:val="19"/>
                <w:szCs w:val="19"/>
                <w:color w:val="auto"/>
                <w:vertAlign w:val="superscript"/>
              </w:rPr>
              <w:t>(d)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2,541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6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5"/>
                <w:szCs w:val="15"/>
                <w:color w:val="auto"/>
              </w:rPr>
              <w:t>226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60" w:type="dxa"/>
            <w:vAlign w:val="bottom"/>
            <w:gridSpan w:val="2"/>
            <w:shd w:val="clear" w:color="auto" w:fill="CCEEFF"/>
          </w:tcPr>
          <w:p>
            <w:pPr>
              <w:ind w:left="160"/>
              <w:spacing w:after="0" w:line="171" w:lineRule="exact"/>
              <w:rPr>
                <w:sz w:val="20"/>
                <w:szCs w:val="20"/>
                <w:color w:val="auto"/>
              </w:rPr>
            </w:pPr>
            <w:r>
              <w:rPr>
                <w:rFonts w:ascii="Arial" w:cs="Arial" w:eastAsia="Arial" w:hAnsi="Arial"/>
                <w:sz w:val="15"/>
                <w:szCs w:val="15"/>
                <w:color w:val="auto"/>
                <w:w w:val="96"/>
              </w:rPr>
              <w:t>Income tax effect of adjusting</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items, net</w:t>
            </w:r>
            <w:r>
              <w:rPr>
                <w:rFonts w:ascii="Arial" w:cs="Arial" w:eastAsia="Arial" w:hAnsi="Arial"/>
                <w:sz w:val="19"/>
                <w:szCs w:val="19"/>
                <w:color w:val="auto"/>
                <w:vertAlign w:val="superscript"/>
              </w:rPr>
              <w:t>(e)</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13,708</w:t>
            </w: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6,395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13,147</w:t>
            </w:r>
          </w:p>
        </w:tc>
        <w:tc>
          <w:tcPr>
            <w:tcW w:w="6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(2,289)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1,640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60" w:type="dxa"/>
            <w:vAlign w:val="bottom"/>
            <w:gridSpan w:val="2"/>
          </w:tcPr>
          <w:p>
            <w:pPr>
              <w:spacing w:after="0"/>
              <w:rPr>
                <w:sz w:val="20"/>
                <w:szCs w:val="20"/>
                <w:color w:val="auto"/>
              </w:rPr>
            </w:pPr>
            <w:r>
              <w:rPr>
                <w:rFonts w:ascii="Arial" w:cs="Arial" w:eastAsia="Arial" w:hAnsi="Arial"/>
                <w:sz w:val="15"/>
                <w:szCs w:val="15"/>
                <w:color w:val="auto"/>
              </w:rPr>
              <w:t>Adjusted Net Income</w:t>
            </w:r>
          </w:p>
        </w:tc>
        <w:tc>
          <w:tcPr>
            <w:tcW w:w="120" w:type="dxa"/>
            <w:vAlign w:val="bottom"/>
            <w:gridSpan w:val="2"/>
            <w:vMerge w:val="restart"/>
          </w:tcPr>
          <w:p>
            <w:pPr>
              <w:spacing w:after="0"/>
              <w:rPr>
                <w:sz w:val="15"/>
                <w:szCs w:val="15"/>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(423)</w:t>
            </w:r>
          </w:p>
        </w:tc>
        <w:tc>
          <w:tcPr>
            <w:tcW w:w="14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w w:val="85"/>
              </w:rPr>
              <w:t>(20,196)</w:t>
            </w:r>
          </w:p>
        </w:tc>
        <w:tc>
          <w:tcPr>
            <w:tcW w:w="6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w w:val="85"/>
              </w:rPr>
              <w:t>(47,916)</w:t>
            </w:r>
          </w:p>
        </w:tc>
        <w:tc>
          <w:tcPr>
            <w:tcW w:w="60" w:type="dxa"/>
            <w:vAlign w:val="bottom"/>
          </w:tcPr>
          <w:p>
            <w:pPr>
              <w:spacing w:after="0"/>
              <w:rPr>
                <w:sz w:val="15"/>
                <w:szCs w:val="15"/>
                <w:color w:val="auto"/>
              </w:rPr>
            </w:pPr>
          </w:p>
        </w:tc>
        <w:tc>
          <w:tcPr>
            <w:tcW w:w="70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$53,734</w:t>
            </w:r>
          </w:p>
        </w:tc>
        <w:tc>
          <w:tcPr>
            <w:tcW w:w="6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5"/>
                <w:szCs w:val="15"/>
                <w:color w:val="auto"/>
                <w:w w:val="88"/>
              </w:rPr>
              <w:t>(5,871)</w:t>
            </w:r>
          </w:p>
        </w:tc>
        <w:tc>
          <w:tcPr>
            <w:tcW w:w="620" w:type="dxa"/>
            <w:vAlign w:val="bottom"/>
            <w:gridSpan w:val="3"/>
            <w:vMerge w:val="restart"/>
          </w:tcPr>
          <w:p>
            <w:pPr>
              <w:jc w:val="right"/>
              <w:spacing w:after="0"/>
              <w:rPr>
                <w:sz w:val="20"/>
                <w:szCs w:val="20"/>
                <w:color w:val="auto"/>
              </w:rPr>
            </w:pPr>
            <w:r>
              <w:rPr>
                <w:rFonts w:ascii="Arial" w:cs="Arial" w:eastAsia="Arial" w:hAnsi="Arial"/>
                <w:sz w:val="15"/>
                <w:szCs w:val="15"/>
                <w:color w:val="auto"/>
              </w:rPr>
              <w:t>$ 26,181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60" w:type="dxa"/>
            <w:vAlign w:val="bottom"/>
            <w:gridSpan w:val="2"/>
          </w:tcPr>
          <w:p>
            <w:pPr>
              <w:ind w:left="160"/>
              <w:spacing w:after="0"/>
              <w:rPr>
                <w:sz w:val="20"/>
                <w:szCs w:val="20"/>
                <w:color w:val="auto"/>
              </w:rPr>
            </w:pPr>
            <w:r>
              <w:rPr>
                <w:rFonts w:ascii="Arial" w:cs="Arial" w:eastAsia="Arial" w:hAnsi="Arial"/>
                <w:sz w:val="15"/>
                <w:szCs w:val="15"/>
                <w:color w:val="auto"/>
              </w:rPr>
              <w:t>(Loss) .</w:t>
            </w:r>
          </w:p>
        </w:tc>
        <w:tc>
          <w:tcPr>
            <w:tcW w:w="12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580" w:type="dxa"/>
            <w:vAlign w:val="bottom"/>
            <w:tcBorders>
              <w:right w:val="single" w:sz="8" w:color="auto"/>
            </w:tcBorders>
            <w:gridSpan w:val="2"/>
            <w:vMerge w:val="continue"/>
          </w:tcPr>
          <w:p>
            <w:pPr>
              <w:spacing w:after="0"/>
              <w:rPr>
                <w:sz w:val="20"/>
                <w:szCs w:val="20"/>
                <w:color w:val="auto"/>
              </w:rPr>
            </w:pPr>
          </w:p>
        </w:tc>
        <w:tc>
          <w:tcPr>
            <w:tcW w:w="62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70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-2538730</wp:posOffset>
            </wp:positionV>
            <wp:extent cx="4889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-2538730</wp:posOffset>
            </wp:positionV>
            <wp:extent cx="4191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-2538730</wp:posOffset>
            </wp:positionV>
            <wp:extent cx="4191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-2538730</wp:posOffset>
            </wp:positionV>
            <wp:extent cx="4191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-2538730</wp:posOffset>
            </wp:positionV>
            <wp:extent cx="4191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-2538730</wp:posOffset>
            </wp:positionV>
            <wp:extent cx="2794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940" cy="6985"/>
                    </a:xfrm>
                    <a:prstGeom prst="rect">
                      <a:avLst/>
                    </a:prstGeom>
                    <a:noFill/>
                  </pic:spPr>
                </pic:pic>
              </a:graphicData>
            </a:graphic>
          </wp:anchor>
        </w:drawing>
      </w:r>
    </w:p>
    <w:p>
      <w:pPr>
        <w:spacing w:after="0" w:line="57" w:lineRule="exact"/>
        <w:rPr>
          <w:sz w:val="20"/>
          <w:szCs w:val="20"/>
          <w:color w:val="auto"/>
        </w:rPr>
      </w:pPr>
    </w:p>
    <w:p>
      <w:pPr>
        <w:jc w:val="both"/>
        <w:ind w:left="1460" w:right="1339" w:hanging="296"/>
        <w:spacing w:after="0" w:line="229" w:lineRule="auto"/>
        <w:tabs>
          <w:tab w:leader="none" w:pos="1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33" w:lineRule="exact"/>
        <w:rPr>
          <w:rFonts w:ascii="Arial" w:cs="Arial" w:eastAsia="Arial" w:hAnsi="Arial"/>
          <w:sz w:val="15"/>
          <w:szCs w:val="15"/>
          <w:color w:val="auto"/>
        </w:rPr>
      </w:pPr>
    </w:p>
    <w:p>
      <w:pPr>
        <w:ind w:left="1460" w:right="1579" w:hanging="296"/>
        <w:spacing w:after="0" w:line="229" w:lineRule="auto"/>
        <w:tabs>
          <w:tab w:leader="none" w:pos="1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Represents one-time costs to establish the income tax receivable agreement with our pre-IPO stockholders. See Note 10 to our unaudited condensed consolidated financial statements included elsewhere in this prospectus.</w:t>
      </w:r>
    </w:p>
    <w:p>
      <w:pPr>
        <w:spacing w:after="0" w:line="22" w:lineRule="exact"/>
        <w:rPr>
          <w:rFonts w:ascii="Arial" w:cs="Arial" w:eastAsia="Arial" w:hAnsi="Arial"/>
          <w:sz w:val="15"/>
          <w:szCs w:val="15"/>
          <w:color w:val="auto"/>
        </w:rPr>
      </w:pPr>
    </w:p>
    <w:p>
      <w:pPr>
        <w:ind w:left="1460" w:right="1299" w:hanging="296"/>
        <w:spacing w:after="0" w:line="236" w:lineRule="auto"/>
        <w:tabs>
          <w:tab w:leader="none" w:pos="1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Represents the adjustment to the income tax receivable agreement for the period, which is recorded in Non-operating Income (Expense).</w:t>
      </w:r>
    </w:p>
    <w:p>
      <w:pPr>
        <w:spacing w:after="0" w:line="23" w:lineRule="exact"/>
        <w:rPr>
          <w:rFonts w:ascii="Arial" w:cs="Arial" w:eastAsia="Arial" w:hAnsi="Arial"/>
          <w:sz w:val="15"/>
          <w:szCs w:val="15"/>
          <w:color w:val="auto"/>
        </w:rPr>
      </w:pPr>
    </w:p>
    <w:p>
      <w:pPr>
        <w:ind w:left="1460" w:right="1179" w:hanging="296"/>
        <w:spacing w:after="0" w:line="239" w:lineRule="auto"/>
        <w:tabs>
          <w:tab w:leader="none" w:pos="1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Other adjustments for the six months ended June 30, 2020 and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33" w:lineRule="exact"/>
        <w:rPr>
          <w:rFonts w:ascii="Arial" w:cs="Arial" w:eastAsia="Arial" w:hAnsi="Arial"/>
          <w:sz w:val="14"/>
          <w:szCs w:val="14"/>
          <w:color w:val="auto"/>
        </w:rPr>
      </w:pPr>
    </w:p>
    <w:p>
      <w:pPr>
        <w:ind w:left="1460" w:right="1419" w:hanging="296"/>
        <w:spacing w:after="0" w:line="236" w:lineRule="auto"/>
        <w:tabs>
          <w:tab w:leader="none" w:pos="1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tax effect of adjusting items, net is calculated at the Company’s statutory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2" w:name="page103"/>
    <w:bookmarkEnd w:id="10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The following tables present the reconciliation of Net Income (Loss) to Adjusted EBITDAR for the periods presented below.</w:t>
      </w:r>
    </w:p>
    <w:p>
      <w:pPr>
        <w:spacing w:after="0" w:line="9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Successor</w:t>
            </w: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gridSpan w:val="4"/>
          </w:tcPr>
          <w:p>
            <w:pPr>
              <w:jc w:val="center"/>
              <w:ind w:right="60"/>
              <w:spacing w:after="0"/>
              <w:rPr>
                <w:sz w:val="20"/>
                <w:szCs w:val="20"/>
                <w:color w:val="auto"/>
              </w:rPr>
            </w:pPr>
            <w:r>
              <w:rPr>
                <w:rFonts w:ascii="Arial" w:cs="Arial" w:eastAsia="Arial" w:hAnsi="Arial"/>
                <w:sz w:val="12"/>
                <w:szCs w:val="12"/>
                <w:b w:val="1"/>
                <w:bCs w:val="1"/>
                <w:color w:val="auto"/>
                <w:w w:val="86"/>
              </w:rPr>
              <w:t>For the period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5"/>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0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For the year</w:t>
            </w:r>
          </w:p>
        </w:tc>
        <w:tc>
          <w:tcPr>
            <w:tcW w:w="100" w:type="dxa"/>
            <w:vAlign w:val="bottom"/>
          </w:tcPr>
          <w:p>
            <w:pPr>
              <w:spacing w:after="0"/>
              <w:rPr>
                <w:sz w:val="11"/>
                <w:szCs w:val="11"/>
                <w:color w:val="auto"/>
              </w:rPr>
            </w:pPr>
          </w:p>
        </w:tc>
        <w:tc>
          <w:tcPr>
            <w:tcW w:w="660" w:type="dxa"/>
            <w:vAlign w:val="bottom"/>
            <w:tcBorders>
              <w:right w:val="single" w:sz="8" w:color="auto"/>
            </w:tcBorders>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88"/>
              </w:rPr>
              <w:t>April 11,</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2"/>
              </w:rPr>
              <w:t>For the six</w:t>
            </w:r>
          </w:p>
        </w:tc>
        <w:tc>
          <w:tcPr>
            <w:tcW w:w="80" w:type="dxa"/>
            <w:vAlign w:val="bottom"/>
          </w:tcPr>
          <w:p>
            <w:pPr>
              <w:spacing w:after="0"/>
              <w:rPr>
                <w:sz w:val="11"/>
                <w:szCs w:val="11"/>
                <w:color w:val="auto"/>
              </w:rPr>
            </w:pPr>
          </w:p>
        </w:tc>
        <w:tc>
          <w:tcPr>
            <w:tcW w:w="6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For the six</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300"/>
              <w:spacing w:after="0" w:line="132"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1"/>
                <w:szCs w:val="11"/>
                <w:color w:val="auto"/>
              </w:rPr>
            </w:pPr>
          </w:p>
        </w:tc>
        <w:tc>
          <w:tcPr>
            <w:tcW w:w="620" w:type="dxa"/>
            <w:vAlign w:val="bottom"/>
            <w:gridSpan w:val="3"/>
          </w:tcPr>
          <w:p>
            <w:pPr>
              <w:jc w:val="center"/>
              <w:ind w:right="240"/>
              <w:spacing w:after="0" w:line="132" w:lineRule="exact"/>
              <w:rPr>
                <w:sz w:val="20"/>
                <w:szCs w:val="20"/>
                <w:color w:val="auto"/>
              </w:rPr>
            </w:pPr>
            <w:r>
              <w:rPr>
                <w:rFonts w:ascii="Arial" w:cs="Arial" w:eastAsia="Arial" w:hAnsi="Arial"/>
                <w:sz w:val="12"/>
                <w:szCs w:val="12"/>
                <w:b w:val="1"/>
                <w:bCs w:val="1"/>
                <w:color w:val="auto"/>
                <w:w w:val="84"/>
              </w:rPr>
              <w:t>ended</w:t>
            </w:r>
          </w:p>
        </w:tc>
        <w:tc>
          <w:tcPr>
            <w:tcW w:w="760" w:type="dxa"/>
            <w:vAlign w:val="bottom"/>
            <w:tcBorders>
              <w:right w:val="single" w:sz="8" w:color="auto"/>
            </w:tcBorders>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60" w:type="dxa"/>
            <w:vAlign w:val="bottom"/>
            <w:gridSpan w:val="5"/>
          </w:tcPr>
          <w:p>
            <w:pPr>
              <w:jc w:val="right"/>
              <w:ind w:right="100"/>
              <w:spacing w:after="0" w:line="132" w:lineRule="exact"/>
              <w:rPr>
                <w:sz w:val="20"/>
                <w:szCs w:val="20"/>
                <w:color w:val="auto"/>
              </w:rPr>
            </w:pPr>
            <w:r>
              <w:rPr>
                <w:rFonts w:ascii="Arial" w:cs="Arial" w:eastAsia="Arial" w:hAnsi="Arial"/>
                <w:sz w:val="12"/>
                <w:szCs w:val="12"/>
                <w:b w:val="1"/>
                <w:bCs w:val="1"/>
                <w:color w:val="auto"/>
                <w:w w:val="77"/>
              </w:rPr>
              <w:t>months ended</w:t>
            </w:r>
          </w:p>
        </w:tc>
        <w:tc>
          <w:tcPr>
            <w:tcW w:w="820" w:type="dxa"/>
            <w:vAlign w:val="bottom"/>
            <w:gridSpan w:val="5"/>
          </w:tcPr>
          <w:p>
            <w:pPr>
              <w:jc w:val="center"/>
              <w:ind w:right="1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0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76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20" w:type="dxa"/>
            <w:vAlign w:val="bottom"/>
          </w:tcPr>
          <w:p>
            <w:pPr>
              <w:spacing w:after="0"/>
              <w:rPr>
                <w:sz w:val="11"/>
                <w:szCs w:val="11"/>
                <w:color w:val="auto"/>
              </w:rPr>
            </w:pPr>
          </w:p>
        </w:tc>
        <w:tc>
          <w:tcPr>
            <w:tcW w:w="72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21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3"/>
                <w:szCs w:val="13"/>
                <w:color w:val="auto"/>
              </w:rPr>
            </w:pPr>
          </w:p>
        </w:tc>
        <w:tc>
          <w:tcPr>
            <w:tcW w:w="76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4"/>
              </w:rPr>
              <w:t>June 30, 2021</w:t>
            </w:r>
          </w:p>
        </w:tc>
        <w:tc>
          <w:tcPr>
            <w:tcW w:w="760" w:type="dxa"/>
            <w:vAlign w:val="bottom"/>
            <w:gridSpan w:val="5"/>
          </w:tcPr>
          <w:p>
            <w:pPr>
              <w:jc w:val="right"/>
              <w:ind w:right="80"/>
              <w:spacing w:after="0"/>
              <w:rPr>
                <w:sz w:val="20"/>
                <w:szCs w:val="20"/>
                <w:color w:val="auto"/>
              </w:rPr>
            </w:pPr>
            <w:r>
              <w:rPr>
                <w:rFonts w:ascii="Arial" w:cs="Arial" w:eastAsia="Arial" w:hAnsi="Arial"/>
                <w:sz w:val="12"/>
                <w:szCs w:val="12"/>
                <w:b w:val="1"/>
                <w:bCs w:val="1"/>
                <w:color w:val="auto"/>
                <w:w w:val="84"/>
              </w:rPr>
              <w:t>June 30, 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$ 64,169</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1,211</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(3,904)</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46,072</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(367)</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$ 25,910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100" w:type="dxa"/>
            <w:vAlign w:val="bottom"/>
            <w:gridSpan w:val="2"/>
          </w:tcPr>
          <w:p>
            <w:pPr>
              <w:spacing w:after="0"/>
              <w:rPr>
                <w:sz w:val="20"/>
                <w:szCs w:val="20"/>
                <w:color w:val="auto"/>
              </w:rPr>
            </w:pPr>
            <w:r>
              <w:rPr>
                <w:rFonts w:ascii="Arial" w:cs="Arial" w:eastAsia="Arial" w:hAnsi="Arial"/>
                <w:sz w:val="15"/>
                <w:szCs w:val="15"/>
                <w:color w:val="auto"/>
              </w:rPr>
              <w:t>Special items, net</w:t>
            </w:r>
            <w:r>
              <w:rPr>
                <w:rFonts w:ascii="Arial" w:cs="Arial" w:eastAsia="Arial" w:hAnsi="Arial"/>
                <w:sz w:val="19"/>
                <w:szCs w:val="19"/>
                <w:color w:val="auto"/>
                <w:vertAlign w:val="superscript"/>
              </w:rPr>
              <w:t>(a)</w:t>
            </w:r>
          </w:p>
        </w:tc>
        <w:tc>
          <w:tcPr>
            <w:tcW w:w="740" w:type="dxa"/>
            <w:vAlign w:val="bottom"/>
            <w:gridSpan w:val="4"/>
          </w:tcPr>
          <w:p>
            <w:pPr>
              <w:jc w:val="right"/>
              <w:ind w:right="40"/>
              <w:spacing w:after="0"/>
              <w:rPr>
                <w:sz w:val="20"/>
                <w:szCs w:val="20"/>
                <w:color w:val="auto"/>
              </w:rPr>
            </w:pPr>
            <w:r>
              <w:rPr>
                <w:rFonts w:ascii="Arial" w:cs="Arial" w:eastAsia="Arial" w:hAnsi="Arial"/>
                <w:sz w:val="15"/>
                <w:szCs w:val="15"/>
                <w:color w:val="auto"/>
              </w:rPr>
              <w:t>(65,392)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(31,481)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(64,563)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7,092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92"/>
              </w:rPr>
              <w:t>(6,706)</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13,201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11,058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22,073</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17,170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6,060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00" w:type="dxa"/>
            <w:vAlign w:val="bottom"/>
            <w:gridSpan w:val="2"/>
          </w:tcPr>
          <w:p>
            <w:pPr>
              <w:spacing w:after="0"/>
              <w:rPr>
                <w:sz w:val="20"/>
                <w:szCs w:val="20"/>
                <w:color w:val="auto"/>
              </w:rPr>
            </w:pPr>
            <w:r>
              <w:rPr>
                <w:rFonts w:ascii="Arial" w:cs="Arial" w:eastAsia="Arial" w:hAnsi="Arial"/>
                <w:sz w:val="15"/>
                <w:szCs w:val="15"/>
                <w:color w:val="auto"/>
              </w:rPr>
              <w:t>Stock compensation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gridSpan w:val="2"/>
          </w:tcPr>
          <w:p>
            <w:pPr>
              <w:ind w:left="160"/>
              <w:spacing w:after="0"/>
              <w:rPr>
                <w:sz w:val="20"/>
                <w:szCs w:val="20"/>
                <w:color w:val="auto"/>
              </w:rPr>
            </w:pPr>
            <w:r>
              <w:rPr>
                <w:rFonts w:ascii="Arial" w:cs="Arial" w:eastAsia="Arial" w:hAnsi="Arial"/>
                <w:sz w:val="15"/>
                <w:szCs w:val="15"/>
                <w:color w:val="auto"/>
              </w:rPr>
              <w:t>expense</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3,613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757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2,110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1,888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373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2"/>
              </w:rPr>
              <w:t>Loss (gain) on asset transactions,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net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413</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2100" w:type="dxa"/>
            <w:vAlign w:val="bottom"/>
            <w:gridSpan w:val="2"/>
          </w:tcPr>
          <w:p>
            <w:pPr>
              <w:spacing w:after="0"/>
              <w:rPr>
                <w:sz w:val="20"/>
                <w:szCs w:val="20"/>
                <w:color w:val="auto"/>
              </w:rPr>
            </w:pPr>
            <w:r>
              <w:rPr>
                <w:rFonts w:ascii="Arial" w:cs="Arial" w:eastAsia="Arial" w:hAnsi="Arial"/>
                <w:sz w:val="15"/>
                <w:szCs w:val="15"/>
                <w:color w:val="auto"/>
              </w:rPr>
              <w:t>Other adjustments</w:t>
            </w:r>
            <w:r>
              <w:rPr>
                <w:rFonts w:ascii="Arial" w:cs="Arial" w:eastAsia="Arial" w:hAnsi="Arial"/>
                <w:sz w:val="19"/>
                <w:szCs w:val="19"/>
                <w:color w:val="auto"/>
                <w:vertAlign w:val="superscript"/>
              </w:rPr>
              <w:t>(b)</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2,541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(377)</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(258)</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09"/>
        </w:trPr>
        <w:tc>
          <w:tcPr>
            <w:tcW w:w="210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14,875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547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(778)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14,088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161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26,075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22,702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48,086</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14,405</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spacing w:after="0"/>
              <w:rPr>
                <w:sz w:val="20"/>
                <w:szCs w:val="20"/>
                <w:color w:val="auto"/>
              </w:rPr>
            </w:pPr>
            <w:r>
              <w:rPr>
                <w:rFonts w:ascii="Arial" w:cs="Arial" w:eastAsia="Arial" w:hAnsi="Arial"/>
                <w:sz w:val="15"/>
                <w:szCs w:val="15"/>
                <w:color w:val="auto"/>
              </w:rPr>
              <w:t>Aircraft rent</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9,414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16,966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30,989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49,908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36,831</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28,329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w w:val="93"/>
              </w:rPr>
              <w:t>Income tax receivable agreement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expense</w:t>
            </w:r>
            <w:r>
              <w:rPr>
                <w:rFonts w:ascii="Arial" w:cs="Arial" w:eastAsia="Arial" w:hAnsi="Arial"/>
                <w:sz w:val="19"/>
                <w:szCs w:val="19"/>
                <w:color w:val="auto"/>
                <w:vertAlign w:val="superscript"/>
              </w:rPr>
              <w:t>(c)</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315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100" w:type="dxa"/>
            <w:vAlign w:val="bottom"/>
            <w:gridSpan w:val="2"/>
          </w:tcPr>
          <w:p>
            <w:pPr>
              <w:spacing w:after="0" w:line="171" w:lineRule="exact"/>
              <w:rPr>
                <w:sz w:val="20"/>
                <w:szCs w:val="20"/>
                <w:color w:val="auto"/>
              </w:rPr>
            </w:pPr>
            <w:r>
              <w:rPr>
                <w:rFonts w:ascii="Arial" w:cs="Arial" w:eastAsia="Arial" w:hAnsi="Arial"/>
                <w:sz w:val="15"/>
                <w:szCs w:val="15"/>
                <w:color w:val="auto"/>
                <w:w w:val="93"/>
              </w:rPr>
              <w:t>Income tax receivable agreement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100" w:type="dxa"/>
            <w:vAlign w:val="bottom"/>
            <w:gridSpan w:val="2"/>
          </w:tcPr>
          <w:p>
            <w:pPr>
              <w:ind w:left="160"/>
              <w:spacing w:after="0"/>
              <w:rPr>
                <w:sz w:val="20"/>
                <w:szCs w:val="20"/>
                <w:color w:val="auto"/>
              </w:rPr>
            </w:pPr>
            <w:r>
              <w:rPr>
                <w:rFonts w:ascii="Arial" w:cs="Arial" w:eastAsia="Arial" w:hAnsi="Arial"/>
                <w:sz w:val="15"/>
                <w:szCs w:val="15"/>
                <w:color w:val="auto"/>
              </w:rPr>
              <w:t>adjustment</w:t>
            </w:r>
            <w:r>
              <w:rPr>
                <w:rFonts w:ascii="Arial" w:cs="Arial" w:eastAsia="Arial" w:hAnsi="Arial"/>
                <w:sz w:val="19"/>
                <w:szCs w:val="19"/>
                <w:color w:val="auto"/>
                <w:vertAlign w:val="superscript"/>
              </w:rPr>
              <w:t>(d)</w:t>
            </w:r>
          </w:p>
        </w:tc>
        <w:tc>
          <w:tcPr>
            <w:tcW w:w="740" w:type="dxa"/>
            <w:vAlign w:val="bottom"/>
            <w:gridSpan w:val="4"/>
          </w:tcPr>
          <w:p>
            <w:pPr>
              <w:jc w:val="right"/>
              <w:ind w:right="40"/>
              <w:spacing w:after="0"/>
              <w:rPr>
                <w:sz w:val="20"/>
                <w:szCs w:val="20"/>
                <w:color w:val="auto"/>
              </w:rPr>
            </w:pPr>
            <w:r>
              <w:rPr>
                <w:rFonts w:ascii="Arial" w:cs="Arial" w:eastAsia="Arial" w:hAnsi="Arial"/>
                <w:sz w:val="15"/>
                <w:szCs w:val="15"/>
                <w:color w:val="auto"/>
              </w:rPr>
              <w:t>(18,700)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Secondary offering costs</w:t>
            </w:r>
          </w:p>
        </w:tc>
        <w:tc>
          <w:tcPr>
            <w:tcW w:w="120" w:type="dxa"/>
            <w:vAlign w:val="bottom"/>
            <w:gridSpan w:val="2"/>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100" w:type="dxa"/>
            <w:vAlign w:val="bottom"/>
            <w:gridSpan w:val="2"/>
          </w:tcPr>
          <w:p>
            <w:pPr>
              <w:spacing w:after="0"/>
              <w:rPr>
                <w:sz w:val="20"/>
                <w:szCs w:val="20"/>
                <w:color w:val="auto"/>
              </w:rPr>
            </w:pPr>
            <w:r>
              <w:rPr>
                <w:rFonts w:ascii="Arial" w:cs="Arial" w:eastAsia="Arial" w:hAnsi="Arial"/>
                <w:sz w:val="15"/>
                <w:szCs w:val="15"/>
                <w:color w:val="auto"/>
              </w:rPr>
              <w:t>Adjusted EBITDAR</w:t>
            </w:r>
          </w:p>
        </w:tc>
        <w:tc>
          <w:tcPr>
            <w:tcW w:w="740" w:type="dxa"/>
            <w:vAlign w:val="bottom"/>
            <w:gridSpan w:val="4"/>
          </w:tcPr>
          <w:p>
            <w:pPr>
              <w:jc w:val="right"/>
              <w:ind w:right="80"/>
              <w:spacing w:after="0"/>
              <w:rPr>
                <w:sz w:val="20"/>
                <w:szCs w:val="20"/>
                <w:color w:val="auto"/>
              </w:rPr>
            </w:pPr>
            <w:r>
              <w:rPr>
                <w:rFonts w:ascii="Arial" w:cs="Arial" w:eastAsia="Arial" w:hAnsi="Arial"/>
                <w:sz w:val="15"/>
                <w:szCs w:val="15"/>
                <w:color w:val="auto"/>
              </w:rPr>
              <w:t>$ 48,186</w:t>
            </w:r>
          </w:p>
        </w:tc>
        <w:tc>
          <w:tcPr>
            <w:tcW w:w="60" w:type="dxa"/>
            <w:vAlign w:val="bottom"/>
          </w:tcPr>
          <w:p>
            <w:pPr>
              <w:spacing w:after="0"/>
              <w:rPr>
                <w:sz w:val="22"/>
                <w:szCs w:val="22"/>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24,368</w:t>
            </w:r>
          </w:p>
        </w:tc>
        <w:tc>
          <w:tcPr>
            <w:tcW w:w="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38,930</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171,129</w:t>
            </w:r>
          </w:p>
        </w:tc>
        <w:tc>
          <w:tcPr>
            <w:tcW w:w="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49,688</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$ 57,279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4485640</wp:posOffset>
            </wp:positionH>
            <wp:positionV relativeFrom="paragraph">
              <wp:posOffset>-2468880</wp:posOffset>
            </wp:positionV>
            <wp:extent cx="3492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-2468880</wp:posOffset>
            </wp:positionV>
            <wp:extent cx="41910"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-2468880</wp:posOffset>
            </wp:positionV>
            <wp:extent cx="4191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-2468880</wp:posOffset>
            </wp:positionV>
            <wp:extent cx="4191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-2468880</wp:posOffset>
            </wp:positionV>
            <wp:extent cx="3492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-2468880</wp:posOffset>
            </wp:positionV>
            <wp:extent cx="2794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940" cy="6985"/>
                    </a:xfrm>
                    <a:prstGeom prst="rect">
                      <a:avLst/>
                    </a:prstGeom>
                    <a:noFill/>
                  </pic:spPr>
                </pic:pic>
              </a:graphicData>
            </a:graphic>
          </wp:anchor>
        </w:drawing>
      </w:r>
    </w:p>
    <w:p>
      <w:pPr>
        <w:spacing w:after="0" w:line="57" w:lineRule="exact"/>
        <w:rPr>
          <w:sz w:val="20"/>
          <w:szCs w:val="20"/>
          <w:color w:val="auto"/>
        </w:rPr>
      </w:pPr>
    </w:p>
    <w:p>
      <w:pPr>
        <w:jc w:val="both"/>
        <w:ind w:left="1460" w:right="1339" w:hanging="296"/>
        <w:spacing w:after="0" w:line="229" w:lineRule="auto"/>
        <w:tabs>
          <w:tab w:leader="none" w:pos="1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22" w:lineRule="exact"/>
        <w:rPr>
          <w:rFonts w:ascii="Arial" w:cs="Arial" w:eastAsia="Arial" w:hAnsi="Arial"/>
          <w:sz w:val="15"/>
          <w:szCs w:val="15"/>
          <w:color w:val="auto"/>
        </w:rPr>
      </w:pPr>
    </w:p>
    <w:p>
      <w:pPr>
        <w:ind w:left="1460" w:right="1179" w:hanging="296"/>
        <w:spacing w:after="0" w:line="239" w:lineRule="auto"/>
        <w:tabs>
          <w:tab w:leader="none" w:pos="1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Other adjustments for the six months ended June 30, 2020 and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33" w:lineRule="exact"/>
        <w:rPr>
          <w:rFonts w:ascii="Arial" w:cs="Arial" w:eastAsia="Arial" w:hAnsi="Arial"/>
          <w:sz w:val="14"/>
          <w:szCs w:val="14"/>
          <w:color w:val="auto"/>
        </w:rPr>
      </w:pPr>
    </w:p>
    <w:p>
      <w:pPr>
        <w:ind w:left="1460" w:right="1579" w:hanging="296"/>
        <w:spacing w:after="0" w:line="229" w:lineRule="auto"/>
        <w:tabs>
          <w:tab w:leader="none" w:pos="1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one-time costs to establish the income tax receivable agreement with our pre-IPO stockholders. See Note 10 to our unaudited condensed consolidated financial statements included elsewhere in this prospectus.</w:t>
      </w:r>
    </w:p>
    <w:p>
      <w:pPr>
        <w:spacing w:after="0" w:line="22" w:lineRule="exact"/>
        <w:rPr>
          <w:rFonts w:ascii="Arial" w:cs="Arial" w:eastAsia="Arial" w:hAnsi="Arial"/>
          <w:sz w:val="15"/>
          <w:szCs w:val="15"/>
          <w:color w:val="auto"/>
        </w:rPr>
      </w:pPr>
    </w:p>
    <w:p>
      <w:pPr>
        <w:ind w:left="1460" w:right="1299" w:hanging="296"/>
        <w:spacing w:after="0" w:line="236" w:lineRule="auto"/>
        <w:tabs>
          <w:tab w:leader="none" w:pos="1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the adjustment to the income tax receivable agreement for the period, which is recorded in Non-operating Income (Expense).</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CASM and Adjusted CASM</w:t>
      </w:r>
    </w:p>
    <w:p>
      <w:pPr>
        <w:spacing w:after="0" w:line="124"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CASM is a key airline cost metric defined as operating expenses divided by total available seat miles. 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3" w:name="page104"/>
    <w:bookmarkEnd w:id="10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96"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also exclude certain commissions and other costs of selling our vacations product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Adjusted CASM is one of the most important measures used by management and by our board of directors in assessing quarterly and annual cost performance.</w:t>
      </w:r>
    </w:p>
    <w:p>
      <w:pPr>
        <w:spacing w:after="0" w:line="100"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presents the reconciliation of CASM to Adjusted CASM.</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gridSpan w:val="17"/>
          </w:tcPr>
          <w:p>
            <w:pPr>
              <w:ind w:left="180"/>
              <w:spacing w:after="0"/>
              <w:rPr>
                <w:sz w:val="20"/>
                <w:szCs w:val="20"/>
                <w:color w:val="auto"/>
              </w:rPr>
            </w:pPr>
            <w:r>
              <w:rPr>
                <w:rFonts w:ascii="Arial" w:cs="Arial" w:eastAsia="Arial" w:hAnsi="Arial"/>
                <w:sz w:val="12"/>
                <w:szCs w:val="12"/>
                <w:b w:val="1"/>
                <w:bCs w:val="1"/>
                <w:color w:val="auto"/>
                <w:w w:val="98"/>
              </w:rPr>
              <w:t>For the six months ended June 30,</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13"/>
          </w:tcPr>
          <w:p>
            <w:pPr>
              <w:jc w:val="center"/>
              <w:ind w:right="220"/>
              <w:spacing w:after="0"/>
              <w:rPr>
                <w:sz w:val="20"/>
                <w:szCs w:val="20"/>
                <w:color w:val="auto"/>
              </w:rPr>
            </w:pPr>
            <w:r>
              <w:rPr>
                <w:rFonts w:ascii="Arial" w:cs="Arial" w:eastAsia="Arial" w:hAnsi="Arial"/>
                <w:sz w:val="12"/>
                <w:szCs w:val="12"/>
                <w:b w:val="1"/>
                <w:bCs w:val="1"/>
                <w:color w:val="auto"/>
                <w:w w:val="83"/>
              </w:rPr>
              <w:t>For the year ended December 31,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1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4"/>
          </w:tcPr>
          <w:p>
            <w:pPr>
              <w:jc w:val="right"/>
              <w:spacing w:after="0" w:line="134" w:lineRule="exact"/>
              <w:rPr>
                <w:sz w:val="20"/>
                <w:szCs w:val="20"/>
                <w:color w:val="auto"/>
              </w:rPr>
            </w:pPr>
            <w:r>
              <w:rPr>
                <w:rFonts w:ascii="Arial" w:cs="Arial" w:eastAsia="Arial" w:hAnsi="Arial"/>
                <w:sz w:val="12"/>
                <w:szCs w:val="12"/>
                <w:b w:val="1"/>
                <w:bCs w:val="1"/>
                <w:color w:val="auto"/>
              </w:rPr>
              <w:t>2021</w:t>
            </w:r>
          </w:p>
        </w:tc>
        <w:tc>
          <w:tcPr>
            <w:tcW w:w="2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4"/>
          </w:tcPr>
          <w:p>
            <w:pPr>
              <w:jc w:val="right"/>
              <w:spacing w:after="0" w:line="134"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3"/>
          </w:tcPr>
          <w:p>
            <w:pPr>
              <w:jc w:val="right"/>
              <w:ind w:right="1"/>
              <w:spacing w:after="0" w:line="134" w:lineRule="exact"/>
              <w:rPr>
                <w:sz w:val="20"/>
                <w:szCs w:val="20"/>
                <w:color w:val="auto"/>
              </w:rPr>
            </w:pPr>
            <w:r>
              <w:rPr>
                <w:rFonts w:ascii="Arial" w:cs="Arial" w:eastAsia="Arial" w:hAnsi="Arial"/>
                <w:sz w:val="12"/>
                <w:szCs w:val="12"/>
                <w:b w:val="1"/>
                <w:bCs w:val="1"/>
                <w:color w:val="auto"/>
              </w:rPr>
              <w:t>2020</w:t>
            </w:r>
          </w:p>
        </w:tc>
        <w:tc>
          <w:tcPr>
            <w:tcW w:w="2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3"/>
          </w:tcPr>
          <w:p>
            <w:pPr>
              <w:jc w:val="right"/>
              <w:ind w:right="21"/>
              <w:spacing w:after="0" w:line="134"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3"/>
          </w:tcPr>
          <w:p>
            <w:pPr>
              <w:jc w:val="right"/>
              <w:ind w:right="1"/>
              <w:spacing w:after="0" w:line="134" w:lineRule="exact"/>
              <w:rPr>
                <w:sz w:val="20"/>
                <w:szCs w:val="20"/>
                <w:color w:val="auto"/>
              </w:rPr>
            </w:pPr>
            <w:r>
              <w:rPr>
                <w:rFonts w:ascii="Arial" w:cs="Arial" w:eastAsia="Arial" w:hAnsi="Arial"/>
                <w:sz w:val="12"/>
                <w:szCs w:val="12"/>
                <w:b w:val="1"/>
                <w:bCs w:val="1"/>
                <w:color w:val="auto"/>
              </w:rPr>
              <w:t>2018</w:t>
            </w:r>
          </w:p>
        </w:tc>
        <w:tc>
          <w:tcPr>
            <w:tcW w:w="2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6"/>
        </w:trPr>
        <w:tc>
          <w:tcPr>
            <w:tcW w:w="180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9"/>
              </w:rPr>
              <w:t>(in thousands unless otherwise</w:t>
            </w:r>
          </w:p>
        </w:tc>
        <w:tc>
          <w:tcPr>
            <w:tcW w:w="20" w:type="dxa"/>
            <w:vAlign w:val="bottom"/>
          </w:tcPr>
          <w:p>
            <w:pPr>
              <w:spacing w:after="0"/>
              <w:rPr>
                <w:sz w:val="10"/>
                <w:szCs w:val="10"/>
                <w:color w:val="auto"/>
              </w:rPr>
            </w:pPr>
          </w:p>
        </w:tc>
        <w:tc>
          <w:tcPr>
            <w:tcW w:w="1040" w:type="dxa"/>
            <w:vAlign w:val="bottom"/>
            <w:gridSpan w:val="7"/>
          </w:tcPr>
          <w:p>
            <w:pPr>
              <w:spacing w:after="0" w:line="117" w:lineRule="exact"/>
              <w:rPr>
                <w:sz w:val="20"/>
                <w:szCs w:val="20"/>
                <w:color w:val="auto"/>
              </w:rPr>
            </w:pPr>
            <w:r>
              <w:rPr>
                <w:rFonts w:ascii="Arial" w:cs="Arial" w:eastAsia="Arial" w:hAnsi="Arial"/>
                <w:sz w:val="12"/>
                <w:szCs w:val="12"/>
                <w:b w:val="1"/>
                <w:bCs w:val="1"/>
                <w:color w:val="auto"/>
                <w:w w:val="93"/>
              </w:rPr>
              <w:t>Operating Per ASM</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4"/>
          </w:tcPr>
          <w:p>
            <w:pPr>
              <w:spacing w:after="0" w:line="117" w:lineRule="exact"/>
              <w:rPr>
                <w:sz w:val="20"/>
                <w:szCs w:val="20"/>
                <w:color w:val="auto"/>
              </w:rPr>
            </w:pPr>
            <w:r>
              <w:rPr>
                <w:rFonts w:ascii="Arial" w:cs="Arial" w:eastAsia="Arial" w:hAnsi="Arial"/>
                <w:sz w:val="12"/>
                <w:szCs w:val="12"/>
                <w:b w:val="1"/>
                <w:bCs w:val="1"/>
                <w:color w:val="auto"/>
                <w:w w:val="98"/>
              </w:rPr>
              <w:t>Operating</w:t>
            </w:r>
          </w:p>
        </w:tc>
        <w:tc>
          <w:tcPr>
            <w:tcW w:w="480" w:type="dxa"/>
            <w:vAlign w:val="bottom"/>
            <w:gridSpan w:val="3"/>
          </w:tcPr>
          <w:p>
            <w:pPr>
              <w:jc w:val="right"/>
              <w:ind w:right="40"/>
              <w:spacing w:after="0" w:line="117" w:lineRule="exact"/>
              <w:rPr>
                <w:sz w:val="20"/>
                <w:szCs w:val="20"/>
                <w:color w:val="auto"/>
              </w:rPr>
            </w:pPr>
            <w:r>
              <w:rPr>
                <w:rFonts w:ascii="Arial" w:cs="Arial" w:eastAsia="Arial" w:hAnsi="Arial"/>
                <w:sz w:val="12"/>
                <w:szCs w:val="12"/>
                <w:b w:val="1"/>
                <w:bCs w:val="1"/>
                <w:color w:val="auto"/>
                <w:w w:val="85"/>
              </w:rPr>
              <w:t>Per ASM</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w w:val="98"/>
              </w:rPr>
              <w:t>Operating</w:t>
            </w:r>
          </w:p>
        </w:tc>
        <w:tc>
          <w:tcPr>
            <w:tcW w:w="500" w:type="dxa"/>
            <w:vAlign w:val="bottom"/>
            <w:gridSpan w:val="3"/>
          </w:tcPr>
          <w:p>
            <w:pPr>
              <w:jc w:val="right"/>
              <w:ind w:right="40"/>
              <w:spacing w:after="0" w:line="117" w:lineRule="exact"/>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0"/>
                <w:szCs w:val="10"/>
                <w:color w:val="auto"/>
              </w:rPr>
            </w:pPr>
          </w:p>
        </w:tc>
        <w:tc>
          <w:tcPr>
            <w:tcW w:w="58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w w:val="98"/>
              </w:rPr>
              <w:t>Operating</w:t>
            </w:r>
          </w:p>
        </w:tc>
        <w:tc>
          <w:tcPr>
            <w:tcW w:w="500" w:type="dxa"/>
            <w:vAlign w:val="bottom"/>
            <w:gridSpan w:val="3"/>
          </w:tcPr>
          <w:p>
            <w:pPr>
              <w:jc w:val="center"/>
              <w:ind w:right="20"/>
              <w:spacing w:after="0" w:line="117" w:lineRule="exact"/>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0"/>
                <w:szCs w:val="10"/>
                <w:color w:val="auto"/>
              </w:rPr>
            </w:pPr>
          </w:p>
        </w:tc>
        <w:tc>
          <w:tcPr>
            <w:tcW w:w="58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w w:val="98"/>
              </w:rPr>
              <w:t>Operating</w:t>
            </w:r>
          </w:p>
        </w:tc>
        <w:tc>
          <w:tcPr>
            <w:tcW w:w="500" w:type="dxa"/>
            <w:vAlign w:val="bottom"/>
            <w:gridSpan w:val="3"/>
          </w:tcPr>
          <w:p>
            <w:pPr>
              <w:jc w:val="right"/>
              <w:ind w:right="40"/>
              <w:spacing w:after="0" w:line="117" w:lineRule="exact"/>
              <w:rPr>
                <w:sz w:val="20"/>
                <w:szCs w:val="20"/>
                <w:color w:val="auto"/>
              </w:rPr>
            </w:pPr>
            <w:r>
              <w:rPr>
                <w:rFonts w:ascii="Arial" w:cs="Arial" w:eastAsia="Arial" w:hAnsi="Arial"/>
                <w:sz w:val="12"/>
                <w:szCs w:val="12"/>
                <w:b w:val="1"/>
                <w:bCs w:val="1"/>
                <w:color w:val="auto"/>
                <w:w w:val="89"/>
              </w:rPr>
              <w:t>Per ASM</w:t>
            </w:r>
          </w:p>
        </w:tc>
        <w:tc>
          <w:tcPr>
            <w:tcW w:w="40" w:type="dxa"/>
            <w:vAlign w:val="bottom"/>
            <w:gridSpan w:val="2"/>
          </w:tcPr>
          <w:p>
            <w:pPr>
              <w:spacing w:after="0"/>
              <w:rPr>
                <w:sz w:val="10"/>
                <w:szCs w:val="10"/>
                <w:color w:val="auto"/>
              </w:rPr>
            </w:pPr>
          </w:p>
        </w:tc>
      </w:tr>
      <w:tr>
        <w:trPr>
          <w:trHeight w:val="149"/>
        </w:trPr>
        <w:tc>
          <w:tcPr>
            <w:tcW w:w="1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noted)</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2"/>
                <w:szCs w:val="12"/>
                <w:b w:val="1"/>
                <w:bCs w:val="1"/>
                <w:color w:val="auto"/>
                <w:w w:val="80"/>
              </w:rPr>
              <w:t>expenses</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w w:val="82"/>
              </w:rPr>
              <w:t>(in cents)</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2"/>
                <w:szCs w:val="12"/>
                <w:b w:val="1"/>
                <w:bCs w:val="1"/>
                <w:color w:val="auto"/>
                <w:w w:val="80"/>
              </w:rPr>
              <w:t>expenses</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w w:val="82"/>
              </w:rPr>
              <w:t>(in cents)</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2"/>
                <w:szCs w:val="12"/>
                <w:b w:val="1"/>
                <w:bCs w:val="1"/>
                <w:color w:val="auto"/>
                <w:w w:val="80"/>
              </w:rPr>
              <w:t>expenses</w:t>
            </w:r>
          </w:p>
        </w:tc>
        <w:tc>
          <w:tcPr>
            <w:tcW w:w="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82"/>
              </w:rPr>
              <w:t>(in cents)</w:t>
            </w:r>
          </w:p>
        </w:tc>
        <w:tc>
          <w:tcPr>
            <w:tcW w:w="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84"/>
              </w:rPr>
              <w:t>expenses</w:t>
            </w:r>
          </w:p>
        </w:tc>
        <w:tc>
          <w:tcPr>
            <w:tcW w:w="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78"/>
              </w:rPr>
              <w:t>(in cents)</w:t>
            </w:r>
          </w:p>
        </w:tc>
        <w:tc>
          <w:tcPr>
            <w:tcW w:w="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84"/>
              </w:rPr>
              <w:t>expenses</w:t>
            </w:r>
          </w:p>
        </w:tc>
        <w:tc>
          <w:tcPr>
            <w:tcW w:w="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82"/>
              </w:rPr>
              <w:t>(in cents)</w:t>
            </w:r>
          </w:p>
        </w:tc>
        <w:tc>
          <w:tcPr>
            <w:tcW w:w="40" w:type="dxa"/>
            <w:vAlign w:val="bottom"/>
            <w:tcBorders>
              <w:bottom w:val="single" w:sz="8" w:color="CCEEFF"/>
            </w:tcBorders>
            <w:gridSpan w:val="2"/>
          </w:tcPr>
          <w:p>
            <w:pPr>
              <w:spacing w:after="0"/>
              <w:rPr>
                <w:sz w:val="12"/>
                <w:szCs w:val="12"/>
                <w:color w:val="auto"/>
              </w:rPr>
            </w:pPr>
          </w:p>
        </w:tc>
      </w:tr>
      <w:tr>
        <w:trPr>
          <w:trHeight w:val="134"/>
        </w:trPr>
        <w:tc>
          <w:tcPr>
            <w:tcW w:w="182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CASM</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202,630</w:t>
            </w:r>
          </w:p>
        </w:tc>
        <w:tc>
          <w:tcPr>
            <w:tcW w:w="2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7.19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202,710</w:t>
            </w:r>
          </w:p>
        </w:tc>
        <w:tc>
          <w:tcPr>
            <w:tcW w:w="2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9.32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384,101</w:t>
            </w:r>
          </w:p>
        </w:tc>
        <w:tc>
          <w:tcPr>
            <w:tcW w:w="50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8.91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623,262</w:t>
            </w:r>
          </w:p>
        </w:tc>
        <w:tc>
          <w:tcPr>
            <w:tcW w:w="500" w:type="dxa"/>
            <w:vAlign w:val="bottom"/>
            <w:gridSpan w:val="3"/>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8.82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549,035</w:t>
            </w:r>
          </w:p>
        </w:tc>
        <w:tc>
          <w:tcPr>
            <w:tcW w:w="500" w:type="dxa"/>
            <w:vAlign w:val="bottom"/>
            <w:gridSpan w:val="3"/>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10.05</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2"/>
        </w:trPr>
        <w:tc>
          <w:tcPr>
            <w:tcW w:w="1820" w:type="dxa"/>
            <w:vAlign w:val="bottom"/>
            <w:gridSpan w:val="3"/>
          </w:tcPr>
          <w:p>
            <w:pPr>
              <w:spacing w:after="0" w:line="132" w:lineRule="exact"/>
              <w:rPr>
                <w:sz w:val="20"/>
                <w:szCs w:val="20"/>
                <w:color w:val="auto"/>
              </w:rPr>
            </w:pPr>
            <w:r>
              <w:rPr>
                <w:rFonts w:ascii="Arial" w:cs="Arial" w:eastAsia="Arial" w:hAnsi="Arial"/>
                <w:sz w:val="12"/>
                <w:szCs w:val="12"/>
                <w:color w:val="auto"/>
              </w:rPr>
              <w:t>Less:</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182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Aircraft fuel</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53,984</w:t>
            </w:r>
          </w:p>
        </w:tc>
        <w:tc>
          <w:tcPr>
            <w:tcW w:w="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1.91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56,238</w:t>
            </w:r>
          </w:p>
        </w:tc>
        <w:tc>
          <w:tcPr>
            <w:tcW w:w="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2.59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83,392</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1.93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165,666</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2.35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165,343</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3.03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4"/>
        </w:trPr>
        <w:tc>
          <w:tcPr>
            <w:tcW w:w="1820" w:type="dxa"/>
            <w:vAlign w:val="bottom"/>
            <w:gridSpan w:val="3"/>
          </w:tcPr>
          <w:p>
            <w:pPr>
              <w:ind w:left="100"/>
              <w:spacing w:after="0"/>
              <w:rPr>
                <w:sz w:val="20"/>
                <w:szCs w:val="20"/>
                <w:color w:val="auto"/>
              </w:rPr>
            </w:pPr>
            <w:r>
              <w:rPr>
                <w:rFonts w:ascii="Arial" w:cs="Arial" w:eastAsia="Arial" w:hAnsi="Arial"/>
                <w:sz w:val="12"/>
                <w:szCs w:val="12"/>
                <w:color w:val="auto"/>
              </w:rPr>
              <w:t>Cargo expenses</w:t>
            </w:r>
          </w:p>
        </w:tc>
        <w:tc>
          <w:tcPr>
            <w:tcW w:w="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33,379</w:t>
            </w:r>
          </w:p>
        </w:tc>
        <w:tc>
          <w:tcPr>
            <w:tcW w:w="20" w:type="dxa"/>
            <w:vAlign w:val="bottom"/>
          </w:tcPr>
          <w:p>
            <w:pPr>
              <w:spacing w:after="0"/>
              <w:rPr>
                <w:sz w:val="13"/>
                <w:szCs w:val="13"/>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1.18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4,523</w:t>
            </w:r>
          </w:p>
        </w:tc>
        <w:tc>
          <w:tcPr>
            <w:tcW w:w="20" w:type="dxa"/>
            <w:vAlign w:val="bottom"/>
          </w:tcPr>
          <w:p>
            <w:pPr>
              <w:spacing w:after="0"/>
              <w:rPr>
                <w:sz w:val="13"/>
                <w:szCs w:val="13"/>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0.21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31,429</w:t>
            </w:r>
          </w:p>
        </w:tc>
        <w:tc>
          <w:tcPr>
            <w:tcW w:w="500" w:type="dxa"/>
            <w:vAlign w:val="bottom"/>
            <w:gridSpan w:val="3"/>
          </w:tcPr>
          <w:p>
            <w:pPr>
              <w:jc w:val="right"/>
              <w:ind w:right="140"/>
              <w:spacing w:after="0"/>
              <w:rPr>
                <w:sz w:val="20"/>
                <w:szCs w:val="20"/>
                <w:color w:val="auto"/>
              </w:rPr>
            </w:pPr>
            <w:r>
              <w:rPr>
                <w:rFonts w:ascii="Arial" w:cs="Arial" w:eastAsia="Arial" w:hAnsi="Arial"/>
                <w:sz w:val="12"/>
                <w:szCs w:val="12"/>
                <w:color w:val="auto"/>
              </w:rPr>
              <w:t>0.73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420" w:type="dxa"/>
            <w:vAlign w:val="bottom"/>
            <w:gridSpan w:val="4"/>
          </w:tcPr>
          <w:p>
            <w:pPr>
              <w:jc w:val="right"/>
              <w:ind w:right="160"/>
              <w:spacing w:after="0"/>
              <w:rPr>
                <w:sz w:val="20"/>
                <w:szCs w:val="20"/>
                <w:color w:val="auto"/>
              </w:rPr>
            </w:pPr>
            <w:r>
              <w:rPr>
                <w:rFonts w:ascii="Arial" w:cs="Arial" w:eastAsia="Arial" w:hAnsi="Arial"/>
                <w:sz w:val="12"/>
                <w:szCs w:val="12"/>
                <w:color w:val="auto"/>
              </w:rPr>
              <w:t>—</w:t>
            </w:r>
          </w:p>
        </w:tc>
      </w:tr>
      <w:tr>
        <w:trPr>
          <w:trHeight w:val="154"/>
        </w:trPr>
        <w:tc>
          <w:tcPr>
            <w:tcW w:w="182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Sun Country Vacations</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387</w:t>
            </w:r>
          </w:p>
        </w:tc>
        <w:tc>
          <w:tcPr>
            <w:tcW w:w="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332</w:t>
            </w:r>
          </w:p>
        </w:tc>
        <w:tc>
          <w:tcPr>
            <w:tcW w:w="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589</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0.01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2,448</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0.03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4,543</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38"/>
        </w:trPr>
        <w:tc>
          <w:tcPr>
            <w:tcW w:w="1820" w:type="dxa"/>
            <w:vAlign w:val="bottom"/>
            <w:gridSpan w:val="3"/>
          </w:tcPr>
          <w:p>
            <w:pPr>
              <w:ind w:left="120"/>
              <w:spacing w:after="0"/>
              <w:rPr>
                <w:sz w:val="20"/>
                <w:szCs w:val="20"/>
                <w:color w:val="auto"/>
              </w:rPr>
            </w:pPr>
            <w:r>
              <w:rPr>
                <w:rFonts w:ascii="Arial" w:cs="Arial" w:eastAsia="Arial" w:hAnsi="Arial"/>
                <w:sz w:val="12"/>
                <w:szCs w:val="12"/>
                <w:color w:val="auto"/>
              </w:rPr>
              <w:t>Special items,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820" w:type="dxa"/>
            <w:vAlign w:val="bottom"/>
            <w:gridSpan w:val="3"/>
          </w:tcPr>
          <w:p>
            <w:pPr>
              <w:ind w:left="220"/>
              <w:spacing w:after="0"/>
              <w:rPr>
                <w:sz w:val="20"/>
                <w:szCs w:val="20"/>
                <w:color w:val="auto"/>
              </w:rPr>
            </w:pPr>
            <w:r>
              <w:rPr>
                <w:rFonts w:ascii="Arial" w:cs="Arial" w:eastAsia="Arial" w:hAnsi="Arial"/>
                <w:sz w:val="12"/>
                <w:szCs w:val="12"/>
                <w:color w:val="auto"/>
              </w:rPr>
              <w:t>net</w:t>
            </w:r>
          </w:p>
        </w:tc>
        <w:tc>
          <w:tcPr>
            <w:tcW w:w="6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Arial" w:cs="Arial" w:eastAsia="Arial" w:hAnsi="Arial"/>
                <w:sz w:val="12"/>
                <w:szCs w:val="12"/>
                <w:color w:val="auto"/>
              </w:rPr>
              <w:t>(65,392)</w:t>
            </w:r>
          </w:p>
        </w:tc>
        <w:tc>
          <w:tcPr>
            <w:tcW w:w="480" w:type="dxa"/>
            <w:vAlign w:val="bottom"/>
            <w:gridSpan w:val="3"/>
          </w:tcPr>
          <w:p>
            <w:pPr>
              <w:jc w:val="right"/>
              <w:ind w:right="80"/>
              <w:spacing w:after="0"/>
              <w:rPr>
                <w:sz w:val="20"/>
                <w:szCs w:val="20"/>
                <w:color w:val="auto"/>
              </w:rPr>
            </w:pPr>
            <w:r>
              <w:rPr>
                <w:rFonts w:ascii="Arial" w:cs="Arial" w:eastAsia="Arial" w:hAnsi="Arial"/>
                <w:sz w:val="12"/>
                <w:szCs w:val="12"/>
                <w:color w:val="auto"/>
              </w:rPr>
              <w:t>(2.32)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jc w:val="right"/>
              <w:spacing w:after="0"/>
              <w:rPr>
                <w:sz w:val="20"/>
                <w:szCs w:val="20"/>
                <w:color w:val="auto"/>
              </w:rPr>
            </w:pPr>
            <w:r>
              <w:rPr>
                <w:rFonts w:ascii="Arial" w:cs="Arial" w:eastAsia="Arial" w:hAnsi="Arial"/>
                <w:sz w:val="12"/>
                <w:szCs w:val="12"/>
                <w:color w:val="auto"/>
              </w:rPr>
              <w:t>(31,481)</w:t>
            </w:r>
          </w:p>
        </w:tc>
        <w:tc>
          <w:tcPr>
            <w:tcW w:w="480" w:type="dxa"/>
            <w:vAlign w:val="bottom"/>
            <w:gridSpan w:val="3"/>
          </w:tcPr>
          <w:p>
            <w:pPr>
              <w:jc w:val="right"/>
              <w:ind w:right="80"/>
              <w:spacing w:after="0"/>
              <w:rPr>
                <w:sz w:val="20"/>
                <w:szCs w:val="20"/>
                <w:color w:val="auto"/>
              </w:rPr>
            </w:pPr>
            <w:r>
              <w:rPr>
                <w:rFonts w:ascii="Arial" w:cs="Arial" w:eastAsia="Arial" w:hAnsi="Arial"/>
                <w:sz w:val="12"/>
                <w:szCs w:val="12"/>
                <w:color w:val="auto"/>
              </w:rPr>
              <w:t>(1.45)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(64,563)</w:t>
            </w:r>
          </w:p>
        </w:tc>
        <w:tc>
          <w:tcPr>
            <w:tcW w:w="500" w:type="dxa"/>
            <w:vAlign w:val="bottom"/>
            <w:gridSpan w:val="3"/>
          </w:tcPr>
          <w:p>
            <w:pPr>
              <w:jc w:val="right"/>
              <w:ind w:right="100"/>
              <w:spacing w:after="0"/>
              <w:rPr>
                <w:sz w:val="20"/>
                <w:szCs w:val="20"/>
                <w:color w:val="auto"/>
              </w:rPr>
            </w:pPr>
            <w:r>
              <w:rPr>
                <w:rFonts w:ascii="Arial" w:cs="Arial" w:eastAsia="Arial" w:hAnsi="Arial"/>
                <w:sz w:val="12"/>
                <w:szCs w:val="12"/>
                <w:color w:val="auto"/>
              </w:rPr>
              <w:t>(1.50)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7,092</w:t>
            </w:r>
          </w:p>
        </w:tc>
        <w:tc>
          <w:tcPr>
            <w:tcW w:w="500" w:type="dxa"/>
            <w:vAlign w:val="bottom"/>
            <w:gridSpan w:val="3"/>
          </w:tcPr>
          <w:p>
            <w:pPr>
              <w:jc w:val="right"/>
              <w:ind w:right="160"/>
              <w:spacing w:after="0"/>
              <w:rPr>
                <w:sz w:val="20"/>
                <w:szCs w:val="20"/>
                <w:color w:val="auto"/>
              </w:rPr>
            </w:pPr>
            <w:r>
              <w:rPr>
                <w:rFonts w:ascii="Arial" w:cs="Arial" w:eastAsia="Arial" w:hAnsi="Arial"/>
                <w:sz w:val="12"/>
                <w:szCs w:val="12"/>
                <w:color w:val="auto"/>
              </w:rPr>
              <w:t>0.10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(6,435)</w:t>
            </w:r>
          </w:p>
        </w:tc>
        <w:tc>
          <w:tcPr>
            <w:tcW w:w="500" w:type="dxa"/>
            <w:vAlign w:val="bottom"/>
            <w:gridSpan w:val="3"/>
          </w:tcPr>
          <w:p>
            <w:pPr>
              <w:jc w:val="right"/>
              <w:ind w:right="80"/>
              <w:spacing w:after="0"/>
              <w:rPr>
                <w:sz w:val="20"/>
                <w:szCs w:val="20"/>
                <w:color w:val="auto"/>
              </w:rPr>
            </w:pPr>
            <w:r>
              <w:rPr>
                <w:rFonts w:ascii="Arial" w:cs="Arial" w:eastAsia="Arial" w:hAnsi="Arial"/>
                <w:sz w:val="12"/>
                <w:szCs w:val="12"/>
                <w:color w:val="auto"/>
              </w:rPr>
              <w:t>(0.12)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182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Stock compensation expense</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3,613</w:t>
            </w:r>
          </w:p>
        </w:tc>
        <w:tc>
          <w:tcPr>
            <w:tcW w:w="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0.13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757</w:t>
            </w:r>
          </w:p>
        </w:tc>
        <w:tc>
          <w:tcPr>
            <w:tcW w:w="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2,110</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0.05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1,888</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0.03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373</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38"/>
        </w:trPr>
        <w:tc>
          <w:tcPr>
            <w:tcW w:w="1820" w:type="dxa"/>
            <w:vAlign w:val="bottom"/>
            <w:gridSpan w:val="3"/>
          </w:tcPr>
          <w:p>
            <w:pPr>
              <w:ind w:left="120"/>
              <w:spacing w:after="0"/>
              <w:rPr>
                <w:sz w:val="20"/>
                <w:szCs w:val="20"/>
                <w:color w:val="auto"/>
              </w:rPr>
            </w:pPr>
            <w:r>
              <w:rPr>
                <w:rFonts w:ascii="Arial" w:cs="Arial" w:eastAsia="Arial" w:hAnsi="Arial"/>
                <w:sz w:val="12"/>
                <w:szCs w:val="12"/>
                <w:color w:val="auto"/>
                <w:w w:val="94"/>
              </w:rPr>
              <w:t>Income tax receivable agreement</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820" w:type="dxa"/>
            <w:vAlign w:val="bottom"/>
            <w:gridSpan w:val="3"/>
          </w:tcPr>
          <w:p>
            <w:pPr>
              <w:ind w:left="220"/>
              <w:spacing w:after="0"/>
              <w:rPr>
                <w:sz w:val="20"/>
                <w:szCs w:val="20"/>
                <w:color w:val="auto"/>
              </w:rPr>
            </w:pPr>
            <w:r>
              <w:rPr>
                <w:rFonts w:ascii="Arial" w:cs="Arial" w:eastAsia="Arial" w:hAnsi="Arial"/>
                <w:sz w:val="12"/>
                <w:szCs w:val="12"/>
                <w:color w:val="auto"/>
              </w:rPr>
              <w:t>expense</w:t>
            </w:r>
          </w:p>
        </w:tc>
        <w:tc>
          <w:tcPr>
            <w:tcW w:w="6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315</w:t>
            </w:r>
          </w:p>
        </w:tc>
        <w:tc>
          <w:tcPr>
            <w:tcW w:w="20" w:type="dxa"/>
            <w:vAlign w:val="bottom"/>
          </w:tcPr>
          <w:p>
            <w:pPr>
              <w:spacing w:after="0"/>
              <w:rPr>
                <w:sz w:val="12"/>
                <w:szCs w:val="12"/>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0.01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20" w:type="dxa"/>
            <w:vAlign w:val="bottom"/>
            <w:gridSpan w:val="4"/>
          </w:tcPr>
          <w:p>
            <w:pPr>
              <w:jc w:val="right"/>
              <w:ind w:right="160"/>
              <w:spacing w:after="0"/>
              <w:rPr>
                <w:sz w:val="20"/>
                <w:szCs w:val="20"/>
                <w:color w:val="auto"/>
              </w:rPr>
            </w:pPr>
            <w:r>
              <w:rPr>
                <w:rFonts w:ascii="Arial" w:cs="Arial" w:eastAsia="Arial" w:hAnsi="Arial"/>
                <w:sz w:val="12"/>
                <w:szCs w:val="12"/>
                <w:color w:val="auto"/>
              </w:rPr>
              <w:t>—</w:t>
            </w:r>
          </w:p>
        </w:tc>
      </w:tr>
      <w:tr>
        <w:trPr>
          <w:trHeight w:val="154"/>
        </w:trPr>
        <w:tc>
          <w:tcPr>
            <w:tcW w:w="1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adjustments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2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2,541</w:t>
            </w:r>
          </w:p>
        </w:tc>
        <w:tc>
          <w:tcPr>
            <w:tcW w:w="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0.12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4,881</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0.12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226</w:t>
            </w:r>
          </w:p>
        </w:tc>
        <w:tc>
          <w:tcPr>
            <w:tcW w:w="14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42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r>
      <w:tr>
        <w:trPr>
          <w:trHeight w:val="134"/>
        </w:trPr>
        <w:tc>
          <w:tcPr>
            <w:tcW w:w="1780" w:type="dxa"/>
            <w:vAlign w:val="bottom"/>
            <w:tcBorders>
              <w:top w:val="single" w:sz="8" w:color="CCEEFF"/>
            </w:tcBorders>
          </w:tcPr>
          <w:p>
            <w:pPr>
              <w:spacing w:after="0" w:line="134" w:lineRule="exact"/>
              <w:rPr>
                <w:sz w:val="20"/>
                <w:szCs w:val="20"/>
                <w:color w:val="auto"/>
              </w:rPr>
            </w:pPr>
            <w:r>
              <w:rPr>
                <w:rFonts w:ascii="Arial" w:cs="Arial" w:eastAsia="Arial" w:hAnsi="Arial"/>
                <w:sz w:val="12"/>
                <w:szCs w:val="12"/>
                <w:color w:val="auto"/>
              </w:rPr>
              <w:t>Adjusted CASM</w:t>
            </w:r>
          </w:p>
        </w:tc>
        <w:tc>
          <w:tcPr>
            <w:tcW w:w="40" w:type="dxa"/>
            <w:vAlign w:val="bottom"/>
            <w:gridSpan w:val="2"/>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176,344</w:t>
            </w: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6.25</w:t>
            </w: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169,800</w:t>
            </w: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7.81</w:t>
            </w:r>
          </w:p>
        </w:tc>
        <w:tc>
          <w:tcPr>
            <w:tcW w:w="1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326,263</w:t>
            </w: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93"/>
              </w:rPr>
              <w:t>7.57</w:t>
            </w:r>
          </w:p>
        </w:tc>
        <w:tc>
          <w:tcPr>
            <w:tcW w:w="1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445,942</w:t>
            </w:r>
          </w:p>
        </w:tc>
        <w:tc>
          <w:tcPr>
            <w:tcW w:w="4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center"/>
              <w:spacing w:after="0" w:line="134" w:lineRule="exact"/>
              <w:rPr>
                <w:sz w:val="20"/>
                <w:szCs w:val="20"/>
                <w:color w:val="auto"/>
              </w:rPr>
            </w:pPr>
            <w:r>
              <w:rPr>
                <w:rFonts w:ascii="Arial" w:cs="Arial" w:eastAsia="Arial" w:hAnsi="Arial"/>
                <w:sz w:val="12"/>
                <w:szCs w:val="12"/>
                <w:color w:val="auto"/>
                <w:w w:val="85"/>
              </w:rPr>
              <w:t>6.31</w:t>
            </w:r>
          </w:p>
        </w:tc>
        <w:tc>
          <w:tcPr>
            <w:tcW w:w="1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385,211</w:t>
            </w: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7.05</w:t>
            </w:r>
          </w:p>
        </w:tc>
        <w:tc>
          <w:tcPr>
            <w:tcW w:w="1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r>
      <w:tr>
        <w:trPr>
          <w:trHeight w:val="116"/>
        </w:trPr>
        <w:tc>
          <w:tcPr>
            <w:tcW w:w="1820" w:type="dxa"/>
            <w:vAlign w:val="bottom"/>
            <w:gridSpan w:val="3"/>
            <w:shd w:val="clear" w:color="auto" w:fill="CCEEFF"/>
          </w:tcPr>
          <w:p>
            <w:pPr>
              <w:spacing w:after="0" w:line="116" w:lineRule="exact"/>
              <w:rPr>
                <w:sz w:val="20"/>
                <w:szCs w:val="20"/>
                <w:color w:val="auto"/>
              </w:rPr>
            </w:pPr>
            <w:r>
              <w:rPr>
                <w:rFonts w:ascii="Arial" w:cs="Arial" w:eastAsia="Arial" w:hAnsi="Arial"/>
                <w:sz w:val="12"/>
                <w:szCs w:val="12"/>
                <w:color w:val="auto"/>
              </w:rPr>
              <w:t>Available Seat Miles (ASMs)</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w w:val="82"/>
              </w:rPr>
              <w:t>2,819,540</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w w:val="86"/>
              </w:rPr>
              <w:t>2,174,605</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w w:val="86"/>
              </w:rPr>
              <w:t>4,311,142</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w w:val="82"/>
              </w:rPr>
              <w:t>7,064,563</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w w:val="82"/>
              </w:rPr>
              <w:t>5,463,229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-208915</wp:posOffset>
            </wp:positionV>
            <wp:extent cx="20955"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-1241425</wp:posOffset>
            </wp:positionV>
            <wp:extent cx="1397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-1241425</wp:posOffset>
            </wp:positionV>
            <wp:extent cx="2794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-1241425</wp:posOffset>
            </wp:positionV>
            <wp:extent cx="2794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-1241425</wp:posOffset>
            </wp:positionV>
            <wp:extent cx="2794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-1241425</wp:posOffset>
            </wp:positionV>
            <wp:extent cx="2794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-1241425</wp:posOffset>
            </wp:positionV>
            <wp:extent cx="2794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-1241425</wp:posOffset>
            </wp:positionV>
            <wp:extent cx="2794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-1241425</wp:posOffset>
            </wp:positionV>
            <wp:extent cx="2095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-1241425</wp:posOffset>
            </wp:positionV>
            <wp:extent cx="1397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-1241425</wp:posOffset>
            </wp:positionV>
            <wp:extent cx="1397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1645920</wp:posOffset>
            </wp:positionH>
            <wp:positionV relativeFrom="paragraph">
              <wp:posOffset>-1241425</wp:posOffset>
            </wp:positionV>
            <wp:extent cx="1397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and Capital Resources</w:t>
      </w:r>
    </w:p>
    <w:p>
      <w:pPr>
        <w:spacing w:after="0" w:line="117" w:lineRule="exact"/>
        <w:rPr>
          <w:sz w:val="20"/>
          <w:szCs w:val="20"/>
          <w:color w:val="auto"/>
        </w:rPr>
      </w:pPr>
    </w:p>
    <w:p>
      <w:pPr>
        <w:ind w:left="1160" w:right="1279" w:firstLine="293"/>
        <w:spacing w:after="0" w:line="281" w:lineRule="auto"/>
        <w:rPr>
          <w:sz w:val="20"/>
          <w:szCs w:val="20"/>
          <w:color w:val="auto"/>
        </w:rPr>
      </w:pPr>
      <w:r>
        <w:rPr>
          <w:rFonts w:ascii="Arial" w:cs="Arial" w:eastAsia="Arial" w:hAnsi="Arial"/>
          <w:sz w:val="14"/>
          <w:szCs w:val="14"/>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4" w:name="page105"/>
    <w:bookmarkEnd w:id="10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48" w:lineRule="auto"/>
        <w:rPr>
          <w:sz w:val="20"/>
          <w:szCs w:val="20"/>
          <w:color w:val="auto"/>
        </w:rPr>
      </w:pPr>
      <w:r>
        <w:rPr>
          <w:rFonts w:ascii="Arial" w:cs="Arial" w:eastAsia="Arial" w:hAnsi="Arial"/>
          <w:sz w:val="15"/>
          <w:szCs w:val="15"/>
          <w:color w:val="auto"/>
        </w:rPr>
        <w:t>cash from operations, proceeds from equityholders’ capital contributions, the issuance of promissory notes and our 2019-1 EETC financing.</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Our primary sources of liquidity as of June 30, 2021 included our existing cash and equivalents of</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$310.7 million and short-term investments of $6.1 million, our expected cash generated from operations and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our $25.0 million Revolving Credit Facility, which had availability of $25.0 million as of June 30, 2021. In</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addition, we had restricted cash of $4.8 million as of June 30, 2021, which consists of cash received as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prepayment for chartered flights that is maintained in separate escrow accounts in accordance with DOT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regulations requiring that charter revenue receipts received prior to the date of transportation are maintained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 a separate third-party escrow account. The restrictions are released once transportation is provided.</w:t>
      </w:r>
    </w:p>
    <w:p>
      <w:pPr>
        <w:spacing w:after="0" w:line="113"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On March 19, 2021, we completed our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 portion of the proceeds was used to pay fees and expenses in connection with the initial public offering. The remaining net proceeds have been and will continue to be used for general corporate purposes, including to acquire additional aircraft.</w:t>
      </w:r>
    </w:p>
    <w:p>
      <w:pPr>
        <w:spacing w:after="0" w:line="100"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We received a total of $62.3 million in assistance from Treasury in 2020 as part of the Payroll Support Program under the CARES Act in response to the extensive impact of the COVID-19 pandemic on the U.S. airline industry. 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 We used a portion of the proceeds from our initial public offering to repay in full all amounts outstanding under the CARES Act Loan. We also recognized $2.3 million in tax credits related to employee retention under the CARES Act in the year ended December 31, 2020. In addition, we have taken measures to reduce operating costs and improve our liquidity condition, including a temporary reduction of scheduled departures, deferring non- essential capital projects, placing a hiring freeze, negotiating the deferral of aircraft rent payments, and deferring payment of the employer portion of Social Security taxes as permitted under the CARES Act.</w:t>
      </w:r>
    </w:p>
    <w:p>
      <w:pPr>
        <w:spacing w:after="0" w:line="85" w:lineRule="exact"/>
        <w:rPr>
          <w:sz w:val="20"/>
          <w:szCs w:val="20"/>
          <w:color w:val="auto"/>
        </w:rPr>
      </w:pPr>
    </w:p>
    <w:p>
      <w:pPr>
        <w:ind w:left="1160" w:right="1339" w:firstLine="293"/>
        <w:spacing w:after="0" w:line="233" w:lineRule="auto"/>
        <w:rPr>
          <w:sz w:val="20"/>
          <w:szCs w:val="20"/>
          <w:color w:val="auto"/>
        </w:rPr>
      </w:pPr>
      <w:r>
        <w:rPr>
          <w:rFonts w:ascii="Arial" w:cs="Arial" w:eastAsia="Arial" w:hAnsi="Arial"/>
          <w:sz w:val="15"/>
          <w:szCs w:val="15"/>
          <w:color w:val="auto"/>
        </w:rPr>
        <w:t>On January 22, 2021, we were informed by Treasury that we would receive a grant of $32.2 million under the Payroll Support Program Extension under the Consolidated Appropriations Act, 2021. We received $ 16.1 million on February 2, 2021, an additional $16.1 million on March 26, 2021 and an additional $4.8 million in grants on April 22, 2021. Further, we were notified on April 15, 2021 that we would receive an additional grant of approximately $34.5 million, of which $17.3 million was received on April 29, 2021 and the remaining $17.2 million was received on May 27, 2021. All funds provided by Treasury to Payroll Support Program Extension participants may only be used for the continuation of payment of employee wages, salaries, and benefits.</w:t>
      </w:r>
    </w:p>
    <w:p>
      <w:pPr>
        <w:spacing w:after="0" w:line="100"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In October 2020, we were awarded a $45.0 million loan from Treasury under the CARES Act Loan Agreement, which was secured by our loyalty program and certain cash deposits. The loan bore interest at a rate per annum equal to the LIBO rate as adjusted under the CARES Act Loan Agreement plus 3.50% in cash and 3.00% paid-in-kind and was to be repaid on the earlier of (i) October 24, 2025 or (ii) six months prior to the expiration of any material loyalty program securing the loan. During the term of the loan, we were required to maintain aggregate liquidity above $10.0 million measured as of the close of each business day, and there were provisions that would accelerate payment if certain debt service coverage ratios were not met. Further, the CARES Act Loan Agreement included affirmative and negative covenants that restricted our ability to, among other things, merge, consolidate, sell or otherwise dispose of certain assets, create liens on certain assets, make certain investments or pay certain dividends and make certain other restricted payments. In March 2021, we repaid the CARES Act Loan in full using the proceeds from our initial public offering.</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5" w:name="page106"/>
    <w:bookmarkEnd w:id="10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4"/>
          <w:szCs w:val="14"/>
          <w:color w:val="auto"/>
        </w:rPr>
        <w:t>On February 10, 2021, Sun Country, Inc. (formerly known as MN Airlines, LLC), our wholly-owned subsidiary (the “Borrower”), entered into the Credit Agreement, which provides for a $25.0 million Revolving Credit Facility and a $90.0 million Delayed Draw Term Loan Facility, which we refer to collectively as the “Credit Facilities,” and repaid in full all borrowings outstanding under the ABL Facility. The Revolving Credit Facility matures on the earlier of (i) February 10, 2026 and (ii) to the extent the sum of (x) the amount unused commitments under the Delayed Draw Term Loan Facility and (y) the amount of loans under the Delayed Draw Term Loan Facility exceeds $25.0 million on such date, the date that is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180 days prior to February 10, 2026. The Delayed Draw Term Loan Facility matures on February 10, 2026.</w:t>
      </w:r>
    </w:p>
    <w:p>
      <w:pPr>
        <w:spacing w:after="0" w:line="102"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Borrowings under the Credit Facilities bear interest, at the Borrower’s option, at either (a) the LIBO Rate determined by reference to the costs of funds for Eurodollar deposits for the interest period relevant to such borrowing, adjusted for certain additional costs (“Adjusted LIBOR”) with a floor of 1.00%, or (b) a base rate determined by reference to the highest of (i) the federal funds rate plus 0.50% per annum, (ii) the prime rate published by The Wall Street Journal, (iii) one month Adjusted LIBOR plus 1.00% per annum and (iv) 2.00% (“ABR”), in each case, plus the applicable margin of (x) with respect to the Delayed Draw Term Loan Facility, 5.00% per annum for Adjusted LIBOR loans and 4.00% per annum for ABR loans and</w:t>
      </w:r>
    </w:p>
    <w:p>
      <w:pPr>
        <w:spacing w:after="0" w:line="1" w:lineRule="exact"/>
        <w:rPr>
          <w:sz w:val="20"/>
          <w:szCs w:val="20"/>
          <w:color w:val="auto"/>
        </w:rPr>
      </w:pPr>
    </w:p>
    <w:p>
      <w:pPr>
        <w:ind w:left="1160" w:right="1379" w:firstLine="4"/>
        <w:spacing w:after="0" w:line="236" w:lineRule="auto"/>
        <w:tabs>
          <w:tab w:leader="none" w:pos="1379" w:val="left"/>
        </w:tabs>
        <w:numPr>
          <w:ilvl w:val="0"/>
          <w:numId w:val="47"/>
        </w:numPr>
        <w:rPr>
          <w:rFonts w:ascii="Arial" w:cs="Arial" w:eastAsia="Arial" w:hAnsi="Arial"/>
          <w:sz w:val="15"/>
          <w:szCs w:val="15"/>
          <w:color w:val="auto"/>
        </w:rPr>
      </w:pPr>
      <w:r>
        <w:rPr>
          <w:rFonts w:ascii="Arial" w:cs="Arial" w:eastAsia="Arial" w:hAnsi="Arial"/>
          <w:sz w:val="15"/>
          <w:szCs w:val="15"/>
          <w:color w:val="auto"/>
        </w:rPr>
        <w:t>with respect to the Revolving Credit Facility, 5.00% per annum for Adjusted LIBOR loans and 4.00% per annum for ABR loans.</w:t>
      </w:r>
    </w:p>
    <w:p>
      <w:pPr>
        <w:spacing w:after="0" w:line="99"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In addition, the Borrower is required to pay a commitment fee to the lenders in respect of the unutilized commitments under the Revolving Credit Facility at a rate equal to 0.50% per annum and in respect of the unutilized commitments under the Delayed Draw Term Loan Facility, (w) prior to the date that is 12 months after the closing date, 0.00% per annum, (x) beginning on the date that is 12 months after the closing date and prior to the date that is 16 months after the closing date, 2.50% per annum, (y) beginning on the date that is 16 months after the closing date and prior to the date that is 19 months after the closing date, 3.75% per annum, and (z) beginning on the date that is 19 months after the closing date and thereafter, 5.00% per annum, as well as customary letter of credit fees and customary agency fees. The obligations of the Borrower under the Credit Facilities are unconditionally guaranteed by SCA Acquisition, LLC on a limited-recourse basis.</w:t>
      </w:r>
    </w:p>
    <w:p>
      <w:pPr>
        <w:spacing w:after="0" w:line="101"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The Borrower may only use borrowings under the Delayed Draw Term Facility to finance the acquisition of aircraft or engines and related fees and expenses. In March 2021 and April 2021, we borrowed $68.0 million and $12.5 million, respectively, under the Delayed Draw Term Loan Facility for the purpose of financing the acquisition of six additional aircraft that we previously leased, all of which have been acquired. The Borrower may use borrowings under the Revolving Credit Facility for general corporate purposes.</w:t>
      </w:r>
    </w:p>
    <w:p>
      <w:pPr>
        <w:spacing w:after="0" w:line="90"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The Credit Facilities require the Borrower to comply with financial maintenance covenants that require that the Borrower maintain (i) as of the last day of each fiscal quarter a minimum EBITDAR (as defined in the Credit Agreement) of at least $62.1 million for the quarter ending September 31, 2021, $78.1 million for the quarter ending December 31, 2021, and $87.7 million for the quarter ending March 31, 2022 and each quarter thereafter and (ii) an aggregate amount of Liquidity (as defined in the Credit Agreement) at the close of any business day of at least $30.0 million.</w:t>
      </w:r>
    </w:p>
    <w:p>
      <w:pPr>
        <w:spacing w:after="0" w:line="101" w:lineRule="exact"/>
        <w:rPr>
          <w:sz w:val="20"/>
          <w:szCs w:val="20"/>
          <w:color w:val="auto"/>
        </w:rPr>
      </w:pPr>
    </w:p>
    <w:p>
      <w:pPr>
        <w:ind w:left="1160" w:right="1359" w:firstLine="293"/>
        <w:spacing w:after="0" w:line="239" w:lineRule="auto"/>
        <w:rPr>
          <w:sz w:val="20"/>
          <w:szCs w:val="20"/>
          <w:color w:val="auto"/>
        </w:rPr>
      </w:pPr>
      <w:r>
        <w:rPr>
          <w:rFonts w:ascii="Arial" w:cs="Arial" w:eastAsia="Arial" w:hAnsi="Arial"/>
          <w:sz w:val="15"/>
          <w:szCs w:val="15"/>
          <w:color w:val="auto"/>
        </w:rPr>
        <w:t>The Credit Agreement contains certain customary affirmative covenants and negative covenants, including a limitation on the Borrower’s ability to pay dividends on or make distributions in respect of its capital stock or make other restricted payments.</w:t>
      </w:r>
    </w:p>
    <w:p>
      <w:pPr>
        <w:spacing w:after="0" w:line="100"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The Credit Agreement contains certain customary events of default, including relating to a change of control. If an event of default occurs, the lenders under the Credit Facilities are entitled to take various actions, including the acceleration of amounts due under the Credit Facilities and all actions permitted to be taken by a secured creditor in respect of the collateral securing the Credit Facilities.</w:t>
      </w:r>
    </w:p>
    <w:p>
      <w:pPr>
        <w:spacing w:after="0" w:line="77" w:lineRule="exact"/>
        <w:rPr>
          <w:sz w:val="20"/>
          <w:szCs w:val="20"/>
          <w:color w:val="auto"/>
        </w:rPr>
      </w:pPr>
    </w:p>
    <w:p>
      <w:pPr>
        <w:ind w:left="1160" w:right="1259" w:firstLine="293"/>
        <w:spacing w:after="0" w:line="236" w:lineRule="auto"/>
        <w:rPr>
          <w:sz w:val="20"/>
          <w:szCs w:val="20"/>
          <w:color w:val="auto"/>
        </w:rPr>
      </w:pPr>
      <w:r>
        <w:rPr>
          <w:rFonts w:ascii="Arial" w:cs="Arial" w:eastAsia="Arial" w:hAnsi="Arial"/>
          <w:sz w:val="15"/>
          <w:szCs w:val="15"/>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and finance leases and debt.</w:t>
      </w:r>
    </w:p>
    <w:p>
      <w:pPr>
        <w:spacing w:after="0" w:line="102" w:lineRule="exact"/>
        <w:rPr>
          <w:sz w:val="20"/>
          <w:szCs w:val="20"/>
          <w:color w:val="auto"/>
        </w:rPr>
      </w:pPr>
    </w:p>
    <w:p>
      <w:pPr>
        <w:ind w:left="1160" w:right="1459" w:firstLine="293"/>
        <w:spacing w:after="0" w:line="323" w:lineRule="auto"/>
        <w:rPr>
          <w:sz w:val="20"/>
          <w:szCs w:val="20"/>
          <w:color w:val="auto"/>
        </w:rPr>
      </w:pPr>
      <w:r>
        <w:rPr>
          <w:rFonts w:ascii="Arial" w:cs="Arial" w:eastAsia="Arial" w:hAnsi="Arial"/>
          <w:sz w:val="13"/>
          <w:szCs w:val="13"/>
          <w:color w:val="auto"/>
        </w:rPr>
        <w:t>In December 2019, we arranged for the issuance of Class A, Class B and Class C pass through trust certificates, Series 2019-1 (the “2019-1 EETC”), in an aggregate face amount of $248.6 million (the</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6" w:name="page107"/>
    <w:bookmarkEnd w:id="10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63" w:lineRule="auto"/>
        <w:rPr>
          <w:sz w:val="20"/>
          <w:szCs w:val="20"/>
          <w:color w:val="auto"/>
        </w:rPr>
      </w:pPr>
      <w:r>
        <w:rPr>
          <w:rFonts w:ascii="Arial" w:cs="Arial" w:eastAsia="Arial" w:hAnsi="Arial"/>
          <w:sz w:val="14"/>
          <w:szCs w:val="14"/>
          <w:color w:val="auto"/>
        </w:rPr>
        <w:t>“Certificates”) for the purpose of financing or refinancing 13 used aircraft. In December of 2019, we purchased one aircraft new to our fleet under the 2019-1 EETC. In the first quarter of 2020, under the 2019-1 EETC, we purchased two additional aircraft new to our fleet, one previously under operating lease, and refinanced three aircraft previously owned and financed. The purchase of the remaining six aircraft previously under operating or finance leases occurred in June 2020. The total appraised value of the 13 aircraft is approximately $292.5 million. The Certificates were issued to certain institutional investors, and the 2019-1 EETC face amount of the Certificates were funded by the purchase price paid by such investors for its Certificates on four funding dates from December 2019 to June 2020. On the first funding date in December 2019, $102.7 million of the $248.6 million face amount was funded from payment of the purchase price of the Certificates and placed in escrow. Subsequently in December 2019, we used</w:t>
      </w:r>
    </w:p>
    <w:p>
      <w:pPr>
        <w:spacing w:after="0" w:line="4" w:lineRule="exact"/>
        <w:rPr>
          <w:sz w:val="20"/>
          <w:szCs w:val="20"/>
          <w:color w:val="auto"/>
        </w:rPr>
      </w:pPr>
    </w:p>
    <w:p>
      <w:pPr>
        <w:ind w:left="1160" w:right="1219"/>
        <w:spacing w:after="0" w:line="265" w:lineRule="auto"/>
        <w:rPr>
          <w:sz w:val="20"/>
          <w:szCs w:val="20"/>
          <w:color w:val="auto"/>
        </w:rPr>
      </w:pPr>
      <w:r>
        <w:rPr>
          <w:rFonts w:ascii="Arial" w:cs="Arial" w:eastAsia="Arial" w:hAnsi="Arial"/>
          <w:sz w:val="14"/>
          <w:szCs w:val="14"/>
          <w:color w:val="auto"/>
        </w:rPr>
        <w:t>$28.3 million of such escrowed funds to finance the purchase of one of the 13 aircraft. In January and February of 2020, we used $53.5 million of the escrowed funds and drew an additional $55.3 million to complete the refinancing of three owned aircraft, the purchase of two additional aircraft for our fleet and to buy one aircraft previously under an operating lease. The Certificates bear interest at the following rates per annum: Class A, 4.13% relating to seven of the financed aircraft and 4.25% relating to six of the financed aircraft; Class B, 4.66% relating to seven of the financed aircraft and 4.78% relating to six of the financed aircraft; and Class C, 6.95%. The expected maturity date of the Class A is December 15, 2027, the Class B is December 15, 2025 and the Class C is December 15, 2023.</w:t>
      </w:r>
    </w:p>
    <w:p>
      <w:pPr>
        <w:spacing w:after="0" w:line="83"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 xml:space="preserve">We recently executed leases for three additional Boeing 737-800 aircraft, in line with our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 For further information regarding our future expected capital expenditures, please refer to “— </w:t>
      </w:r>
      <w:r>
        <w:rPr>
          <w:rFonts w:ascii="Arial" w:cs="Arial" w:eastAsia="Arial" w:hAnsi="Arial"/>
          <w:sz w:val="15"/>
          <w:szCs w:val="15"/>
          <w:i w:val="1"/>
          <w:iCs w:val="1"/>
          <w:color w:val="auto"/>
        </w:rPr>
        <w:t>Contractual</w:t>
      </w:r>
      <w:r>
        <w:rPr>
          <w:rFonts w:ascii="Arial" w:cs="Arial" w:eastAsia="Arial" w:hAnsi="Arial"/>
          <w:sz w:val="15"/>
          <w:szCs w:val="15"/>
          <w:color w:val="auto"/>
        </w:rPr>
        <w:t xml:space="preserve"> </w:t>
      </w:r>
      <w:r>
        <w:rPr>
          <w:rFonts w:ascii="Arial" w:cs="Arial" w:eastAsia="Arial" w:hAnsi="Arial"/>
          <w:sz w:val="15"/>
          <w:szCs w:val="15"/>
          <w:i w:val="1"/>
          <w:iCs w:val="1"/>
          <w:color w:val="auto"/>
        </w:rPr>
        <w:t>Obligations and Commitments</w:t>
      </w:r>
      <w:r>
        <w:rPr>
          <w:rFonts w:ascii="Arial" w:cs="Arial" w:eastAsia="Arial" w:hAnsi="Arial"/>
          <w:sz w:val="15"/>
          <w:szCs w:val="15"/>
          <w:color w:val="auto"/>
        </w:rPr>
        <w:t>” below.</w:t>
      </w:r>
    </w:p>
    <w:p>
      <w:pPr>
        <w:spacing w:after="0" w:line="106"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4"/>
          <w:szCs w:val="14"/>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deposits is therefore unavailable until after we have completed the scheduled maintenance in accordance with the terms of the aircraft leases.</w:t>
      </w:r>
    </w:p>
    <w:p>
      <w:pPr>
        <w:spacing w:after="0" w:line="91" w:lineRule="exact"/>
        <w:rPr>
          <w:sz w:val="20"/>
          <w:szCs w:val="20"/>
          <w:color w:val="auto"/>
        </w:rPr>
      </w:pPr>
    </w:p>
    <w:p>
      <w:pPr>
        <w:ind w:left="1160" w:right="1519" w:firstLine="293"/>
        <w:spacing w:after="0" w:line="266" w:lineRule="auto"/>
        <w:rPr>
          <w:sz w:val="20"/>
          <w:szCs w:val="20"/>
          <w:color w:val="auto"/>
        </w:rPr>
      </w:pPr>
      <w:r>
        <w:rPr>
          <w:rFonts w:ascii="Arial" w:cs="Arial" w:eastAsia="Arial" w:hAnsi="Arial"/>
          <w:sz w:val="14"/>
          <w:szCs w:val="14"/>
          <w:color w:val="auto"/>
        </w:rPr>
        <w:t>In the years ended December 31, 2020 and December 31, 2019, the Successor 2018 period and the Predecessor 2018 period, we expensed $8.7 million, $18.6 million, $12.8 million and $6.0 million, respectively, of maintenance reserve payments to our lessors. As of December 31, 2020, we had $25.7 million in recoverable aircraft maintenance deposits on our consolidated balance sheet, and</w:t>
      </w:r>
    </w:p>
    <w:p>
      <w:pPr>
        <w:ind w:left="1160" w:right="1179"/>
        <w:spacing w:after="0" w:line="249" w:lineRule="auto"/>
        <w:rPr>
          <w:sz w:val="20"/>
          <w:szCs w:val="20"/>
          <w:color w:val="auto"/>
        </w:rPr>
      </w:pPr>
      <w:r>
        <w:rPr>
          <w:rFonts w:ascii="Arial" w:cs="Arial" w:eastAsia="Arial" w:hAnsi="Arial"/>
          <w:sz w:val="15"/>
          <w:szCs w:val="15"/>
          <w:color w:val="auto"/>
        </w:rPr>
        <w:t>$2.2 million in accounts receivable as the eligible maintenance had been performed and reimbursement from the lessor is pending.</w:t>
      </w:r>
    </w:p>
    <w:p>
      <w:pPr>
        <w:spacing w:after="0" w:line="93"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believe that our unrestricted cash and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or acts of terrorism.</w:t>
      </w:r>
    </w:p>
    <w:p>
      <w:pPr>
        <w:spacing w:after="0" w:line="93"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In our cash and equivalents and short-term investments portfolio, we invest only in securities that meet our primary investment strategy of maintaining and securing investment principal. The portfolio is managed by reputable firms that adhere to our investment policy that sets forth investment objectives, approved and prohibited investments, and duration and credit quality guidelines. Our policy, and the portfolio managers, are continually reviewed to ensure that the investments are aligned with our strategy.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7" w:name="page108"/>
    <w:bookmarkEnd w:id="10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table below presents the major indicators of financial condition and liquidity:</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86"/>
              </w:rPr>
              <w:t>As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480"/>
              <w:spacing w:after="0"/>
              <w:rPr>
                <w:sz w:val="20"/>
                <w:szCs w:val="20"/>
                <w:color w:val="auto"/>
              </w:rPr>
            </w:pPr>
            <w:r>
              <w:rPr>
                <w:rFonts w:ascii="Arial" w:cs="Arial" w:eastAsia="Arial" w:hAnsi="Arial"/>
                <w:sz w:val="12"/>
                <w:szCs w:val="12"/>
                <w:b w:val="1"/>
                <w:bCs w:val="1"/>
                <w:color w:val="auto"/>
                <w:w w:val="86"/>
              </w:rPr>
              <w:t>As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480"/>
              <w:spacing w:after="0"/>
              <w:rPr>
                <w:sz w:val="20"/>
                <w:szCs w:val="20"/>
                <w:color w:val="auto"/>
              </w:rPr>
            </w:pPr>
            <w:r>
              <w:rPr>
                <w:rFonts w:ascii="Arial" w:cs="Arial" w:eastAsia="Arial" w:hAnsi="Arial"/>
                <w:sz w:val="12"/>
                <w:szCs w:val="12"/>
                <w:b w:val="1"/>
                <w:bCs w:val="1"/>
                <w:color w:val="auto"/>
                <w:w w:val="79"/>
              </w:rPr>
              <w:t>As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9"/>
              </w:rPr>
              <w:t>As of</w:t>
            </w:r>
          </w:p>
        </w:tc>
      </w:tr>
      <w:tr>
        <w:trPr>
          <w:trHeight w:val="150"/>
        </w:trPr>
        <w:tc>
          <w:tcPr>
            <w:tcW w:w="2460" w:type="dxa"/>
            <w:vAlign w:val="bottom"/>
          </w:tcPr>
          <w:p>
            <w:pPr>
              <w:spacing w:after="0"/>
              <w:rPr>
                <w:sz w:val="20"/>
                <w:szCs w:val="20"/>
                <w:color w:val="auto"/>
              </w:rPr>
            </w:pPr>
            <w:r>
              <w:rPr>
                <w:rFonts w:ascii="Arial" w:cs="Arial" w:eastAsia="Arial" w:hAnsi="Arial"/>
                <w:sz w:val="12"/>
                <w:szCs w:val="12"/>
                <w:b w:val="1"/>
                <w:bCs w:val="1"/>
                <w:color w:val="auto"/>
                <w:w w:val="91"/>
              </w:rPr>
              <w:t>(in thousands, except debt to capital amounts)</w:t>
            </w:r>
          </w:p>
        </w:tc>
        <w:tc>
          <w:tcPr>
            <w:tcW w:w="220" w:type="dxa"/>
            <w:vAlign w:val="bottom"/>
          </w:tcPr>
          <w:p>
            <w:pPr>
              <w:spacing w:after="0"/>
              <w:rPr>
                <w:sz w:val="13"/>
                <w:szCs w:val="13"/>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79"/>
              </w:rPr>
              <w:t>June 30, 2021</w:t>
            </w:r>
          </w:p>
        </w:tc>
        <w:tc>
          <w:tcPr>
            <w:tcW w:w="114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auto"/>
                <w:w w:val="83"/>
              </w:rPr>
              <w:t>December 31, 2020</w:t>
            </w:r>
          </w:p>
        </w:tc>
        <w:tc>
          <w:tcPr>
            <w:tcW w:w="112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83"/>
              </w:rPr>
              <w:t>December 31, 2019</w:t>
            </w:r>
          </w:p>
        </w:tc>
        <w:tc>
          <w:tcPr>
            <w:tcW w:w="9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5"/>
              </w:rPr>
              <w:t>December 31, 2018</w:t>
            </w:r>
          </w:p>
        </w:tc>
      </w:tr>
      <w:tr>
        <w:trPr>
          <w:trHeight w:val="21"/>
        </w:trPr>
        <w:tc>
          <w:tcPr>
            <w:tcW w:w="2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$310,723</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62,028</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51,006</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29,600</w:t>
            </w:r>
          </w:p>
        </w:tc>
      </w:tr>
      <w:tr>
        <w:trPr>
          <w:trHeight w:val="209"/>
        </w:trPr>
        <w:tc>
          <w:tcPr>
            <w:tcW w:w="2460" w:type="dxa"/>
            <w:vAlign w:val="bottom"/>
          </w:tcPr>
          <w:p>
            <w:pPr>
              <w:spacing w:after="0"/>
              <w:rPr>
                <w:sz w:val="20"/>
                <w:szCs w:val="20"/>
                <w:color w:val="auto"/>
              </w:rPr>
            </w:pPr>
            <w:r>
              <w:rPr>
                <w:rFonts w:ascii="Arial" w:cs="Arial" w:eastAsia="Arial" w:hAnsi="Arial"/>
                <w:sz w:val="15"/>
                <w:szCs w:val="15"/>
                <w:color w:val="auto"/>
              </w:rPr>
              <w:t>Investments</w:t>
            </w:r>
          </w:p>
        </w:tc>
        <w:tc>
          <w:tcPr>
            <w:tcW w:w="860" w:type="dxa"/>
            <w:vAlign w:val="bottom"/>
            <w:gridSpan w:val="3"/>
          </w:tcPr>
          <w:p>
            <w:pPr>
              <w:jc w:val="right"/>
              <w:ind w:right="80"/>
              <w:spacing w:after="0"/>
              <w:rPr>
                <w:sz w:val="20"/>
                <w:szCs w:val="20"/>
                <w:color w:val="auto"/>
              </w:rPr>
            </w:pPr>
            <w:r>
              <w:rPr>
                <w:rFonts w:ascii="Arial" w:cs="Arial" w:eastAsia="Arial" w:hAnsi="Arial"/>
                <w:sz w:val="15"/>
                <w:szCs w:val="15"/>
                <w:color w:val="auto"/>
              </w:rPr>
              <w:t>6,076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5,624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5,694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5,947</w:t>
            </w:r>
          </w:p>
        </w:tc>
      </w:tr>
      <w:tr>
        <w:trPr>
          <w:trHeight w:val="297"/>
        </w:trPr>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Long-term Debt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287,479</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282,463</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86,917</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58,429</w:t>
            </w:r>
          </w:p>
        </w:tc>
      </w:tr>
      <w:tr>
        <w:trPr>
          <w:trHeight w:val="209"/>
        </w:trPr>
        <w:tc>
          <w:tcPr>
            <w:tcW w:w="2460" w:type="dxa"/>
            <w:vAlign w:val="bottom"/>
          </w:tcPr>
          <w:p>
            <w:pPr>
              <w:spacing w:after="0"/>
              <w:rPr>
                <w:sz w:val="20"/>
                <w:szCs w:val="20"/>
                <w:color w:val="auto"/>
              </w:rPr>
            </w:pPr>
            <w:r>
              <w:rPr>
                <w:rFonts w:ascii="Arial" w:cs="Arial" w:eastAsia="Arial" w:hAnsi="Arial"/>
                <w:sz w:val="15"/>
                <w:szCs w:val="15"/>
                <w:color w:val="auto"/>
              </w:rPr>
              <w:t>Finance Lease Obligations</w:t>
            </w:r>
          </w:p>
        </w:tc>
        <w:tc>
          <w:tcPr>
            <w:tcW w:w="860" w:type="dxa"/>
            <w:vAlign w:val="bottom"/>
            <w:gridSpan w:val="3"/>
          </w:tcPr>
          <w:p>
            <w:pPr>
              <w:jc w:val="right"/>
              <w:ind w:right="80"/>
              <w:spacing w:after="0"/>
              <w:rPr>
                <w:sz w:val="20"/>
                <w:szCs w:val="20"/>
                <w:color w:val="auto"/>
              </w:rPr>
            </w:pPr>
            <w:r>
              <w:rPr>
                <w:rFonts w:ascii="Arial" w:cs="Arial" w:eastAsia="Arial" w:hAnsi="Arial"/>
                <w:sz w:val="15"/>
                <w:szCs w:val="15"/>
                <w:color w:val="auto"/>
              </w:rPr>
              <w:t>144,692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107,170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197,355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91,817</w:t>
            </w:r>
          </w:p>
        </w:tc>
      </w:tr>
      <w:tr>
        <w:trPr>
          <w:trHeight w:val="214"/>
        </w:trPr>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Obligations</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86,647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147,199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172,490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20"/>
        </w:trPr>
        <w:tc>
          <w:tcPr>
            <w:tcW w:w="2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5"/>
        </w:trPr>
        <w:tc>
          <w:tcPr>
            <w:tcW w:w="2460" w:type="dxa"/>
            <w:vAlign w:val="bottom"/>
          </w:tcPr>
          <w:p>
            <w:pPr>
              <w:ind w:left="160"/>
              <w:spacing w:after="0"/>
              <w:rPr>
                <w:sz w:val="20"/>
                <w:szCs w:val="20"/>
                <w:color w:val="auto"/>
              </w:rPr>
            </w:pPr>
            <w:r>
              <w:rPr>
                <w:rFonts w:ascii="Arial" w:cs="Arial" w:eastAsia="Arial" w:hAnsi="Arial"/>
                <w:sz w:val="15"/>
                <w:szCs w:val="15"/>
                <w:color w:val="auto"/>
              </w:rPr>
              <w:t>Total Debt and Lease obligations</w:t>
            </w:r>
          </w:p>
        </w:tc>
        <w:tc>
          <w:tcPr>
            <w:tcW w:w="2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$518,818</w:t>
            </w:r>
          </w:p>
        </w:tc>
        <w:tc>
          <w:tcPr>
            <w:tcW w:w="1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536,832</w:t>
            </w:r>
          </w:p>
        </w:tc>
        <w:tc>
          <w:tcPr>
            <w:tcW w:w="18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456,762</w:t>
            </w:r>
          </w:p>
        </w:tc>
        <w:tc>
          <w:tcPr>
            <w:tcW w:w="1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150,246</w:t>
            </w:r>
          </w:p>
        </w:tc>
      </w:tr>
      <w:tr>
        <w:trPr>
          <w:trHeight w:val="214"/>
        </w:trPr>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9"/>
              </w:rPr>
              <w:t>464,233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283,817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283,724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235,647</w:t>
            </w:r>
          </w:p>
        </w:tc>
      </w:tr>
      <w:tr>
        <w:trPr>
          <w:trHeight w:val="20"/>
        </w:trPr>
        <w:tc>
          <w:tcPr>
            <w:tcW w:w="2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2460" w:type="dxa"/>
            <w:vAlign w:val="bottom"/>
          </w:tcPr>
          <w:p>
            <w:pPr>
              <w:ind w:left="160"/>
              <w:spacing w:after="0"/>
              <w:rPr>
                <w:sz w:val="20"/>
                <w:szCs w:val="20"/>
                <w:color w:val="auto"/>
              </w:rPr>
            </w:pPr>
            <w:r>
              <w:rPr>
                <w:rFonts w:ascii="Arial" w:cs="Arial" w:eastAsia="Arial" w:hAnsi="Arial"/>
                <w:sz w:val="15"/>
                <w:szCs w:val="15"/>
                <w:color w:val="auto"/>
              </w:rPr>
              <w:t>Total Invested Capital</w:t>
            </w:r>
          </w:p>
        </w:tc>
        <w:tc>
          <w:tcPr>
            <w:tcW w:w="2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$983,051</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820,649</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740,486</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385,893</w:t>
            </w: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3"/>
        </w:trPr>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rPr>
              <w:t>Debt-to-Capital</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0.53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0.65</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0.62</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-1317625</wp:posOffset>
            </wp:positionV>
            <wp:extent cx="11176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-1317625</wp:posOffset>
            </wp:positionV>
            <wp:extent cx="11176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-1317625</wp:posOffset>
            </wp:positionV>
            <wp:extent cx="9779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-1317625</wp:posOffset>
            </wp:positionV>
            <wp:extent cx="9779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7790" cy="6985"/>
                    </a:xfrm>
                    <a:prstGeom prst="rect">
                      <a:avLst/>
                    </a:prstGeom>
                    <a:noFill/>
                  </pic:spPr>
                </pic:pic>
              </a:graphicData>
            </a:graphic>
          </wp:anchor>
        </w:drawing>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Cash Flows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six months ended June 30, 2021 and 2020</w:t>
      </w:r>
    </w:p>
    <w:p>
      <w:pPr>
        <w:spacing w:after="0" w:line="113"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The following table presents information regarding our cash flows the six months ended June 30, 2021 and 2020:</w:t>
      </w:r>
    </w:p>
    <w:p>
      <w:pPr>
        <w:spacing w:after="0" w:line="11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2"/>
                <w:szCs w:val="12"/>
                <w:b w:val="1"/>
                <w:bCs w:val="1"/>
                <w:color w:val="auto"/>
                <w:w w:val="98"/>
              </w:rPr>
              <w:t>For the six months</w:t>
            </w:r>
          </w:p>
        </w:tc>
      </w:tr>
      <w:tr>
        <w:trPr>
          <w:trHeight w:val="150"/>
        </w:trPr>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ended June 30,</w:t>
            </w:r>
          </w:p>
        </w:tc>
      </w:tr>
      <w:tr>
        <w:trPr>
          <w:trHeight w:val="21"/>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3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580" w:type="dxa"/>
            <w:vAlign w:val="bottom"/>
          </w:tcPr>
          <w:p>
            <w:pPr>
              <w:jc w:val="right"/>
              <w:ind w:right="114"/>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21"/>
        </w:trPr>
        <w:tc>
          <w:tcPr>
            <w:tcW w:w="5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(used in) operating activities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$ 89,841</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0"/>
              </w:rPr>
              <w:t>$(12,895)</w:t>
            </w:r>
          </w:p>
        </w:tc>
        <w:tc>
          <w:tcPr>
            <w:tcW w:w="60" w:type="dxa"/>
            <w:vAlign w:val="bottom"/>
          </w:tcPr>
          <w:p>
            <w:pPr>
              <w:spacing w:after="0"/>
              <w:rPr>
                <w:sz w:val="17"/>
                <w:szCs w:val="17"/>
                <w:color w:val="auto"/>
              </w:rPr>
            </w:pPr>
          </w:p>
        </w:tc>
      </w:tr>
      <w:tr>
        <w:trPr>
          <w:trHeight w:val="209"/>
        </w:trPr>
        <w:tc>
          <w:tcPr>
            <w:tcW w:w="5380" w:type="dxa"/>
            <w:vAlign w:val="bottom"/>
            <w:gridSpan w:val="2"/>
          </w:tcPr>
          <w:p>
            <w:pPr>
              <w:spacing w:after="0"/>
              <w:rPr>
                <w:sz w:val="20"/>
                <w:szCs w:val="20"/>
                <w:color w:val="auto"/>
              </w:rPr>
            </w:pPr>
            <w:r>
              <w:rPr>
                <w:rFonts w:ascii="Arial" w:cs="Arial" w:eastAsia="Arial" w:hAnsi="Arial"/>
                <w:sz w:val="15"/>
                <w:szCs w:val="15"/>
                <w:color w:val="auto"/>
              </w:rPr>
              <w:t>Net cash used in investing activities</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(67,188)</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(93,640)</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222,469</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76,709</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-403860</wp:posOffset>
            </wp:positionV>
            <wp:extent cx="11176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-403860</wp:posOffset>
            </wp:positionV>
            <wp:extent cx="11176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13" w:lineRule="exact"/>
        <w:rPr>
          <w:sz w:val="20"/>
          <w:szCs w:val="20"/>
          <w:color w:val="auto"/>
        </w:rPr>
      </w:pPr>
    </w:p>
    <w:p>
      <w:pPr>
        <w:ind w:left="1160" w:right="1219" w:firstLine="293"/>
        <w:spacing w:after="0" w:line="239" w:lineRule="auto"/>
        <w:rPr>
          <w:sz w:val="20"/>
          <w:szCs w:val="20"/>
          <w:color w:val="auto"/>
        </w:rPr>
      </w:pPr>
      <w:r>
        <w:rPr>
          <w:rFonts w:ascii="Arial" w:cs="Arial" w:eastAsia="Arial" w:hAnsi="Arial"/>
          <w:sz w:val="15"/>
          <w:szCs w:val="15"/>
          <w:color w:val="auto"/>
        </w:rPr>
        <w:t>Operating activities in the six months ended June 30, 2021 provided $89.8 million, as compared to using $12.9 million in the six months ended June 30, 2020. During those two six-month periods, net income was $64.2 million and $1.2 million, respectively.</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operating cash flow is primarily impacted by the following factors:</w:t>
      </w:r>
    </w:p>
    <w:p>
      <w:pPr>
        <w:spacing w:after="0" w:line="124"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i w:val="1"/>
          <w:iCs w:val="1"/>
          <w:color w:val="auto"/>
        </w:rPr>
        <w:t>Seasonality of Advance Ticket Sales</w:t>
      </w:r>
      <w:r>
        <w:rPr>
          <w:rFonts w:ascii="Arial" w:cs="Arial" w:eastAsia="Arial" w:hAnsi="Arial"/>
          <w:sz w:val="15"/>
          <w:szCs w:val="15"/>
          <w:color w:val="auto"/>
        </w:rPr>
        <w:t>. We sell tickets for air travel in advance of the customer’s travel</w:t>
      </w:r>
      <w:r>
        <w:rPr>
          <w:rFonts w:ascii="Arial" w:cs="Arial" w:eastAsia="Arial" w:hAnsi="Arial"/>
          <w:sz w:val="15"/>
          <w:szCs w:val="15"/>
          <w:i w:val="1"/>
          <w:iCs w:val="1"/>
          <w:color w:val="auto"/>
        </w:rPr>
        <w:t xml:space="preserve"> </w:t>
      </w:r>
      <w:r>
        <w:rPr>
          <w:rFonts w:ascii="Arial" w:cs="Arial" w:eastAsia="Arial" w:hAnsi="Arial"/>
          <w:sz w:val="15"/>
          <w:szCs w:val="15"/>
          <w:color w:val="auto"/>
        </w:rPr>
        <w:t>date. When we receive a cash payment at the time of sale, we record the cash received on advance sales as deferred revenue in air traffic liabilities. Air traffic liabilities typically increase during the winter and spring months as advanced ticket sales grow prior to the summer peak travel season and decrease during the summer and fall months.</w:t>
      </w:r>
    </w:p>
    <w:p>
      <w:pPr>
        <w:spacing w:after="0" w:line="89"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i w:val="1"/>
          <w:iCs w:val="1"/>
          <w:color w:val="auto"/>
        </w:rPr>
        <w:t>Fuel</w:t>
      </w:r>
      <w:r>
        <w:rPr>
          <w:rFonts w:ascii="Arial" w:cs="Arial" w:eastAsia="Arial" w:hAnsi="Arial"/>
          <w:sz w:val="15"/>
          <w:szCs w:val="15"/>
          <w:color w:val="auto"/>
        </w:rPr>
        <w:t>. Fuel expense represented approximately 27% and 28% of our total operating expense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six months ended June 30, 2021 and 2020, respectively. The market price for jet fuel is volatile, which can impact the comparability of our periodic cash flows from operations. We expect fuel consumption to increase through the end of 2021 compared to prior year periods, consistent with increased passengers as the impact of the pandemic subsides.</w:t>
      </w:r>
    </w:p>
    <w:p>
      <w:pPr>
        <w:spacing w:after="0" w:line="100" w:lineRule="exact"/>
        <w:rPr>
          <w:sz w:val="20"/>
          <w:szCs w:val="20"/>
          <w:color w:val="auto"/>
        </w:rPr>
      </w:pPr>
    </w:p>
    <w:p>
      <w:pPr>
        <w:ind w:left="1160" w:right="1459" w:firstLine="293"/>
        <w:spacing w:after="0" w:line="283" w:lineRule="auto"/>
        <w:rPr>
          <w:sz w:val="20"/>
          <w:szCs w:val="20"/>
          <w:color w:val="auto"/>
        </w:rPr>
      </w:pPr>
      <w:r>
        <w:rPr>
          <w:rFonts w:ascii="Arial" w:cs="Arial" w:eastAsia="Arial" w:hAnsi="Arial"/>
          <w:sz w:val="14"/>
          <w:szCs w:val="14"/>
          <w:i w:val="1"/>
          <w:iCs w:val="1"/>
          <w:color w:val="auto"/>
        </w:rPr>
        <w:t>CARES Act</w:t>
      </w:r>
      <w:r>
        <w:rPr>
          <w:rFonts w:ascii="Arial" w:cs="Arial" w:eastAsia="Arial" w:hAnsi="Arial"/>
          <w:sz w:val="14"/>
          <w:szCs w:val="14"/>
          <w:color w:val="auto"/>
        </w:rPr>
        <w:t>. During the six months ended June 30, 2021 we received $71.6 million in CARES Act</w:t>
      </w:r>
      <w:r>
        <w:rPr>
          <w:rFonts w:ascii="Arial" w:cs="Arial" w:eastAsia="Arial" w:hAnsi="Arial"/>
          <w:sz w:val="14"/>
          <w:szCs w:val="14"/>
          <w:i w:val="1"/>
          <w:iCs w:val="1"/>
          <w:color w:val="auto"/>
        </w:rPr>
        <w:t xml:space="preserve"> </w:t>
      </w:r>
      <w:r>
        <w:rPr>
          <w:rFonts w:ascii="Arial" w:cs="Arial" w:eastAsia="Arial" w:hAnsi="Arial"/>
          <w:sz w:val="14"/>
          <w:szCs w:val="14"/>
          <w:color w:val="auto"/>
        </w:rPr>
        <w:t>grants. During the six months ended June 30, 2020 we received $31.5 million in CARES Act grants.</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13" w:lineRule="exact"/>
        <w:rPr>
          <w:sz w:val="20"/>
          <w:szCs w:val="20"/>
          <w:color w:val="auto"/>
        </w:rPr>
      </w:pPr>
    </w:p>
    <w:p>
      <w:pPr>
        <w:ind w:left="1460"/>
        <w:spacing w:after="0"/>
        <w:tabs>
          <w:tab w:leader="none" w:pos="2900" w:val="left"/>
        </w:tabs>
        <w:rPr>
          <w:sz w:val="20"/>
          <w:szCs w:val="20"/>
          <w:color w:val="auto"/>
        </w:rPr>
      </w:pPr>
      <w:r>
        <w:rPr>
          <w:rFonts w:ascii="Arial" w:cs="Arial" w:eastAsia="Arial" w:hAnsi="Arial"/>
          <w:sz w:val="15"/>
          <w:szCs w:val="15"/>
          <w:i w:val="1"/>
          <w:iCs w:val="1"/>
          <w:color w:val="auto"/>
        </w:rPr>
        <w:t>Capital Expenditures</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Our capital expenditures were $66.7 million and $93.7 million for the</w:t>
      </w:r>
    </w:p>
    <w:p>
      <w:pPr>
        <w:spacing w:after="0" w:line="4" w:lineRule="exact"/>
        <w:rPr>
          <w:sz w:val="20"/>
          <w:szCs w:val="20"/>
          <w:color w:val="auto"/>
        </w:rPr>
      </w:pPr>
    </w:p>
    <w:p>
      <w:pPr>
        <w:ind w:left="1160" w:right="1519"/>
        <w:spacing w:after="0" w:line="236" w:lineRule="auto"/>
        <w:rPr>
          <w:sz w:val="20"/>
          <w:szCs w:val="20"/>
          <w:color w:val="auto"/>
        </w:rPr>
      </w:pPr>
      <w:r>
        <w:rPr>
          <w:rFonts w:ascii="Arial" w:cs="Arial" w:eastAsia="Arial" w:hAnsi="Arial"/>
          <w:sz w:val="15"/>
          <w:szCs w:val="15"/>
          <w:color w:val="auto"/>
        </w:rPr>
        <w:t>six months ended June 30, 2021 and 2020, respectively. Our capital expenditures during the six months ended June 30,</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8" w:name="page109"/>
    <w:bookmarkEnd w:id="10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64" w:lineRule="auto"/>
        <w:rPr>
          <w:sz w:val="20"/>
          <w:szCs w:val="20"/>
          <w:color w:val="auto"/>
        </w:rPr>
      </w:pPr>
      <w:r>
        <w:rPr>
          <w:rFonts w:ascii="Arial" w:cs="Arial" w:eastAsia="Arial" w:hAnsi="Arial"/>
          <w:sz w:val="14"/>
          <w:szCs w:val="14"/>
          <w:color w:val="auto"/>
        </w:rPr>
        <w:t>2021 were primarily related to the purchases of aircraft that were financed through draws on the Delayed Draw Term Loan Facility. We invested $63.1 million to purchase six aircraft in the first six months of 2021, as compared to investing $88.5 million on four aircraft and one engine in the first six months of 2020.</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Financing Activities</w:t>
      </w:r>
    </w:p>
    <w:p>
      <w:pPr>
        <w:spacing w:after="0" w:line="113"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i w:val="1"/>
          <w:iCs w:val="1"/>
          <w:color w:val="auto"/>
        </w:rPr>
        <w:t>IPO</w:t>
      </w:r>
      <w:r>
        <w:rPr>
          <w:rFonts w:ascii="Arial" w:cs="Arial" w:eastAsia="Arial" w:hAnsi="Arial"/>
          <w:sz w:val="15"/>
          <w:szCs w:val="15"/>
          <w:color w:val="auto"/>
        </w:rPr>
        <w:t>. On March 16, 2021, the Company offered 9,090,909 shares of common stock to the public at</w:t>
      </w:r>
      <w:r>
        <w:rPr>
          <w:rFonts w:ascii="Arial" w:cs="Arial" w:eastAsia="Arial" w:hAnsi="Arial"/>
          <w:sz w:val="15"/>
          <w:szCs w:val="15"/>
          <w:i w:val="1"/>
          <w:iCs w:val="1"/>
          <w:color w:val="auto"/>
        </w:rPr>
        <w:t xml:space="preserve"> </w:t>
      </w:r>
      <w:r>
        <w:rPr>
          <w:rFonts w:ascii="Arial" w:cs="Arial" w:eastAsia="Arial" w:hAnsi="Arial"/>
          <w:sz w:val="15"/>
          <w:szCs w:val="15"/>
          <w:color w:val="auto"/>
        </w:rPr>
        <w:t>$24.00 per share. The underwriters had an option to purchase an additional 1,363,636 shares from the Company at the public offering price, which they exercised. In total, all 10,454,545 shares were issued and the net proceeds to the company were $225.0 million after deducting underwriting discounts and commissions, and other offering expenses.</w:t>
      </w:r>
    </w:p>
    <w:p>
      <w:pPr>
        <w:spacing w:after="0" w:line="100" w:lineRule="exact"/>
        <w:rPr>
          <w:sz w:val="20"/>
          <w:szCs w:val="20"/>
          <w:color w:val="auto"/>
        </w:rPr>
      </w:pPr>
    </w:p>
    <w:p>
      <w:pPr>
        <w:ind w:left="1460"/>
        <w:spacing w:after="0"/>
        <w:tabs>
          <w:tab w:leader="none" w:pos="1900" w:val="left"/>
        </w:tabs>
        <w:rPr>
          <w:sz w:val="20"/>
          <w:szCs w:val="20"/>
          <w:color w:val="auto"/>
        </w:rPr>
      </w:pPr>
      <w:r>
        <w:rPr>
          <w:rFonts w:ascii="Arial" w:cs="Arial" w:eastAsia="Arial" w:hAnsi="Arial"/>
          <w:sz w:val="15"/>
          <w:szCs w:val="15"/>
          <w:i w:val="1"/>
          <w:iCs w:val="1"/>
          <w:color w:val="auto"/>
        </w:rPr>
        <w:t>Debt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In the six months ended June 30, 2021, we incurred $80.5 million in new debt under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$90.0 million Delayed Draw Term Loan Facility, primarily to purchase six aircraft which were previously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under operating leases. In the first six months of 2020 we incurred $220.3 million in debt under the 2019-1</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EETC, primarily to purchase two aircraft new to the Company, purchase two aircraft which were previously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under operating leases, purchase five aircraft which were previously under finance leases, as well as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refinance three other owned aircraft. In the first quarter of 2021, we repaid our $45.0 million loan with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Treasury, plus accrued interest. During the first six months of 2021, we also repaid $29.7 million of other</w:t>
      </w:r>
    </w:p>
    <w:p>
      <w:pPr>
        <w:ind w:left="1160"/>
        <w:spacing w:after="0" w:line="234" w:lineRule="auto"/>
        <w:rPr>
          <w:sz w:val="20"/>
          <w:szCs w:val="20"/>
          <w:color w:val="auto"/>
        </w:rPr>
      </w:pPr>
      <w:r>
        <w:rPr>
          <w:rFonts w:ascii="Arial" w:cs="Arial" w:eastAsia="Arial" w:hAnsi="Arial"/>
          <w:sz w:val="15"/>
          <w:szCs w:val="15"/>
          <w:color w:val="auto"/>
        </w:rPr>
        <w:t>debt. In the first six months of 2020, we paid $86.0 million toward finance lease obligations, primarily</w:t>
      </w:r>
    </w:p>
    <w:p>
      <w:pPr>
        <w:ind w:left="1160"/>
        <w:spacing w:after="0"/>
        <w:rPr>
          <w:sz w:val="20"/>
          <w:szCs w:val="20"/>
          <w:color w:val="auto"/>
        </w:rPr>
      </w:pPr>
      <w:r>
        <w:rPr>
          <w:rFonts w:ascii="Arial" w:cs="Arial" w:eastAsia="Arial" w:hAnsi="Arial"/>
          <w:sz w:val="14"/>
          <w:szCs w:val="14"/>
          <w:color w:val="auto"/>
        </w:rPr>
        <w:t>related to the buy-out of five aircraft. In the first six months of 2020 we repaid $54.9 million of outstanding</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debt, primarily related to the refinancing of three aircraft.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years ended December 31, 2020 and 2019</w:t>
      </w:r>
    </w:p>
    <w:p>
      <w:pPr>
        <w:spacing w:after="0" w:line="124"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The following table presents information regarding our cash flows the years ended December 31, 2020 and 2019:</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w w:val="91"/>
              </w:rPr>
              <w:t>For the year ended</w:t>
            </w:r>
          </w:p>
        </w:tc>
      </w:tr>
      <w:tr>
        <w:trPr>
          <w:trHeight w:val="150"/>
        </w:trPr>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3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3"/>
                <w:szCs w:val="13"/>
                <w:color w:val="auto"/>
              </w:rPr>
            </w:pPr>
          </w:p>
        </w:tc>
        <w:tc>
          <w:tcPr>
            <w:tcW w:w="480" w:type="dxa"/>
            <w:vAlign w:val="bottom"/>
          </w:tcPr>
          <w:p>
            <w:pPr>
              <w:jc w:val="right"/>
              <w:ind w:right="11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374</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$ 63,272</w:t>
            </w:r>
          </w:p>
        </w:tc>
        <w:tc>
          <w:tcPr>
            <w:tcW w:w="60" w:type="dxa"/>
            <w:vAlign w:val="bottom"/>
          </w:tcPr>
          <w:p>
            <w:pPr>
              <w:spacing w:after="0"/>
              <w:rPr>
                <w:sz w:val="17"/>
                <w:szCs w:val="17"/>
                <w:color w:val="auto"/>
              </w:rPr>
            </w:pPr>
          </w:p>
        </w:tc>
      </w:tr>
      <w:tr>
        <w:trPr>
          <w:trHeight w:val="209"/>
        </w:trPr>
        <w:tc>
          <w:tcPr>
            <w:tcW w:w="5380" w:type="dxa"/>
            <w:vAlign w:val="bottom"/>
            <w:gridSpan w:val="2"/>
          </w:tcPr>
          <w:p>
            <w:pPr>
              <w:spacing w:after="0"/>
              <w:rPr>
                <w:sz w:val="20"/>
                <w:szCs w:val="20"/>
                <w:color w:val="auto"/>
              </w:rPr>
            </w:pPr>
            <w:r>
              <w:rPr>
                <w:rFonts w:ascii="Arial" w:cs="Arial" w:eastAsia="Arial" w:hAnsi="Arial"/>
                <w:sz w:val="15"/>
                <w:szCs w:val="15"/>
                <w:color w:val="auto"/>
              </w:rPr>
              <w:t>Net cash used in investing activities</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(96,028)</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(69,564)</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101,539</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27,329</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-403860</wp:posOffset>
            </wp:positionV>
            <wp:extent cx="11176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-403860</wp:posOffset>
            </wp:positionV>
            <wp:extent cx="11176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13"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3"/>
          <w:szCs w:val="13"/>
          <w:color w:val="auto"/>
        </w:rPr>
        <w:t>For the year ended December 31, 2020, net cash provided by operating activities was $0.4 million, due to a net loss of $3.9 million. Non-cash expenses included in net loss were depreciation and amortization of $48.1 million related to additional owned and finance leased aircraft, reduction in operating lease right-of-use assets of $25.9 million related to our aircraft under operating leases and mark-to -market losses on fuel derivatives of $12.2 million due to our fuel price hedging activity. Non-cash income included in net loss was amortization of over-market liabilities of $ 10.4 million related to acquisition accounting. These factors were largely offset by cash payments related to a decrease in our operating lease liabilities of $28.4 million, a decrease in air traffic liabilities of $15.6 million, a decrease in accrued transportation taxes of</w:t>
      </w:r>
    </w:p>
    <w:p>
      <w:pPr>
        <w:spacing w:after="0" w:line="5" w:lineRule="exact"/>
        <w:rPr>
          <w:sz w:val="20"/>
          <w:szCs w:val="20"/>
          <w:color w:val="auto"/>
        </w:rPr>
      </w:pPr>
    </w:p>
    <w:p>
      <w:pPr>
        <w:ind w:left="1160" w:right="1339"/>
        <w:spacing w:after="0" w:line="245" w:lineRule="auto"/>
        <w:rPr>
          <w:sz w:val="20"/>
          <w:szCs w:val="20"/>
          <w:color w:val="auto"/>
        </w:rPr>
      </w:pPr>
      <w:r>
        <w:rPr>
          <w:rFonts w:ascii="Arial" w:cs="Arial" w:eastAsia="Arial" w:hAnsi="Arial"/>
          <w:sz w:val="14"/>
          <w:szCs w:val="14"/>
          <w:color w:val="auto"/>
        </w:rPr>
        <w:t>$7.8 million, a decrease in accounts payable of $7.2 million, an increase in lessor maintenance deposits of $9.4 million, an increase in other assets of $5.4 million and an increase in accounts receivable of</w:t>
      </w:r>
    </w:p>
    <w:p>
      <w:pPr>
        <w:spacing w:after="0" w:line="1" w:lineRule="exact"/>
        <w:rPr>
          <w:sz w:val="20"/>
          <w:szCs w:val="20"/>
          <w:color w:val="auto"/>
        </w:rPr>
      </w:pPr>
    </w:p>
    <w:p>
      <w:pPr>
        <w:ind w:left="1160" w:right="1199"/>
        <w:spacing w:after="0" w:line="231" w:lineRule="auto"/>
        <w:rPr>
          <w:sz w:val="20"/>
          <w:szCs w:val="20"/>
          <w:color w:val="auto"/>
        </w:rPr>
      </w:pPr>
      <w:r>
        <w:rPr>
          <w:rFonts w:ascii="Arial" w:cs="Arial" w:eastAsia="Arial" w:hAnsi="Arial"/>
          <w:sz w:val="15"/>
          <w:szCs w:val="15"/>
          <w:color w:val="auto"/>
        </w:rPr>
        <w:t>$6.3 million. Included in net loss was $62.3 million of cash proceeds from a Treasury grant as part of the CARES Act under the Payroll Support Program, which are recognized as a contra-expense as the salaries, wages and benefit expenses the grant is intended to offset are incurred, and $2.3 million in credit recognized under the CARES Act Employee Retention Credit. Furthermore, as a result of the COVID-19 pandemic, we negotiated rent payment deferrals of $7.6 million with a majority of our aircraft lessors, which are expected to be paid by the second half of 2021.</w:t>
      </w:r>
    </w:p>
    <w:p>
      <w:pPr>
        <w:spacing w:after="0" w:line="102" w:lineRule="exact"/>
        <w:rPr>
          <w:sz w:val="20"/>
          <w:szCs w:val="20"/>
          <w:color w:val="auto"/>
        </w:rPr>
      </w:pPr>
    </w:p>
    <w:p>
      <w:pPr>
        <w:ind w:left="1160" w:right="1419" w:firstLine="293"/>
        <w:spacing w:after="0" w:line="251" w:lineRule="auto"/>
        <w:rPr>
          <w:sz w:val="20"/>
          <w:szCs w:val="20"/>
          <w:color w:val="auto"/>
        </w:rPr>
      </w:pPr>
      <w:r>
        <w:rPr>
          <w:rFonts w:ascii="Arial" w:cs="Arial" w:eastAsia="Arial" w:hAnsi="Arial"/>
          <w:sz w:val="15"/>
          <w:szCs w:val="15"/>
          <w:color w:val="auto"/>
        </w:rPr>
        <w:t>For the year ended December 31, 2019, net cash provided by operating activities was $63.3 million, primarily due to net income of $46.1 million, depreciation and amortization of $34.9 million related to additional owned and finance leased aircraft, deferred income taxes of $14.0 million, an increase in air traffic</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9" w:name="page110"/>
    <w:bookmarkEnd w:id="10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5" w:lineRule="auto"/>
        <w:rPr>
          <w:sz w:val="20"/>
          <w:szCs w:val="20"/>
          <w:color w:val="auto"/>
        </w:rPr>
      </w:pPr>
      <w:r>
        <w:rPr>
          <w:rFonts w:ascii="Arial" w:cs="Arial" w:eastAsia="Arial" w:hAnsi="Arial"/>
          <w:sz w:val="14"/>
          <w:szCs w:val="14"/>
          <w:color w:val="auto"/>
        </w:rPr>
        <w:t>liabilities of $11.3 million, a decrease in prepaid expenses of $2.3 million, and an increase in accounts payable of $9.0 million, partially offset by mark -to-market gains on fuel derivatives of $10.8 million due to our fuel price hedging activity, $14.1 million in amortization of over-market liabilities related to acquisition accounting, an increase in accounts receivable of $ 11.4 million, an increase in lessor maintenance deposits of $17.5 million and a decrease in loyalty program liabilities of $5.9 million.</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13"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For the year ended December 31, 2020, net cash used in investing activities was $96.0 million, primarily due to purchases of property and equipment of $96.3 million related to investments in our fleet, partially offset by proceeds from the sale of property and equipment of $0.2 million and net proceeds of the sale of investments of $0.1 million.</w:t>
      </w:r>
    </w:p>
    <w:p>
      <w:pPr>
        <w:spacing w:after="0" w:line="102" w:lineRule="exact"/>
        <w:rPr>
          <w:sz w:val="20"/>
          <w:szCs w:val="20"/>
          <w:color w:val="auto"/>
        </w:rPr>
      </w:pPr>
    </w:p>
    <w:p>
      <w:pPr>
        <w:ind w:left="1160" w:right="1379" w:firstLine="293"/>
        <w:spacing w:after="0" w:line="264" w:lineRule="auto"/>
        <w:rPr>
          <w:sz w:val="20"/>
          <w:szCs w:val="20"/>
          <w:color w:val="auto"/>
        </w:rPr>
      </w:pPr>
      <w:r>
        <w:rPr>
          <w:rFonts w:ascii="Arial" w:cs="Arial" w:eastAsia="Arial" w:hAnsi="Arial"/>
          <w:sz w:val="14"/>
          <w:szCs w:val="14"/>
          <w:color w:val="auto"/>
        </w:rPr>
        <w:t>For the year ended December 31, 2019, net cash used in investing activities was $69.6 million, primarily due to purchases of property and equipment of $69.8 million related to investments in our fleet, partially offset by net proceeds from the sale of investments of $0.2 million.</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Financing Activities.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For the year ended December 31, 2020, net cash provided by financing activities was $101.5 million,</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primarily due to $220.3 million in proceeds from borrowings in connection with the 2019-1 EETC for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purchase of nine aircraft, including seven previously under operating or finance leases, and the refinance of</w:t>
      </w:r>
    </w:p>
    <w:p>
      <w:pPr>
        <w:ind w:left="1160"/>
        <w:spacing w:after="0" w:line="234" w:lineRule="auto"/>
        <w:rPr>
          <w:sz w:val="20"/>
          <w:szCs w:val="20"/>
          <w:color w:val="auto"/>
        </w:rPr>
      </w:pPr>
      <w:r>
        <w:rPr>
          <w:rFonts w:ascii="Arial" w:cs="Arial" w:eastAsia="Arial" w:hAnsi="Arial"/>
          <w:sz w:val="15"/>
          <w:szCs w:val="15"/>
          <w:color w:val="auto"/>
        </w:rPr>
        <w:t>three owned aircraft, $45.0 million in borrowings related to the CARES Act Loan, partially offset by</w:t>
      </w:r>
    </w:p>
    <w:p>
      <w:pPr>
        <w:ind w:left="1160"/>
        <w:spacing w:after="0"/>
        <w:rPr>
          <w:sz w:val="20"/>
          <w:szCs w:val="20"/>
          <w:color w:val="auto"/>
        </w:rPr>
      </w:pPr>
      <w:r>
        <w:rPr>
          <w:rFonts w:ascii="Arial" w:cs="Arial" w:eastAsia="Arial" w:hAnsi="Arial"/>
          <w:sz w:val="14"/>
          <w:szCs w:val="14"/>
          <w:color w:val="auto"/>
        </w:rPr>
        <w:t>$89.7 million of principal payments related to our finance leases, $69.9 million in debt repayments related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refinancing of three owned aircraft, and payment of debt issuance costs of $4.2 million.</w:t>
      </w:r>
    </w:p>
    <w:p>
      <w:pPr>
        <w:spacing w:after="0" w:line="90" w:lineRule="exact"/>
        <w:rPr>
          <w:sz w:val="20"/>
          <w:szCs w:val="20"/>
          <w:color w:val="auto"/>
        </w:rPr>
      </w:pPr>
    </w:p>
    <w:p>
      <w:pPr>
        <w:ind w:left="1160" w:right="1419" w:firstLine="293"/>
        <w:spacing w:after="0" w:line="274" w:lineRule="auto"/>
        <w:rPr>
          <w:sz w:val="20"/>
          <w:szCs w:val="20"/>
          <w:color w:val="auto"/>
        </w:rPr>
      </w:pPr>
      <w:r>
        <w:rPr>
          <w:rFonts w:ascii="Arial" w:cs="Arial" w:eastAsia="Arial" w:hAnsi="Arial"/>
          <w:sz w:val="13"/>
          <w:szCs w:val="13"/>
          <w:color w:val="auto"/>
        </w:rPr>
        <w:t>For the year ended December 31, 2019, net cash provided by financing activities was $27.3 million, primarily due $41.6 million in proceeds from borrowings in connection with the 2019-1 EETC and</w:t>
      </w:r>
    </w:p>
    <w:p>
      <w:pPr>
        <w:ind w:left="1160" w:right="1299"/>
        <w:spacing w:after="0" w:line="233" w:lineRule="auto"/>
        <w:rPr>
          <w:sz w:val="20"/>
          <w:szCs w:val="20"/>
          <w:color w:val="auto"/>
        </w:rPr>
      </w:pPr>
      <w:r>
        <w:rPr>
          <w:rFonts w:ascii="Arial" w:cs="Arial" w:eastAsia="Arial" w:hAnsi="Arial"/>
          <w:sz w:val="15"/>
          <w:szCs w:val="15"/>
          <w:color w:val="auto"/>
        </w:rPr>
        <w:t>$4.7 million of proceeds received for the vesting of warrants issued in connection with the ATSA, partially offset by $8.3 million of principal payments related to our finance leases and $10.2 million in debt repayments.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Year ended December 31, 2019 and Successor and Predecessor 2018 periods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presents information regarding our cash flows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December 31, 2019 and the Successor 2018 and Predecessor 2018 periods:</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gridSpan w:val="4"/>
            <w:vMerge w:val="restart"/>
          </w:tcPr>
          <w:p>
            <w:pPr>
              <w:ind w:left="560"/>
              <w:spacing w:after="0"/>
              <w:rPr>
                <w:sz w:val="20"/>
                <w:szCs w:val="20"/>
                <w:color w:val="auto"/>
              </w:rPr>
            </w:pPr>
            <w:r>
              <w:rPr>
                <w:rFonts w:ascii="Arial" w:cs="Arial" w:eastAsia="Arial" w:hAnsi="Arial"/>
                <w:sz w:val="12"/>
                <w:szCs w:val="12"/>
                <w:b w:val="1"/>
                <w:bCs w:val="1"/>
                <w:color w:val="auto"/>
              </w:rPr>
              <w:t>Successor</w:t>
            </w:r>
          </w:p>
        </w:tc>
        <w:tc>
          <w:tcPr>
            <w:tcW w:w="20" w:type="dxa"/>
            <w:vAlign w:val="bottom"/>
          </w:tcPr>
          <w:p>
            <w:pPr>
              <w:spacing w:after="0"/>
              <w:rPr>
                <w:sz w:val="2"/>
                <w:szCs w:val="2"/>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4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For the period</w:t>
            </w:r>
          </w:p>
        </w:tc>
        <w:tc>
          <w:tcPr>
            <w:tcW w:w="20" w:type="dxa"/>
            <w:vAlign w:val="bottom"/>
            <w:shd w:val="clear" w:color="auto" w:fill="000000"/>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20" w:type="dxa"/>
            <w:vAlign w:val="bottom"/>
            <w:shd w:val="clear" w:color="auto" w:fill="000000"/>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ended</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8"/>
              </w:rPr>
              <w:t>through</w:t>
            </w:r>
          </w:p>
        </w:tc>
        <w:tc>
          <w:tcPr>
            <w:tcW w:w="20" w:type="dxa"/>
            <w:vAlign w:val="bottom"/>
            <w:shd w:val="clear" w:color="auto" w:fill="000000"/>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4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8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20" w:type="dxa"/>
            <w:vAlign w:val="bottom"/>
            <w:shd w:val="clear" w:color="auto" w:fill="000000"/>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4200" w:type="dxa"/>
            <w:vAlign w:val="bottom"/>
            <w:gridSpan w:val="2"/>
            <w:vMerge w:val="continue"/>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rPr>
              <w:t>$ 63,272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rPr>
              <w:t>$ 13,764</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80" w:type="dxa"/>
            <w:vAlign w:val="bottom"/>
            <w:tcBorders>
              <w:left w:val="single" w:sz="8" w:color="CCEEFF"/>
            </w:tcBorders>
            <w:shd w:val="clear" w:color="auto" w:fill="CCEEFF"/>
          </w:tcPr>
          <w:p>
            <w:pPr>
              <w:jc w:val="right"/>
              <w:ind w:right="36"/>
              <w:spacing w:after="0"/>
              <w:rPr>
                <w:sz w:val="20"/>
                <w:szCs w:val="20"/>
                <w:color w:val="auto"/>
              </w:rPr>
            </w:pPr>
            <w:r>
              <w:rPr>
                <w:rFonts w:ascii="Arial" w:cs="Arial" w:eastAsia="Arial" w:hAnsi="Arial"/>
                <w:sz w:val="15"/>
                <w:szCs w:val="15"/>
                <w:color w:val="auto"/>
              </w:rPr>
              <w:t>$  4,583</w:t>
            </w: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5"/>
                <w:szCs w:val="15"/>
                <w:color w:val="auto"/>
              </w:rPr>
              <w:t>Net cash used in investing activities.</w:t>
            </w:r>
          </w:p>
        </w:tc>
        <w:tc>
          <w:tcPr>
            <w:tcW w:w="700" w:type="dxa"/>
            <w:vAlign w:val="bottom"/>
          </w:tcPr>
          <w:p>
            <w:pPr>
              <w:jc w:val="right"/>
              <w:spacing w:after="0"/>
              <w:rPr>
                <w:sz w:val="20"/>
                <w:szCs w:val="20"/>
                <w:color w:val="auto"/>
              </w:rPr>
            </w:pPr>
            <w:r>
              <w:rPr>
                <w:rFonts w:ascii="Arial" w:cs="Arial" w:eastAsia="Arial" w:hAnsi="Arial"/>
                <w:sz w:val="15"/>
                <w:szCs w:val="15"/>
                <w:color w:val="auto"/>
              </w:rPr>
              <w:t>(69,564)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(80,823)</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(2,594)</w:t>
            </w:r>
          </w:p>
        </w:tc>
        <w:tc>
          <w:tcPr>
            <w:tcW w:w="0" w:type="dxa"/>
            <w:vAlign w:val="bottom"/>
          </w:tcPr>
          <w:p>
            <w:pPr>
              <w:spacing w:after="0"/>
              <w:rPr>
                <w:sz w:val="1"/>
                <w:szCs w:val="1"/>
                <w:color w:val="auto"/>
              </w:rPr>
            </w:pPr>
          </w:p>
        </w:tc>
      </w:tr>
      <w:tr>
        <w:trPr>
          <w:trHeight w:val="220"/>
        </w:trPr>
        <w:tc>
          <w:tcPr>
            <w:tcW w:w="4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(used in) financing activities.</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rPr>
              <w:t>27,329</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rPr>
              <w:t>102,193</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-410845</wp:posOffset>
            </wp:positionV>
            <wp:extent cx="10477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-410845</wp:posOffset>
            </wp:positionV>
            <wp:extent cx="11176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-410845</wp:posOffset>
            </wp:positionV>
            <wp:extent cx="11176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24"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For the year ended December 31, 2019, net cash provided by operating activities was $ 63.3 million, primarily due to net income of $46.1 million, increased by depreciation and amortization of $34.9 million related to additional owned and finance leased aircraft, deferred income taxes of $14.0 million, an increase in air traffic liabilities of $11.3 million, and an increase in accounts payable of $9.0 million, partially offset by $14.1 million in amortization of over-market liabilities related to acquisition accounting, an increase in accounts receivable of $ 11.4 million, an increase in lessor maintenance deposits of $17.5 million and mark-to-market losses on fuel derivatives of $10.8 million due to our fuel price hedging activity.</w:t>
      </w:r>
    </w:p>
    <w:p>
      <w:pPr>
        <w:spacing w:after="0" w:line="80" w:lineRule="exact"/>
        <w:rPr>
          <w:sz w:val="20"/>
          <w:szCs w:val="20"/>
          <w:color w:val="auto"/>
        </w:rPr>
      </w:pPr>
    </w:p>
    <w:p>
      <w:pPr>
        <w:jc w:val="both"/>
        <w:ind w:left="1160" w:right="1179" w:firstLine="293"/>
        <w:spacing w:after="0" w:line="294" w:lineRule="auto"/>
        <w:rPr>
          <w:sz w:val="20"/>
          <w:szCs w:val="20"/>
          <w:color w:val="auto"/>
        </w:rPr>
      </w:pPr>
      <w:r>
        <w:rPr>
          <w:rFonts w:ascii="Arial" w:cs="Arial" w:eastAsia="Arial" w:hAnsi="Arial"/>
          <w:sz w:val="13"/>
          <w:szCs w:val="13"/>
          <w:color w:val="auto"/>
        </w:rPr>
        <w:t>For the Successor 2018 period, net cash provided by operating activities was $13.8 million, due to a net loss of $0.4 million, increased by depreciation and amortization of $14.4 million related to additional owned and finance leased aircraft, mark-to-market losses on fuel derivatives of $12.0 million due to our fuel price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0" w:name="page111"/>
    <w:bookmarkEnd w:id="11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spacing w:after="0" w:line="250" w:lineRule="auto"/>
        <w:rPr>
          <w:sz w:val="20"/>
          <w:szCs w:val="20"/>
          <w:color w:val="auto"/>
        </w:rPr>
      </w:pPr>
      <w:r>
        <w:rPr>
          <w:rFonts w:ascii="Arial" w:cs="Arial" w:eastAsia="Arial" w:hAnsi="Arial"/>
          <w:sz w:val="14"/>
          <w:szCs w:val="14"/>
          <w:color w:val="auto"/>
        </w:rPr>
        <w:t>hedging activity, a decrease in accounts receivable of $20.7 million driven by a one- time recovery of amounts held by our credit card processor, and an increase in air traffic liabilities of $33.5 million due to increased operations and higher forward bookings, largely offset by $17.3 million in amortization of over-market liabilities related to acquisition accounting, an increase in lessor maintenance deposits of</w:t>
      </w:r>
    </w:p>
    <w:p>
      <w:pPr>
        <w:ind w:left="1160" w:right="1919"/>
        <w:spacing w:after="0" w:line="236" w:lineRule="auto"/>
        <w:rPr>
          <w:sz w:val="20"/>
          <w:szCs w:val="20"/>
          <w:color w:val="auto"/>
        </w:rPr>
      </w:pPr>
      <w:r>
        <w:rPr>
          <w:rFonts w:ascii="Arial" w:cs="Arial" w:eastAsia="Arial" w:hAnsi="Arial"/>
          <w:sz w:val="15"/>
          <w:szCs w:val="15"/>
          <w:color w:val="auto"/>
        </w:rPr>
        <w:t>$14.2 million, a decrease in accounts payable of $9.7 million, an increase in prepaid expenses of $6.2 million and a decrease in other liabilities of $5.5 million.</w:t>
      </w:r>
    </w:p>
    <w:p>
      <w:pPr>
        <w:spacing w:after="0" w:line="88"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For the Predecessor 2018 period, net cash provided by operating activities was $4.6 million, primarily due to net income of $25.9 million, increased by $2.5 million related to depreciation and amortization, an increase in accounts payable of $21.7 million, a decrease in accounts receivable of $8.1 million, and largely offset by a decrease in air traffic liabilities of $ 34.0 million, an increase in receivable due from the predecessor parent of $7.4 million, an increase in prepaid expenses of $5.5 million and an increase in lessor maintenance deposits of $3.1 million.</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24" w:lineRule="exact"/>
        <w:rPr>
          <w:sz w:val="20"/>
          <w:szCs w:val="20"/>
          <w:color w:val="auto"/>
        </w:rPr>
      </w:pPr>
    </w:p>
    <w:p>
      <w:pPr>
        <w:ind w:left="1160" w:right="1299" w:firstLine="293"/>
        <w:spacing w:after="0" w:line="258" w:lineRule="auto"/>
        <w:rPr>
          <w:sz w:val="20"/>
          <w:szCs w:val="20"/>
          <w:color w:val="auto"/>
        </w:rPr>
      </w:pPr>
      <w:r>
        <w:rPr>
          <w:rFonts w:ascii="Arial" w:cs="Arial" w:eastAsia="Arial" w:hAnsi="Arial"/>
          <w:sz w:val="14"/>
          <w:szCs w:val="14"/>
          <w:color w:val="auto"/>
        </w:rPr>
        <w:t>For the year ended December 31, 2019, net cash used in investing activities was $69.6 million, primarily due to purchases of property and equipment of $69.8 million related to investments in our fleet, partially offset by net proceeds of the sale of investments of $0.2 million due to funding of letters of credit and surety bonds associated with our operations at various airports.</w:t>
      </w:r>
    </w:p>
    <w:p>
      <w:pPr>
        <w:spacing w:after="0" w:line="88"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For the Successor 2018 period, net cash used in investing activities was $80.8 million, primarily due to purchases of property and equipment of $ 78.7 million related to investments in our fleet and other assets during 2018 driven by our transformation plan, including the purchase of three aircraft, and net purchases of investments of $2.1 million.</w:t>
      </w:r>
    </w:p>
    <w:p>
      <w:pPr>
        <w:spacing w:after="0" w:line="9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For the Predecessor 2018 period, net cash used in investing activities was $2.6 million, primarily due to purchases of property and equipment of $2.6 million.</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(Used In) Financing Activities.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For the year ended December 31, 2019, net cash provided by financing activities was $27.3 million,</w:t>
      </w:r>
    </w:p>
    <w:p>
      <w:pPr>
        <w:ind w:left="1160"/>
        <w:spacing w:after="0" w:line="235" w:lineRule="auto"/>
        <w:rPr>
          <w:sz w:val="20"/>
          <w:szCs w:val="20"/>
          <w:color w:val="auto"/>
        </w:rPr>
      </w:pPr>
      <w:r>
        <w:rPr>
          <w:rFonts w:ascii="Arial" w:cs="Arial" w:eastAsia="Arial" w:hAnsi="Arial"/>
          <w:sz w:val="15"/>
          <w:szCs w:val="15"/>
          <w:color w:val="auto"/>
        </w:rPr>
        <w:t>primarily due to $41.6 million in proceeds from borrowings in connection with the 2019-1 EETC and</w:t>
      </w:r>
    </w:p>
    <w:p>
      <w:pPr>
        <w:ind w:left="1160"/>
        <w:spacing w:after="0" w:line="229" w:lineRule="auto"/>
        <w:rPr>
          <w:sz w:val="20"/>
          <w:szCs w:val="20"/>
          <w:color w:val="auto"/>
        </w:rPr>
      </w:pPr>
      <w:r>
        <w:rPr>
          <w:rFonts w:ascii="Arial" w:cs="Arial" w:eastAsia="Arial" w:hAnsi="Arial"/>
          <w:sz w:val="15"/>
          <w:szCs w:val="15"/>
          <w:color w:val="auto"/>
        </w:rPr>
        <w:t>$4.7 million of proceeds received for the vesting of warrants issued in connection with the ATSA, partially</w:t>
      </w:r>
    </w:p>
    <w:p>
      <w:pPr>
        <w:ind w:left="1160"/>
        <w:spacing w:after="0" w:line="229" w:lineRule="auto"/>
        <w:rPr>
          <w:sz w:val="20"/>
          <w:szCs w:val="20"/>
          <w:color w:val="auto"/>
        </w:rPr>
      </w:pPr>
      <w:r>
        <w:rPr>
          <w:rFonts w:ascii="Arial" w:cs="Arial" w:eastAsia="Arial" w:hAnsi="Arial"/>
          <w:sz w:val="15"/>
          <w:szCs w:val="15"/>
          <w:color w:val="auto"/>
        </w:rPr>
        <w:t>offset by $8.3 million of principal payments related to our finance leases and $10.2 million in debt</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repayments.</w:t>
      </w:r>
    </w:p>
    <w:p>
      <w:pPr>
        <w:spacing w:after="0" w:line="101" w:lineRule="exact"/>
        <w:rPr>
          <w:sz w:val="20"/>
          <w:szCs w:val="20"/>
          <w:color w:val="auto"/>
        </w:rPr>
      </w:pPr>
    </w:p>
    <w:p>
      <w:pPr>
        <w:ind w:left="1160" w:right="1259" w:firstLine="293"/>
        <w:spacing w:after="0" w:line="236" w:lineRule="auto"/>
        <w:rPr>
          <w:sz w:val="20"/>
          <w:szCs w:val="20"/>
          <w:color w:val="auto"/>
        </w:rPr>
      </w:pPr>
      <w:r>
        <w:rPr>
          <w:rFonts w:ascii="Arial" w:cs="Arial" w:eastAsia="Arial" w:hAnsi="Arial"/>
          <w:sz w:val="15"/>
          <w:szCs w:val="15"/>
          <w:color w:val="auto"/>
        </w:rPr>
        <w:t>For the Successor 2018 period, net cash provided by financing activities was $102.2 million, primarily due to SCA common stockholders’ capital contributions of $47.9 million and $63.3 million in proceeds from borrowings, partially offset by $3.2 million of principal repayments of capital lease liabilities and $5.9 million in debt repayments.</w:t>
      </w:r>
    </w:p>
    <w:p>
      <w:pPr>
        <w:spacing w:after="0" w:line="91"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For the Predecessor 2018 period, net cash used in financing activities was $10.7 million, primarily due to cash distributions to SCA common stockholders of $10.5 million.</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Commitments and Contractual Obligations</w:t>
      </w:r>
    </w:p>
    <w:p>
      <w:pPr>
        <w:spacing w:after="0" w:line="128"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color w:val="auto"/>
        </w:rPr>
        <w:t>We have contractual obligations comprised of aircraft leases and supplemental maintenance reserves, payment of debt and interest and other lease arrangements. As of June 30, 2021 we also have a contractual obligation to pay our pre -IPO stockholders under the terms of the income tax receivable agreement. The following table includes our contractual obligations as of December 31, 2020 for the periods in which payments are due:</w:t>
      </w:r>
    </w:p>
    <w:p>
      <w:pPr>
        <w:spacing w:after="0" w:line="105"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2022–2023</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2024– 2025</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Thereafter</w:t>
            </w:r>
          </w:p>
        </w:tc>
        <w:tc>
          <w:tcPr>
            <w:tcW w:w="1580" w:type="dxa"/>
            <w:vAlign w:val="bottom"/>
            <w:gridSpan w:val="2"/>
          </w:tcPr>
          <w:p>
            <w:pPr>
              <w:jc w:val="right"/>
              <w:ind w:right="1180"/>
              <w:spacing w:after="0"/>
              <w:rPr>
                <w:sz w:val="20"/>
                <w:szCs w:val="20"/>
                <w:color w:val="auto"/>
              </w:rPr>
            </w:pPr>
            <w:r>
              <w:rPr>
                <w:rFonts w:ascii="Arial" w:cs="Arial" w:eastAsia="Arial" w:hAnsi="Arial"/>
                <w:sz w:val="12"/>
                <w:szCs w:val="12"/>
                <w:b w:val="1"/>
                <w:bCs w:val="1"/>
                <w:color w:val="auto"/>
              </w:rPr>
              <w:t>Total</w:t>
            </w:r>
          </w:p>
        </w:tc>
      </w:tr>
      <w:tr>
        <w:trPr>
          <w:trHeight w:val="21"/>
        </w:trPr>
        <w:tc>
          <w:tcPr>
            <w:tcW w:w="10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3120" w:type="dxa"/>
            <w:vAlign w:val="bottom"/>
            <w:gridSpan w:val="2"/>
            <w:shd w:val="clear" w:color="auto" w:fill="CCEEFF"/>
          </w:tcPr>
          <w:p>
            <w:pPr>
              <w:spacing w:after="0" w:line="200" w:lineRule="exact"/>
              <w:rPr>
                <w:sz w:val="20"/>
                <w:szCs w:val="20"/>
                <w:color w:val="auto"/>
              </w:rPr>
            </w:pPr>
            <w:r>
              <w:rPr>
                <w:rFonts w:ascii="Arial" w:cs="Arial" w:eastAsia="Arial" w:hAnsi="Arial"/>
                <w:sz w:val="15"/>
                <w:szCs w:val="15"/>
                <w:color w:val="auto"/>
              </w:rPr>
              <w:t>Current and long-term debt</w:t>
            </w:r>
            <w:r>
              <w:rPr>
                <w:rFonts w:ascii="Arial" w:cs="Arial" w:eastAsia="Arial" w:hAnsi="Arial"/>
                <w:sz w:val="19"/>
                <w:szCs w:val="19"/>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26,928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72,665</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$132,469</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53,739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$285,801</w:t>
            </w:r>
          </w:p>
        </w:tc>
        <w:tc>
          <w:tcPr>
            <w:tcW w:w="1020" w:type="dxa"/>
            <w:vAlign w:val="bottom"/>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3120" w:type="dxa"/>
            <w:vAlign w:val="bottom"/>
            <w:gridSpan w:val="2"/>
          </w:tcPr>
          <w:p>
            <w:pPr>
              <w:spacing w:after="0" w:line="209" w:lineRule="exact"/>
              <w:rPr>
                <w:sz w:val="20"/>
                <w:szCs w:val="20"/>
                <w:color w:val="auto"/>
              </w:rPr>
            </w:pPr>
            <w:r>
              <w:rPr>
                <w:rFonts w:ascii="Arial" w:cs="Arial" w:eastAsia="Arial" w:hAnsi="Arial"/>
                <w:sz w:val="15"/>
                <w:szCs w:val="15"/>
                <w:color w:val="auto"/>
              </w:rPr>
              <w:t>Interest obligations</w:t>
            </w:r>
            <w:r>
              <w:rPr>
                <w:rFonts w:ascii="Arial" w:cs="Arial" w:eastAsia="Arial" w:hAnsi="Arial"/>
                <w:sz w:val="19"/>
                <w:szCs w:val="19"/>
                <w:color w:val="auto"/>
                <w:vertAlign w:val="superscript"/>
              </w:rPr>
              <w:t>(2)</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14,678</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25,651</w:t>
            </w:r>
          </w:p>
        </w:tc>
        <w:tc>
          <w:tcPr>
            <w:tcW w:w="560" w:type="dxa"/>
            <w:vAlign w:val="bottom"/>
          </w:tcPr>
          <w:p>
            <w:pPr>
              <w:jc w:val="right"/>
              <w:spacing w:after="0"/>
              <w:rPr>
                <w:sz w:val="20"/>
                <w:szCs w:val="20"/>
                <w:color w:val="auto"/>
              </w:rPr>
            </w:pPr>
            <w:r>
              <w:rPr>
                <w:rFonts w:ascii="Arial" w:cs="Arial" w:eastAsia="Arial" w:hAnsi="Arial"/>
                <w:sz w:val="15"/>
                <w:szCs w:val="15"/>
                <w:color w:val="auto"/>
              </w:rPr>
              <w:t>12,737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3,146</w:t>
            </w: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56,212</w:t>
            </w:r>
          </w:p>
        </w:tc>
      </w:tr>
      <w:tr>
        <w:trPr>
          <w:trHeight w:val="209"/>
        </w:trPr>
        <w:tc>
          <w:tcPr>
            <w:tcW w:w="1020" w:type="dxa"/>
            <w:vAlign w:val="bottom"/>
          </w:tcPr>
          <w:p>
            <w:pPr>
              <w:spacing w:after="0"/>
              <w:rPr>
                <w:sz w:val="18"/>
                <w:szCs w:val="18"/>
                <w:color w:val="auto"/>
              </w:rPr>
            </w:pPr>
          </w:p>
        </w:tc>
        <w:tc>
          <w:tcPr>
            <w:tcW w:w="312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Operating lease obligations</w:t>
            </w:r>
            <w:r>
              <w:rPr>
                <w:rFonts w:ascii="Arial" w:cs="Arial" w:eastAsia="Arial" w:hAnsi="Arial"/>
                <w:sz w:val="19"/>
                <w:szCs w:val="19"/>
                <w:color w:val="auto"/>
                <w:vertAlign w:val="superscript"/>
              </w:rPr>
              <w:t>(3)</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41,969</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71,082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37,038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13,293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163,382</w:t>
            </w:r>
          </w:p>
        </w:tc>
        <w:tc>
          <w:tcPr>
            <w:tcW w:w="1020" w:type="dxa"/>
            <w:vAlign w:val="bottom"/>
          </w:tcPr>
          <w:p>
            <w:pPr>
              <w:spacing w:after="0"/>
              <w:rPr>
                <w:sz w:val="18"/>
                <w:szCs w:val="18"/>
                <w:color w:val="auto"/>
              </w:rPr>
            </w:pPr>
          </w:p>
        </w:tc>
      </w:tr>
      <w:tr>
        <w:trPr>
          <w:trHeight w:val="214"/>
        </w:trPr>
        <w:tc>
          <w:tcPr>
            <w:tcW w:w="10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Finance lease obligations.</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17,572</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30,920</w:t>
            </w:r>
          </w:p>
        </w:tc>
        <w:tc>
          <w:tcPr>
            <w:tcW w:w="560" w:type="dxa"/>
            <w:vAlign w:val="bottom"/>
          </w:tcPr>
          <w:p>
            <w:pPr>
              <w:jc w:val="right"/>
              <w:spacing w:after="0"/>
              <w:rPr>
                <w:sz w:val="20"/>
                <w:szCs w:val="20"/>
                <w:color w:val="auto"/>
              </w:rPr>
            </w:pPr>
            <w:r>
              <w:rPr>
                <w:rFonts w:ascii="Arial" w:cs="Arial" w:eastAsia="Arial" w:hAnsi="Arial"/>
                <w:sz w:val="15"/>
                <w:szCs w:val="15"/>
                <w:color w:val="auto"/>
              </w:rPr>
              <w:t>37,666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52,949</w:t>
            </w: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w w:val="99"/>
              </w:rPr>
              <w:t>139,107</w:t>
            </w:r>
          </w:p>
        </w:tc>
      </w:tr>
      <w:tr>
        <w:trPr>
          <w:trHeight w:val="20"/>
        </w:trPr>
        <w:tc>
          <w:tcPr>
            <w:tcW w:w="10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101,147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200,318</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$219,910</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123,127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$644,502</w:t>
            </w:r>
          </w:p>
        </w:tc>
        <w:tc>
          <w:tcPr>
            <w:tcW w:w="1020" w:type="dxa"/>
            <w:vAlign w:val="bottom"/>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9"/>
        </w:trPr>
        <w:tc>
          <w:tcPr>
            <w:tcW w:w="1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169"/>
              <w:spacing w:after="0"/>
              <w:rPr>
                <w:sz w:val="20"/>
                <w:szCs w:val="20"/>
                <w:color w:val="auto"/>
              </w:rPr>
            </w:pPr>
            <w:r>
              <w:rPr>
                <w:rFonts w:ascii="Arial" w:cs="Arial" w:eastAsia="Arial" w:hAnsi="Arial"/>
                <w:sz w:val="15"/>
                <w:szCs w:val="15"/>
                <w:color w:val="auto"/>
                <w:w w:val="87"/>
              </w:rPr>
              <w:t>104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-711200</wp:posOffset>
            </wp:positionV>
            <wp:extent cx="11874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-711200</wp:posOffset>
            </wp:positionV>
            <wp:extent cx="12573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-711200</wp:posOffset>
            </wp:positionV>
            <wp:extent cx="11874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-711200</wp:posOffset>
            </wp:positionV>
            <wp:extent cx="245554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45554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-1255395</wp:posOffset>
            </wp:positionV>
            <wp:extent cx="11176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-1255395</wp:posOffset>
            </wp:positionV>
            <wp:extent cx="11176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-1255395</wp:posOffset>
            </wp:positionV>
            <wp:extent cx="11176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-1255395</wp:posOffset>
            </wp:positionV>
            <wp:extent cx="11176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-1255395</wp:posOffset>
            </wp:positionV>
            <wp:extent cx="111760"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1" w:name="page112"/>
    <w:bookmarkEnd w:id="11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425450</wp:posOffset>
            </wp:positionV>
            <wp:extent cx="44640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60" w:hanging="296"/>
        <w:spacing w:after="0"/>
        <w:tabs>
          <w:tab w:leader="none" w:pos="1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Includes principal portion only, exclusive of deferred financing costs.</w:t>
      </w:r>
    </w:p>
    <w:p>
      <w:pPr>
        <w:spacing w:after="0" w:line="58" w:lineRule="exact"/>
        <w:rPr>
          <w:rFonts w:ascii="Arial" w:cs="Arial" w:eastAsia="Arial" w:hAnsi="Arial"/>
          <w:sz w:val="15"/>
          <w:szCs w:val="15"/>
          <w:color w:val="auto"/>
        </w:rPr>
      </w:pPr>
    </w:p>
    <w:p>
      <w:pPr>
        <w:ind w:left="1460" w:hanging="296"/>
        <w:spacing w:after="0"/>
        <w:tabs>
          <w:tab w:leader="none" w:pos="1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interest on current and long-term debt.</w:t>
      </w:r>
    </w:p>
    <w:p>
      <w:pPr>
        <w:spacing w:after="0" w:line="36" w:lineRule="exact"/>
        <w:rPr>
          <w:rFonts w:ascii="Arial" w:cs="Arial" w:eastAsia="Arial" w:hAnsi="Arial"/>
          <w:sz w:val="15"/>
          <w:szCs w:val="15"/>
          <w:color w:val="auto"/>
        </w:rPr>
      </w:pPr>
    </w:p>
    <w:p>
      <w:pPr>
        <w:ind w:left="1460" w:right="1439" w:hanging="296"/>
        <w:spacing w:after="0" w:line="236" w:lineRule="auto"/>
        <w:tabs>
          <w:tab w:leader="none" w:pos="1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non-cancelable contractual payment commitments for aircraft and engines, and includes non-aircraft operating lease obligations.</w:t>
      </w:r>
    </w:p>
    <w:p>
      <w:pPr>
        <w:spacing w:after="0" w:line="100"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In connection with our initial public offering, we entered into an income tax receivable agreement with our pre-IPO stockholders. The agreement provides for the payment by the Company to the pre-IPO stockholders of 85% of the amount of cash savings, if any, in U.S. federal, state, local, and foreign income tax that the Company realizes.</w:t>
      </w:r>
    </w:p>
    <w:p>
      <w:pPr>
        <w:spacing w:after="0" w:line="91"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addition, our aircraft leases require that we make maintenance reserve payments to cover the cost of major scheduled maintenance for these aircraft. These payments are generally variable as they are based on utilization of the aircraft, including the number of flight hours flown and/or flight departures, and are not included as minimal rental obligations in the table above. As of June 30, 2021, we estimate our obligation for maintenance reserve payments to be $ 159 million in total, including $16 million in 2021, $48 million for 2022 and 2023, $42 million for 2024 and 2025, and $54 million thereafter. We used a portion of the proceeds from our initial public offering to repay in full all amounts outstanding under the CARES Act Loan on March 24, 2021.</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Off Balance Sheet Arrangements</w:t>
      </w:r>
    </w:p>
    <w:p>
      <w:pPr>
        <w:spacing w:after="0" w:line="128"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i w:val="1"/>
          <w:iCs w:val="1"/>
          <w:color w:val="auto"/>
        </w:rPr>
        <w:t>Indemnities</w:t>
      </w:r>
      <w:r>
        <w:rPr>
          <w:rFonts w:ascii="Arial" w:cs="Arial" w:eastAsia="Arial" w:hAnsi="Arial"/>
          <w:sz w:val="14"/>
          <w:szCs w:val="14"/>
          <w:color w:val="auto"/>
        </w:rPr>
        <w:t>. Our aircraft, equipment and other leases and certain operating agreements typically</w:t>
      </w:r>
      <w:r>
        <w:rPr>
          <w:rFonts w:ascii="Arial" w:cs="Arial" w:eastAsia="Arial" w:hAnsi="Arial"/>
          <w:sz w:val="14"/>
          <w:szCs w:val="14"/>
          <w:i w:val="1"/>
          <w:iCs w:val="1"/>
          <w:color w:val="auto"/>
        </w:rPr>
        <w:t xml:space="preserve"> </w:t>
      </w:r>
      <w:r>
        <w:rPr>
          <w:rFonts w:ascii="Arial" w:cs="Arial" w:eastAsia="Arial" w:hAnsi="Arial"/>
          <w:sz w:val="14"/>
          <w:szCs w:val="14"/>
          <w:color w:val="auto"/>
        </w:rPr>
        <w:t>contain provisions requiring us, as the lessee, to 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90"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Certain of our aircraft and other financing transactions also include provisions that require us to make payments to preserve an expected economic return to the lenders if that economic return is diminished due to certain changes in law or regulations. In certain of these financing transactions and other agreements, we also bear the risk of certain changes in tax laws that would subject payments to non-U.S. entities to withholding taxes.</w:t>
      </w:r>
    </w:p>
    <w:p>
      <w:pPr>
        <w:spacing w:after="0" w:line="89"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Certain of these indemnities survive the length of the related lease. We cannot reasonably estimate our potential future payments under the indemnities and related provisions described above because we cannot predict when and under what circumstances these provisions may be triggered and the amount that would be payable if the provisions were triggered because the amounts would be based on facts and circumstances existing at such time.</w:t>
      </w:r>
    </w:p>
    <w:p>
      <w:pPr>
        <w:spacing w:after="0" w:line="100" w:lineRule="exact"/>
        <w:rPr>
          <w:sz w:val="20"/>
          <w:szCs w:val="20"/>
          <w:color w:val="auto"/>
        </w:rPr>
      </w:pPr>
    </w:p>
    <w:p>
      <w:pPr>
        <w:ind w:left="1160" w:right="1239" w:firstLine="293"/>
        <w:spacing w:after="0" w:line="270" w:lineRule="auto"/>
        <w:rPr>
          <w:sz w:val="20"/>
          <w:szCs w:val="20"/>
          <w:color w:val="auto"/>
        </w:rPr>
      </w:pPr>
      <w:r>
        <w:rPr>
          <w:rFonts w:ascii="Arial" w:cs="Arial" w:eastAsia="Arial" w:hAnsi="Arial"/>
          <w:sz w:val="13"/>
          <w:szCs w:val="13"/>
          <w:i w:val="1"/>
          <w:iCs w:val="1"/>
          <w:color w:val="auto"/>
        </w:rPr>
        <w:t>Pass-Through Trusts</w:t>
      </w:r>
      <w:r>
        <w:rPr>
          <w:rFonts w:ascii="Arial" w:cs="Arial" w:eastAsia="Arial" w:hAnsi="Arial"/>
          <w:sz w:val="13"/>
          <w:szCs w:val="13"/>
          <w:color w:val="auto"/>
        </w:rPr>
        <w:t>. We have equipment notes outstanding issued under the 2019-1 EETC.</w:t>
      </w:r>
      <w:r>
        <w:rPr>
          <w:rFonts w:ascii="Arial" w:cs="Arial" w:eastAsia="Arial" w:hAnsi="Arial"/>
          <w:sz w:val="13"/>
          <w:szCs w:val="13"/>
          <w:i w:val="1"/>
          <w:iCs w:val="1"/>
          <w:color w:val="auto"/>
        </w:rPr>
        <w:t xml:space="preserve"> </w:t>
      </w:r>
      <w:r>
        <w:rPr>
          <w:rFonts w:ascii="Arial" w:cs="Arial" w:eastAsia="Arial" w:hAnsi="Arial"/>
          <w:sz w:val="13"/>
          <w:szCs w:val="13"/>
          <w:color w:val="auto"/>
        </w:rPr>
        <w:t>Generally, the structure of 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Proceeds received from the sale of pass-through certificates may be initially held by a depositary in escrow for the benefit of the certificate holders until we issue equipment notes to the trust, which purchases such notes with a portion of the escrowed funds. These escrowed funds are not guaranteed by us and are not reported as debt on our consolidated balance sheets because the proceeds held by the depositary are not our assets. We record the debt obligation upon issuance of the equipment notes rather than upon the initial issuance of the pass-through certificates.</w:t>
      </w:r>
    </w:p>
    <w:p>
      <w:pPr>
        <w:spacing w:after="0" w:line="73" w:lineRule="exact"/>
        <w:rPr>
          <w:sz w:val="20"/>
          <w:szCs w:val="20"/>
          <w:color w:val="auto"/>
        </w:rPr>
      </w:pPr>
    </w:p>
    <w:p>
      <w:pPr>
        <w:ind w:left="1160" w:right="1219" w:firstLine="293"/>
        <w:spacing w:after="0" w:line="276" w:lineRule="auto"/>
        <w:rPr>
          <w:sz w:val="20"/>
          <w:szCs w:val="20"/>
          <w:color w:val="auto"/>
        </w:rPr>
      </w:pPr>
      <w:r>
        <w:rPr>
          <w:rFonts w:ascii="Arial" w:cs="Arial" w:eastAsia="Arial" w:hAnsi="Arial"/>
          <w:sz w:val="13"/>
          <w:szCs w:val="13"/>
          <w:i w:val="1"/>
          <w:iCs w:val="1"/>
          <w:color w:val="auto"/>
        </w:rPr>
        <w:t>Fuel Consortia</w:t>
      </w:r>
      <w:r>
        <w:rPr>
          <w:rFonts w:ascii="Arial" w:cs="Arial" w:eastAsia="Arial" w:hAnsi="Arial"/>
          <w:sz w:val="13"/>
          <w:szCs w:val="13"/>
          <w:color w:val="auto"/>
        </w:rPr>
        <w:t>. We currently participate in fuel consortia at Minneapolis-Saint Paul International</w:t>
      </w:r>
      <w:r>
        <w:rPr>
          <w:rFonts w:ascii="Arial" w:cs="Arial" w:eastAsia="Arial" w:hAnsi="Arial"/>
          <w:sz w:val="13"/>
          <w:szCs w:val="13"/>
          <w:i w:val="1"/>
          <w:iCs w:val="1"/>
          <w:color w:val="auto"/>
        </w:rPr>
        <w:t xml:space="preserve"> </w:t>
      </w:r>
      <w:r>
        <w:rPr>
          <w:rFonts w:ascii="Arial" w:cs="Arial" w:eastAsia="Arial" w:hAnsi="Arial"/>
          <w:sz w:val="13"/>
          <w:szCs w:val="13"/>
          <w:color w:val="auto"/>
        </w:rPr>
        <w:t>Airport, Las Vegas International Airport, Dallas-Fort Worth International Airport, San Diego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Any costs (including remediation and spill response costs)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2" w:name="page113"/>
    <w:bookmarkEnd w:id="11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8" w:lineRule="auto"/>
        <w:rPr>
          <w:sz w:val="20"/>
          <w:szCs w:val="20"/>
          <w:color w:val="auto"/>
        </w:rPr>
      </w:pPr>
      <w:r>
        <w:rPr>
          <w:rFonts w:ascii="Arial" w:cs="Arial" w:eastAsia="Arial" w:hAnsi="Arial"/>
          <w:sz w:val="14"/>
          <w:szCs w:val="14"/>
          <w:color w:val="auto"/>
        </w:rPr>
        <w:t>incurred by such fuel consortia above insured amounts, where applicable, could also have an adverse impact on our business, results of operations and financial condition.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consolidated balance sheets. Our participation generally represents a small percentage of the overall fuel consortia interests, so our exposure would be limited to our proportional share of the fuel consortia’s overall costs; therefore, no liabilities related to any guarantees were recorded at the time the indirect guarantees were made. There are no assets or liabilities on our balance sheets related to these VIEs, since our participation is limited to purchasing aircraft fuel. Our maximum exposure to loss cannot be quantified but would be immaterial, given our minor proportional share of the fuel consortia’s overall costs. Third parties have not made any guarantees, liquidity arrangements or other commitment that impact our interests in the fuel VIEs. Additionally, we may withdraw from the agreements at any time, subject to compliance with certain provisions of the agreements.</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have no other off-balance sheet arrangements.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28" w:lineRule="exact"/>
        <w:rPr>
          <w:sz w:val="20"/>
          <w:szCs w:val="20"/>
          <w:color w:val="auto"/>
        </w:rPr>
      </w:pPr>
    </w:p>
    <w:p>
      <w:pPr>
        <w:ind w:left="1160" w:right="1459" w:firstLine="293"/>
        <w:spacing w:after="0" w:line="274" w:lineRule="auto"/>
        <w:rPr>
          <w:sz w:val="20"/>
          <w:szCs w:val="20"/>
          <w:color w:val="auto"/>
        </w:rPr>
      </w:pPr>
      <w:r>
        <w:rPr>
          <w:rFonts w:ascii="Arial" w:cs="Arial" w:eastAsia="Arial" w:hAnsi="Arial"/>
          <w:sz w:val="13"/>
          <w:szCs w:val="13"/>
          <w:color w:val="auto"/>
        </w:rPr>
        <w:t>Our financial position and results of operations are affected by significant judgments and estimates made by management in accordance with GAAP. These estimates are based on historical experience and varying assumptions and conditions. Consequently, actual results could differ from estimates. Critical accounting policies and estimates are defined as those policies that reflect significant judgments or estimates about matters both inherently uncertain and material to our financial condition or results of operations. For a detailed discussion of our significant accounting policies, see Note 2 to our audited consolidated financial statements included elsewhere in this prospectus for additional information.</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24" w:lineRule="exact"/>
        <w:rPr>
          <w:sz w:val="20"/>
          <w:szCs w:val="20"/>
          <w:color w:val="auto"/>
        </w:rPr>
      </w:pPr>
    </w:p>
    <w:p>
      <w:pPr>
        <w:ind w:left="1160" w:right="1219" w:firstLine="293"/>
        <w:spacing w:after="0" w:line="252" w:lineRule="auto"/>
        <w:rPr>
          <w:sz w:val="20"/>
          <w:szCs w:val="20"/>
          <w:color w:val="auto"/>
        </w:rPr>
      </w:pPr>
      <w:r>
        <w:rPr>
          <w:rFonts w:ascii="Arial" w:cs="Arial" w:eastAsia="Arial" w:hAnsi="Arial"/>
          <w:sz w:val="14"/>
          <w:szCs w:val="14"/>
          <w:i w:val="1"/>
          <w:iCs w:val="1"/>
          <w:color w:val="auto"/>
        </w:rPr>
        <w:t>Scheduled Service and Ancillary Revenue</w:t>
      </w:r>
      <w:r>
        <w:rPr>
          <w:rFonts w:ascii="Arial" w:cs="Arial" w:eastAsia="Arial" w:hAnsi="Arial"/>
          <w:sz w:val="14"/>
          <w:szCs w:val="14"/>
          <w:color w:val="auto"/>
        </w:rPr>
        <w:t>. We generate the majority of our revenue from sales of</w:t>
      </w:r>
      <w:r>
        <w:rPr>
          <w:rFonts w:ascii="Arial" w:cs="Arial" w:eastAsia="Arial" w:hAnsi="Arial"/>
          <w:sz w:val="14"/>
          <w:szCs w:val="14"/>
          <w:i w:val="1"/>
          <w:iCs w:val="1"/>
          <w:color w:val="auto"/>
        </w:rPr>
        <w:t xml:space="preserve"> </w:t>
      </w:r>
      <w:r>
        <w:rPr>
          <w:rFonts w:ascii="Arial" w:cs="Arial" w:eastAsia="Arial" w:hAnsi="Arial"/>
          <w:sz w:val="14"/>
          <w:szCs w:val="14"/>
          <w:color w:val="auto"/>
        </w:rPr>
        <w:t>passenger tickets and ancillary services along with charter sales. We initially defer ticket sales as an air traffic liability and recognize revenue when the passenger flight occurs. An unused nonrefundable ticket expires at the date of scheduled travel. Customers may elect to change their itinerary prior to departure. The amount remaining after deducting any applicable change fee is a credit that can currently be used towards the purchase of a new ticket for up to 12 months after the date of original purchase. The recorded value of the credit is calculated based on the original value less the change fee.</w:t>
      </w:r>
    </w:p>
    <w:p>
      <w:pPr>
        <w:spacing w:after="0" w:line="80"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We estimate and record breakage for unused tickets (where the ticket is not used and not extended, the customer is deemed a “no show” and the ticket is no longer valid) and travel credits we expect will expire unused. Estimating the amount of breakage involves subjectivity and judgment. These estimates are based on our historical experience of no-show tickets and travel credits and consider other facts, such as recent aging trends, program changes and modifications that could affect the ultimate usage patterns of tickets and travel credits.</w:t>
      </w:r>
    </w:p>
    <w:p>
      <w:pPr>
        <w:spacing w:after="0" w:line="101" w:lineRule="exact"/>
        <w:rPr>
          <w:sz w:val="20"/>
          <w:szCs w:val="20"/>
          <w:color w:val="auto"/>
        </w:rPr>
      </w:pPr>
    </w:p>
    <w:p>
      <w:pPr>
        <w:ind w:left="1160" w:right="1179" w:firstLine="293"/>
        <w:spacing w:after="0" w:line="236" w:lineRule="auto"/>
        <w:rPr>
          <w:sz w:val="20"/>
          <w:szCs w:val="20"/>
          <w:color w:val="auto"/>
        </w:rPr>
      </w:pPr>
      <w:r>
        <w:rPr>
          <w:rFonts w:ascii="Arial" w:cs="Arial" w:eastAsia="Arial" w:hAnsi="Arial"/>
          <w:sz w:val="15"/>
          <w:szCs w:val="15"/>
          <w:color w:val="auto"/>
        </w:rPr>
        <w:t>We estimate and record breakage for travel credits we expect will expire unused. Estimating the amount of breakage involves subjectivity and judgment. These estimates are based on our historical experience of unused travel credits and consider other factors, such as recent aging trends, program changes and modifications that could affect the ultimate usage patterns of travel credits.</w:t>
      </w:r>
    </w:p>
    <w:p>
      <w:pPr>
        <w:spacing w:after="0" w:line="102"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 xml:space="preserve">Effective January 1, 2019, we adopted Accounting Standards Update (“ASU”) 2014-09,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 (Topic 606)</w:t>
      </w:r>
      <w:r>
        <w:rPr>
          <w:rFonts w:ascii="Arial" w:cs="Arial" w:eastAsia="Arial" w:hAnsi="Arial"/>
          <w:sz w:val="15"/>
          <w:szCs w:val="15"/>
          <w:color w:val="auto"/>
        </w:rPr>
        <w:t>. The adoption of ASC 606 impacts the timing of recognition of</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fees and changes our accounting for outstanding loyalty points earned through travel by Sun Country Reward loyalty program members. There is no change in accounting for loyalty points transferred to our co-branded card partner as these have historically been reported in accordance with ASC 606. Through December 31, 2018, we used the incremental cost method to account for the portion of the loyalty program liability related to points earned through travel, which were valued based on the estimated incremental cost of carrying one additional passenger. ASC 606 required us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3" w:name="page114"/>
    <w:bookmarkEnd w:id="11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79" w:firstLine="293"/>
        <w:spacing w:after="0" w:line="239" w:lineRule="auto"/>
        <w:rPr>
          <w:sz w:val="20"/>
          <w:szCs w:val="20"/>
          <w:color w:val="auto"/>
        </w:rPr>
      </w:pPr>
      <w:r>
        <w:rPr>
          <w:rFonts w:ascii="Arial" w:cs="Arial" w:eastAsia="Arial" w:hAnsi="Arial"/>
          <w:sz w:val="15"/>
          <w:szCs w:val="15"/>
          <w:color w:val="auto"/>
        </w:rPr>
        <w:t>Upon adoption of ASC 606, we reclassified certain ancillary revenues from Other Revenue to Passenger Revenue. In addition, certain fees previously recognized when incurred by the customer are deferred and recognized as revenue when passenger travel is provided.</w:t>
      </w:r>
    </w:p>
    <w:p>
      <w:pPr>
        <w:spacing w:after="0" w:line="89"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 xml:space="preserve">We recognize ancillary revenue for baggage fees, seat selection fees, and on-board sales when the associated flight occurs. Prior to adoption of ASC 606, we recognized change fees as the transactions occurred. Under ASC 606, change fees are deferred and recognized when the passenger travel is provided. Fees sold in advance of the flight date are initially recorded as an air traffic liability. Ancillary revenue also includes services not directly related to providing transportation, such as revenue from our Sun Country Rewards program, as described below in “— </w:t>
      </w:r>
      <w:r>
        <w:rPr>
          <w:rFonts w:ascii="Arial" w:cs="Arial" w:eastAsia="Arial" w:hAnsi="Arial"/>
          <w:sz w:val="14"/>
          <w:szCs w:val="14"/>
          <w:i w:val="1"/>
          <w:iCs w:val="1"/>
          <w:color w:val="auto"/>
        </w:rPr>
        <w:t>Frequent Flyer Program</w:t>
      </w:r>
      <w:r>
        <w:rPr>
          <w:rFonts w:ascii="Arial" w:cs="Arial" w:eastAsia="Arial" w:hAnsi="Arial"/>
          <w:sz w:val="14"/>
          <w:szCs w:val="14"/>
          <w:color w:val="auto"/>
        </w:rPr>
        <w:t>.”</w:t>
      </w:r>
    </w:p>
    <w:p>
      <w:pPr>
        <w:spacing w:after="0" w:line="91"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i w:val="1"/>
          <w:iCs w:val="1"/>
          <w:color w:val="auto"/>
        </w:rPr>
        <w:t>Charter Service Revenue</w:t>
      </w:r>
      <w:r>
        <w:rPr>
          <w:rFonts w:ascii="Arial" w:cs="Arial" w:eastAsia="Arial" w:hAnsi="Arial"/>
          <w:sz w:val="15"/>
          <w:szCs w:val="15"/>
          <w:color w:val="auto"/>
        </w:rPr>
        <w:t>. Charter revenue is recognized at the time of departure when transportation</w:t>
      </w:r>
      <w:r>
        <w:rPr>
          <w:rFonts w:ascii="Arial" w:cs="Arial" w:eastAsia="Arial" w:hAnsi="Arial"/>
          <w:sz w:val="15"/>
          <w:szCs w:val="15"/>
          <w:i w:val="1"/>
          <w:iCs w:val="1"/>
          <w:color w:val="auto"/>
        </w:rPr>
        <w:t xml:space="preserve"> </w:t>
      </w:r>
      <w:r>
        <w:rPr>
          <w:rFonts w:ascii="Arial" w:cs="Arial" w:eastAsia="Arial" w:hAnsi="Arial"/>
          <w:sz w:val="15"/>
          <w:szCs w:val="15"/>
          <w:color w:val="auto"/>
        </w:rPr>
        <w:t>is provided.</w:t>
      </w:r>
    </w:p>
    <w:p>
      <w:pPr>
        <w:spacing w:after="0" w:line="94"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i w:val="1"/>
          <w:iCs w:val="1"/>
          <w:color w:val="auto"/>
        </w:rPr>
        <w:t>Cargo</w:t>
      </w:r>
      <w:r>
        <w:rPr>
          <w:rFonts w:ascii="Arial" w:cs="Arial" w:eastAsia="Arial" w:hAnsi="Arial"/>
          <w:sz w:val="15"/>
          <w:szCs w:val="15"/>
          <w:color w:val="auto"/>
        </w:rPr>
        <w:t>. Revenue for cargo services is typically recognized based on hours flown and the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aircraft operated during a reporting period. Revenues for certain performance obligations that are reimbursed through airline service agreements, including consumption of aircraft fuel, are generally recognized net of the related costs incurred. Under the ATSA, $5.6 million of start-up cost payments are being amortized on a pro rata basis into revenue over the term of the ATSA. The value of warrants issued to Amazon in December 2019 and expected to vest under this agreement are included in the transaction price of the ATSA and recognized as a reduction to gross revenue based on the pro-rata amortization of the estimated value.</w:t>
      </w:r>
    </w:p>
    <w:p>
      <w:pPr>
        <w:spacing w:after="0" w:line="89"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3"/>
          <w:szCs w:val="13"/>
          <w:i w:val="1"/>
          <w:iCs w:val="1"/>
          <w:color w:val="auto"/>
        </w:rPr>
        <w:t>Frequent Flyer Program</w:t>
      </w:r>
      <w:r>
        <w:rPr>
          <w:rFonts w:ascii="Arial" w:cs="Arial" w:eastAsia="Arial" w:hAnsi="Arial"/>
          <w:sz w:val="13"/>
          <w:szCs w:val="13"/>
          <w:color w:val="auto"/>
        </w:rPr>
        <w:t>. The Sun Country Rewards program provides frequent flyer rewards to</w:t>
      </w:r>
      <w:r>
        <w:rPr>
          <w:rFonts w:ascii="Arial" w:cs="Arial" w:eastAsia="Arial" w:hAnsi="Arial"/>
          <w:sz w:val="13"/>
          <w:szCs w:val="13"/>
          <w:i w:val="1"/>
          <w:iCs w:val="1"/>
          <w:color w:val="auto"/>
        </w:rPr>
        <w:t xml:space="preserve"> </w:t>
      </w:r>
      <w:r>
        <w:rPr>
          <w:rFonts w:ascii="Arial" w:cs="Arial" w:eastAsia="Arial" w:hAnsi="Arial"/>
          <w:sz w:val="13"/>
          <w:szCs w:val="13"/>
          <w:color w:val="auto"/>
        </w:rPr>
        <w:t>program members based on accumulated loyalty points. Loyalty points are earned as a result of travel and purchases using our co-branded credit card. The program terms include expiration of loyalty points after</w:t>
      </w:r>
    </w:p>
    <w:p>
      <w:pPr>
        <w:spacing w:after="0" w:line="2" w:lineRule="exact"/>
        <w:rPr>
          <w:sz w:val="20"/>
          <w:szCs w:val="20"/>
          <w:color w:val="auto"/>
        </w:rPr>
      </w:pPr>
    </w:p>
    <w:p>
      <w:pPr>
        <w:jc w:val="both"/>
        <w:ind w:left="1160" w:right="1219"/>
        <w:spacing w:after="0" w:line="284" w:lineRule="auto"/>
        <w:rPr>
          <w:sz w:val="20"/>
          <w:szCs w:val="20"/>
          <w:color w:val="auto"/>
        </w:rPr>
      </w:pPr>
      <w:r>
        <w:rPr>
          <w:rFonts w:ascii="Arial" w:cs="Arial" w:eastAsia="Arial" w:hAnsi="Arial"/>
          <w:sz w:val="13"/>
          <w:szCs w:val="13"/>
          <w:color w:val="auto"/>
        </w:rPr>
        <w:t>36 months from the date they were earned, except members who are holders of the Sun Country co -branded credit card are not subject to the expiration terms. For loyalty points earned under the Sun Country Rewards program, we have an obligation to provide future services when these loyalty points are redeemed.</w:t>
      </w:r>
    </w:p>
    <w:p>
      <w:pPr>
        <w:spacing w:after="0" w:line="73" w:lineRule="exact"/>
        <w:rPr>
          <w:sz w:val="20"/>
          <w:szCs w:val="20"/>
          <w:color w:val="auto"/>
        </w:rPr>
      </w:pPr>
    </w:p>
    <w:p>
      <w:pPr>
        <w:ind w:left="1160" w:right="1279" w:firstLine="293"/>
        <w:spacing w:after="0" w:line="232" w:lineRule="auto"/>
        <w:rPr>
          <w:sz w:val="20"/>
          <w:szCs w:val="20"/>
          <w:color w:val="auto"/>
        </w:rPr>
      </w:pPr>
      <w:r>
        <w:rPr>
          <w:rFonts w:ascii="Arial" w:cs="Arial" w:eastAsia="Arial" w:hAnsi="Arial"/>
          <w:sz w:val="15"/>
          <w:szCs w:val="15"/>
          <w:color w:val="auto"/>
        </w:rPr>
        <w:t>With respect to loyalty points earned as a result of travel, prior to adoption of ASC 606 we recognized a loyalty program liability and a corresponding sales and marketing expense as the loyalty points were earned and redeemed by loyalty program members, representing the incremental cost associated with the obligation to provide travel in the future. The incremental cost for loyalty points to be redeemed on our flights was estimated based on historical costs, which include the cost of aircraft fuel, insurance, security, ticketing and reservation costs. We adjusted our liability for outstanding points to fair value in connection with acquisition accounting and in the Successor 2018 period. Upon adoption of ASC 606, we adjusted the liability to fair value as of the adoption date and we now account for the earning and redemption of loyalty points based on the deferred revenue method and the relative standalone selling price including expected breakage.</w:t>
      </w:r>
    </w:p>
    <w:p>
      <w:pPr>
        <w:spacing w:after="0" w:line="101"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We estimate breakage for loyalty points that are not likely to be redeemed. A change in assumptions as to the period over which loyalty points are expected to be redeemed, the actual redemption activity or the estimated fair value of loyalty points expected to be redeemed could have an impact on revenues in the year in which the change occurs and in future years. Current and future changes to the loyalty points expiration policy or the program rules and program redemption opportunities may result in material changes to the loyalty program liability balance, as well as revenue recognized from the program.</w:t>
      </w:r>
    </w:p>
    <w:p>
      <w:pPr>
        <w:spacing w:after="0" w:line="80"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i w:val="1"/>
          <w:iCs w:val="1"/>
          <w:color w:val="auto"/>
        </w:rPr>
        <w:t>Co-Brand Credit Card Program</w:t>
      </w:r>
      <w:r>
        <w:rPr>
          <w:rFonts w:ascii="Arial" w:cs="Arial" w:eastAsia="Arial" w:hAnsi="Arial"/>
          <w:sz w:val="15"/>
          <w:szCs w:val="15"/>
          <w:color w:val="auto"/>
        </w:rPr>
        <w:t>. Our co-branded credit card with First Bank, a division of First</w:t>
      </w:r>
      <w:r>
        <w:rPr>
          <w:rFonts w:ascii="Arial" w:cs="Arial" w:eastAsia="Arial" w:hAnsi="Arial"/>
          <w:sz w:val="15"/>
          <w:szCs w:val="15"/>
          <w:i w:val="1"/>
          <w:iCs w:val="1"/>
          <w:color w:val="auto"/>
        </w:rPr>
        <w:t xml:space="preserve"> </w:t>
      </w:r>
      <w:r>
        <w:rPr>
          <w:rFonts w:ascii="Arial" w:cs="Arial" w:eastAsia="Arial" w:hAnsi="Arial"/>
          <w:sz w:val="15"/>
          <w:szCs w:val="15"/>
          <w:color w:val="auto"/>
        </w:rPr>
        <w:t>National Bank of Omaha, provides members with benefits which include a 50% discount on seat selection and bag fees (for the first checked bag), priority boarding, free premium drink during flight, and protection from their points expiring. We account for funds received for the advertising and marketing of the co-branded credit card and delivery of loyalty points as a multiple-deliverable arrangement. Funds received are allocated based on relative selling price. For the selling price of travel awards, we considered the terms for redemption under the Sun Country Rewards program that determine how loyalty points are applied to purchase Sun Country services.</w:t>
      </w:r>
    </w:p>
    <w:p>
      <w:pPr>
        <w:spacing w:after="0" w:line="100" w:lineRule="exact"/>
        <w:rPr>
          <w:sz w:val="20"/>
          <w:szCs w:val="20"/>
          <w:color w:val="auto"/>
        </w:rPr>
      </w:pPr>
    </w:p>
    <w:p>
      <w:pPr>
        <w:ind w:left="1160" w:right="1239" w:firstLine="293"/>
        <w:spacing w:after="0" w:line="294" w:lineRule="auto"/>
        <w:rPr>
          <w:sz w:val="20"/>
          <w:szCs w:val="20"/>
          <w:color w:val="auto"/>
        </w:rPr>
      </w:pPr>
      <w:r>
        <w:rPr>
          <w:rFonts w:ascii="Arial" w:cs="Arial" w:eastAsia="Arial" w:hAnsi="Arial"/>
          <w:sz w:val="13"/>
          <w:szCs w:val="13"/>
          <w:color w:val="auto"/>
        </w:rPr>
        <w:t>Prior to adoption of ASC 606, we applied a multiple element approach, and, in connection with our adoption of ASC 606, we updated the relative standalone selling prices of the marketing, passenger benefits and future transportation elements. Consideration allocated to reward credits is deferred and recognized</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4" w:name="page115"/>
    <w:bookmarkEnd w:id="11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323" w:lineRule="auto"/>
        <w:rPr>
          <w:sz w:val="20"/>
          <w:szCs w:val="20"/>
          <w:color w:val="auto"/>
        </w:rPr>
      </w:pPr>
      <w:r>
        <w:rPr>
          <w:rFonts w:ascii="Arial" w:cs="Arial" w:eastAsia="Arial" w:hAnsi="Arial"/>
          <w:sz w:val="13"/>
          <w:szCs w:val="13"/>
          <w:color w:val="auto"/>
        </w:rPr>
        <w:t>as passenger revenue as reward credit points are redeemed for travel. Consideration allocated to the marketing and advertising element is earned as the co-branded card is used and recorded in Other revenue.</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Aircraft Maintenance</w:t>
      </w:r>
    </w:p>
    <w:p>
      <w:pPr>
        <w:spacing w:after="0" w:line="113" w:lineRule="exact"/>
        <w:rPr>
          <w:sz w:val="20"/>
          <w:szCs w:val="20"/>
          <w:color w:val="auto"/>
        </w:rPr>
      </w:pPr>
    </w:p>
    <w:p>
      <w:pPr>
        <w:ind w:left="1160" w:right="1339" w:firstLine="293"/>
        <w:spacing w:after="0" w:line="234" w:lineRule="auto"/>
        <w:rPr>
          <w:sz w:val="20"/>
          <w:szCs w:val="20"/>
          <w:color w:val="auto"/>
        </w:rPr>
      </w:pPr>
      <w:r>
        <w:rPr>
          <w:rFonts w:ascii="Arial" w:cs="Arial" w:eastAsia="Arial" w:hAnsi="Arial"/>
          <w:sz w:val="15"/>
          <w:szCs w:val="15"/>
          <w:color w:val="auto"/>
        </w:rPr>
        <w:t>Under our aircraft operating lease agreements and FAA operating regulations, we are obligated to perform all required maintenance activities on our fleet, including component repairs, scheduled airframe checks and major engine restoration events. Significant maintenance events include periodic airframe checks, engine overhauls, limited life parts replacement and overhauls to major components. Certain maintenance functions are performed by third-party specialists under contracts that require payment based on a utilization measure such as flight hours.</w:t>
      </w:r>
    </w:p>
    <w:p>
      <w:pPr>
        <w:spacing w:after="0" w:line="101"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For owned aircraft and engines, we account for significant maintenance under the built-in overhaul method. Under this method, the cost of airframes and engines (upon which the planned significant maintenance activity is performed) is segregated into those costs that are to be depreciated over the expected useful life of the airframes and engines and those that represent the estimated cost of the next planned significant maintenance activity. Therefore, the estimated cost of the first planned significant maintenance activity is separated from the cost of the remainder of the airframes and engines and amortized to the date of the initial planned significant maintenance activity. The cost of that first planned major maintenance activity is then capitalized and amortized to the next occurrence of the planned major maintenance activity, at which time the process is repeated. The estimated period until the next planned significant maintenance event is estimated based on assumptions including estimated cycles, hours, and months, required maintenance intervals, and the age and condition of related parts.</w:t>
      </w:r>
    </w:p>
    <w:p>
      <w:pPr>
        <w:spacing w:after="0" w:line="96"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These assumptions may change based on changes in the utilization of our aircraft, changes in government regulations and suggested manufacturer maintenance intervals. In addition, these assumptions can be affected by unplanned incidents that could damage an airframe, engine or major component to a level that would require a significant maintenance event prior to a scheduled maintenance event. To the extent the estimated timing of the next maintenance event is extended or shortened, the related depreciation period would be lengthened or shortened prospectively, resulting in lower depreciation expense over a longer period or higher depreciation expense over a shorter period, respectively.</w:t>
      </w:r>
    </w:p>
    <w:p>
      <w:pPr>
        <w:spacing w:after="0" w:line="80"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For leased aircraft, we expense maintenance as incurred. Routine cost for maintaining the airframes and engines and line maintenance are charged to maintenance expense as performed.</w:t>
      </w:r>
    </w:p>
    <w:p>
      <w:pPr>
        <w:spacing w:after="0" w:line="94"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3"/>
          <w:szCs w:val="13"/>
          <w:i w:val="1"/>
          <w:iCs w:val="1"/>
          <w:color w:val="auto"/>
        </w:rPr>
        <w:t>Maintenance Reserves</w:t>
      </w:r>
      <w:r>
        <w:rPr>
          <w:rFonts w:ascii="Arial" w:cs="Arial" w:eastAsia="Arial" w:hAnsi="Arial"/>
          <w:sz w:val="13"/>
          <w:szCs w:val="13"/>
          <w:color w:val="auto"/>
        </w:rPr>
        <w:t>. Our aircraft lease agreements provide that we pay maintenance reserves to</w:t>
      </w:r>
      <w:r>
        <w:rPr>
          <w:rFonts w:ascii="Arial" w:cs="Arial" w:eastAsia="Arial" w:hAnsi="Arial"/>
          <w:sz w:val="13"/>
          <w:szCs w:val="13"/>
          <w:i w:val="1"/>
          <w:iCs w:val="1"/>
          <w:color w:val="auto"/>
        </w:rPr>
        <w:t xml:space="preserve"> </w:t>
      </w:r>
      <w:r>
        <w:rPr>
          <w:rFonts w:ascii="Arial" w:cs="Arial" w:eastAsia="Arial" w:hAnsi="Arial"/>
          <w:sz w:val="13"/>
          <w:szCs w:val="13"/>
          <w:color w:val="auto"/>
        </w:rPr>
        <w:t>aircraft lessors to be held as collateral in advance of our required performance of significant maintenance events. Our lease agreements with maintenance reserve requirements provide that maintenance reserves are reimbursable to us upon completion of the maintenance event in an amount equal to the lesser of either</w:t>
      </w:r>
    </w:p>
    <w:p>
      <w:pPr>
        <w:spacing w:after="0" w:line="1" w:lineRule="exact"/>
        <w:rPr>
          <w:sz w:val="20"/>
          <w:szCs w:val="20"/>
          <w:color w:val="auto"/>
        </w:rPr>
      </w:pPr>
    </w:p>
    <w:p>
      <w:pPr>
        <w:ind w:left="1160" w:right="1239" w:firstLine="4"/>
        <w:spacing w:after="0" w:line="232" w:lineRule="auto"/>
        <w:tabs>
          <w:tab w:leader="none" w:pos="1379"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amount of the maintenance reserve held by the lessor associated with the specific maintenance event or (2) the qualifying costs related to the specific maintenance event. Some portions of the maintenance reserve payments are fixed contractual amounts, while others are based on a utilization measure, such as actual flight hours or cycles.</w:t>
      </w:r>
    </w:p>
    <w:p>
      <w:pPr>
        <w:spacing w:after="0" w:line="101"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At lease inception and at each annual balance sheet date, we assess whether the maintenance reserve payments required by the lease agreements are substantively and contractually related to the maintenance of the leased asset. Maintenance reserves expected to be recovered from lessors are reflected as lessor maintenance deposits on the consolidated balance sheets. When it is not probable that we will recover amounts paid, such amounts are expensed as a component of aircraft rent expense in our consolidated statements of operations.</w:t>
      </w:r>
    </w:p>
    <w:p>
      <w:pPr>
        <w:spacing w:after="0" w:line="90"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We make various assumptions to determine the recoverability of maintenance reserves, such as the estimated time between the maintenance events, the date the aircraft is due to be returned to the lessor and the number of flight hours and cycles the aircraft is estimated to be utilized before it is returned to the lessor. Changes in estimates are accounted for on a prospective basis.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Goodwill and Indefinite-Lived Intangible Assets</w:t>
      </w:r>
    </w:p>
    <w:p>
      <w:pPr>
        <w:spacing w:after="0" w:line="124" w:lineRule="exact"/>
        <w:rPr>
          <w:sz w:val="20"/>
          <w:szCs w:val="20"/>
          <w:color w:val="auto"/>
        </w:rPr>
      </w:pPr>
    </w:p>
    <w:p>
      <w:pPr>
        <w:ind w:left="1160" w:right="1499" w:firstLine="293"/>
        <w:spacing w:after="0" w:line="323" w:lineRule="auto"/>
        <w:rPr>
          <w:sz w:val="20"/>
          <w:szCs w:val="20"/>
          <w:color w:val="auto"/>
        </w:rPr>
      </w:pPr>
      <w:r>
        <w:rPr>
          <w:rFonts w:ascii="Arial" w:cs="Arial" w:eastAsia="Arial" w:hAnsi="Arial"/>
          <w:sz w:val="13"/>
          <w:szCs w:val="13"/>
          <w:color w:val="auto"/>
        </w:rPr>
        <w:t>We apply a fair value based impairment test to the carrying value of goodwill and indefinite -lived intangible assets at least annually, or more frequently if certain events or circumstances indicate that an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5" w:name="page116"/>
    <w:bookmarkEnd w:id="11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spacing w:after="0" w:line="248" w:lineRule="auto"/>
        <w:rPr>
          <w:sz w:val="20"/>
          <w:szCs w:val="20"/>
          <w:color w:val="auto"/>
        </w:rPr>
      </w:pPr>
      <w:r>
        <w:rPr>
          <w:rFonts w:ascii="Arial" w:cs="Arial" w:eastAsia="Arial" w:hAnsi="Arial"/>
          <w:sz w:val="15"/>
          <w:szCs w:val="15"/>
          <w:color w:val="auto"/>
        </w:rPr>
        <w:t>impairment loss may have been incurred. We assess the value of goodwill and indefinite-lived assets under either a qualitative or, if necessary, a quantitative approach.</w:t>
      </w:r>
    </w:p>
    <w:p>
      <w:pPr>
        <w:spacing w:after="0" w:line="83"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3"/>
          <w:szCs w:val="13"/>
          <w:color w:val="auto"/>
        </w:rPr>
        <w:t>Under a qualitative approach, we consider various market factors, including applicable key assumptions listed below. These factors are analyzed to determine if events and circumstances have affected the fair value of goodwill and indefinite-lived intangible assets. Factors which could indicate an impairment include, but are not limited to, (1) negative trends in our market capitalization, (2) reduced profitability resulting from lower passenger mile yields or higher input costs (primarily related to fuel and employees),</w:t>
      </w:r>
    </w:p>
    <w:p>
      <w:pPr>
        <w:spacing w:after="0" w:line="1" w:lineRule="exact"/>
        <w:rPr>
          <w:sz w:val="20"/>
          <w:szCs w:val="20"/>
          <w:color w:val="auto"/>
        </w:rPr>
      </w:pPr>
    </w:p>
    <w:p>
      <w:pPr>
        <w:ind w:left="1160" w:right="1539" w:firstLine="4"/>
        <w:spacing w:after="0" w:line="264" w:lineRule="auto"/>
        <w:tabs>
          <w:tab w:leader="none" w:pos="1379" w:val="left"/>
        </w:tabs>
        <w:numPr>
          <w:ilvl w:val="0"/>
          <w:numId w:val="50"/>
        </w:numPr>
        <w:rPr>
          <w:rFonts w:ascii="Arial" w:cs="Arial" w:eastAsia="Arial" w:hAnsi="Arial"/>
          <w:sz w:val="13"/>
          <w:szCs w:val="13"/>
          <w:color w:val="auto"/>
        </w:rPr>
      </w:pPr>
      <w:r>
        <w:rPr>
          <w:rFonts w:ascii="Arial" w:cs="Arial" w:eastAsia="Arial" w:hAnsi="Arial"/>
          <w:sz w:val="13"/>
          <w:szCs w:val="13"/>
          <w:color w:val="auto"/>
        </w:rPr>
        <w:t>lower passenger demand as a result of weakened U.S. and global economies, (4) interruption to our operations due to a prolonged employee strike, terrorist attack or other reasons, (5) changes to the regulatory environment (e.g., diminished slot access), (6) competitive changes by other airlines and</w:t>
      </w:r>
    </w:p>
    <w:p>
      <w:pPr>
        <w:spacing w:after="0" w:line="1" w:lineRule="exact"/>
        <w:rPr>
          <w:rFonts w:ascii="Arial" w:cs="Arial" w:eastAsia="Arial" w:hAnsi="Arial"/>
          <w:sz w:val="13"/>
          <w:szCs w:val="13"/>
          <w:color w:val="auto"/>
        </w:rPr>
      </w:pPr>
    </w:p>
    <w:p>
      <w:pPr>
        <w:ind w:left="1380" w:hanging="216"/>
        <w:spacing w:after="0"/>
        <w:tabs>
          <w:tab w:leader="none" w:pos="13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strategic changes to our operations leading to diminished utilization of the intangible assets.</w:t>
      </w:r>
    </w:p>
    <w:p>
      <w:pPr>
        <w:spacing w:after="0" w:line="101" w:lineRule="exact"/>
        <w:rPr>
          <w:sz w:val="20"/>
          <w:szCs w:val="20"/>
          <w:color w:val="auto"/>
        </w:rPr>
      </w:pPr>
    </w:p>
    <w:p>
      <w:pPr>
        <w:ind w:left="1160" w:right="1299" w:firstLine="293"/>
        <w:spacing w:after="0" w:line="254" w:lineRule="auto"/>
        <w:rPr>
          <w:sz w:val="20"/>
          <w:szCs w:val="20"/>
          <w:color w:val="auto"/>
        </w:rPr>
      </w:pPr>
      <w:r>
        <w:rPr>
          <w:rFonts w:ascii="Arial" w:cs="Arial" w:eastAsia="Arial" w:hAnsi="Arial"/>
          <w:sz w:val="15"/>
          <w:szCs w:val="15"/>
          <w:color w:val="auto"/>
        </w:rPr>
        <w:t>If our qualitative assessment indicates that it is more likely than not that goodwill or indefinite-lived intangible assets are impaired, we must perform a quantitative test that compares the fair value of the asset with its carrying amount.</w:t>
      </w:r>
    </w:p>
    <w:p>
      <w:pPr>
        <w:spacing w:after="0" w:line="101"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In the event that we need to apply a quantitative approach for evaluating goodwill for impairment, we estimate the fair value of the reporting unit by considering both market capitalization and projected discounted future cash flows (an income approach). Key assumptions and estimates made in estimating the fair value include: (i) a projection of revenues, expenses and cash flows; (ii) terminal period revenue growth and cash flows; (iii) an estimated weighted average cost of capital; (iv) an assumed discount rate depending on the asset; (v) a tax rate; and (vi) market prices for comparable assets. For either goodwill or indefinite-lived assets, if the carrying value of the asset exceeds its fair value calculated using the quantitative approach, an impairment charge is recorded for the difference in fair value and carrying value. In the event that we need to apply a quantitative approach for evaluating our indefinite-lived intangible assets for impairment, we estimate the fair value based on the relief from royalty method for the Sun Country trade name. The relief from royalty methodology values the asset based on the assumed royalty rate the business would pay to achieve the revenues associated with that asset if the asset was not owned.</w:t>
      </w:r>
    </w:p>
    <w:p>
      <w:pPr>
        <w:spacing w:after="0" w:line="86" w:lineRule="exact"/>
        <w:rPr>
          <w:sz w:val="20"/>
          <w:szCs w:val="20"/>
          <w:color w:val="auto"/>
        </w:rPr>
      </w:pPr>
    </w:p>
    <w:p>
      <w:pPr>
        <w:ind w:left="1160" w:right="1439" w:firstLine="293"/>
        <w:spacing w:after="0" w:line="264" w:lineRule="auto"/>
        <w:rPr>
          <w:sz w:val="20"/>
          <w:szCs w:val="20"/>
          <w:color w:val="auto"/>
        </w:rPr>
      </w:pPr>
      <w:r>
        <w:rPr>
          <w:rFonts w:ascii="Arial" w:cs="Arial" w:eastAsia="Arial" w:hAnsi="Arial"/>
          <w:sz w:val="15"/>
          <w:szCs w:val="15"/>
          <w:color w:val="auto"/>
        </w:rPr>
        <w:t>We believe these assumptions are consistent with those a hypothetical market participant would use given circumstances that were present at the time the estimates were made.</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Long-Lived Assets</w:t>
      </w:r>
    </w:p>
    <w:p>
      <w:pPr>
        <w:spacing w:after="0" w:line="124" w:lineRule="exact"/>
        <w:rPr>
          <w:sz w:val="20"/>
          <w:szCs w:val="20"/>
          <w:color w:val="auto"/>
        </w:rPr>
      </w:pPr>
    </w:p>
    <w:p>
      <w:pPr>
        <w:ind w:left="1160" w:right="1359" w:firstLine="293"/>
        <w:spacing w:after="0" w:line="267" w:lineRule="auto"/>
        <w:rPr>
          <w:sz w:val="20"/>
          <w:szCs w:val="20"/>
          <w:color w:val="auto"/>
        </w:rPr>
      </w:pPr>
      <w:r>
        <w:rPr>
          <w:rFonts w:ascii="Arial" w:cs="Arial" w:eastAsia="Arial" w:hAnsi="Arial"/>
          <w:sz w:val="14"/>
          <w:szCs w:val="14"/>
          <w:color w:val="auto"/>
        </w:rPr>
        <w:t>In accounting for long-lived assets, we make estimates about the expected useful lives, projected residual values and the potential for impairment. In estimating the useful lives and residual values of our aircraft, we have relied upon actual industry experience with the same or similar aircraft types and our anticipated utilization of the aircraft. Changing market prices of new and used aircraft, government regulations and changes in our maintenance program or operations could result in changes to these estimates. Our long-lived assets are evaluated for impairment when events and circumstances indicate the assets may be impaired. Indicators may include operating or cash flow losses, significant decreases in market value, or changes in technology.</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Equity Compensation Valuation</w:t>
      </w:r>
    </w:p>
    <w:p>
      <w:pPr>
        <w:spacing w:after="0" w:line="124" w:lineRule="exact"/>
        <w:rPr>
          <w:sz w:val="20"/>
          <w:szCs w:val="20"/>
          <w:color w:val="auto"/>
        </w:rPr>
      </w:pPr>
    </w:p>
    <w:p>
      <w:pPr>
        <w:ind w:left="1160" w:right="1279" w:firstLine="293"/>
        <w:spacing w:after="0" w:line="284" w:lineRule="auto"/>
        <w:rPr>
          <w:sz w:val="20"/>
          <w:szCs w:val="20"/>
          <w:color w:val="auto"/>
        </w:rPr>
      </w:pPr>
      <w:r>
        <w:rPr>
          <w:rFonts w:ascii="Arial" w:cs="Arial" w:eastAsia="Arial" w:hAnsi="Arial"/>
          <w:sz w:val="13"/>
          <w:szCs w:val="13"/>
          <w:color w:val="auto"/>
        </w:rPr>
        <w:t xml:space="preserve">Subsequent to granting options to certain members of our management team and the issuance of warrants in connection with the ATSA, the fair values of the shares of SCA common stock underlying our options and warrants were determined on each grant date by our board of directors with input from management and with the assistance of a third-party valuation advisor. In order to determine the fair value, our board of directors considered, among other things, contemporaneous valuations of our SCA common stock prepared by the unrelated third-party valuation firm in accordance with the guidance provided by the American Institute of Certified Public Accountants 2013 Practice Aid, </w:t>
      </w:r>
      <w:r>
        <w:rPr>
          <w:rFonts w:ascii="Arial" w:cs="Arial" w:eastAsia="Arial" w:hAnsi="Arial"/>
          <w:sz w:val="13"/>
          <w:szCs w:val="13"/>
          <w:i w:val="1"/>
          <w:iCs w:val="1"/>
          <w:color w:val="auto"/>
        </w:rPr>
        <w:t>Valuation of Privately-Held-Company Equity Securities Issued as Compensation</w:t>
      </w:r>
      <w:r>
        <w:rPr>
          <w:rFonts w:ascii="Arial" w:cs="Arial" w:eastAsia="Arial" w:hAnsi="Arial"/>
          <w:sz w:val="13"/>
          <w:szCs w:val="13"/>
          <w:color w:val="auto"/>
        </w:rPr>
        <w:t>, or the Practice Aid. Given the absence of a public</w:t>
      </w:r>
    </w:p>
    <w:p>
      <w:pPr>
        <w:spacing w:after="0" w:line="2" w:lineRule="exact"/>
        <w:rPr>
          <w:sz w:val="20"/>
          <w:szCs w:val="20"/>
          <w:color w:val="auto"/>
        </w:rPr>
      </w:pPr>
    </w:p>
    <w:p>
      <w:pPr>
        <w:ind w:left="1160" w:right="1319"/>
        <w:spacing w:after="0" w:line="249" w:lineRule="auto"/>
        <w:rPr>
          <w:sz w:val="20"/>
          <w:szCs w:val="20"/>
          <w:color w:val="auto"/>
        </w:rPr>
      </w:pPr>
      <w:r>
        <w:rPr>
          <w:rFonts w:ascii="Arial" w:cs="Arial" w:eastAsia="Arial" w:hAnsi="Arial"/>
          <w:sz w:val="15"/>
          <w:szCs w:val="15"/>
          <w:color w:val="auto"/>
        </w:rPr>
        <w:t>trading market of our capital stock, the assumptions used to determine the estimated fair value of our SCA common stock was based on a number of objective and subjective factors, including:</w:t>
      </w:r>
    </w:p>
    <w:p>
      <w:pPr>
        <w:spacing w:after="0" w:line="71" w:lineRule="exact"/>
        <w:rPr>
          <w:sz w:val="20"/>
          <w:szCs w:val="20"/>
          <w:color w:val="auto"/>
        </w:rPr>
      </w:pPr>
    </w:p>
    <w:p>
      <w:pPr>
        <w:ind w:left="4380" w:right="4419" w:hanging="2923"/>
        <w:spacing w:after="0" w:line="853" w:lineRule="auto"/>
        <w:tabs>
          <w:tab w:leader="none" w:pos="1612" w:val="left"/>
        </w:tabs>
        <w:numPr>
          <w:ilvl w:val="0"/>
          <w:numId w:val="52"/>
        </w:numPr>
        <w:rPr>
          <w:rFonts w:ascii="Arial" w:cs="Arial" w:eastAsia="Arial" w:hAnsi="Arial"/>
          <w:sz w:val="13"/>
          <w:szCs w:val="13"/>
          <w:color w:val="auto"/>
        </w:rPr>
      </w:pPr>
      <w:r>
        <w:rPr>
          <w:rFonts w:ascii="Arial" w:cs="Arial" w:eastAsia="Arial" w:hAnsi="Arial"/>
          <w:sz w:val="13"/>
          <w:szCs w:val="13"/>
          <w:color w:val="auto"/>
        </w:rPr>
        <w:t>our stage of development and business strategy;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-52070</wp:posOffset>
            </wp:positionV>
            <wp:extent cx="5564505" cy="393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6" w:name="page117"/>
    <w:bookmarkEnd w:id="11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219" w:hanging="143"/>
        <w:spacing w:after="0" w:line="264" w:lineRule="auto"/>
        <w:tabs>
          <w:tab w:leader="none" w:pos="16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our business, financial condition and results of operations, including related industry trends affecting our operations;</w:t>
      </w:r>
    </w:p>
    <w:p>
      <w:pPr>
        <w:spacing w:after="0" w:line="38" w:lineRule="exact"/>
        <w:rPr>
          <w:rFonts w:ascii="Arial" w:cs="Arial" w:eastAsia="Arial" w:hAnsi="Arial"/>
          <w:sz w:val="15"/>
          <w:szCs w:val="15"/>
          <w:color w:val="auto"/>
        </w:rPr>
      </w:pPr>
    </w:p>
    <w:p>
      <w:pPr>
        <w:ind w:left="1600" w:right="1799" w:hanging="143"/>
        <w:spacing w:after="0" w:line="264" w:lineRule="auto"/>
        <w:tabs>
          <w:tab w:leader="none" w:pos="16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likelihood of achieving a liquidity event, such as an initial public offering or sale of our company, given prevailing market conditions;</w:t>
      </w:r>
    </w:p>
    <w:p>
      <w:pPr>
        <w:spacing w:after="0" w:line="38" w:lineRule="exact"/>
        <w:rPr>
          <w:rFonts w:ascii="Arial" w:cs="Arial" w:eastAsia="Arial" w:hAnsi="Arial"/>
          <w:sz w:val="15"/>
          <w:szCs w:val="15"/>
          <w:color w:val="auto"/>
        </w:rPr>
      </w:pPr>
    </w:p>
    <w:p>
      <w:pPr>
        <w:ind w:left="1600" w:hanging="143"/>
        <w:spacing w:after="0"/>
        <w:tabs>
          <w:tab w:leader="none" w:pos="16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lack of marketability of our SCA common stock;</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market performance of comparable publicly traded companies; and</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U.S. and global economic and capital market conditions and outlook.</w:t>
      </w:r>
    </w:p>
    <w:p>
      <w:pPr>
        <w:spacing w:after="0" w:line="124" w:lineRule="exact"/>
        <w:rPr>
          <w:sz w:val="20"/>
          <w:szCs w:val="20"/>
          <w:color w:val="auto"/>
        </w:rPr>
      </w:pPr>
    </w:p>
    <w:p>
      <w:pPr>
        <w:ind w:left="1160" w:right="1319" w:firstLine="293"/>
        <w:spacing w:after="0" w:line="252" w:lineRule="auto"/>
        <w:rPr>
          <w:sz w:val="20"/>
          <w:szCs w:val="20"/>
          <w:color w:val="auto"/>
        </w:rPr>
      </w:pPr>
      <w:r>
        <w:rPr>
          <w:rFonts w:ascii="Arial" w:cs="Arial" w:eastAsia="Arial" w:hAnsi="Arial"/>
          <w:sz w:val="14"/>
          <w:szCs w:val="14"/>
          <w:color w:val="auto"/>
        </w:rPr>
        <w:t>Our enterprise value was estimated by using market multiples and a discounted cash flow analysis based on plans and estimates used by management to manage the business. We evaluated comparable publicly traded companies in the airline industry. We used market multiples after considering the risks associated with the strategic shift in our business, the availability of financing, labor relations and an intensely competitive industry. The estimated value was then discounted by a non-marketability factor due to the fact that stockholders of private companies do not have access to trading markets similar to those available to stockholders of public companies, which impacts liquidity.</w:t>
      </w:r>
    </w:p>
    <w:p>
      <w:pPr>
        <w:spacing w:after="0" w:line="91"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3"/>
          <w:szCs w:val="13"/>
          <w:color w:val="auto"/>
        </w:rPr>
        <w:t>The determination of the fair values of our non-public shares of SCA common stock and stock-based awards were based on estimates and forecasts described above that may not reflect actual market results. These estimates and forecasts require us to make judgments that are highly complex and subjective. Additionally, past valuations relied on reference to other companies for the determination of certain inputs.</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Future stock-based grant values will be based on quoted market prices.</w:t>
      </w:r>
    </w:p>
    <w:p>
      <w:pPr>
        <w:spacing w:after="0" w:line="90"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The fair value of the warrants issued in connection with the ATSA was determined using a Monte Carlo simulation which involves inputs such as expected volatility, the risk-free rate of return and the probability of achieving varying outcomes under the ATSA.</w:t>
      </w:r>
    </w:p>
    <w:p>
      <w:pPr>
        <w:spacing w:after="0" w:line="100"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The fair value of the time-based stock options granted during 2018, 2019 and 2020 was estimated using the Black-Scholes option-pricing model with expected term based on vesting criteria and time to expiration. The expected volatility was based on historical volatility of stock prices and assets of a public company peer group. The risk- free interest rate was based on the implied risk-free rate using the expected term and yields of U.S Treasury stock and S&amp;P bond yields.</w:t>
      </w:r>
    </w:p>
    <w:p>
      <w:pPr>
        <w:spacing w:after="0" w:line="100"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The fair value of the performance-based stock options granted during 2018, 2019 and 2020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Quantitative and Qualitative Disclosure About Market Risk</w:t>
      </w:r>
    </w:p>
    <w:p>
      <w:pPr>
        <w:spacing w:after="0" w:line="117" w:lineRule="exact"/>
        <w:rPr>
          <w:sz w:val="20"/>
          <w:szCs w:val="20"/>
          <w:color w:val="auto"/>
        </w:rPr>
      </w:pPr>
    </w:p>
    <w:p>
      <w:pPr>
        <w:ind w:left="1160" w:right="1199" w:firstLine="293"/>
        <w:spacing w:after="0" w:line="279" w:lineRule="auto"/>
        <w:rPr>
          <w:sz w:val="20"/>
          <w:szCs w:val="20"/>
          <w:color w:val="auto"/>
        </w:rPr>
      </w:pPr>
      <w:r>
        <w:rPr>
          <w:rFonts w:ascii="Arial" w:cs="Arial" w:eastAsia="Arial" w:hAnsi="Arial"/>
          <w:sz w:val="13"/>
          <w:szCs w:val="13"/>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76"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i w:val="1"/>
          <w:iCs w:val="1"/>
          <w:color w:val="auto"/>
        </w:rPr>
        <w:t>Aircraft Fuel</w:t>
      </w:r>
      <w:r>
        <w:rPr>
          <w:rFonts w:ascii="Arial" w:cs="Arial" w:eastAsia="Arial" w:hAnsi="Arial"/>
          <w:sz w:val="14"/>
          <w:szCs w:val="14"/>
          <w:color w:val="auto"/>
        </w:rPr>
        <w:t>. Unexpected pricing changes of aircraft fuel could have a material adverse effect on our</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As of September 30, 2021, we had no outstanding call options. We do not hold or issue option or swap contracts for trading purposes. We expect to continue to enter into these types of contracts prospectively, although significant changes in market conditions could affect our decisions. Based on our 2021 forecasted fuel consumption as of December 31, 2020, we estimate that a one cent per gallon increase in average aircraft fuel price would increase our 2021 annual aircraft fuel expense by $0.6 million, excluding any impact associated with fuel derivative instruments held and reimbursed cargo fuel.</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7" w:name="page118"/>
    <w:bookmarkEnd w:id="11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Interest Rates</w:t>
      </w:r>
      <w:r>
        <w:rPr>
          <w:rFonts w:ascii="Arial" w:cs="Arial" w:eastAsia="Arial" w:hAnsi="Arial"/>
          <w:sz w:val="15"/>
          <w:szCs w:val="15"/>
          <w:color w:val="auto"/>
        </w:rPr>
        <w:t>. We have exposure to market risk associated with changes in interest rates related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expense from our variable-rate debt. A change in market interest rates would impact interest expense under the Credit Facilities. Assuming the Credit Facilities are fully drawn, a 100 basis point increase in interest rates would result in a corresponding increase in interest expense of approximately $1.2 million annually.</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JOBS Act Accounting Election</w:t>
      </w:r>
    </w:p>
    <w:p>
      <w:pPr>
        <w:spacing w:after="0" w:line="117"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In April 2012, the JOBS Act was signed into law. The JOBS Act contains provisions that, among other things, reduce certain reporting requirements for an “emerging growth company.”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financial statements may not be comparable to companies that comply with the new or revised accounting pronouncements as of public company effective dates.</w:t>
      </w:r>
    </w:p>
    <w:p>
      <w:pPr>
        <w:spacing w:after="0" w:line="107" w:lineRule="exact"/>
        <w:rPr>
          <w:sz w:val="20"/>
          <w:szCs w:val="20"/>
          <w:color w:val="auto"/>
        </w:rPr>
      </w:pPr>
    </w:p>
    <w:p>
      <w:pPr>
        <w:ind w:left="1160" w:right="1279" w:firstLine="293"/>
        <w:spacing w:after="0" w:line="284" w:lineRule="auto"/>
        <w:rPr>
          <w:sz w:val="20"/>
          <w:szCs w:val="20"/>
          <w:color w:val="auto"/>
        </w:rPr>
      </w:pPr>
      <w:r>
        <w:rPr>
          <w:rFonts w:ascii="Arial" w:cs="Arial" w:eastAsia="Arial" w:hAnsi="Arial"/>
          <w:sz w:val="13"/>
          <w:szCs w:val="13"/>
          <w:color w:val="auto"/>
        </w:rPr>
        <w:t>We have chosen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any requirement that may be adopted by the Public Company Accounting Oversight Board (United States) regarding mandatory audit firm rotation or a supplement to the auditor’s report providing additional information about the audit and the consolidated financial statements (auditor discussion and analysis) and</w:t>
      </w:r>
    </w:p>
    <w:p>
      <w:pPr>
        <w:spacing w:after="0" w:line="2" w:lineRule="exact"/>
        <w:rPr>
          <w:sz w:val="20"/>
          <w:szCs w:val="20"/>
          <w:color w:val="auto"/>
        </w:rPr>
      </w:pPr>
    </w:p>
    <w:p>
      <w:pPr>
        <w:ind w:left="1160" w:right="1199" w:firstLine="4"/>
        <w:spacing w:after="0" w:line="265" w:lineRule="auto"/>
        <w:tabs>
          <w:tab w:leader="none" w:pos="1423" w:val="left"/>
        </w:tabs>
        <w:numPr>
          <w:ilvl w:val="0"/>
          <w:numId w:val="54"/>
        </w:numPr>
        <w:rPr>
          <w:rFonts w:ascii="Arial" w:cs="Arial" w:eastAsia="Arial" w:hAnsi="Arial"/>
          <w:sz w:val="14"/>
          <w:szCs w:val="14"/>
          <w:color w:val="auto"/>
        </w:rPr>
      </w:pPr>
      <w:r>
        <w:rPr>
          <w:rFonts w:ascii="Arial" w:cs="Arial" w:eastAsia="Arial" w:hAnsi="Arial"/>
          <w:sz w:val="14"/>
          <w:szCs w:val="14"/>
          <w:color w:val="auto"/>
        </w:rPr>
        <w:t>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ending December 31, 2026. However, if certain events occur prior to the end of such five-year period, including if we become a “large accelerated filer,” our annual gross revenue equals or exceeds $1.07 billion or we issue more than $1.0 billion of non-convertible debt in any three-year period, we will cease to be an “emerging growth company” prior to the end of such five-year period.</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Recent Accounting Pronouncements</w:t>
      </w:r>
    </w:p>
    <w:p>
      <w:pPr>
        <w:spacing w:after="0" w:line="128" w:lineRule="exact"/>
        <w:rPr>
          <w:sz w:val="20"/>
          <w:szCs w:val="20"/>
          <w:color w:val="auto"/>
        </w:rPr>
      </w:pPr>
    </w:p>
    <w:p>
      <w:pPr>
        <w:jc w:val="both"/>
        <w:ind w:left="1160" w:right="1359" w:firstLine="293"/>
        <w:spacing w:after="0" w:line="254" w:lineRule="auto"/>
        <w:rPr>
          <w:sz w:val="20"/>
          <w:szCs w:val="20"/>
          <w:color w:val="auto"/>
        </w:rPr>
      </w:pPr>
      <w:r>
        <w:rPr>
          <w:rFonts w:ascii="Arial" w:cs="Arial" w:eastAsia="Arial" w:hAnsi="Arial"/>
          <w:sz w:val="15"/>
          <w:szCs w:val="15"/>
          <w:color w:val="auto"/>
        </w:rPr>
        <w:t>See Note 2 to our audited consolidated financial statements included elsewhere in this prospectus for recently issued accounting pronouncements adopted in 2020 and 2019 or not yet adopted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8" w:name="page119"/>
    <w:bookmarkEnd w:id="11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INDUSTRY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Scheduled Passenger</w:t>
      </w:r>
    </w:p>
    <w:p>
      <w:pPr>
        <w:spacing w:after="0" w:line="117"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4"/>
          <w:szCs w:val="14"/>
          <w:color w:val="auto"/>
        </w:rPr>
        <w:t>The U.S. passenger airline industry has consolidated significantly over the last two decades. In 2000, the four largest U.S. carriers controlled approximately 59% of the domestic market, based on number of available seats, and there were 11 additional airlines of significant size competing in a fragmented market. As a result of the consolidation in the sector, the four largest U.S. carriers controlled approximately 77% of the market as of 2019 and there are seven additional airlines of significant size competing in what is now a more consolidated market. This shift has been principally driven by a number of business combinations which have reshaped the domestic landscape: Delta Air Lines combined with Northwest Airlines in 2008, United Airlines combined with Continental Airlines in 2010, Southwest Airlines acquired AirTran Airlines in 2011, American Airlines (following its acquisition of Trans World Airlines in 2001) combined with</w:t>
      </w:r>
    </w:p>
    <w:p>
      <w:pPr>
        <w:spacing w:after="0" w:line="4" w:lineRule="exact"/>
        <w:rPr>
          <w:sz w:val="20"/>
          <w:szCs w:val="20"/>
          <w:color w:val="auto"/>
        </w:rPr>
      </w:pPr>
    </w:p>
    <w:p>
      <w:pPr>
        <w:ind w:left="1160" w:right="1379"/>
        <w:spacing w:after="0" w:line="252" w:lineRule="auto"/>
        <w:rPr>
          <w:sz w:val="20"/>
          <w:szCs w:val="20"/>
          <w:color w:val="auto"/>
        </w:rPr>
      </w:pPr>
      <w:r>
        <w:rPr>
          <w:rFonts w:ascii="Arial" w:cs="Arial" w:eastAsia="Arial" w:hAnsi="Arial"/>
          <w:sz w:val="14"/>
          <w:szCs w:val="14"/>
          <w:color w:val="auto"/>
        </w:rPr>
        <w:t>US Airways in 2013 (following its combination with America West Airlines in 2005) and Alaska Airlines acquired Virgin America in 2016. Consolidation has benefitted the U.S. airline sector, which has seen TRASM increase from 11.08 cents in 2000 to 15.03 cents in 2019. As a result, the U.S. airline industry recorded nearly $100 billion of cumulative net income from 2008 through 2019.</w:t>
      </w:r>
    </w:p>
    <w:p>
      <w:pPr>
        <w:spacing w:after="0" w:line="92"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U.S. passenger airlines can broadly be divided into three categories: legacy network airlines; LCCs; and ULCCs. While each major airline based in the United States generally competes with each other for airline passengers traveling on the routes they serve, particularly customers traveling in economy or similar classes of service, these categories identify the operating strategies of these airlines.</w:t>
      </w:r>
    </w:p>
    <w:p>
      <w:pPr>
        <w:spacing w:after="0" w:line="8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The legacy network airlines, including United Airlines, Delta Air Lines and American Airlines, serve a large business travel customer base and offer scheduled flights to the largest cities within the United States and abroad (directly or through membership in one of the global airline alliances) and also serve numerous smaller cities. These airlines operate predominantly through a “hub-and -spoke” network route system. This system concentrates most of an airline’s operations in a limited number of hub cities, serving other destinations in the system by providing one-stop or connecting service through hub airports to end destinations on the spokes. Such an arrangement enables travelers to fly from a given point of origin to more destinations without switching airlines. While hub-and-spoke systems result in low marginal costs for each incremental passenger, they also result in high fixed costs. The unit costs incurred by legacy network airlines to provide the gates, airport ground operations and maintenance facilities needed to support a hub-and-spoke operation are generally higher than those of a point- to-point network, typically operated by LCCs and ULCCs. Aircraft schedules at legacy network airlines also tend to be inefficient to meet the requirements of connecting banks of flights in hubs, resulting in lower aircraft and crew utilization. Serving a large number of markets of different sizes requires the legacy network airlines to have multiple fleets with multiple aircraft types along with the related complexities and additional costs for crew scheduling, crew training and maintenance. As a result, legacy network airlines typically have higher cost structures than LCCs and ULCCs due to, among other things, higher labor costs, flight crew and aircraft scheduling inefficiencies, concentration of operations in higher cost airports, and the offering of multiple classes of services, including multiple premium classes of service. Legacy network airlines are mainly focused on business travel, which historically has generated higher unit revenues and yields. Business travel is closely tied to economic cycles and has been more volatile than leisure and VFR travel during industry downturns, including during the current COVID-19 induced downturn.</w:t>
      </w:r>
    </w:p>
    <w:p>
      <w:pPr>
        <w:spacing w:after="0" w:line="9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In contrast, the LCC model focuses on operating a more simplified operation, providing point-to-point service without the high fixed costs and inefficiencies required for a hub-and- spoke system. The lower cost structure of LCCs enables them to offer flights to and from many of the same markets as the major airlines at lower fares, though LCCs sometimes serve major markets through secondary, lower-cost airports in the same region. Many LCCs provide only a single class of service, thereby avoiding the incremental cost of offering premium-class services. Finally, LCCs tend to operate fleets with very few aircraft families in order to maximize the utilization of flight crews across the fleet, to improve aircraft scheduling flexibility and to minimize inventory and aircraft maintenance costs. The major U.S. based airlines that define themselves as LCCs include Southwest Airlines and JetBlue Airways.</w:t>
      </w:r>
    </w:p>
    <w:p>
      <w:pPr>
        <w:spacing w:after="0" w:line="95" w:lineRule="exact"/>
        <w:rPr>
          <w:sz w:val="20"/>
          <w:szCs w:val="20"/>
          <w:color w:val="auto"/>
        </w:rPr>
      </w:pPr>
    </w:p>
    <w:p>
      <w:pPr>
        <w:ind w:left="1160" w:right="1279" w:firstLine="293"/>
        <w:spacing w:after="0" w:line="283" w:lineRule="auto"/>
        <w:rPr>
          <w:sz w:val="20"/>
          <w:szCs w:val="20"/>
          <w:color w:val="auto"/>
        </w:rPr>
      </w:pPr>
      <w:r>
        <w:rPr>
          <w:rFonts w:ascii="Arial" w:cs="Arial" w:eastAsia="Arial" w:hAnsi="Arial"/>
          <w:sz w:val="14"/>
          <w:szCs w:val="14"/>
          <w:color w:val="auto"/>
        </w:rPr>
        <w:t>The ULCC model, which was pioneered by Ryanair in Europe and Spirit Airlines in the United States, was built on the LCC model, but combined with a focus on increased aircraft utilization, increased seat</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9" w:name="page120"/>
    <w:bookmarkEnd w:id="11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71" w:lineRule="auto"/>
        <w:rPr>
          <w:sz w:val="20"/>
          <w:szCs w:val="20"/>
          <w:color w:val="auto"/>
        </w:rPr>
      </w:pPr>
      <w:r>
        <w:rPr>
          <w:rFonts w:ascii="Arial" w:cs="Arial" w:eastAsia="Arial" w:hAnsi="Arial"/>
          <w:sz w:val="14"/>
          <w:szCs w:val="14"/>
          <w:color w:val="auto"/>
        </w:rPr>
        <w:t>density and the unbundling of revenue sources aside from base ticket prices with multiple products and services offered for purchase by the customer at additional cost. ULCCs have lower unit costs than the legacy network airlines and the LCCs. In addition, ULCCs are capable of driving significant increases in passenger volumes as a result of their low base fares. The major U.S. based airlines that define themselves as ULCCs include Spirit Airlines, Allegiant Travel Company and Frontier Airlines.</w:t>
      </w:r>
    </w:p>
    <w:p>
      <w:pPr>
        <w:spacing w:after="0" w:line="80"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The LCCs and ULCCs in the United States have grown faster than the legacy network airlines and typically have higher profit margins. Additionally, the high growth of LCCs and ULCCs has resulted in them taking market share from the legacy network airlines even as the industry has consolidated. The LCCs and ULCCs predominantly serve leisure and VFR travelers, who tend to be more price conscious than business travelers as they pay for the ticket at their own expense rather than through a corporate expense account. Leisure and VFR travel is more resilient than business travel, as proven during and following the 2008 financial crisis and more recently during the COVID-19 induced downturn where the rebound in air travel from the April 2020 trough has been largely driven by leisure and VFR travelers.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Charter</w:t>
      </w:r>
    </w:p>
    <w:p>
      <w:pPr>
        <w:spacing w:after="0" w:line="128"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Within the broader U.S. charter market, which includes business jets, widebody and narrowbody charters, Sun Country exclusively focuses on the narrowbody segment. The narrowbody charter segment has experienced steady growth over the recent years posting an estimated 6.1% compound annual growth rate over the 2013-2018 period and reaching an approximately $1.2 billion market size as of 2018, based on management estimates.</w:t>
      </w:r>
    </w:p>
    <w:p>
      <w:pPr>
        <w:spacing w:after="0" w:line="105" w:lineRule="exact"/>
        <w:rPr>
          <w:sz w:val="20"/>
          <w:szCs w:val="20"/>
          <w:color w:val="auto"/>
        </w:rPr>
      </w:pPr>
    </w:p>
    <w:p>
      <w:pPr>
        <w:ind w:left="1160" w:right="1179" w:firstLine="293"/>
        <w:spacing w:after="0" w:line="289" w:lineRule="auto"/>
        <w:rPr>
          <w:sz w:val="20"/>
          <w:szCs w:val="20"/>
          <w:color w:val="auto"/>
        </w:rPr>
      </w:pPr>
      <w:r>
        <w:rPr>
          <w:rFonts w:ascii="Arial" w:cs="Arial" w:eastAsia="Arial" w:hAnsi="Arial"/>
          <w:sz w:val="13"/>
          <w:szCs w:val="13"/>
          <w:color w:val="auto"/>
        </w:rPr>
        <w:t>On the demand side, key customer segments within the U.S. narrowbody charter market include casinos and tour groups, sports teams (both professional and college teams), the U.S. Department of Defense and other government customers. As of 2018, we had strong market positions in the casinos and tours customer segments, the U.S. Department of Defense and college sports customer segments with an estimated market share of approximately 33%, 29% and 18%, respectively. These customer segments are primarily comprised of large, high-budget organizations with recurring (in some cases even long-term contracted) and resilient spend. The typical contract generally provides for the customer to pay a fixed charter fee, insurance, landing fees, navigation fees and most other operational fees and costs. Fuel costs are contractually passed through to the customer, enhancing margins and removing commodity risk from the operators.</w:t>
      </w:r>
    </w:p>
    <w:p>
      <w:pPr>
        <w:spacing w:after="0" w:line="72"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On the supply side, the market is fragmented and primarily served by pure play charter operators that typically operate small fleets and serve relatively small networks across the country. The reduced fleet size and network scale of pure play charter operators results in limited reserve aircraft to react to unexpected problems and schedule changes. Larger, high-budget and enduring charter customers primarily seek operational reliability and aircraft and crew availability to serve their planned and on-demand needs. In light of these specific needs, the size, scale, and reach of the network are key strategic advantages to compete in the charter market.</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Cargo</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global air cargo industry transports over $6 trillion worth of goods per year, which accounts for approximately 35% of world trade by value. In 2019, global air cargo traffic was 264 billion revenue tonne-kilometers (“RTKs”), with North America making up 24% of that traffic. The highly fragmented industry is comprised of numerous players, including the large integrators such as UPS, FedEx and DHL, long-and medium-range carriers such as Air Transport Services Group, Inc. (“ATSG”) and Atlas Air, as well as a host of smaller regional operators.</w:t>
      </w:r>
    </w:p>
    <w:p>
      <w:pPr>
        <w:spacing w:after="0" w:line="106"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The two options for air cargo transport are dedicated freighters and passenger aircraft lower holds, also referred to as passenger belly capacity. Freighters are particularly well suited for transporting high-value goods because they provide highly controlled transport, direct routing, reliability and unique capacity considerations. These distinct advantages allow freighter operators to offer a higher value of service and generate more than 90% of the total air cargo industry revenue. In 2019, estimated air cargo revenue globally was $106 billion, and global air cargo traffic is forecasted by Boeing to grow at a 4.0% compound annual</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0" w:name="page121"/>
    <w:bookmarkEnd w:id="12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color w:val="auto"/>
        </w:rPr>
        <w:t>growth rate through 2039. The U.S. domestic air cargo market is more mature and expected by Boeing to grow at a 2.7% compound annual growth rate through 2039.</w:t>
      </w:r>
    </w:p>
    <w:p>
      <w:pPr>
        <w:spacing w:after="0" w:line="83"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One of the main drivers of air cargo growth is e -commerce, which has continued to grow significantly and drive demand for delivery services. Since 2015, global e-commerce retail sales have grown at over a 20% compound annual growth rate and are expected by Boeing to grow at over 15% per year from 2020 through 2023. In this context, Amazon formally launched Amazon Air in 2016 and expects to have a fleet of over 80 aircraft by the end of 2021. These aircraft are either owned or leased by Amazon and operated by select third-party partners, such as Sun Country.</w:t>
      </w:r>
    </w:p>
    <w:p>
      <w:pPr>
        <w:spacing w:after="0" w:line="101"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3"/>
          <w:szCs w:val="13"/>
          <w:color w:val="auto"/>
        </w:rPr>
        <w:t>Similar to Sun Country, ATSG and Atlas Air have contracts with Amazon to provide cargo services. ATSG and Atlas Air operate through numerous business lines including Aircraft Leasing, Aircraft, Crew, Maintenance and Insurance (“ACMI”) services, CMI services and other aviation support services, such as ground logistics. Under a typical ACMI agreement, the airline provides the aircraft, flight crews, aircraft maintenance and aircraft insurance while the customer typically covers most operating expenses, including fuel, landing fees, parking fees and ground and cargo handling expenses. Under a typical CMI agreement, the customer is responsible for providing the aircraft, in addition to covering the fuel and other operating expenses, and the airline provides the flight crews, aircraft insurance and line maintenance. The ATSA is a CMI agreement. The majority of aircraft that ATSG and Atlas Air operate on Amazon’s behalf under their respective ATSA’s are Boeing 767s. Since the beginning of their relationship with Amazon in 2016, both ATSG and Atlas Air have seen continued and substantial growth in their Amazon dedicated fleets. Unlike ATSG and Atlas Air, Sun Country only flies 737 aircraft for Amazon under our “asset-light” ATSA.</w:t>
      </w:r>
    </w:p>
    <w:p>
      <w:pPr>
        <w:spacing w:after="0" w:line="88" w:lineRule="exact"/>
        <w:rPr>
          <w:sz w:val="20"/>
          <w:szCs w:val="20"/>
          <w:color w:val="auto"/>
        </w:rPr>
      </w:pPr>
    </w:p>
    <w:p>
      <w:pPr>
        <w:ind w:left="1160" w:right="1279" w:firstLine="293"/>
        <w:spacing w:after="0" w:line="232" w:lineRule="auto"/>
        <w:rPr>
          <w:sz w:val="20"/>
          <w:szCs w:val="20"/>
          <w:color w:val="auto"/>
        </w:rPr>
      </w:pPr>
      <w:r>
        <w:rPr>
          <w:rFonts w:ascii="Arial" w:cs="Arial" w:eastAsia="Arial" w:hAnsi="Arial"/>
          <w:sz w:val="15"/>
          <w:szCs w:val="15"/>
          <w:color w:val="auto"/>
        </w:rPr>
        <w:t>We believe that Sun Country represents a new breed of hybrid air carrier that shares certain characteristics with Allegiant Travel Company, Southwest Airlines and ATSG. Sun Country’s model includes many of the low cost structure characteristics of ULCCs, such as an unbundled product, point-to-point service and a single aircraft family fleet, which allow us to maintain a cost base comparable to ULCCs. However, our superior product is more consistent with the higher quality product of LCCs. Furthermore, we fly a flexible “peak demand” network, similar to Allegiant Travel Company. However, Allegiant flies to different markets than we do with a lesser product, smaller charter business and limited ticket distribution network through its website (closed distribution) . Our CMI services arrangement under the ATSA with Amazon resembles ATSG’s. However, our ATSA is asset- light from a Sun Country perspective and does not require capital expenditures on aircraft for us to service and provides meaningful, stable and visible cash flows.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COVID-19 Impact on the Airline Industry</w:t>
      </w:r>
    </w:p>
    <w:p>
      <w:pPr>
        <w:spacing w:after="0" w:line="11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 at home orders, with most occurring during the month of April. As a result, U.S. domestic passenger enplanements declined 96% in April 2020 when compared to April 2019. While U.S. domestic passenger volumes have increased from a total of 2.9 million passengers in April 2020 to 60.8 million passengers in June 2021, those levels are still down 16% when compared to the same time frame in 2019. The growth in the U.S. domestic air traffic since the trough in April 2020 has been led by leisure and VFR travelers as business travel remains more subdued with the majority of corporate workforces mandated to predominantly “work -from-home” and in-person meetings being replaced by videoconferencing and other virtual channels. Equity research analysts and other industry executives believe that the positive trends in leisure and VFR travel will continue as COVID-19 vaccines continue to become more widely distributed in 2021. COVID-19 vaccines have become widely available in the United States with nearly 400 million doses administered and over 55% of the U.S. population fully vacinnated according to the CDC. The initial beneficiaries of the travel rebound are expected to be leisure and VFR focused LCCs and ULCCs, while the more international and business travel exposed legacy network airlines are expected to lag behind.</w:t>
      </w:r>
    </w:p>
    <w:p>
      <w:pPr>
        <w:spacing w:after="0" w:line="96"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As COVID-19 has spread globally, many countries imposed strict international travel restrictions and more recently enacted mandatory quarantines or COVID testing upon return from international travel to replace prior travel restrictions. As a result of these restrictive measures, U.S. international passenger enplanements declined by 99% in April 2020 when compared to April 2019, a more significant decline than U.S. domestic passenger enplanements. Given the continued international restrictions and quarantines across the world, U.S. international passenger volumes have recovered less than U.S. domestic passenger</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1" w:name="page122"/>
    <w:bookmarkEnd w:id="12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71" w:lineRule="auto"/>
        <w:rPr>
          <w:sz w:val="20"/>
          <w:szCs w:val="20"/>
          <w:color w:val="auto"/>
        </w:rPr>
      </w:pPr>
      <w:r>
        <w:rPr>
          <w:rFonts w:ascii="Arial" w:cs="Arial" w:eastAsia="Arial" w:hAnsi="Arial"/>
          <w:sz w:val="14"/>
          <w:szCs w:val="14"/>
          <w:color w:val="auto"/>
        </w:rPr>
        <w:t>volumes since April 2020. For the period from January 1, 2021 to June 30, 2021, international capacity for U.S. airlines was down 53% compared to the same timeframe in 2019, whereas domestic capacity was down 26% for the same period. However, the U.S. market has recovered markedly faster than most other countries as a result of widespread vaccine distribution igniting the leisure travel recovery. Other U.S. airlines have commented that leisure demand levels in the United States are already above 2019 levels.</w:t>
      </w:r>
    </w:p>
    <w:p>
      <w:pPr>
        <w:spacing w:after="0" w:line="80" w:lineRule="exact"/>
        <w:rPr>
          <w:sz w:val="20"/>
          <w:szCs w:val="20"/>
          <w:color w:val="auto"/>
        </w:rPr>
      </w:pPr>
    </w:p>
    <w:p>
      <w:pPr>
        <w:ind w:left="1160" w:right="1199" w:firstLine="293"/>
        <w:spacing w:after="0" w:line="288" w:lineRule="auto"/>
        <w:rPr>
          <w:sz w:val="20"/>
          <w:szCs w:val="20"/>
          <w:color w:val="auto"/>
        </w:rPr>
      </w:pPr>
      <w:r>
        <w:rPr>
          <w:rFonts w:ascii="Arial" w:cs="Arial" w:eastAsia="Arial" w:hAnsi="Arial"/>
          <w:sz w:val="13"/>
          <w:szCs w:val="13"/>
          <w:color w:val="auto"/>
        </w:rPr>
        <w:t>U.S. passenger airlines have taken significant measures in response to the COVID-19 pandemic to maintain the health and safety of their employees and customers. Airlines have added new pre-boarding, boarding and in-flight procedures such as pre-flight health questionnaires and screenings, contactless check-in and luggage drop off, enhanced aircraft cleaning procedures, mandatory face masks for employees and passengers, restricted middle seat bookings and other limitations, in terms of maximum load factor per flight, to adhere to social distancing protocols while onboard. These measures have minimized the risk of infection while onboard and increased customer confidence in safely returning to fly. Pre-and post-flight COVID-19 rapid testing has recently been introduced as an additional tool to avoid mandatory quarantine periods for international and some domestic travel, and it is expected to, along with widely distributed vaccines, facilitate the recovery in air passenger traffic as travel restrictions are lifted across the globe.</w:t>
      </w:r>
    </w:p>
    <w:p>
      <w:pPr>
        <w:spacing w:after="0" w:line="85"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 Even when considering the reduction in available belly cargo space on commercial passenger flights, air cargo is expected to continue growing with e-commerce, which is expected to grow more than 15% per year for the next several years, and as the global economy rebounds from the COVID-19 induced downturn.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2" w:name="page123"/>
    <w:bookmarkEnd w:id="12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1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Unique Business Model</w:t>
      </w:r>
    </w:p>
    <w:p>
      <w:pPr>
        <w:spacing w:after="0" w:line="12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Scheduled Service. </w:t>
      </w:r>
      <w:r>
        <w:rPr>
          <w:rFonts w:ascii="Arial" w:cs="Arial" w:eastAsia="Arial" w:hAnsi="Arial"/>
          <w:sz w:val="14"/>
          <w:szCs w:val="14"/>
          <w:color w:val="auto"/>
        </w:rPr>
        <w:t>Our scheduled service business combines low costs with a high quality product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 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 -to-point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one of the early beneficiaries of the industry rebound following the COVID-19 pandemic.</w:t>
      </w:r>
    </w:p>
    <w:p>
      <w:pPr>
        <w:spacing w:after="0" w:line="9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3"/>
          <w:szCs w:val="13"/>
          <w:b w:val="1"/>
          <w:bCs w:val="1"/>
          <w:i w:val="1"/>
          <w:iCs w:val="1"/>
          <w:color w:val="auto"/>
        </w:rPr>
        <w:t>Charter</w:t>
      </w:r>
      <w:r>
        <w:rPr>
          <w:rFonts w:ascii="Arial" w:cs="Arial" w:eastAsia="Arial" w:hAnsi="Arial"/>
          <w:sz w:val="13"/>
          <w:szCs w:val="13"/>
          <w:color w:val="auto"/>
        </w:rPr>
        <w:t>. Our charter business, which is one of the largest narrow body charter operations in the United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 -term in nature. Our charter business has proven to be more resilient than our scheduled service business during the COVID-19 induced downturn, with charter revenue having declined less than scheduled service revenue on</w:t>
      </w:r>
    </w:p>
    <w:p>
      <w:pPr>
        <w:spacing w:after="0" w:line="154" w:lineRule="exact"/>
        <w:rPr>
          <w:sz w:val="20"/>
          <w:szCs w:val="20"/>
          <w:color w:val="auto"/>
        </w:rPr>
      </w:pPr>
    </w:p>
    <w:p>
      <w:pPr>
        <w:ind w:left="1160" w:right="1279"/>
        <w:spacing w:after="0" w:line="231" w:lineRule="auto"/>
        <w:rPr>
          <w:sz w:val="20"/>
          <w:szCs w:val="20"/>
          <w:color w:val="auto"/>
        </w:rPr>
      </w:pPr>
      <w:r>
        <w:rPr>
          <w:rFonts w:ascii="Arial" w:cs="Arial" w:eastAsia="Arial" w:hAnsi="Arial"/>
          <w:sz w:val="15"/>
          <w:szCs w:val="15"/>
          <w:color w:val="auto"/>
        </w:rPr>
        <w:t>a percentage basis in 2020 as compared to 2019. Additionally, our charter business complements our seasonal and day-of- 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3" w:name="page124"/>
    <w:bookmarkEnd w:id="12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35" w:lineRule="auto"/>
        <w:rPr>
          <w:sz w:val="20"/>
          <w:szCs w:val="20"/>
          <w:color w:val="auto"/>
        </w:rPr>
      </w:pPr>
      <w:r>
        <w:rPr>
          <w:rFonts w:ascii="Arial" w:cs="Arial" w:eastAsia="Arial" w:hAnsi="Arial"/>
          <w:sz w:val="15"/>
          <w:szCs w:val="15"/>
          <w:color w:val="auto"/>
        </w:rPr>
        <w:t>across the world. While our charter revenues were down as a result of COVID -19, they rebounded in the second half of 2020 and into the second quarter of 2021. In the second quarter of 2021, our charter revenues were 30.7% lower when compared to the second quarter of 2019. In comparison, combined U.S. passenger airline revenues were 39.9% lower during the second quarter of 2021 when compared to the second quarter of 2019.</w:t>
      </w:r>
    </w:p>
    <w:p>
      <w:pPr>
        <w:spacing w:after="0" w:line="85"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5"/>
          <w:szCs w:val="15"/>
          <w:b w:val="1"/>
          <w:bCs w:val="1"/>
          <w:i w:val="1"/>
          <w:iCs w:val="1"/>
          <w:color w:val="auto"/>
        </w:rPr>
        <w:t>Cargo</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color w:val="auto"/>
        </w:rPr>
        <w:t>On December 13, 2019, we signed the ATSA with Amazon to provide air cargo services.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Flying under the ATSA began in May 2020 and, as of the date of this prospectus, we are flying 12 Boeing</w:t>
      </w:r>
    </w:p>
    <w:p>
      <w:pPr>
        <w:ind w:left="1160"/>
        <w:spacing w:after="0" w:line="234" w:lineRule="auto"/>
        <w:rPr>
          <w:sz w:val="20"/>
          <w:szCs w:val="20"/>
          <w:color w:val="auto"/>
        </w:rPr>
      </w:pPr>
      <w:r>
        <w:rPr>
          <w:rFonts w:ascii="Arial" w:cs="Arial" w:eastAsia="Arial" w:hAnsi="Arial"/>
          <w:sz w:val="15"/>
          <w:szCs w:val="15"/>
          <w:color w:val="auto"/>
        </w:rPr>
        <w:t>737-800 cargo aircraft for Amazon (having been awarded two additional aircraft in October and</w:t>
      </w:r>
    </w:p>
    <w:p>
      <w:pPr>
        <w:ind w:left="1160"/>
        <w:spacing w:after="0"/>
        <w:rPr>
          <w:sz w:val="20"/>
          <w:szCs w:val="20"/>
          <w:color w:val="auto"/>
        </w:rPr>
      </w:pPr>
      <w:r>
        <w:rPr>
          <w:rFonts w:ascii="Arial" w:cs="Arial" w:eastAsia="Arial" w:hAnsi="Arial"/>
          <w:sz w:val="14"/>
          <w:szCs w:val="14"/>
          <w:color w:val="auto"/>
        </w:rPr>
        <w:t>November 2020 after the initial contract for 10 aircraft). Our CMI service is asset-light from a Sun Country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perspective, as Amazon supplies the aircraft and covers many of the operating expenses, including fuel,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provides all cargo loading and unloading services. We are responsible for flying the aircraft under our air</w:t>
      </w:r>
    </w:p>
    <w:p>
      <w:pPr>
        <w:ind w:left="1160"/>
        <w:spacing w:after="0" w:line="234" w:lineRule="auto"/>
        <w:rPr>
          <w:sz w:val="20"/>
          <w:szCs w:val="20"/>
          <w:color w:val="auto"/>
        </w:rPr>
      </w:pPr>
      <w:r>
        <w:rPr>
          <w:rFonts w:ascii="Arial" w:cs="Arial" w:eastAsia="Arial" w:hAnsi="Arial"/>
          <w:sz w:val="15"/>
          <w:szCs w:val="15"/>
          <w:color w:val="auto"/>
        </w:rPr>
        <w:t>carrier certificate, crew, aircraft line maintenance and insurance, all of which allow us to leverage our</w:t>
      </w:r>
    </w:p>
    <w:p>
      <w:pPr>
        <w:ind w:left="1160"/>
        <w:spacing w:after="0"/>
        <w:rPr>
          <w:sz w:val="20"/>
          <w:szCs w:val="20"/>
          <w:color w:val="auto"/>
        </w:rPr>
      </w:pPr>
      <w:r>
        <w:rPr>
          <w:rFonts w:ascii="Arial" w:cs="Arial" w:eastAsia="Arial" w:hAnsi="Arial"/>
          <w:sz w:val="14"/>
          <w:szCs w:val="14"/>
          <w:color w:val="auto"/>
        </w:rPr>
        <w:t>existing operational expertise from our scheduled service and charter businesses. The ATSA has generated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consistent, positive cash flows through the COVID-19 induced downturn. The ATSA offers potential future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growth opportunities by establishing a long-term partnership with Amazon. Our cargo business also enables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us to leverage certain assets, capabilities and fixed costs to enhance profitability and promote growth across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company. For example, we believe that by deploying pilots across each of our business lines, we</w:t>
      </w:r>
    </w:p>
    <w:p>
      <w:pPr>
        <w:ind w:left="1160"/>
        <w:spacing w:after="0"/>
        <w:rPr>
          <w:sz w:val="20"/>
          <w:szCs w:val="20"/>
          <w:color w:val="auto"/>
        </w:rPr>
      </w:pPr>
      <w:r>
        <w:rPr>
          <w:rFonts w:ascii="Arial" w:cs="Arial" w:eastAsia="Arial" w:hAnsi="Arial"/>
          <w:sz w:val="15"/>
          <w:szCs w:val="15"/>
          <w:color w:val="auto"/>
        </w:rPr>
        <w:t>increase the efficiency of our operations.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Transformation</w:t>
      </w:r>
    </w:p>
    <w:p>
      <w:pPr>
        <w:spacing w:after="0" w:line="124"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67" w:lineRule="exact"/>
        <w:rPr>
          <w:sz w:val="20"/>
          <w:szCs w:val="20"/>
          <w:color w:val="auto"/>
        </w:rPr>
      </w:pPr>
    </w:p>
    <w:p>
      <w:pPr>
        <w:ind w:left="1600" w:right="1319" w:hanging="143"/>
        <w:spacing w:after="0" w:line="251" w:lineRule="auto"/>
        <w:tabs>
          <w:tab w:leader="none" w:pos="1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58" w:lineRule="exact"/>
        <w:rPr>
          <w:rFonts w:ascii="Arial" w:cs="Arial" w:eastAsia="Arial" w:hAnsi="Arial"/>
          <w:sz w:val="15"/>
          <w:szCs w:val="15"/>
          <w:color w:val="auto"/>
        </w:rPr>
      </w:pPr>
    </w:p>
    <w:p>
      <w:pPr>
        <w:ind w:left="1600" w:right="1279" w:hanging="143"/>
        <w:spacing w:after="0" w:line="297" w:lineRule="auto"/>
        <w:tabs>
          <w:tab w:leader="none" w:pos="1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3"/>
          <w:szCs w:val="13"/>
          <w:i w:val="1"/>
          <w:iCs w:val="1"/>
          <w:color w:val="auto"/>
        </w:rPr>
        <w:t>Navitaire</w:t>
      </w:r>
      <w:r>
        <w:rPr>
          <w:rFonts w:ascii="Arial" w:cs="Arial" w:eastAsia="Arial" w:hAnsi="Arial"/>
          <w:sz w:val="13"/>
          <w:szCs w:val="13"/>
          <w:color w:val="auto"/>
        </w:rPr>
        <w:t>, rebranded our product along with our website and invested in improving the customer support experience. We consolidated our corporate headquarters into an on-airport hangar.</w:t>
      </w:r>
    </w:p>
    <w:p>
      <w:pPr>
        <w:spacing w:after="0" w:line="41" w:lineRule="exact"/>
        <w:rPr>
          <w:rFonts w:ascii="Arial" w:cs="Arial" w:eastAsia="Arial" w:hAnsi="Arial"/>
          <w:sz w:val="13"/>
          <w:szCs w:val="13"/>
          <w:color w:val="auto"/>
        </w:rPr>
      </w:pPr>
    </w:p>
    <w:p>
      <w:pPr>
        <w:ind w:left="1600" w:right="1219" w:hanging="143"/>
        <w:spacing w:after="0" w:line="254" w:lineRule="auto"/>
        <w:tabs>
          <w:tab w:leader="none" w:pos="1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We greatly expanded our ancillary products and services, which consist of baggage fees, seat assignment fees and other fees, increasing average ancillary revenue per scheduled service passenger by 148% from 2017 to 2019.</w:t>
      </w:r>
    </w:p>
    <w:p>
      <w:pPr>
        <w:spacing w:after="0" w:line="67"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We launched and grew our asset light cargo business and fully integrated our pilot base across our scheduled service, charter and cargo businesses.</w:t>
      </w:r>
    </w:p>
    <w:p>
      <w:pPr>
        <w:spacing w:after="0" w:line="59" w:lineRule="exact"/>
        <w:rPr>
          <w:rFonts w:ascii="Arial" w:cs="Arial" w:eastAsia="Arial" w:hAnsi="Arial"/>
          <w:sz w:val="15"/>
          <w:szCs w:val="15"/>
          <w:color w:val="auto"/>
        </w:rPr>
      </w:pPr>
    </w:p>
    <w:p>
      <w:pPr>
        <w:ind w:left="1600" w:right="1199" w:hanging="143"/>
        <w:spacing w:after="0" w:line="251" w:lineRule="auto"/>
        <w:tabs>
          <w:tab w:leader="none" w:pos="16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91"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While the COVID-19 induced industry downturn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24" w:lineRule="exact"/>
        <w:rPr>
          <w:sz w:val="20"/>
          <w:szCs w:val="20"/>
          <w:color w:val="auto"/>
        </w:rPr>
      </w:pPr>
    </w:p>
    <w:p>
      <w:pPr>
        <w:ind w:left="1160" w:right="1179" w:firstLine="293"/>
        <w:spacing w:after="0" w:line="258" w:lineRule="auto"/>
        <w:rPr>
          <w:sz w:val="20"/>
          <w:szCs w:val="20"/>
          <w:color w:val="auto"/>
        </w:rPr>
      </w:pPr>
      <w:r>
        <w:rPr>
          <w:rFonts w:ascii="Arial" w:cs="Arial" w:eastAsia="Arial" w:hAnsi="Arial"/>
          <w:sz w:val="14"/>
          <w:szCs w:val="14"/>
          <w:color w:val="auto"/>
        </w:rPr>
        <w:t>On March 19, 2021, we completed our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4" w:name="page125"/>
    <w:bookmarkEnd w:id="12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51" w:lineRule="auto"/>
        <w:rPr>
          <w:sz w:val="20"/>
          <w:szCs w:val="20"/>
          <w:color w:val="auto"/>
        </w:rPr>
      </w:pPr>
      <w:r>
        <w:rPr>
          <w:rFonts w:ascii="Arial" w:cs="Arial" w:eastAsia="Arial" w:hAnsi="Arial"/>
          <w:sz w:val="15"/>
          <w:szCs w:val="15"/>
          <w:color w:val="auto"/>
        </w:rPr>
        <w:t>net proceeds from the initial public offering to repay all amounts outstanding under the CARES Act Loan. A portion of the proceeds was used to pay fees and expenses in connection with the initial public offering. The remaining net proceeds have been and will continue to be used for general corporate purposes, including to acquire additional aircraft.</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COVID-19 Induced Downturn</w:t>
      </w:r>
    </w:p>
    <w:p>
      <w:pPr>
        <w:spacing w:after="0" w:line="113"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in 2020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allowing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101"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also entered into the Credit Agreement. Further, we have received grants from Treasury through the Payroll Support Program and accepted the CARES Act Loan from Treasury through the CARES Act Loan Program, which has now been repaid in full, without issuing any warrants, unlike nearly all other carriers with whom we compete that received government assistance. We have also maintained our pre-COVID-19 corporate credit ratings throughout the downturn. COVID-19 vaccines have become widely available in the United States with nearly 400 million doses administered and over 55% of the U.S. population fully vacinnated according to the CDC. As vaccines continue to become more widely distributed in 2021, we believe the airline industry will continue to rebound in the remainder of 2021 and normalize in 2022. Given our focus on low-cost domestic leisure travel, we believe we are rebounding faster than most other U.S. airlines.</w:t>
      </w:r>
    </w:p>
    <w:p>
      <w:pPr>
        <w:spacing w:after="0" w:line="95"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Competitive Strengths</w:t>
      </w:r>
    </w:p>
    <w:p>
      <w:pPr>
        <w:spacing w:after="0" w:line="117" w:lineRule="exact"/>
        <w:rPr>
          <w:sz w:val="20"/>
          <w:szCs w:val="20"/>
          <w:color w:val="auto"/>
        </w:rPr>
      </w:pPr>
    </w:p>
    <w:p>
      <w:pPr>
        <w:ind w:left="1160" w:right="1439" w:firstLine="293"/>
        <w:spacing w:after="0" w:line="264" w:lineRule="auto"/>
        <w:rPr>
          <w:sz w:val="20"/>
          <w:szCs w:val="20"/>
          <w:color w:val="auto"/>
        </w:rPr>
      </w:pPr>
      <w:r>
        <w:rPr>
          <w:rFonts w:ascii="Arial" w:cs="Arial" w:eastAsia="Arial" w:hAnsi="Arial"/>
          <w:sz w:val="15"/>
          <w:szCs w:val="15"/>
          <w:color w:val="auto"/>
        </w:rPr>
        <w:t>We believe that the following key strengths allow us to compete successfully within the U.S. airline industry.</w:t>
      </w:r>
    </w:p>
    <w:p>
      <w:pPr>
        <w:spacing w:after="0" w:line="93" w:lineRule="exact"/>
        <w:rPr>
          <w:sz w:val="20"/>
          <w:szCs w:val="20"/>
          <w:color w:val="auto"/>
        </w:rPr>
      </w:pPr>
    </w:p>
    <w:p>
      <w:pPr>
        <w:ind w:left="1160" w:right="1219" w:firstLine="293"/>
        <w:spacing w:after="0" w:line="290" w:lineRule="auto"/>
        <w:rPr>
          <w:sz w:val="20"/>
          <w:szCs w:val="20"/>
          <w:color w:val="auto"/>
        </w:rPr>
      </w:pPr>
      <w:r>
        <w:rPr>
          <w:rFonts w:ascii="Arial" w:cs="Arial" w:eastAsia="Arial" w:hAnsi="Arial"/>
          <w:sz w:val="13"/>
          <w:szCs w:val="13"/>
          <w:b w:val="1"/>
          <w:bCs w:val="1"/>
          <w:i w:val="1"/>
          <w:iCs w:val="1"/>
          <w:color w:val="auto"/>
        </w:rPr>
        <w:t xml:space="preserve">Diversified and Resilient Business Model. </w:t>
      </w:r>
      <w:r>
        <w:rPr>
          <w:rFonts w:ascii="Arial" w:cs="Arial" w:eastAsia="Arial" w:hAnsi="Arial"/>
          <w:sz w:val="13"/>
          <w:szCs w:val="13"/>
          <w:color w:val="auto"/>
        </w:rPr>
        <w:t>Our diversified business model, which includes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leisure and VFR focused scheduled 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continued to fly in 2020, while our casino customers are subject to long-term contracts and began flying again in June 2020. Our cargo business exhibited steady growth in 2020 and into the first half of 2021 as flying ramped up and demand remained strong, driven by underlying secular growth in e-commerce.</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5" w:name="page126"/>
    <w:bookmarkEnd w:id="12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Agile Peak Demand Scheduling Strategy. </w:t>
      </w:r>
      <w:r>
        <w:rPr>
          <w:rFonts w:ascii="Arial" w:cs="Arial" w:eastAsia="Arial" w:hAnsi="Arial"/>
          <w:sz w:val="14"/>
          <w:szCs w:val="14"/>
          <w:color w:val="auto"/>
        </w:rPr>
        <w:t>We flex our capacity by day of the week, month of the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line of business to capture what we believe are the most profitable flying opportunities available from both our MSP home market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We have continued to become more seasonal in 2021 with our current planned schedule service from July 2021 through April 2022 containing only 1% daily year-round routes. The following charts demonstrate that our schedule is highly variable by day of the week and month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84455</wp:posOffset>
            </wp:positionV>
            <wp:extent cx="4241800" cy="254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24180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4"/>
          <w:szCs w:val="14"/>
          <w:i w:val="1"/>
          <w:iCs w:val="1"/>
          <w:color w:val="auto"/>
        </w:rPr>
        <w:t>Power Patterns</w:t>
      </w:r>
      <w:r>
        <w:rPr>
          <w:rFonts w:ascii="Arial" w:cs="Arial" w:eastAsia="Arial" w:hAnsi="Arial"/>
          <w:sz w:val="14"/>
          <w:szCs w:val="14"/>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83"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4"/>
          <w:szCs w:val="14"/>
          <w:b w:val="1"/>
          <w:bCs w:val="1"/>
          <w:i w:val="1"/>
          <w:iCs w:val="1"/>
          <w:color w:val="auto"/>
        </w:rPr>
        <w:t>Tactical Mid-Life Fleet with Flexible Operations</w:t>
      </w:r>
      <w:r>
        <w:rPr>
          <w:rFonts w:ascii="Arial" w:cs="Arial" w:eastAsia="Arial" w:hAnsi="Arial"/>
          <w:sz w:val="14"/>
          <w:szCs w:val="14"/>
          <w:color w:val="auto"/>
        </w:rPr>
        <w:t>. We maintain low aircraft ownership costs by acquiring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6" w:name="page127"/>
    <w:bookmarkEnd w:id="12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9" w:lineRule="auto"/>
        <w:rPr>
          <w:sz w:val="20"/>
          <w:szCs w:val="20"/>
          <w:color w:val="auto"/>
        </w:rPr>
      </w:pPr>
      <w:r>
        <w:rPr>
          <w:rFonts w:ascii="Arial" w:cs="Arial" w:eastAsia="Arial" w:hAnsi="Arial"/>
          <w:sz w:val="14"/>
          <w:szCs w:val="14"/>
          <w:color w:val="auto"/>
        </w:rPr>
        <w:t>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83" w:lineRule="exact"/>
        <w:rPr>
          <w:sz w:val="20"/>
          <w:szCs w:val="20"/>
          <w:color w:val="auto"/>
        </w:rPr>
      </w:pPr>
    </w:p>
    <w:p>
      <w:pPr>
        <w:jc w:val="both"/>
        <w:ind w:left="1160" w:right="1199" w:firstLine="293"/>
        <w:spacing w:after="0" w:line="294" w:lineRule="auto"/>
        <w:rPr>
          <w:sz w:val="20"/>
          <w:szCs w:val="20"/>
          <w:color w:val="auto"/>
        </w:rPr>
      </w:pPr>
      <w:r>
        <w:rPr>
          <w:rFonts w:ascii="Arial" w:cs="Arial" w:eastAsia="Arial" w:hAnsi="Arial"/>
          <w:sz w:val="13"/>
          <w:szCs w:val="13"/>
          <w:b w:val="1"/>
          <w:bCs w:val="1"/>
          <w:i w:val="1"/>
          <w:iCs w:val="1"/>
          <w:color w:val="auto"/>
        </w:rPr>
        <w:t>Superior Low-Cost Product and Brand</w:t>
      </w:r>
      <w:r>
        <w:rPr>
          <w:rFonts w:ascii="Arial" w:cs="Arial" w:eastAsia="Arial" w:hAnsi="Arial"/>
          <w:sz w:val="13"/>
          <w:szCs w:val="13"/>
          <w:color w:val="auto"/>
        </w:rPr>
        <w:t>. We have invested in numerous projects to create a well-regarded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and brand that we believe is superior to ULCCs while maintaining lower fares than LCCs and larger full service carriers. Some of the reasons that we believe we have a superior brand to ULCCs include:</w:t>
      </w:r>
    </w:p>
    <w:p>
      <w:pPr>
        <w:spacing w:after="0" w:line="33" w:lineRule="exact"/>
        <w:rPr>
          <w:sz w:val="20"/>
          <w:szCs w:val="20"/>
          <w:color w:val="auto"/>
        </w:rPr>
      </w:pPr>
    </w:p>
    <w:p>
      <w:pPr>
        <w:ind w:left="1600" w:right="1179" w:hanging="143"/>
        <w:spacing w:after="0" w:line="247" w:lineRule="auto"/>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 xml:space="preserve">Our Cabin Experience. </w:t>
      </w:r>
      <w:r>
        <w:rPr>
          <w:rFonts w:ascii="Arial" w:cs="Arial" w:eastAsia="Arial" w:hAnsi="Arial"/>
          <w:sz w:val="15"/>
          <w:szCs w:val="15"/>
          <w:color w:val="auto"/>
        </w:rPr>
        <w:t>All of our 737-800 aircraft have new state-of-the-art seats that comfortably</w:t>
      </w:r>
      <w:r>
        <w:rPr>
          <w:rFonts w:ascii="Arial" w:cs="Arial" w:eastAsia="Arial" w:hAnsi="Arial"/>
          <w:sz w:val="15"/>
          <w:szCs w:val="15"/>
          <w:i w:val="1"/>
          <w:iCs w:val="1"/>
          <w:color w:val="auto"/>
        </w:rPr>
        <w:t xml:space="preserve"> </w:t>
      </w:r>
      <w:r>
        <w:rPr>
          <w:rFonts w:ascii="Arial" w:cs="Arial" w:eastAsia="Arial" w:hAnsi="Arial"/>
          <w:sz w:val="15"/>
          <w:szCs w:val="15"/>
          <w:color w:val="auto"/>
        </w:rPr>
        <w:t>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75"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 xml:space="preserve">Our Digital Experience. </w:t>
      </w:r>
      <w:r>
        <w:rPr>
          <w:rFonts w:ascii="Arial" w:cs="Arial" w:eastAsia="Arial" w:hAnsi="Arial"/>
          <w:sz w:val="14"/>
          <w:szCs w:val="14"/>
          <w:color w:val="auto"/>
        </w:rPr>
        <w:t>We have significantly improved the buying experience for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We overhauled our passenger service system in 2019 and transitioned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the premier passenger service system in the United States.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transition, 73% of our Minneapolis originating scheduled service passengers have checked in either online or at a kiosk. System wide over 67% of our scheduled service passengers have checked in electronically. These tools increase the chances that the passenger can skip the check in counter, which we believe improves our customers’ experience while also reducing costs.</w:t>
      </w:r>
    </w:p>
    <w:p>
      <w:pPr>
        <w:spacing w:after="0" w:line="10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83" w:lineRule="exact"/>
        <w:rPr>
          <w:sz w:val="20"/>
          <w:szCs w:val="20"/>
          <w:color w:val="auto"/>
        </w:rPr>
      </w:pPr>
    </w:p>
    <w:p>
      <w:pPr>
        <w:jc w:val="both"/>
        <w:ind w:left="1160" w:right="1179" w:firstLine="293"/>
        <w:spacing w:after="0" w:line="279" w:lineRule="auto"/>
        <w:rPr>
          <w:sz w:val="20"/>
          <w:szCs w:val="20"/>
          <w:color w:val="auto"/>
        </w:rPr>
      </w:pPr>
      <w:r>
        <w:rPr>
          <w:rFonts w:ascii="Arial" w:cs="Arial" w:eastAsia="Arial" w:hAnsi="Arial"/>
          <w:sz w:val="13"/>
          <w:szCs w:val="13"/>
          <w:b w:val="1"/>
          <w:bCs w:val="1"/>
          <w:i w:val="1"/>
          <w:iCs w:val="1"/>
          <w:color w:val="auto"/>
        </w:rPr>
        <w:t xml:space="preserve">Competitive Low Cost Structure. </w:t>
      </w:r>
      <w:r>
        <w:rPr>
          <w:rFonts w:ascii="Arial" w:cs="Arial" w:eastAsia="Arial" w:hAnsi="Arial"/>
          <w:sz w:val="13"/>
          <w:szCs w:val="13"/>
          <w:color w:val="auto"/>
        </w:rPr>
        <w:t>Our CASM declined from 10.09 cents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2017 to 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7" w:name="page128"/>
    <w:bookmarkEnd w:id="12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2" w:lineRule="auto"/>
        <w:rPr>
          <w:sz w:val="20"/>
          <w:szCs w:val="20"/>
          <w:color w:val="auto"/>
        </w:rPr>
      </w:pPr>
      <w:r>
        <w:rPr>
          <w:rFonts w:ascii="Arial" w:cs="Arial" w:eastAsia="Arial" w:hAnsi="Arial"/>
          <w:sz w:val="14"/>
          <w:szCs w:val="14"/>
          <w:color w:val="auto"/>
        </w:rPr>
        <w:t>renegotiation of distribution contracts, consolidation of staff at headquarters on airport property and various other initiatives. Our CASM and Adjusted CASM for the year ended December 31, 2020 of 8.91 cents and 7.57 cents and for the six months ended June 30, 2021 of 7.19 cents and 6.25 cents, respectively, were adversely impacted due to the COVID-19 pandemic. While Adjusted CASM for all U.S. airlines increased in 2020 as a result of the COVID -19 induced downturn, we believe that our business model and strategy positions us well to maintain and improve our Adjusted CASM in the future, while maintaining lower utilization rates than many other U.S. passenger airlines.</w:t>
      </w:r>
    </w:p>
    <w:p>
      <w:pPr>
        <w:spacing w:after="0" w:line="80"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b w:val="1"/>
          <w:bCs w:val="1"/>
          <w:i w:val="1"/>
          <w:iCs w:val="1"/>
          <w:color w:val="auto"/>
        </w:rPr>
        <w:t xml:space="preserve">Strong Position in Our Profitable MSP Home Market. </w:t>
      </w:r>
      <w:r>
        <w:rPr>
          <w:rFonts w:ascii="Arial" w:cs="Arial" w:eastAsia="Arial" w:hAnsi="Arial"/>
          <w:sz w:val="14"/>
          <w:szCs w:val="14"/>
          <w:color w:val="auto"/>
        </w:rPr>
        <w:t>We have been based in the Minneapolis-St. Paul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area since our founding over 35 years 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97"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b w:val="1"/>
          <w:bCs w:val="1"/>
          <w:i w:val="1"/>
          <w:iCs w:val="1"/>
          <w:color w:val="auto"/>
        </w:rPr>
        <w:t xml:space="preserve">Seasoned Management Team. </w:t>
      </w:r>
      <w:r>
        <w:rPr>
          <w:rFonts w:ascii="Arial" w:cs="Arial" w:eastAsia="Arial" w:hAnsi="Arial"/>
          <w:sz w:val="14"/>
          <w:szCs w:val="14"/>
          <w:color w:val="auto"/>
        </w:rPr>
        <w:t>Our Chief Executive Officer, Jude Bricker, joined Sun Country Airlines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July 2017 and has over 17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Growth Strategy</w:t>
      </w:r>
    </w:p>
    <w:p>
      <w:pPr>
        <w:spacing w:after="0" w:line="128" w:lineRule="exact"/>
        <w:rPr>
          <w:sz w:val="20"/>
          <w:szCs w:val="20"/>
          <w:color w:val="auto"/>
        </w:rPr>
      </w:pPr>
    </w:p>
    <w:p>
      <w:pPr>
        <w:jc w:val="both"/>
        <w:ind w:left="1160" w:right="1579" w:firstLine="293"/>
        <w:spacing w:after="0" w:line="254" w:lineRule="auto"/>
        <w:rPr>
          <w:sz w:val="20"/>
          <w:szCs w:val="20"/>
          <w:color w:val="auto"/>
        </w:rPr>
      </w:pPr>
      <w:r>
        <w:rPr>
          <w:rFonts w:ascii="Arial" w:cs="Arial" w:eastAsia="Arial" w:hAnsi="Arial"/>
          <w:sz w:val="15"/>
          <w:szCs w:val="15"/>
          <w:color w:val="auto"/>
        </w:rPr>
        <w:t>Since 2018, we have established the infrastructure to support our significant long-term profitable growth strategy that we plan to continue once the U.S. air travel market rebounds from the COVID-19 induced downturn.</w:t>
      </w:r>
    </w:p>
    <w:p>
      <w:pPr>
        <w:spacing w:after="0" w:line="68" w:lineRule="exact"/>
        <w:rPr>
          <w:sz w:val="20"/>
          <w:szCs w:val="20"/>
          <w:color w:val="auto"/>
        </w:rPr>
      </w:pPr>
    </w:p>
    <w:p>
      <w:pPr>
        <w:ind w:left="1600" w:right="1319" w:hanging="143"/>
        <w:spacing w:after="0" w:line="251" w:lineRule="auto"/>
        <w:tabs>
          <w:tab w:leader="none" w:pos="160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Network</w:t>
      </w:r>
      <w:r>
        <w:rPr>
          <w:rFonts w:ascii="Arial" w:cs="Arial" w:eastAsia="Arial" w:hAnsi="Arial"/>
          <w:sz w:val="15"/>
          <w:szCs w:val="15"/>
          <w:color w:val="auto"/>
        </w:rPr>
        <w:t>. We launched 64 new markets from 2018 through 2019 and developed a repeatable</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growth strategy. Since the start of 2021, we have announced 35 new markets. Our network strategy is expected to support passenger fleet growth to approximately 50 aircraft by the end of 2023.</w:t>
      </w:r>
    </w:p>
    <w:p>
      <w:pPr>
        <w:spacing w:after="0" w:line="69" w:lineRule="exact"/>
        <w:rPr>
          <w:rFonts w:ascii="Arial" w:cs="Arial" w:eastAsia="Arial" w:hAnsi="Arial"/>
          <w:sz w:val="15"/>
          <w:szCs w:val="15"/>
          <w:color w:val="auto"/>
        </w:rPr>
      </w:pPr>
    </w:p>
    <w:p>
      <w:pPr>
        <w:ind w:left="1600" w:right="1359" w:hanging="143"/>
        <w:spacing w:after="0" w:line="251" w:lineRule="auto"/>
        <w:tabs>
          <w:tab w:leader="none" w:pos="160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Fleet</w:t>
      </w:r>
      <w:r>
        <w:rPr>
          <w:rFonts w:ascii="Arial" w:cs="Arial" w:eastAsia="Arial" w:hAnsi="Arial"/>
          <w:sz w:val="15"/>
          <w:szCs w:val="15"/>
          <w:color w:val="auto"/>
        </w:rPr>
        <w:t>. We restructured our fleet with a focus on ownership of Boeing 737-800s with no planned</w:t>
      </w:r>
      <w:r>
        <w:rPr>
          <w:rFonts w:ascii="Arial" w:cs="Arial" w:eastAsia="Arial" w:hAnsi="Arial"/>
          <w:sz w:val="15"/>
          <w:szCs w:val="15"/>
          <w:i w:val="1"/>
          <w:iCs w:val="1"/>
          <w:color w:val="auto"/>
        </w:rPr>
        <w:t xml:space="preserve"> </w:t>
      </w:r>
      <w:r>
        <w:rPr>
          <w:rFonts w:ascii="Arial" w:cs="Arial" w:eastAsia="Arial" w:hAnsi="Arial"/>
          <w:sz w:val="15"/>
          <w:szCs w:val="15"/>
          <w:color w:val="auto"/>
        </w:rPr>
        <w:t>lease redeliveries prior to 2024, allowing us to focus on growth with low capital commitments. We believe the current dislocation in the aircraft market will enable us to access new aircraft at an attractive cost relative to our peers.</w:t>
      </w:r>
    </w:p>
    <w:p>
      <w:pPr>
        <w:spacing w:after="0" w:line="69" w:lineRule="exact"/>
        <w:rPr>
          <w:rFonts w:ascii="Arial" w:cs="Arial" w:eastAsia="Arial" w:hAnsi="Arial"/>
          <w:sz w:val="15"/>
          <w:szCs w:val="15"/>
          <w:color w:val="auto"/>
        </w:rPr>
      </w:pPr>
    </w:p>
    <w:p>
      <w:pPr>
        <w:ind w:left="1600" w:right="1259" w:hanging="143"/>
        <w:spacing w:after="0" w:line="254" w:lineRule="auto"/>
        <w:tabs>
          <w:tab w:leader="none" w:pos="160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Customer</w:t>
      </w:r>
      <w:r>
        <w:rPr>
          <w:rFonts w:ascii="Arial" w:cs="Arial" w:eastAsia="Arial" w:hAnsi="Arial"/>
          <w:sz w:val="15"/>
          <w:szCs w:val="15"/>
          <w:color w:val="auto"/>
        </w:rPr>
        <w:t>. We rebranded the airline around a leisure product with a significant ancillary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which we believe will allow us to stimulate demand during the rebound from COVID-19 earlier than airlines focused on business travelers.</w:t>
      </w:r>
    </w:p>
    <w:p>
      <w:pPr>
        <w:spacing w:after="0" w:line="67"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Culture</w:t>
      </w:r>
      <w:r>
        <w:rPr>
          <w:rFonts w:ascii="Arial" w:cs="Arial" w:eastAsia="Arial" w:hAnsi="Arial"/>
          <w:sz w:val="15"/>
          <w:szCs w:val="15"/>
          <w:color w:val="auto"/>
        </w:rPr>
        <w:t>. We installed a new management team with a cost-conscious ethos, which included moving</w:t>
      </w:r>
      <w:r>
        <w:rPr>
          <w:rFonts w:ascii="Arial" w:cs="Arial" w:eastAsia="Arial" w:hAnsi="Arial"/>
          <w:sz w:val="15"/>
          <w:szCs w:val="15"/>
          <w:i w:val="1"/>
          <w:iCs w:val="1"/>
          <w:color w:val="auto"/>
        </w:rPr>
        <w:t xml:space="preserve"> </w:t>
      </w:r>
      <w:r>
        <w:rPr>
          <w:rFonts w:ascii="Arial" w:cs="Arial" w:eastAsia="Arial" w:hAnsi="Arial"/>
          <w:sz w:val="15"/>
          <w:szCs w:val="15"/>
          <w:color w:val="auto"/>
        </w:rPr>
        <w:t>our headquarters into a hangar at MSP.</w:t>
      </w:r>
    </w:p>
    <w:p>
      <w:pPr>
        <w:spacing w:after="0" w:line="59" w:lineRule="exact"/>
        <w:rPr>
          <w:rFonts w:ascii="Arial" w:cs="Arial" w:eastAsia="Arial" w:hAnsi="Arial"/>
          <w:sz w:val="15"/>
          <w:szCs w:val="15"/>
          <w:color w:val="auto"/>
        </w:rPr>
      </w:pPr>
    </w:p>
    <w:p>
      <w:pPr>
        <w:ind w:left="1600" w:right="1819" w:hanging="143"/>
        <w:spacing w:after="0" w:line="264" w:lineRule="auto"/>
        <w:tabs>
          <w:tab w:leader="none" w:pos="160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Operations</w:t>
      </w:r>
      <w:r>
        <w:rPr>
          <w:rFonts w:ascii="Arial" w:cs="Arial" w:eastAsia="Arial" w:hAnsi="Arial"/>
          <w:sz w:val="15"/>
          <w:szCs w:val="15"/>
          <w:color w:val="auto"/>
        </w:rPr>
        <w:t>. We maintained high standards of operational performance, including a 99.8%</w:t>
      </w:r>
      <w:r>
        <w:rPr>
          <w:rFonts w:ascii="Arial" w:cs="Arial" w:eastAsia="Arial" w:hAnsi="Arial"/>
          <w:sz w:val="15"/>
          <w:szCs w:val="15"/>
          <w:i w:val="1"/>
          <w:iCs w:val="1"/>
          <w:color w:val="auto"/>
        </w:rPr>
        <w:t xml:space="preserve"> </w:t>
      </w:r>
      <w:r>
        <w:rPr>
          <w:rFonts w:ascii="Arial" w:cs="Arial" w:eastAsia="Arial" w:hAnsi="Arial"/>
          <w:sz w:val="15"/>
          <w:szCs w:val="15"/>
          <w:color w:val="auto"/>
        </w:rPr>
        <w:t>completion factor for the year ended December 31, 2019.</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8" w:name="page129"/>
    <w:bookmarkEnd w:id="12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We believe our initiatives have provided us with a platform to profitably grow our business. Key elements of our growth strategy include:</w:t>
      </w:r>
    </w:p>
    <w:p>
      <w:pPr>
        <w:spacing w:after="0" w:line="82"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b w:val="1"/>
          <w:bCs w:val="1"/>
          <w:i w:val="1"/>
          <w:iCs w:val="1"/>
          <w:color w:val="auto"/>
        </w:rPr>
        <w:t xml:space="preserve">Leverage the Expected Rebound in Our Passenger Business. </w:t>
      </w:r>
      <w:r>
        <w:rPr>
          <w:rFonts w:ascii="Arial" w:cs="Arial" w:eastAsia="Arial" w:hAnsi="Arial"/>
          <w:sz w:val="14"/>
          <w:szCs w:val="14"/>
          <w:color w:val="auto"/>
        </w:rPr>
        <w:t>The number of domestic LCC and ULCC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94"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b w:val="1"/>
          <w:bCs w:val="1"/>
          <w:i w:val="1"/>
          <w:iCs w:val="1"/>
          <w:color w:val="auto"/>
        </w:rPr>
        <w:t xml:space="preserve">Grow Our Cargo Business. </w:t>
      </w:r>
      <w:r>
        <w:rPr>
          <w:rFonts w:ascii="Arial" w:cs="Arial" w:eastAsia="Arial" w:hAnsi="Arial"/>
          <w:sz w:val="14"/>
          <w:szCs w:val="14"/>
          <w:color w:val="auto"/>
        </w:rPr>
        <w:t>In December 2019, we signed the ATSA with Amazon to provide air cargo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transportation services flying 10 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91"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b w:val="1"/>
          <w:bCs w:val="1"/>
          <w:i w:val="1"/>
          <w:iCs w:val="1"/>
          <w:color w:val="auto"/>
        </w:rPr>
        <w:t xml:space="preserve">Expand our Peak Demand Flying in Minneapolis and Beyond. </w:t>
      </w:r>
      <w:r>
        <w:rPr>
          <w:rFonts w:ascii="Arial" w:cs="Arial" w:eastAsia="Arial" w:hAnsi="Arial"/>
          <w:sz w:val="14"/>
          <w:szCs w:val="14"/>
          <w:color w:val="auto"/>
        </w:rPr>
        <w:t>Following a rebound in U.S. air travel,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 to continue growing our 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84"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99" w:lineRule="exact"/>
        <w:rPr>
          <w:sz w:val="20"/>
          <w:szCs w:val="20"/>
          <w:color w:val="auto"/>
        </w:rPr>
      </w:pPr>
    </w:p>
    <w:p>
      <w:pPr>
        <w:ind w:left="1460"/>
        <w:spacing w:after="0"/>
        <w:tabs>
          <w:tab w:leader="none" w:pos="4820" w:val="left"/>
        </w:tabs>
        <w:rPr>
          <w:sz w:val="20"/>
          <w:szCs w:val="20"/>
          <w:color w:val="auto"/>
        </w:rPr>
      </w:pPr>
      <w:r>
        <w:rPr>
          <w:rFonts w:ascii="Arial" w:cs="Arial" w:eastAsia="Arial" w:hAnsi="Arial"/>
          <w:sz w:val="15"/>
          <w:szCs w:val="15"/>
          <w:b w:val="1"/>
          <w:bCs w:val="1"/>
          <w:i w:val="1"/>
          <w:iCs w:val="1"/>
          <w:color w:val="auto"/>
        </w:rPr>
        <w:t>Continue to Increase Our Margins and Free Cash Flow</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From December 31, 2017 through</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2019, we reduced our CASM from 10.09 cents to 8.82 cents and our Adjusted CASM from</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7.80 cents to 6.31 cents, a level comparable to ULCCs. When combined with our TRASM, which remains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comparable to LCCs and higher than ULCCs, we generate highly competitive margins. Our period of</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investment in fleet renewal and transformative capital expenditures is largely behind us, and our focus,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following the end of the COVID-19 pandemic, will pivot to growth. We intend to continue to improve our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leading margin and free cash flow profile through a variety of initiatives and measures. Key initiatives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include further conversion to an owned (versus leased) model for aircraft ownership, leveraging our fixed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cost base as we continue to grow our passenger aircraft fleet to achieve economies of scale, continuous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optimization of our maintenance operations and completion of other ongoing strategic initiatives. As a</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result, we expect improvements in profit margins and free cash flow, which we define as operating cash</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flow minus non-aircraft capital expenditures, following a rebound in the U.S. air travel market to support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growth in the years ahead.</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9" w:name="page130"/>
    <w:bookmarkEnd w:id="12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Scheduled Service Business</w:t>
      </w:r>
    </w:p>
    <w:p>
      <w:pPr>
        <w:spacing w:after="0" w:line="117" w:lineRule="exact"/>
        <w:rPr>
          <w:sz w:val="20"/>
          <w:szCs w:val="20"/>
          <w:color w:val="auto"/>
        </w:rPr>
      </w:pPr>
    </w:p>
    <w:p>
      <w:pPr>
        <w:ind w:left="1160" w:right="1219" w:firstLine="293"/>
        <w:spacing w:after="0" w:line="270" w:lineRule="auto"/>
        <w:rPr>
          <w:sz w:val="20"/>
          <w:szCs w:val="20"/>
          <w:color w:val="auto"/>
        </w:rPr>
      </w:pPr>
      <w:r>
        <w:rPr>
          <w:rFonts w:ascii="Arial" w:cs="Arial" w:eastAsia="Arial" w:hAnsi="Arial"/>
          <w:sz w:val="14"/>
          <w:szCs w:val="14"/>
          <w:color w:val="auto"/>
        </w:rPr>
        <w:t>We provide low-fare passenger airline service primarily to leisure and VFR travelers. Our low fares are designed to stimulate demand from price-sensitive travelers seeking a superior product to ULCCs. For</w:t>
      </w:r>
    </w:p>
    <w:p>
      <w:pPr>
        <w:ind w:left="1160" w:right="1339"/>
        <w:spacing w:after="0" w:line="282" w:lineRule="auto"/>
        <w:rPr>
          <w:sz w:val="20"/>
          <w:szCs w:val="20"/>
          <w:color w:val="auto"/>
        </w:rPr>
      </w:pPr>
      <w:r>
        <w:rPr>
          <w:rFonts w:ascii="Arial" w:cs="Arial" w:eastAsia="Arial" w:hAnsi="Arial"/>
          <w:sz w:val="13"/>
          <w:szCs w:val="13"/>
          <w:color w:val="auto"/>
        </w:rPr>
        <w:t>the years ended December 31, 2019 and 2018, our average base fare (which excludes applicable taxes and governmental fees) was approximately $111.08 and $136.42, respectively, and our number of scheduled service passengers were approximately 3.6 million and 2.6 million, respectively. For the year ended December 31, 2020, our average base fare was approximately $114.96 and we served approximately</w:t>
      </w:r>
    </w:p>
    <w:p>
      <w:pPr>
        <w:spacing w:after="0" w:line="1" w:lineRule="exact"/>
        <w:rPr>
          <w:sz w:val="20"/>
          <w:szCs w:val="20"/>
          <w:color w:val="auto"/>
        </w:rPr>
      </w:pPr>
    </w:p>
    <w:p>
      <w:pPr>
        <w:jc w:val="both"/>
        <w:ind w:left="1160" w:right="1319"/>
        <w:spacing w:after="0" w:line="246" w:lineRule="auto"/>
        <w:rPr>
          <w:sz w:val="20"/>
          <w:szCs w:val="20"/>
          <w:color w:val="auto"/>
        </w:rPr>
      </w:pPr>
      <w:r>
        <w:rPr>
          <w:rFonts w:ascii="Arial" w:cs="Arial" w:eastAsia="Arial" w:hAnsi="Arial"/>
          <w:sz w:val="15"/>
          <w:szCs w:val="15"/>
          <w:color w:val="auto"/>
        </w:rPr>
        <w:t>1.7 million passengers, which was impacted dramatically by the COVID-19 pandemic. We believe that the year ended 2019 is a more useful indicator of our average base fare and passenger statistics during normal industry conditions.</w:t>
      </w:r>
    </w:p>
    <w:p>
      <w:pPr>
        <w:spacing w:after="0" w:line="107"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In addition to base fares, passengers can choose from a number of ancillary products for an additional cost. Sources of our ancillary revenue include baggage fees, seat selection fees, priority check-in and boarding fees, itinerary service fees, on-board sales and sales of trip insurance. Part of our strategy has been to reduce base fares to stimulate demand while increasing ancillary revenue per passenger, which we believe offers passengers more choice and correspondingly, more ancillary revenue. Our on-board sales are also designed to enhance the customer experience, including local passenger favorite brands of beer, wine and spirits. For the years ended December 31, 2019 and 2018, our average ancillary revenue per passenger was approximately $33.14 and $21.70, respectively. Our average ancillary revenue per passenger was $13.34 for the year ended December 31, 2017 and grew 148% from 2017 through 2019. While our average ancillary revenue for the year ended December 31, 2020 increased to $40.53 on a per passenger basis, overall ancillary revenues were impacted by the COVID-19 pandemic, which drove a decline in the number of passengers, and during which we ceased onboard sales, among other actions to reduce the spread of the virus. We believe that the year ended 2019 is a more useful indicator of our ancillary revenue per passenger during normal industry conditions.</w:t>
      </w:r>
    </w:p>
    <w:p>
      <w:pPr>
        <w:spacing w:after="0" w:line="103" w:lineRule="exact"/>
        <w:rPr>
          <w:sz w:val="20"/>
          <w:szCs w:val="20"/>
          <w:color w:val="auto"/>
        </w:rPr>
      </w:pPr>
    </w:p>
    <w:p>
      <w:pPr>
        <w:ind w:left="1160" w:right="1239" w:firstLine="293"/>
        <w:spacing w:after="0" w:line="288" w:lineRule="auto"/>
        <w:rPr>
          <w:sz w:val="20"/>
          <w:szCs w:val="20"/>
          <w:color w:val="auto"/>
        </w:rPr>
      </w:pPr>
      <w:r>
        <w:rPr>
          <w:rFonts w:ascii="Arial" w:cs="Arial" w:eastAsia="Arial" w:hAnsi="Arial"/>
          <w:sz w:val="13"/>
          <w:szCs w:val="13"/>
          <w:color w:val="auto"/>
        </w:rPr>
        <w:t>We also earn revenue from our Sun Country Vacations products, including commissions from the sale of third-party hotel rooms and rental cars. Our SCV products facilitate booking a flight and land package at a discounted price for our customers. As with many other carriers, we offer vacation products to promote “one stop shopping,” and, while a revenue source, this aspect of our business is not a key contributor to our growth strategy. In 2019, our bookings for SCV were temporarily reduced in connection with a delay in the functionality for these services during the transition to our new booking system. Our other revenue also includes revenue from the transportation of mail and cargo and our co-branded credit card. During 2020, revenue from these other items decreased substantially as a result of the COVID-19 pandemic. Despite this, we continued to develop the necessary functionality in our new booking system and we believe that we are well-positioned to capture SCV and other revenue opportunities when the COVID-19 pandemic recedes.</w:t>
      </w:r>
    </w:p>
    <w:p>
      <w:pPr>
        <w:spacing w:after="0" w:line="74"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 xml:space="preserve">We also offer interline connectivity with international and domestic airlines. In mid-2019, prior to our transition to </w:t>
      </w:r>
      <w:r>
        <w:rPr>
          <w:rFonts w:ascii="Arial" w:cs="Arial" w:eastAsia="Arial" w:hAnsi="Arial"/>
          <w:sz w:val="15"/>
          <w:szCs w:val="15"/>
          <w:i w:val="1"/>
          <w:iCs w:val="1"/>
          <w:color w:val="auto"/>
        </w:rPr>
        <w:t>Navitaire</w:t>
      </w:r>
      <w:r>
        <w:rPr>
          <w:rFonts w:ascii="Arial" w:cs="Arial" w:eastAsia="Arial" w:hAnsi="Arial"/>
          <w:sz w:val="15"/>
          <w:szCs w:val="15"/>
          <w:color w:val="auto"/>
        </w:rPr>
        <w:t>, we offered interline connectivity with seven carriers. We have reestablished interline connectivity in our new booking system and have identified additional opportunities to grow our interline connectivity.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Charter Business</w:t>
      </w:r>
    </w:p>
    <w:p>
      <w:pPr>
        <w:spacing w:after="0" w:line="128"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Our charter business services a variety of customers. For the years ended December 31, 2020 and 2019, approximately 37% and 38% of our charter revenue was serviced under long-term contracts with casino operators. The remainder of our charter business consists largely of short-term or ad hoc arrangements with repeat customers with whom we have long-term relationships, including the U.S. Department of Defense and college and professional sports teams. Our charter business complements our scheduled service operations by filling in charter flying when scheduled service demand is lower, optimizing our aircraft utilization to the most profitable opportunities. Our strong customer relationships and flexibility in scheduling charter flying enables us to serve a variety of charter customers and we believe we are well-positioned to continue to grow our charter business.</w:t>
      </w:r>
    </w:p>
    <w:p>
      <w:pPr>
        <w:spacing w:after="0" w:line="97"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Our charter business proved more resilient during the COVID-19 induced downturn by returning closer to pre-downturn levels more quickly than scheduled service. Our scheduled service revenue was down 59% in the fourth quarter of 2020, whereas our charter revenue was only down 24% for the same period.</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0" w:name="page131"/>
    <w:bookmarkEnd w:id="13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4"/>
          <w:szCs w:val="14"/>
          <w:color w:val="auto"/>
        </w:rPr>
        <w:t>In addition to service revenue, certain costs may be passed directly to the customer. Fuel expense is typically incurred by us; however, revenue rates under our charter contracts are often adjusted for final fuel prices incurred, effectively shifting fuel price risk from us. Our charter revenue was approximately</w:t>
      </w:r>
    </w:p>
    <w:p>
      <w:pPr>
        <w:spacing w:after="0" w:line="1" w:lineRule="exact"/>
        <w:rPr>
          <w:sz w:val="20"/>
          <w:szCs w:val="20"/>
          <w:color w:val="auto"/>
        </w:rPr>
      </w:pPr>
    </w:p>
    <w:p>
      <w:pPr>
        <w:ind w:left="1160" w:right="1399"/>
        <w:spacing w:after="0" w:line="233" w:lineRule="auto"/>
        <w:rPr>
          <w:sz w:val="20"/>
          <w:szCs w:val="20"/>
          <w:color w:val="auto"/>
        </w:rPr>
      </w:pPr>
      <w:r>
        <w:rPr>
          <w:rFonts w:ascii="Arial" w:cs="Arial" w:eastAsia="Arial" w:hAnsi="Arial"/>
          <w:sz w:val="15"/>
          <w:szCs w:val="15"/>
          <w:color w:val="auto"/>
        </w:rPr>
        <w:t>$152 million in 2018, $175 million in 2019 and $98 million in 2020. Our charter revenue in 2020 was impacted dramatically by the COVID-19 pandemic. We believe that the year ended 2019 is a more useful indicator of our charter revenue during normal industry conditions.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Cargo Business</w:t>
      </w:r>
    </w:p>
    <w:p>
      <w:pPr>
        <w:spacing w:after="0" w:line="117"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On December 13, 2019, we signed the ATSA with Amazon to provide air cargo services. The ATSA is a six -year contract and includes two, two-year extensions exercisable at Amazon’s option, providing for a total term of ten years if both extension options are exercised. The option to renew the ATSA for two additional two- year terms is at Amazon’s sole discretion, subject to Amazon providing Sun Country with at least 180 days’ prior written notice before the expiration of the then-current term. Flying under the ATSA began in May 2020 and, as of today, we are flying 12 Boeing 737 -800 cargo aircraft for Amazon, which has already grown from our original agreement to fly 10 aircraft. The ATSA is asset-light from a Sun Country perspective, as Amazon supplies the aircraft and covers many of the flight expenses, including fuel, and is responsible for all cargo loading and unloading services. We are responsible for flying the aircraft under our air carrier operating certificate, crew, aircraft line maintenance and insurance, all of which allow us to leverage our existing operational expertise from our scheduled service and charter businesses. The ATSA has annual rate escalations, and the first rate increase occurred on December 13, 2020.</w:t>
      </w:r>
    </w:p>
    <w:p>
      <w:pPr>
        <w:spacing w:after="0" w:line="94"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We believe the ATSA delivers consistent, positive cash flows year-round, allowing us to more efficiently deploy pilots and other assets to more profitable flying during weaker passenger demand periods than would be available without our cargo business. For example, our cargo business delivered consistent positive cash flows through the COVID- 19 induced downturn, providing a baseline of operations and investment that we believe positions our other businesses to recapture demand following the COVID-19 downturn. While other airlines are furloughing pilots, we have restarted pilot hiring in order to support what we believe will be a robust rebound that will require additional pilots in order to ensure we can fly all of our aircraft during peak demand periods.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Route Network</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Our network strategy is optimized between four key segments: MSP, non-MSP, charter services and</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cargo services. As Minnesota’s hometown airline, a substantial portion of our business is serving markets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originating or ending in MSP. Our MSP network has grown 14% since 2017, as measured by ASMs, and, in</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2019, we served approximately 52 markets from MSP. We served 51 markets from MSP in 2020, in spite of</w:t>
      </w:r>
    </w:p>
    <w:p>
      <w:pPr>
        <w:ind w:left="1160"/>
        <w:spacing w:after="0" w:line="234" w:lineRule="auto"/>
        <w:rPr>
          <w:sz w:val="20"/>
          <w:szCs w:val="20"/>
          <w:color w:val="auto"/>
        </w:rPr>
      </w:pPr>
      <w:r>
        <w:rPr>
          <w:rFonts w:ascii="Arial" w:cs="Arial" w:eastAsia="Arial" w:hAnsi="Arial"/>
          <w:sz w:val="15"/>
          <w:szCs w:val="15"/>
          <w:color w:val="auto"/>
        </w:rPr>
        <w:t>the COVID-19 downturn. We believe that our TRASM in our MSP network for the year ended</w:t>
      </w:r>
    </w:p>
    <w:p>
      <w:pPr>
        <w:ind w:left="1160"/>
        <w:spacing w:after="0"/>
        <w:rPr>
          <w:sz w:val="20"/>
          <w:szCs w:val="20"/>
          <w:color w:val="auto"/>
        </w:rPr>
      </w:pPr>
      <w:r>
        <w:rPr>
          <w:rFonts w:ascii="Arial" w:cs="Arial" w:eastAsia="Arial" w:hAnsi="Arial"/>
          <w:sz w:val="13"/>
          <w:szCs w:val="13"/>
          <w:color w:val="auto"/>
        </w:rPr>
        <w:t>December 31, 2019 was higher than any ULCC in its hub. We have a leading position at Terminal 2 in MSP,</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which is preferred by many flyers because of its smaller layout, shorter security wait times, close parking</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relative to check-in and full suite of retail shops. We account for approximately 50% of the departures and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operate out of eight or more of Terminal 2’s 14 gates, as needed. We are the number two carrier at MSP by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seat share. Moreover, we are the largest low-cost airline at MSP, with significant opportunity to continue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grow both seat share and destinations. If we successfully implement our strategy, we believe we can grow</w:t>
      </w:r>
    </w:p>
    <w:p>
      <w:pPr>
        <w:ind w:left="1160"/>
        <w:spacing w:after="0" w:line="234" w:lineRule="auto"/>
        <w:rPr>
          <w:sz w:val="20"/>
          <w:szCs w:val="20"/>
          <w:color w:val="auto"/>
        </w:rPr>
      </w:pPr>
      <w:r>
        <w:rPr>
          <w:rFonts w:ascii="Arial" w:cs="Arial" w:eastAsia="Arial" w:hAnsi="Arial"/>
          <w:sz w:val="15"/>
          <w:szCs w:val="15"/>
          <w:color w:val="auto"/>
        </w:rPr>
        <w:t>our seat share from 7.7% to 12.5%, which is roughly equivalent to what our competitors have in their</w:t>
      </w:r>
    </w:p>
    <w:p>
      <w:pPr>
        <w:ind w:left="1160"/>
        <w:spacing w:after="0"/>
        <w:rPr>
          <w:sz w:val="20"/>
          <w:szCs w:val="20"/>
          <w:color w:val="auto"/>
        </w:rPr>
      </w:pPr>
      <w:r>
        <w:rPr>
          <w:rFonts w:ascii="Arial" w:cs="Arial" w:eastAsia="Arial" w:hAnsi="Arial"/>
          <w:sz w:val="15"/>
          <w:szCs w:val="15"/>
          <w:color w:val="auto"/>
        </w:rPr>
        <w:t>primary hubs.</w:t>
      </w:r>
    </w:p>
    <w:p>
      <w:pPr>
        <w:spacing w:after="0" w:line="9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Non-MSP service is an increasingly significant portion of our business, having grown from eight non-MSP markets in 2017 to 52 in 2019. Non-MSP service was a source of significant growth from 2017 to 2019. During the COVID-19 pandemic, non- MSP growth plans were slowed. During normal industry conditions, we expect to continue to identify large demand markets where other airlines have been unable to respond to market needs during periods of seasonal demand. We have a successful history of opening and closing stations to meet seasonal demand. Since 2017, we have launched 64 new markets, 26 of which we have subsequently closed. As part of the on-going assessment of market opportunities, we continue to identify future growth opportunities, primarily from Midwest locations to warm weather leisure destinations and large markets with fragmented and seasonal demand peaks. Based on our break-even yield in 2020, we believe there are approximately 250 markets that we could address that would provide a profitable growth opportunity for us.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1" w:name="page132"/>
    <w:bookmarkEnd w:id="13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Below are maps of the routes we operated in 2017 and 2020 (including routes we operate on a seasonal basis):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2017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241800" cy="19462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2418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2020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241800" cy="19462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2418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60" w:right="1279" w:firstLine="293"/>
        <w:spacing w:after="0" w:line="289" w:lineRule="auto"/>
        <w:rPr>
          <w:sz w:val="20"/>
          <w:szCs w:val="20"/>
          <w:color w:val="auto"/>
        </w:rPr>
      </w:pPr>
      <w:r>
        <w:rPr>
          <w:rFonts w:ascii="Arial" w:cs="Arial" w:eastAsia="Arial" w:hAnsi="Arial"/>
          <w:sz w:val="13"/>
          <w:szCs w:val="13"/>
          <w:color w:val="auto"/>
        </w:rPr>
        <w:t>Our charter business is a core and integral piece of our network strategy that leverages our highly flexible operating certificate and flexible labor force to serve markets worldwide. Charter service revenue constituted approximately 24% and 25% of revenue for the years ended December 31, 2020 and 2019, respectively. Charter service capacity, as measured by ASMs, grew approximately 32% from 2017 to 2019. In 2020, capacity was down 36% due to the COVID-19 pandemic, but during normal industry conditions, we expect to continue to grow our charter service capacity. Our charter and scheduled service businesses complement each other as our integrated scheduling allows the most profitable use of the aircraft, either scheduled or charter, to be selected on a segment by segment basis. Aircraft and crew utilization can be maximized by filling in charter flying in periods when scheduled service flying is less profitable.</w:t>
      </w:r>
    </w:p>
    <w:p>
      <w:pPr>
        <w:spacing w:after="0" w:line="83" w:lineRule="exact"/>
        <w:rPr>
          <w:sz w:val="20"/>
          <w:szCs w:val="20"/>
          <w:color w:val="auto"/>
        </w:rPr>
      </w:pPr>
    </w:p>
    <w:p>
      <w:pPr>
        <w:ind w:left="1160" w:right="1579" w:firstLine="293"/>
        <w:spacing w:after="0" w:line="300" w:lineRule="auto"/>
        <w:rPr>
          <w:sz w:val="20"/>
          <w:szCs w:val="20"/>
          <w:color w:val="auto"/>
        </w:rPr>
      </w:pPr>
      <w:r>
        <w:rPr>
          <w:rFonts w:ascii="Arial" w:cs="Arial" w:eastAsia="Arial" w:hAnsi="Arial"/>
          <w:sz w:val="14"/>
          <w:szCs w:val="14"/>
          <w:color w:val="auto"/>
        </w:rPr>
        <w:t>Our air carrier operating certificate, labor agreements and operating capabilities allow us to fly to numerous destinations worldwide, which we believe is a benefit to our charter service. We captured</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2" w:name="page133"/>
    <w:bookmarkEnd w:id="13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7" w:lineRule="auto"/>
        <w:rPr>
          <w:sz w:val="20"/>
          <w:szCs w:val="20"/>
          <w:color w:val="auto"/>
        </w:rPr>
      </w:pPr>
      <w:r>
        <w:rPr>
          <w:rFonts w:ascii="Arial" w:cs="Arial" w:eastAsia="Arial" w:hAnsi="Arial"/>
          <w:sz w:val="15"/>
          <w:szCs w:val="15"/>
          <w:color w:val="auto"/>
        </w:rPr>
        <w:t>approximately 12.6% of approximately $1.2 billion spent on domestic, narrow body charter service in 2018, making us the third largest narrow body charter provider. Despite the current breadth of our charter business, we believe there is still room to grow into this large and fragmented market. We have identified several growth opportunities across potential sports teams and leagues, third party charter brokers, VIP individuals, government, and leisure contracts. For example, we recently started regularly scheduled VIP charter service between LAX and KOA with an all first-class configuration. Additionally, we have longstanding relationships with our charter customers who continue to rely on us as their trusted charter provider.</w:t>
      </w:r>
    </w:p>
    <w:p>
      <w:pPr>
        <w:spacing w:after="0" w:line="96"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Our cargo service performed under the ATSA serves destinations on Amazon’s network. To the extent we can optimize flight crew on freighters with overlapping scheduled or charter service, we attempt to capture those synergies as well, though they are not core to that line of business. However, like the charter and scheduled service business, aircraft and crew utilization can be maximized by filling in cargo service in periods when scheduled service flying is less profitable.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Competition</w:t>
      </w:r>
    </w:p>
    <w:p>
      <w:pPr>
        <w:spacing w:after="0" w:line="128" w:lineRule="exact"/>
        <w:rPr>
          <w:sz w:val="20"/>
          <w:szCs w:val="20"/>
          <w:color w:val="auto"/>
        </w:rPr>
      </w:pPr>
    </w:p>
    <w:p>
      <w:pPr>
        <w:jc w:val="both"/>
        <w:ind w:left="1160" w:right="1299" w:firstLine="293"/>
        <w:spacing w:after="0" w:line="251" w:lineRule="auto"/>
        <w:rPr>
          <w:sz w:val="20"/>
          <w:szCs w:val="20"/>
          <w:color w:val="auto"/>
        </w:rPr>
      </w:pPr>
      <w:r>
        <w:rPr>
          <w:rFonts w:ascii="Arial" w:cs="Arial" w:eastAsia="Arial" w:hAnsi="Arial"/>
          <w:sz w:val="15"/>
          <w:szCs w:val="15"/>
          <w:color w:val="auto"/>
        </w:rPr>
        <w:t>The airline industry is highly competitive. The principal competitive factors in the airline industry are ticket prices, flight schedules, aircraft type, passenger amenities, customer service, reputation and frequent flyer programs. We have different competitive sets in our scheduled service business, charter business and cargo business.</w:t>
      </w:r>
    </w:p>
    <w:p>
      <w:pPr>
        <w:spacing w:after="0" w:line="102"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95"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The principal competitors for our cargo business include ATSG and Southern Air. Our on-time arrival performance for our cargo business since starting operations in May 2020, together with our operational capabilities, give us a stable position with our customer, Amazon.</w:t>
      </w:r>
    </w:p>
    <w:p>
      <w:pPr>
        <w:spacing w:after="0" w:line="101" w:lineRule="exact"/>
        <w:rPr>
          <w:sz w:val="20"/>
          <w:szCs w:val="20"/>
          <w:color w:val="auto"/>
        </w:rPr>
      </w:pPr>
    </w:p>
    <w:p>
      <w:pPr>
        <w:ind w:left="1160" w:right="1319" w:firstLine="293"/>
        <w:spacing w:after="0" w:line="268" w:lineRule="auto"/>
        <w:rPr>
          <w:sz w:val="20"/>
          <w:szCs w:val="20"/>
          <w:color w:val="auto"/>
        </w:rPr>
      </w:pPr>
      <w:r>
        <w:rPr>
          <w:rFonts w:ascii="Arial" w:cs="Arial" w:eastAsia="Arial" w:hAnsi="Arial"/>
          <w:sz w:val="14"/>
          <w:szCs w:val="14"/>
          <w:color w:val="auto"/>
        </w:rPr>
        <w:t>Our principal competitive advantages are our diversified and resilient business model, our agile peak demand scheduling strategy, our tactical mid-life fleet with flexible operations, our superior low-cost product and brand, our competitive low-cost structure, our strong position in our profitable MSP home market and our seasoned management team. We also believe the association of our brand with a high level of operational performance differentiates us from our competitors and enables us to generate greater customer loyalty. Our completion factor of 99.8% for the year ended December 31, 2019, the last normalized year before the onset of the COVID-19 pandemic, was higher than any ULCC.</w:t>
      </w:r>
    </w:p>
    <w:p>
      <w:pPr>
        <w:spacing w:after="0" w:line="93"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4"/>
          <w:szCs w:val="14"/>
          <w:color w:val="auto"/>
        </w:rPr>
        <w:t>Our cost initiatives have yielded significant improvements in CASM from 2017 to 2019. As a result of these improvements and our flexibility to serve seasonal and year-round markets, we believe we are better positioned to offer a schedule tailored to properly serve periods of peak demand than our peers. The majority of our competitors maintain higher utilization to keep their unit costs low which makes it difficult for them to serve markets on a highly seasonal or day-of-week basis. As such, we believe our low Adjusted CASM coupled with relatively low utilization is a competitive advantage.</w:t>
      </w:r>
    </w:p>
    <w:p>
      <w:pPr>
        <w:spacing w:after="0" w:line="82" w:lineRule="exact"/>
        <w:rPr>
          <w:sz w:val="20"/>
          <w:szCs w:val="20"/>
          <w:color w:val="auto"/>
        </w:rPr>
      </w:pPr>
    </w:p>
    <w:p>
      <w:pPr>
        <w:jc w:val="both"/>
        <w:ind w:left="1160" w:right="1359" w:firstLine="293"/>
        <w:spacing w:after="0" w:line="251" w:lineRule="auto"/>
        <w:rPr>
          <w:sz w:val="20"/>
          <w:szCs w:val="20"/>
          <w:color w:val="auto"/>
        </w:rPr>
      </w:pPr>
      <w:r>
        <w:rPr>
          <w:rFonts w:ascii="Arial" w:cs="Arial" w:eastAsia="Arial" w:hAnsi="Arial"/>
          <w:sz w:val="15"/>
          <w:szCs w:val="15"/>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02" w:lineRule="exact"/>
        <w:rPr>
          <w:sz w:val="20"/>
          <w:szCs w:val="20"/>
          <w:color w:val="auto"/>
        </w:rPr>
      </w:pPr>
    </w:p>
    <w:p>
      <w:pPr>
        <w:ind w:left="1160" w:right="1599" w:firstLine="293"/>
        <w:spacing w:after="0" w:line="281" w:lineRule="auto"/>
        <w:rPr>
          <w:sz w:val="20"/>
          <w:szCs w:val="20"/>
          <w:color w:val="auto"/>
        </w:rPr>
      </w:pPr>
      <w:r>
        <w:rPr>
          <w:rFonts w:ascii="Arial" w:cs="Arial" w:eastAsia="Arial" w:hAnsi="Arial"/>
          <w:sz w:val="14"/>
          <w:szCs w:val="14"/>
          <w:color w:val="auto"/>
        </w:rPr>
        <w:t xml:space="preserve">See also </w:t>
      </w:r>
      <w:r>
        <w:rPr>
          <w:rFonts w:ascii="Arial" w:cs="Arial" w:eastAsia="Arial" w:hAnsi="Arial"/>
          <w:sz w:val="14"/>
          <w:szCs w:val="14"/>
          <w:i w:val="1"/>
          <w:iCs w:val="1"/>
          <w:color w:val="auto"/>
        </w:rPr>
        <w:t>“Risk Factors—Risks Related to Our Industry—The airline industry is exceedingly</w:t>
      </w:r>
      <w:r>
        <w:rPr>
          <w:rFonts w:ascii="Arial" w:cs="Arial" w:eastAsia="Arial" w:hAnsi="Arial"/>
          <w:sz w:val="14"/>
          <w:szCs w:val="14"/>
          <w:color w:val="auto"/>
        </w:rPr>
        <w:t xml:space="preserve"> </w:t>
      </w:r>
      <w:r>
        <w:rPr>
          <w:rFonts w:ascii="Arial" w:cs="Arial" w:eastAsia="Arial" w:hAnsi="Arial"/>
          <w:sz w:val="14"/>
          <w:szCs w:val="14"/>
          <w:i w:val="1"/>
          <w:iCs w:val="1"/>
          <w:color w:val="auto"/>
        </w:rPr>
        <w:t>competitive, and we compete against LCCS, ULCCs and legacy network airlines; if we are not able to compete successfully in our markets, our business will be materially adversely affected.”</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3" w:name="page134"/>
    <w:bookmarkEnd w:id="13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Seasonality</w:t>
      </w:r>
    </w:p>
    <w:p>
      <w:pPr>
        <w:spacing w:after="0" w:line="117"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 airline industry has significant seasonal fluctuation in demand. Our network strategy is designed to take advantage of the seasonal nature of the airline business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freighter operations will have the effect of mitigating seasonal troughs. For example, when our scheduled flying demand is lower during the fall and early December, our cargo service remains consistent and grows until Christmas.</w:t>
      </w:r>
    </w:p>
    <w:p>
      <w:pPr>
        <w:spacing w:after="0" w:line="93"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Distribution</w:t>
      </w:r>
    </w:p>
    <w:p>
      <w:pPr>
        <w:spacing w:after="0" w:line="128"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We sell our scheduled service flights through direct and indirect distribution channels with the goal of selling in the most efficient way across our customer base. Our direct distribution channels include our website and our call center and our indirect distribution channels include third parties such as travel agents and OTAs (e.g., Priceline and websites owned by Expedia, including Orbitz and Travelocity).</w:t>
      </w:r>
    </w:p>
    <w:p>
      <w:pPr>
        <w:spacing w:after="0" w:line="7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 xml:space="preserve">Our direct distribution channels are our lowest cost methods of distributing our product. In addition, they provide more opportunities to sell ancillary products and services, such as baggage services, priority check-in and boarding and seat selections. With the introduction of our new </w:t>
      </w:r>
      <w:r>
        <w:rPr>
          <w:rFonts w:ascii="Arial" w:cs="Arial" w:eastAsia="Arial" w:hAnsi="Arial"/>
          <w:sz w:val="15"/>
          <w:szCs w:val="15"/>
          <w:i w:val="1"/>
          <w:iCs w:val="1"/>
          <w:color w:val="auto"/>
        </w:rPr>
        <w:t>Navitaire</w:t>
      </w:r>
      <w:r>
        <w:rPr>
          <w:rFonts w:ascii="Arial" w:cs="Arial" w:eastAsia="Arial" w:hAnsi="Arial"/>
          <w:sz w:val="15"/>
          <w:szCs w:val="15"/>
          <w:color w:val="auto"/>
        </w:rPr>
        <w:t>-based reservation system and website in June 2019, we have experienced a significant increase in the proportion of our bookings that are sold through direct channels. 2019 sales through direct channels accounted for 62% of our total passenger revenue, as compared to 59% in 2018. 2020 sales through direct channels accounted for 71.2% of our total passenger revenue.</w:t>
      </w:r>
    </w:p>
    <w:p>
      <w:pPr>
        <w:spacing w:after="0" w:line="109"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relatively higher cost indirect channels have fallen to 38% in 2019 from 42% in 2017. Sales through indirect channels accounted for 29% of our total passenger revenue in 2020.</w:t>
      </w:r>
    </w:p>
    <w:p>
      <w:pPr>
        <w:spacing w:after="0" w:line="93" w:lineRule="exact"/>
        <w:rPr>
          <w:sz w:val="20"/>
          <w:szCs w:val="20"/>
          <w:color w:val="auto"/>
        </w:rPr>
      </w:pPr>
    </w:p>
    <w:p>
      <w:pPr>
        <w:ind w:left="1160" w:right="1379" w:firstLine="293"/>
        <w:spacing w:after="0" w:line="297" w:lineRule="auto"/>
        <w:rPr>
          <w:sz w:val="20"/>
          <w:szCs w:val="20"/>
          <w:color w:val="auto"/>
        </w:rPr>
      </w:pPr>
      <w:r>
        <w:rPr>
          <w:rFonts w:ascii="Arial" w:cs="Arial" w:eastAsia="Arial" w:hAnsi="Arial"/>
          <w:sz w:val="13"/>
          <w:szCs w:val="13"/>
          <w:color w:val="auto"/>
        </w:rPr>
        <w:t>We sell our charter services through an internal, dedicated sales team that is focused on long-term relationships with key customers, brokers, organizations, and college and professional sports teams. We believe that our internal dedicated sales team delivers better results than relying purely on brokers. While our CMI service is presently dedicated to Amazon and governed by the ATSA, not our passenger sales distribution processes, we may expand our cargo business by marketing to new potential customers.</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Marketing</w:t>
      </w:r>
    </w:p>
    <w:p>
      <w:pPr>
        <w:spacing w:after="0" w:line="117"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102"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Our marketing tools are our proprietary email distribution list consisting of over one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89" w:lineRule="exact"/>
        <w:rPr>
          <w:sz w:val="20"/>
          <w:szCs w:val="20"/>
          <w:color w:val="auto"/>
        </w:rPr>
      </w:pPr>
    </w:p>
    <w:p>
      <w:pPr>
        <w:ind w:left="1160" w:right="1359" w:firstLine="293"/>
        <w:spacing w:after="0" w:line="254" w:lineRule="auto"/>
        <w:rPr>
          <w:sz w:val="20"/>
          <w:szCs w:val="20"/>
          <w:color w:val="auto"/>
        </w:rPr>
      </w:pPr>
      <w:r>
        <w:rPr>
          <w:rFonts w:ascii="Arial" w:cs="Arial" w:eastAsia="Arial" w:hAnsi="Arial"/>
          <w:sz w:val="15"/>
          <w:szCs w:val="15"/>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4" w:name="page135"/>
    <w:bookmarkEnd w:id="13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We spent approximately 4.5%, 5.0% and 4.8% as a percentage of total revenues (excluding cargo) on marketing, brand and distribution for the years ended December 31, 2020, 2019 and 2018, respectively. In 2020, we substantially decreased marketing spending to save costs due to the COVID-19 pandemic. We believe that the year ended 2019 is a more useful indicator of our marketing spending during normal industry conditions.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17"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Our Sun Country Rewards frequent flyer program rewards and encourages scheduled service customer loyalty and we believe it is well tailored to serving the leisure passenger. Points earned are treated like currency and can be applied towards the purchase of all or a portion of our tickets. This makes our program more valuable to leisure customers who travel less frequently and would have difficultly accumulating enough points to get discounted travel on other airlines. The Sun Country Airlines Visa Signature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that points held by Sun Country Visa cardholders do not expire so long as the holder maintains the card as active. Rewards are not available to charter or cargo customers.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Customers</w:t>
      </w:r>
    </w:p>
    <w:p>
      <w:pPr>
        <w:spacing w:after="0" w:line="128"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5"/>
          <w:szCs w:val="15"/>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Canada, Mexico and the Caribbean. In the other times of the year, we focus on VFR travelers to major markets and also provide service in markets where leisure or price sensitive customer demand is strong.</w:t>
      </w:r>
    </w:p>
    <w:p>
      <w:pPr>
        <w:spacing w:after="0" w:line="109" w:lineRule="exact"/>
        <w:rPr>
          <w:sz w:val="20"/>
          <w:szCs w:val="20"/>
          <w:color w:val="auto"/>
        </w:rPr>
      </w:pPr>
    </w:p>
    <w:p>
      <w:pPr>
        <w:jc w:val="both"/>
        <w:ind w:left="1160" w:right="1399" w:firstLine="293"/>
        <w:spacing w:after="0" w:line="281" w:lineRule="auto"/>
        <w:rPr>
          <w:sz w:val="20"/>
          <w:szCs w:val="20"/>
          <w:color w:val="auto"/>
        </w:rPr>
      </w:pPr>
      <w:r>
        <w:rPr>
          <w:rFonts w:ascii="Arial" w:cs="Arial" w:eastAsia="Arial" w:hAnsi="Arial"/>
          <w:sz w:val="14"/>
          <w:szCs w:val="14"/>
          <w:color w:val="auto"/>
        </w:rPr>
        <w:t>We believe our product appeals to price-sensitive customers because we give them the choice to pay only for the products and services they want. Overall, our business model is designed to deliver what we believe our customers want: low fares and a high quality flight experience.</w:t>
      </w:r>
    </w:p>
    <w:p>
      <w:pPr>
        <w:spacing w:after="0" w:line="72"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We also complement our core business with charter operations. A significant portion of our charter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105" w:lineRule="exact"/>
        <w:rPr>
          <w:sz w:val="20"/>
          <w:szCs w:val="20"/>
          <w:color w:val="auto"/>
        </w:rPr>
      </w:pPr>
    </w:p>
    <w:p>
      <w:pPr>
        <w:ind w:left="1160" w:right="1499" w:firstLine="293"/>
        <w:spacing w:after="0" w:line="254" w:lineRule="auto"/>
        <w:rPr>
          <w:sz w:val="20"/>
          <w:szCs w:val="20"/>
          <w:color w:val="auto"/>
        </w:rPr>
      </w:pPr>
      <w:r>
        <w:rPr>
          <w:rFonts w:ascii="Arial" w:cs="Arial" w:eastAsia="Arial" w:hAnsi="Arial"/>
          <w:sz w:val="15"/>
          <w:szCs w:val="15"/>
          <w:color w:val="auto"/>
        </w:rPr>
        <w:t>Our cargo business is dedicated to our customer, Amazon. We believe we are well-positioned to continue growing our cargo business over time with Amazon, while continuing to leverage ourselves to Amazon and potentially new customers.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Operational Performance</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worldwide. Our primary operational metrics are completion factor and on-time arrival performance because most of our markets are operated less than daily. Our completion factor of 99.8% for the year ended December 31, 2019 was industry leading. These figures are inclusive of weather-driven cancelations, which our competitors often experience during extreme weather events in our home base of MSP. Our completion factor compares favorably to our competitors, with Sun Country leading among key competitor airlines as indicated below for the year ended December 31, 2019, the last normalized year before the onset of the COVID-19 pandemic.</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5" w:name="page136"/>
    <w:bookmarkEnd w:id="13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439420</wp:posOffset>
            </wp:positionV>
            <wp:extent cx="4241800" cy="24276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241800" cy="242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Source: US DOT Bureau of Transportation Statistics, scheduled passenger service</w:t>
      </w:r>
    </w:p>
    <w:p>
      <w:pPr>
        <w:spacing w:after="0" w:line="102"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During 2020, in order to appropriately respond to changing demand patterns and control costs, due to the COVID- 19 pandemic, we canceled many flights within seven days of scheduled departure date, which would drive down our completion factor based on DOT definitions. However, we believe creative cost savings, such as operating a “triangle rotation” among multiple Florida cities as opposed to multiple flights from MSP, enabled us to outperform the industry financially. Notably, exclusive of COVID-19 related cancellations, we only cancelled one flight for controllable reasons from April 1, 2020 to December 31, 2020. We believe that our results for 2019 are a more useful indicator of our completion factor during normal industry conditions.</w:t>
      </w:r>
    </w:p>
    <w:p>
      <w:pPr>
        <w:spacing w:after="0" w:line="100" w:lineRule="exact"/>
        <w:rPr>
          <w:sz w:val="20"/>
          <w:szCs w:val="20"/>
          <w:color w:val="auto"/>
        </w:rPr>
      </w:pPr>
    </w:p>
    <w:p>
      <w:pPr>
        <w:ind w:left="1160" w:right="1359" w:firstLine="293"/>
        <w:spacing w:after="0" w:line="233" w:lineRule="auto"/>
        <w:rPr>
          <w:sz w:val="20"/>
          <w:szCs w:val="20"/>
          <w:color w:val="auto"/>
        </w:rPr>
      </w:pPr>
      <w:r>
        <w:rPr>
          <w:rFonts w:ascii="Arial" w:cs="Arial" w:eastAsia="Arial" w:hAnsi="Arial"/>
          <w:sz w:val="15"/>
          <w:szCs w:val="15"/>
          <w:color w:val="auto"/>
        </w:rPr>
        <w:t>In addition to completion factor, we believe our improving on time performance metrics drive increased customer satisfaction. Our systemwide arrival performance within 14 minutes of schedule was 69.9% for the year ended December 31, 2019, which was last among our six ULCC and LCC competitors and 16.9 percentage points behind the top performer. During 2020, as a result of insourcing our ground operations at MSP in March 2020, we experienced markedly better performance. Our arrival performance was 90.5% for the period of April 1, 2020 through December 31, 2020, or an increase of 20.6 percentage points over 2019.</w:t>
      </w:r>
    </w:p>
    <w:p>
      <w:pPr>
        <w:spacing w:after="0" w:line="102"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Charter operations are an important part of our business. Our largest single customer is the U.S. Department of Defense. We consistently receive high marks for quality and schedule reliability. Our ratings from the Department of Defense for our charter flights for the year ended September 30, 2020 we achieved 100% for domestic quality, 100% for international quality, 99% for domestic schedule reliability and 97% for international schedule reliability. We are committed to serving not only our U.S. Department of Defense customers, but all of our charter customers, with the highest levels of safety, reliability, and performance.</w:t>
      </w:r>
    </w:p>
    <w:p>
      <w:pPr>
        <w:spacing w:after="0" w:line="67"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In addition to improving our arrival performance, since starting freighter operations in May 2020, our operations team successfully conformed 12 freighters to our operations specifications, an increase to our total fleet of 39%. Additionally, our arrival performance for our cargo business has never fallen below the monetary penalty threshold under the ATSA.</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Fleet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We fly only Boeing 737-NG aircraft, which we believe provides us significant operational and cost</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advantages compared to airlines that operate multiple fleet types. Flight crews are interchangeable across all</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6" w:name="page137"/>
    <w:bookmarkEnd w:id="13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39" w:lineRule="auto"/>
        <w:rPr>
          <w:sz w:val="20"/>
          <w:szCs w:val="20"/>
          <w:color w:val="auto"/>
        </w:rPr>
      </w:pPr>
      <w:r>
        <w:rPr>
          <w:rFonts w:ascii="Arial" w:cs="Arial" w:eastAsia="Arial" w:hAnsi="Arial"/>
          <w:sz w:val="15"/>
          <w:szCs w:val="15"/>
          <w:color w:val="auto"/>
        </w:rPr>
        <w:t>of our aircraft, and maintenance, spare parts inventories and other operational support are highly simplified relative to more complex fleets. With the addition of CMI services, we expect that these efficiencies will remain intact.</w:t>
      </w:r>
    </w:p>
    <w:p>
      <w:pPr>
        <w:spacing w:after="0" w:line="89" w:lineRule="exact"/>
        <w:rPr>
          <w:sz w:val="20"/>
          <w:szCs w:val="20"/>
          <w:color w:val="auto"/>
        </w:rPr>
      </w:pPr>
    </w:p>
    <w:p>
      <w:pPr>
        <w:ind w:left="1160" w:right="1299" w:firstLine="293"/>
        <w:spacing w:after="0" w:line="270" w:lineRule="auto"/>
        <w:rPr>
          <w:sz w:val="20"/>
          <w:szCs w:val="20"/>
          <w:color w:val="auto"/>
        </w:rPr>
      </w:pPr>
      <w:r>
        <w:rPr>
          <w:rFonts w:ascii="Arial" w:cs="Arial" w:eastAsia="Arial" w:hAnsi="Arial"/>
          <w:sz w:val="13"/>
          <w:szCs w:val="13"/>
          <w:color w:val="auto"/>
        </w:rPr>
        <w:t>As of December 31, 2020, we operate a fleet of Boeing 737-NG aircraft, consisting of 30 Boeing 737-800s and 1 Boeing 737-700, for a total of 31 passenger aircraft. We also operate 737-NG freighters dedicated to our cargo business. The average age of the passenger aircraft in our fleet was approximately</w:t>
      </w:r>
    </w:p>
    <w:p>
      <w:pPr>
        <w:spacing w:after="0" w:line="2" w:lineRule="exact"/>
        <w:rPr>
          <w:sz w:val="20"/>
          <w:szCs w:val="20"/>
          <w:color w:val="auto"/>
        </w:rPr>
      </w:pPr>
    </w:p>
    <w:p>
      <w:pPr>
        <w:ind w:left="1160" w:right="1179"/>
        <w:spacing w:after="0" w:line="230" w:lineRule="auto"/>
        <w:rPr>
          <w:sz w:val="20"/>
          <w:szCs w:val="20"/>
          <w:color w:val="auto"/>
        </w:rPr>
      </w:pPr>
      <w:r>
        <w:rPr>
          <w:rFonts w:ascii="Arial" w:cs="Arial" w:eastAsia="Arial" w:hAnsi="Arial"/>
          <w:sz w:val="15"/>
          <w:szCs w:val="15"/>
          <w:color w:val="auto"/>
        </w:rPr>
        <w:t>15 years as of December 31, 2020. Our freighters average 18 years as of December 31, 2020. Of the aircraft, 17 were financed under operating or finance leases as of December 31, 2020. Of the remaining passenger aircraft, 13 were owned and financed through an EETC financing structure and 1 is owned and financed with another debt structure. The 2019-1 EETC was used to convert a portion of our leased aircraft to owned aircraft, as well as refinance some of our previously owned passenger aircraft during the fourth quarter of 2019 and first half of 2020. Due to this, the EETC reduced our financing costs. There are no scheduled aircraft lease redeliveries prior to 2024. Our current fleet plan calls for growth to an estimated 50 passenger aircraft by the end of 2023.</w:t>
      </w:r>
    </w:p>
    <w:p>
      <w:pPr>
        <w:spacing w:after="0" w:line="105"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color w:val="auto"/>
        </w:rPr>
        <w:t>Our fleet of 12 freighters is subleased directly from Amazon and we operate them pursuant to the ATSA. Based upon review of the ATSA, the sublease arrangement does not qualify as a lease under ASC 842, Leases, because we do not control the use of the aircraft. As such, no right -of- use asset and lease liability is recognized in our financial statements for the Amazon arrangement. We may expand our freighter fleet in order to serve additional cargo customers or provide additional service to Amazon.</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Fuel</w:t>
      </w:r>
    </w:p>
    <w:p>
      <w:pPr>
        <w:spacing w:after="0" w:line="128"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Aircraft fuel is generally our largest expense representing approximately 21.7%, 26.6% and 30.1% of our total operating costs for the years ended December 31, 2020, 2019 and 2018, respectively. The price and availability of jet fuel are volatile due to global economic and geopolitical factors as well as domestic and local supply factors. Our historical fuel consumption and costs were as follows: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840" w:type="dxa"/>
            <w:vAlign w:val="bottom"/>
          </w:tcPr>
          <w:p>
            <w:pPr>
              <w:spacing w:after="0"/>
              <w:rPr>
                <w:sz w:val="13"/>
                <w:szCs w:val="13"/>
                <w:color w:val="auto"/>
              </w:rPr>
            </w:pPr>
          </w:p>
        </w:tc>
        <w:tc>
          <w:tcPr>
            <w:tcW w:w="1840" w:type="dxa"/>
            <w:vAlign w:val="bottom"/>
            <w:gridSpan w:val="5"/>
          </w:tcPr>
          <w:p>
            <w:pPr>
              <w:jc w:val="right"/>
              <w:ind w:right="212"/>
              <w:spacing w:after="0"/>
              <w:rPr>
                <w:sz w:val="20"/>
                <w:szCs w:val="20"/>
                <w:color w:val="auto"/>
              </w:rPr>
            </w:pPr>
            <w:r>
              <w:rPr>
                <w:rFonts w:ascii="Arial" w:cs="Arial" w:eastAsia="Arial" w:hAnsi="Arial"/>
                <w:sz w:val="12"/>
                <w:szCs w:val="12"/>
                <w:b w:val="1"/>
                <w:bCs w:val="1"/>
                <w:color w:val="auto"/>
              </w:rPr>
              <w:t>Year Ended December 31,</w:t>
            </w:r>
          </w:p>
        </w:tc>
      </w:tr>
      <w:tr>
        <w:trPr>
          <w:trHeight w:val="21"/>
        </w:trPr>
        <w:tc>
          <w:tcPr>
            <w:tcW w:w="4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57"/>
        </w:trPr>
        <w:tc>
          <w:tcPr>
            <w:tcW w:w="4840" w:type="dxa"/>
            <w:vAlign w:val="bottom"/>
          </w:tcPr>
          <w:p>
            <w:pPr>
              <w:spacing w:after="0"/>
              <w:rPr>
                <w:sz w:val="13"/>
                <w:szCs w:val="13"/>
                <w:color w:val="auto"/>
              </w:rPr>
            </w:pPr>
          </w:p>
        </w:tc>
        <w:tc>
          <w:tcPr>
            <w:tcW w:w="500" w:type="dxa"/>
            <w:vAlign w:val="bottom"/>
          </w:tcPr>
          <w:p>
            <w:pPr>
              <w:jc w:val="right"/>
              <w:ind w:right="5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00" w:type="dxa"/>
            <w:vAlign w:val="bottom"/>
          </w:tcPr>
          <w:p>
            <w:pPr>
              <w:jc w:val="right"/>
              <w:ind w:right="72"/>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500" w:type="dxa"/>
            <w:vAlign w:val="bottom"/>
          </w:tcPr>
          <w:p>
            <w:pPr>
              <w:jc w:val="right"/>
              <w:ind w:right="52"/>
              <w:spacing w:after="0"/>
              <w:rPr>
                <w:sz w:val="20"/>
                <w:szCs w:val="20"/>
                <w:color w:val="auto"/>
              </w:rPr>
            </w:pPr>
            <w:r>
              <w:rPr>
                <w:rFonts w:ascii="Arial" w:cs="Arial" w:eastAsia="Arial" w:hAnsi="Arial"/>
                <w:sz w:val="12"/>
                <w:szCs w:val="12"/>
                <w:b w:val="1"/>
                <w:bCs w:val="1"/>
                <w:color w:val="auto"/>
              </w:rPr>
              <w:t>2018</w:t>
            </w:r>
          </w:p>
        </w:tc>
      </w:tr>
      <w:tr>
        <w:trPr>
          <w:trHeight w:val="21"/>
        </w:trPr>
        <w:tc>
          <w:tcPr>
            <w:tcW w:w="4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00"/>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Gallons consumed (in thousands)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43,844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78,042</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64,981</w:t>
            </w:r>
          </w:p>
        </w:tc>
      </w:tr>
      <w:tr>
        <w:trPr>
          <w:trHeight w:val="209"/>
        </w:trPr>
        <w:tc>
          <w:tcPr>
            <w:tcW w:w="4840" w:type="dxa"/>
            <w:vAlign w:val="bottom"/>
          </w:tcPr>
          <w:p>
            <w:pPr>
              <w:spacing w:after="0"/>
              <w:rPr>
                <w:sz w:val="20"/>
                <w:szCs w:val="20"/>
                <w:color w:val="auto"/>
              </w:rPr>
            </w:pPr>
            <w:r>
              <w:rPr>
                <w:rFonts w:ascii="Arial" w:cs="Arial" w:eastAsia="Arial" w:hAnsi="Arial"/>
                <w:sz w:val="15"/>
                <w:szCs w:val="15"/>
                <w:color w:val="auto"/>
              </w:rPr>
              <w:t>Average price per gallon</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  1.60</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  2.26</w:t>
            </w:r>
          </w:p>
        </w:tc>
        <w:tc>
          <w:tcPr>
            <w:tcW w:w="500" w:type="dxa"/>
            <w:vAlign w:val="bottom"/>
          </w:tcPr>
          <w:p>
            <w:pPr>
              <w:jc w:val="right"/>
              <w:spacing w:after="0"/>
              <w:rPr>
                <w:sz w:val="20"/>
                <w:szCs w:val="20"/>
                <w:color w:val="auto"/>
              </w:rPr>
            </w:pPr>
            <w:r>
              <w:rPr>
                <w:rFonts w:ascii="Arial" w:cs="Arial" w:eastAsia="Arial" w:hAnsi="Arial"/>
                <w:sz w:val="15"/>
                <w:szCs w:val="15"/>
                <w:color w:val="auto"/>
              </w:rPr>
              <w:t>$  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-271780</wp:posOffset>
            </wp:positionV>
            <wp:extent cx="11176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-271780</wp:posOffset>
            </wp:positionV>
            <wp:extent cx="11176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-271780</wp:posOffset>
            </wp:positionV>
            <wp:extent cx="5588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Gallons consumed includes scheduled service and charter operations but does not include cargo.</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Average price per gallon includes related fuel fees and taxes but excludes fuel-hedging gains and losses.</w:t>
      </w:r>
    </w:p>
    <w:p>
      <w:pPr>
        <w:spacing w:after="0" w:line="113"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3"/>
          <w:szCs w:val="13"/>
          <w:color w:val="auto"/>
        </w:rPr>
        <w:t>From time to time, we may enter into fuel derivative contracts in order to mitigate the risk to our business from future volatility in fuel prices, but such contracts may not fully protect us from all related risks. The intention of our fuel hedging program is not to manage earnings but rather to protect our liquidity. As of December 31, 2020, we had hedges in place for approximately 37% of our projected fuel requirements for scheduled service operations in 2021, with all of our then existing options expected to be exercised or expire by the end of 2021. Generally speaking, our charter operations and the ATSA have pass- 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Technical Operations: Maintenance, Repairs and Overhaul</w:t>
      </w:r>
    </w:p>
    <w:p>
      <w:pPr>
        <w:spacing w:after="0" w:line="12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We have an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and work performed is divided into three general categories: line maintenance, heavy maintenance, and component maintenance.</w:t>
      </w:r>
    </w:p>
    <w:p>
      <w:pPr>
        <w:spacing w:after="0" w:line="45"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Line maintenance work is handled by our employees and maintenance contractors and consists of work performed between flights or overnight. Performing effective line maintenance is critical to maintaining a reliable operation and represents the majority of and most extensive maintenance we perform. Line</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7" w:name="page138"/>
    <w:bookmarkEnd w:id="13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99"/>
        <w:spacing w:after="0" w:line="236" w:lineRule="auto"/>
        <w:rPr>
          <w:sz w:val="20"/>
          <w:szCs w:val="20"/>
          <w:color w:val="auto"/>
        </w:rPr>
      </w:pPr>
      <w:r>
        <w:rPr>
          <w:rFonts w:ascii="Arial" w:cs="Arial" w:eastAsia="Arial" w:hAnsi="Arial"/>
          <w:sz w:val="15"/>
          <w:szCs w:val="15"/>
          <w:color w:val="auto"/>
        </w:rPr>
        <w:t>maintenance consists of routine daily and weekly scheduled maintenance checks on our aircraft. We maintain Sun Country technicians in Minneapolis, with limited line maintenance capabilities in Gulfport, Mississippi and Dallas-Fort Worth/Alliance Fort Worth, Texas. All other line maintenance is provided by third-party maintenance contractors as needed.</w:t>
      </w:r>
    </w:p>
    <w:p>
      <w:pPr>
        <w:spacing w:after="0" w:line="47"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freighter aircraft, heavy maintenance is a pass-through expense to our customer, Amazon.</w:t>
      </w:r>
    </w:p>
    <w:p>
      <w:pPr>
        <w:spacing w:after="0" w:line="56" w:lineRule="exact"/>
        <w:rPr>
          <w:sz w:val="20"/>
          <w:szCs w:val="20"/>
          <w:color w:val="auto"/>
        </w:rPr>
      </w:pPr>
    </w:p>
    <w:p>
      <w:pPr>
        <w:ind w:left="1160" w:right="1499" w:firstLine="293"/>
        <w:spacing w:after="0" w:line="236" w:lineRule="auto"/>
        <w:rPr>
          <w:sz w:val="20"/>
          <w:szCs w:val="20"/>
          <w:color w:val="auto"/>
        </w:rPr>
      </w:pPr>
      <w:r>
        <w:rPr>
          <w:rFonts w:ascii="Arial" w:cs="Arial" w:eastAsia="Arial" w:hAnsi="Arial"/>
          <w:sz w:val="15"/>
          <w:szCs w:val="15"/>
          <w:color w:val="auto"/>
        </w:rPr>
        <w:t>We also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12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Employees</w:t>
      </w:r>
    </w:p>
    <w:p>
      <w:pPr>
        <w:spacing w:after="0" w:line="8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As of December 31, 2020, we had 1,699 employees.</w:t>
      </w:r>
    </w:p>
    <w:p>
      <w:pPr>
        <w:spacing w:after="0" w:line="80"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Mechanics,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45"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As of December 31, 2020, approximately 52% of our employees were represented by labor unions under collective-bargaining agreements as set forth in the table below. Our pilots are represented by the Air Line Pilots Association, our flight attendants are represented by the International Brotherhood of Teamsters and our dispatchers are represented by the Transport Workers Union. Our dispatchers approved a new contract in December 2019, which is amendable on November 14, 2024. Our collective bargaining agreement with our flight attendants became amendable on December 31, 2019. We entered into negotiations in November 2019. Negotiations were paused by mutual consent in March 2020 due to the COVID-19 pandemic. We restarted negotiations in October of 2021.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The pilots have since served notice to the Company and we have begun negotiations with our pilots; however, the contract remains in status quo until there is a newly ratified contract.</w:t>
      </w:r>
    </w:p>
    <w:p>
      <w:pPr>
        <w:spacing w:after="0" w:line="71"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w w:val="96"/>
              </w:rPr>
              <w:t>Number of</w:t>
            </w: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81"/>
              </w:rPr>
              <w:t>Status of</w:t>
            </w:r>
          </w:p>
        </w:tc>
      </w:tr>
      <w:tr>
        <w:trPr>
          <w:trHeight w:val="150"/>
        </w:trPr>
        <w:tc>
          <w:tcPr>
            <w:tcW w:w="1880" w:type="dxa"/>
            <w:vAlign w:val="bottom"/>
            <w:gridSpan w:val="2"/>
          </w:tcPr>
          <w:p>
            <w:pPr>
              <w:ind w:left="500"/>
              <w:spacing w:after="0"/>
              <w:rPr>
                <w:sz w:val="20"/>
                <w:szCs w:val="20"/>
                <w:color w:val="auto"/>
              </w:rPr>
            </w:pPr>
            <w:r>
              <w:rPr>
                <w:rFonts w:ascii="Arial" w:cs="Arial" w:eastAsia="Arial" w:hAnsi="Arial"/>
                <w:sz w:val="12"/>
                <w:szCs w:val="12"/>
                <w:b w:val="1"/>
                <w:bCs w:val="1"/>
                <w:color w:val="auto"/>
              </w:rPr>
              <w:t>Employee Group</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88"/>
              </w:rPr>
              <w:t>Employees</w:t>
            </w:r>
          </w:p>
        </w:tc>
        <w:tc>
          <w:tcPr>
            <w:tcW w:w="18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3"/>
              </w:rPr>
              <w:t>Representative</w:t>
            </w: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86"/>
              </w:rPr>
              <w:t>Agreement/Amendable Date</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178"/>
        </w:trPr>
        <w:tc>
          <w:tcPr>
            <w:tcW w:w="1880" w:type="dxa"/>
            <w:vAlign w:val="bottom"/>
            <w:gridSpan w:val="2"/>
          </w:tcPr>
          <w:p>
            <w:pPr>
              <w:spacing w:after="0"/>
              <w:rPr>
                <w:sz w:val="20"/>
                <w:szCs w:val="20"/>
                <w:color w:val="auto"/>
              </w:rPr>
            </w:pPr>
            <w:r>
              <w:rPr>
                <w:rFonts w:ascii="Arial" w:cs="Arial" w:eastAsia="Arial" w:hAnsi="Arial"/>
                <w:sz w:val="15"/>
                <w:szCs w:val="15"/>
                <w:color w:val="auto"/>
              </w:rPr>
              <w:t>Pilots</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395</w:t>
            </w:r>
          </w:p>
        </w:tc>
        <w:tc>
          <w:tcPr>
            <w:tcW w:w="40" w:type="dxa"/>
            <w:vAlign w:val="bottom"/>
          </w:tcPr>
          <w:p>
            <w:pPr>
              <w:spacing w:after="0"/>
              <w:rPr>
                <w:sz w:val="15"/>
                <w:szCs w:val="15"/>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5"/>
                <w:szCs w:val="15"/>
                <w:color w:val="auto"/>
                <w:w w:val="97"/>
              </w:rPr>
              <w:t>Air Line Pilots Association</w:t>
            </w:r>
          </w:p>
        </w:tc>
        <w:tc>
          <w:tcPr>
            <w:tcW w:w="2300" w:type="dxa"/>
            <w:vAlign w:val="bottom"/>
          </w:tcPr>
          <w:p>
            <w:pPr>
              <w:jc w:val="center"/>
              <w:spacing w:after="0"/>
              <w:rPr>
                <w:sz w:val="20"/>
                <w:szCs w:val="20"/>
                <w:color w:val="auto"/>
              </w:rPr>
            </w:pPr>
            <w:r>
              <w:rPr>
                <w:rFonts w:ascii="Arial" w:cs="Arial" w:eastAsia="Arial" w:hAnsi="Arial"/>
                <w:sz w:val="15"/>
                <w:szCs w:val="15"/>
                <w:color w:val="auto"/>
                <w:w w:val="93"/>
              </w:rPr>
              <w:t>Amendable in October 2021</w:t>
            </w:r>
          </w:p>
        </w:tc>
      </w:tr>
      <w:tr>
        <w:trPr>
          <w:trHeight w:val="186"/>
        </w:trPr>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5"/>
                <w:szCs w:val="15"/>
                <w:color w:val="auto"/>
                <w:w w:val="99"/>
              </w:rPr>
              <w:t>(ALPA)</w:t>
            </w:r>
          </w:p>
        </w:tc>
        <w:tc>
          <w:tcPr>
            <w:tcW w:w="2300" w:type="dxa"/>
            <w:vAlign w:val="bottom"/>
          </w:tcPr>
          <w:p>
            <w:pPr>
              <w:spacing w:after="0"/>
              <w:rPr>
                <w:sz w:val="16"/>
                <w:szCs w:val="16"/>
                <w:color w:val="auto"/>
              </w:rPr>
            </w:pPr>
          </w:p>
        </w:tc>
      </w:tr>
      <w:tr>
        <w:trPr>
          <w:trHeight w:val="198"/>
        </w:trPr>
        <w:tc>
          <w:tcPr>
            <w:tcW w:w="1880" w:type="dxa"/>
            <w:vAlign w:val="bottom"/>
            <w:gridSpan w:val="2"/>
          </w:tcPr>
          <w:p>
            <w:pPr>
              <w:spacing w:after="0"/>
              <w:rPr>
                <w:sz w:val="20"/>
                <w:szCs w:val="20"/>
                <w:color w:val="auto"/>
              </w:rPr>
            </w:pPr>
            <w:r>
              <w:rPr>
                <w:rFonts w:ascii="Arial" w:cs="Arial" w:eastAsia="Arial" w:hAnsi="Arial"/>
                <w:sz w:val="15"/>
                <w:szCs w:val="15"/>
                <w:color w:val="auto"/>
              </w:rPr>
              <w:t>Flight Attendants</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466</w:t>
            </w:r>
          </w:p>
        </w:tc>
        <w:tc>
          <w:tcPr>
            <w:tcW w:w="40" w:type="dxa"/>
            <w:vAlign w:val="bottom"/>
          </w:tcPr>
          <w:p>
            <w:pPr>
              <w:spacing w:after="0"/>
              <w:rPr>
                <w:sz w:val="17"/>
                <w:szCs w:val="17"/>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International Brotherhood of</w:t>
            </w:r>
          </w:p>
        </w:tc>
        <w:tc>
          <w:tcPr>
            <w:tcW w:w="2300" w:type="dxa"/>
            <w:vAlign w:val="bottom"/>
          </w:tcPr>
          <w:p>
            <w:pPr>
              <w:jc w:val="center"/>
              <w:spacing w:after="0"/>
              <w:rPr>
                <w:sz w:val="20"/>
                <w:szCs w:val="20"/>
                <w:color w:val="auto"/>
              </w:rPr>
            </w:pPr>
            <w:r>
              <w:rPr>
                <w:rFonts w:ascii="Arial" w:cs="Arial" w:eastAsia="Arial" w:hAnsi="Arial"/>
                <w:sz w:val="15"/>
                <w:szCs w:val="15"/>
                <w:color w:val="auto"/>
                <w:w w:val="90"/>
              </w:rPr>
              <w:t>Currently amendable (commenced as</w:t>
            </w:r>
          </w:p>
        </w:tc>
      </w:tr>
      <w:tr>
        <w:trPr>
          <w:trHeight w:val="186"/>
        </w:trPr>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5"/>
                <w:szCs w:val="15"/>
                <w:color w:val="auto"/>
                <w:w w:val="92"/>
              </w:rPr>
              <w:t>Teamsters (IBT)</w:t>
            </w:r>
          </w:p>
        </w:tc>
        <w:tc>
          <w:tcPr>
            <w:tcW w:w="2300" w:type="dxa"/>
            <w:vAlign w:val="bottom"/>
          </w:tcPr>
          <w:p>
            <w:pPr>
              <w:jc w:val="center"/>
              <w:spacing w:after="0"/>
              <w:rPr>
                <w:sz w:val="20"/>
                <w:szCs w:val="20"/>
                <w:color w:val="auto"/>
              </w:rPr>
            </w:pPr>
            <w:r>
              <w:rPr>
                <w:rFonts w:ascii="Arial" w:cs="Arial" w:eastAsia="Arial" w:hAnsi="Arial"/>
                <w:sz w:val="15"/>
                <w:szCs w:val="15"/>
                <w:color w:val="auto"/>
                <w:w w:val="91"/>
              </w:rPr>
              <w:t>of December 2019)</w:t>
            </w:r>
          </w:p>
        </w:tc>
      </w:tr>
      <w:tr>
        <w:trPr>
          <w:trHeight w:val="198"/>
        </w:trPr>
        <w:tc>
          <w:tcPr>
            <w:tcW w:w="1880" w:type="dxa"/>
            <w:vAlign w:val="bottom"/>
            <w:gridSpan w:val="2"/>
          </w:tcPr>
          <w:p>
            <w:pPr>
              <w:spacing w:after="0"/>
              <w:rPr>
                <w:sz w:val="20"/>
                <w:szCs w:val="20"/>
                <w:color w:val="auto"/>
              </w:rPr>
            </w:pPr>
            <w:r>
              <w:rPr>
                <w:rFonts w:ascii="Arial" w:cs="Arial" w:eastAsia="Arial" w:hAnsi="Arial"/>
                <w:sz w:val="15"/>
                <w:szCs w:val="15"/>
                <w:color w:val="auto"/>
              </w:rPr>
              <w:t>Dispatchers</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21</w:t>
            </w:r>
          </w:p>
        </w:tc>
        <w:tc>
          <w:tcPr>
            <w:tcW w:w="40" w:type="dxa"/>
            <w:vAlign w:val="bottom"/>
          </w:tcPr>
          <w:p>
            <w:pPr>
              <w:spacing w:after="0"/>
              <w:rPr>
                <w:sz w:val="17"/>
                <w:szCs w:val="17"/>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5"/>
                <w:szCs w:val="15"/>
                <w:color w:val="auto"/>
                <w:w w:val="93"/>
              </w:rPr>
              <w:t>Transport Workers Union</w:t>
            </w:r>
          </w:p>
        </w:tc>
        <w:tc>
          <w:tcPr>
            <w:tcW w:w="2300" w:type="dxa"/>
            <w:vAlign w:val="bottom"/>
          </w:tcPr>
          <w:p>
            <w:pPr>
              <w:jc w:val="center"/>
              <w:spacing w:after="0"/>
              <w:rPr>
                <w:sz w:val="20"/>
                <w:szCs w:val="20"/>
                <w:color w:val="auto"/>
              </w:rPr>
            </w:pPr>
            <w:r>
              <w:rPr>
                <w:rFonts w:ascii="Arial" w:cs="Arial" w:eastAsia="Arial" w:hAnsi="Arial"/>
                <w:sz w:val="15"/>
                <w:szCs w:val="15"/>
                <w:color w:val="auto"/>
                <w:w w:val="93"/>
              </w:rPr>
              <w:t>Amendable in November 2024</w:t>
            </w:r>
          </w:p>
        </w:tc>
      </w:tr>
      <w:tr>
        <w:trPr>
          <w:trHeight w:val="186"/>
        </w:trPr>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5"/>
                <w:szCs w:val="15"/>
                <w:color w:val="auto"/>
                <w:w w:val="99"/>
              </w:rPr>
              <w:t>(TWU)</w:t>
            </w:r>
          </w:p>
        </w:tc>
        <w:tc>
          <w:tcPr>
            <w:tcW w:w="2300" w:type="dxa"/>
            <w:vAlign w:val="bottom"/>
          </w:tcPr>
          <w:p>
            <w:pPr>
              <w:spacing w:after="0"/>
              <w:rPr>
                <w:sz w:val="16"/>
                <w:szCs w:val="16"/>
                <w:color w:val="auto"/>
              </w:rPr>
            </w:pPr>
          </w:p>
        </w:tc>
      </w:tr>
    </w:tbl>
    <w:p>
      <w:pPr>
        <w:spacing w:after="0" w:line="110" w:lineRule="exact"/>
        <w:rPr>
          <w:sz w:val="20"/>
          <w:szCs w:val="20"/>
          <w:color w:val="auto"/>
        </w:rPr>
      </w:pPr>
    </w:p>
    <w:p>
      <w:pPr>
        <w:ind w:left="1160" w:right="1219" w:firstLine="293"/>
        <w:spacing w:after="0" w:line="302" w:lineRule="auto"/>
        <w:rPr>
          <w:sz w:val="20"/>
          <w:szCs w:val="20"/>
          <w:color w:val="auto"/>
        </w:rPr>
      </w:pPr>
      <w:r>
        <w:rPr>
          <w:rFonts w:ascii="Arial" w:cs="Arial" w:eastAsia="Arial" w:hAnsi="Arial"/>
          <w:sz w:val="13"/>
          <w:szCs w:val="13"/>
          <w:color w:val="auto"/>
        </w:rPr>
        <w:t>The RLA governs our relations with labor organizations. Under the RLA, the collective bargaining agreements generally do not expire, but instead become amendable as of a stated date. If either party wishes to modify the terms of any such agreement, they must notify the other party in the manner agreed to by the parties. Under the RLA, after receipt of such notice, the parties must meet for direct negotiations, and if</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8" w:name="page139"/>
    <w:bookmarkEnd w:id="13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8" w:lineRule="auto"/>
        <w:rPr>
          <w:sz w:val="20"/>
          <w:szCs w:val="20"/>
          <w:color w:val="auto"/>
        </w:rPr>
      </w:pPr>
      <w:r>
        <w:rPr>
          <w:rFonts w:ascii="Arial" w:cs="Arial" w:eastAsia="Arial" w:hAnsi="Arial"/>
          <w:sz w:val="14"/>
          <w:szCs w:val="14"/>
          <w:color w:val="auto"/>
        </w:rPr>
        <w:t>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Safety and Security</w:t>
      </w:r>
    </w:p>
    <w:p>
      <w:pPr>
        <w:spacing w:after="0" w:line="117"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Safety is the most important thing we do and we are committed to the safety and security of our passengers and employees. In addition to complying with federally regulated safety and security standards, we strive to create a culture of safety and security that achieves the highest possible industry standard.</w:t>
      </w:r>
    </w:p>
    <w:p>
      <w:pPr>
        <w:spacing w:after="0" w:line="66" w:lineRule="exact"/>
        <w:rPr>
          <w:sz w:val="20"/>
          <w:szCs w:val="20"/>
          <w:color w:val="auto"/>
        </w:rPr>
      </w:pPr>
    </w:p>
    <w:p>
      <w:pPr>
        <w:ind w:left="1160" w:right="1279" w:firstLine="293"/>
        <w:spacing w:after="0" w:line="250" w:lineRule="auto"/>
        <w:rPr>
          <w:sz w:val="20"/>
          <w:szCs w:val="20"/>
          <w:color w:val="auto"/>
        </w:rPr>
      </w:pPr>
      <w:r>
        <w:rPr>
          <w:rFonts w:ascii="Arial" w:cs="Arial" w:eastAsia="Arial" w:hAnsi="Arial"/>
          <w:sz w:val="14"/>
          <w:szCs w:val="14"/>
          <w:color w:val="auto"/>
        </w:rPr>
        <w:t>We have invested in a safety management system platform (ProSafeT), which allows for anonymous reporting of safety concerns by employees and business partners and promotes active participation in the identification, reduction and elimination of hazards. We also use ProSafeT as a central repository for tracking all Safety Assurance information, as well as Safety Risk Mitigation activities, creating awareness and transparency for the leadership teams to actively monitor the health of our SMS and SeMS. Our ongoing focus on safety relies on training our employees to proper standards and providing them with the tools and equipment they require so they can perform their job functions in a safe and efficient manner. Safety in the workplace targets several areas of our operation including: flight operations, maintenance, in-flight, dispatch and station operations.</w:t>
      </w:r>
    </w:p>
    <w:p>
      <w:pPr>
        <w:spacing w:after="0" w:line="95" w:lineRule="exact"/>
        <w:rPr>
          <w:sz w:val="20"/>
          <w:szCs w:val="20"/>
          <w:color w:val="auto"/>
        </w:rPr>
      </w:pPr>
    </w:p>
    <w:p>
      <w:pPr>
        <w:ind w:left="1160" w:right="1299" w:firstLine="293"/>
        <w:spacing w:after="0" w:line="234" w:lineRule="auto"/>
        <w:rPr>
          <w:sz w:val="20"/>
          <w:szCs w:val="20"/>
          <w:color w:val="auto"/>
        </w:rPr>
      </w:pPr>
      <w:r>
        <w:rPr>
          <w:rFonts w:ascii="Arial" w:cs="Arial" w:eastAsia="Arial" w:hAnsi="Arial"/>
          <w:sz w:val="15"/>
          <w:szCs w:val="15"/>
          <w:color w:val="auto"/>
        </w:rPr>
        <w:t>We participate in ASIAS (FAA Aviation Safety Information Analysis and Sharing System), which is a central conduit for the exchange of safety information among its stakeholders, and FOQA (Flight Operations Quality Assurance), a structured program to gather and aggregate electronically recorded flight operations data for the purpose of identifying areas where safety, efficiency and training can be improved. Furthermore, we voluntarily completed the IATA Operational Safety Audit in June 2019, which is the benchmark for global safety</w:t>
      </w:r>
    </w:p>
    <w:p>
      <w:pPr>
        <w:spacing w:after="0" w:line="90" w:lineRule="exact"/>
        <w:rPr>
          <w:sz w:val="20"/>
          <w:szCs w:val="20"/>
          <w:color w:val="auto"/>
        </w:rPr>
      </w:pPr>
    </w:p>
    <w:p>
      <w:pPr>
        <w:ind w:left="1160" w:right="1279" w:firstLine="293"/>
        <w:spacing w:after="0" w:line="258" w:lineRule="auto"/>
        <w:rPr>
          <w:sz w:val="20"/>
          <w:szCs w:val="20"/>
          <w:color w:val="auto"/>
        </w:rPr>
      </w:pPr>
      <w:r>
        <w:rPr>
          <w:rFonts w:ascii="Arial" w:cs="Arial" w:eastAsia="Arial" w:hAnsi="Arial"/>
          <w:sz w:val="14"/>
          <w:szCs w:val="14"/>
          <w:color w:val="auto"/>
        </w:rPr>
        <w:t>Safety Audit with no findings. We also have implemented a Security Management System (SeMS) to protect the company’s assets and operations. Some of the other safety and security measures we have taken include: aircraft security and surveillance, positive bag matching procedures, enhanced passenger and baggage screening and search procedures and securing of cockpit doors.</w:t>
      </w:r>
    </w:p>
    <w:p>
      <w:pPr>
        <w:spacing w:after="0" w:line="88"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Our ongoing focus on safety relies on transparency with our regulators, training our employees to proper standards and providing them with the tools and equipment they require so they can perform their job functions in a safe and efficient manner, and learning from industry best practices through a collaborative, inter-airline safety sharing program. Safety in the workplace targets several areas of our operation including: flight operations, maintenance, in- flight, dispatch and station operations. In addition, we recently conducted a safety culture survey, the results of which we have used to create action plans for areas of opportunity.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Facilities</w:t>
      </w:r>
    </w:p>
    <w:p>
      <w:pPr>
        <w:spacing w:after="0" w:line="128"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 expenses and services under these agreements. We also have entered into use agreements at many of the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9" w:name="page140"/>
    <w:bookmarkEnd w:id="13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19"/>
        <w:spacing w:after="0" w:line="283" w:lineRule="auto"/>
        <w:rPr>
          <w:sz w:val="20"/>
          <w:szCs w:val="20"/>
          <w:color w:val="auto"/>
        </w:rPr>
      </w:pPr>
      <w:r>
        <w:rPr>
          <w:rFonts w:ascii="Arial" w:cs="Arial" w:eastAsia="Arial" w:hAnsi="Arial"/>
          <w:sz w:val="14"/>
          <w:szCs w:val="14"/>
          <w:color w:val="auto"/>
        </w:rPr>
        <w:t>airports we serve that provide for the non -exclusive use of runways, taxiways and other facilities. Landing fees under these agreements are based on the number of landings and weight of the aircraft.</w:t>
      </w:r>
    </w:p>
    <w:p>
      <w:pPr>
        <w:spacing w:after="0" w:line="60"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We primarily operate out of eight of 14 gates at Terminal 2 at MSP, five of which are assigned to us on a priority basis with common use access to the remaining gates. Our leases for our terminal passenger service facilities, which include operational support space and baggage service offices, are leased on a month- to-month basis. Gate space and ticket counter space is used and billed on a per operation (each arrival and departure) basis until an annual operating cap is met. Our operating lease also includes two hangars:</w:t>
      </w:r>
    </w:p>
    <w:p>
      <w:pPr>
        <w:spacing w:after="0" w:line="68" w:lineRule="exact"/>
        <w:rPr>
          <w:sz w:val="20"/>
          <w:szCs w:val="20"/>
          <w:color w:val="auto"/>
        </w:rPr>
      </w:pPr>
    </w:p>
    <w:p>
      <w:pPr>
        <w:ind w:left="1600" w:right="1619" w:hanging="143"/>
        <w:spacing w:after="0" w:line="264"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108,000 square foot maintenance hangar, which includes office space and is where we provide certain maintenance on our aircraft; and</w:t>
      </w:r>
    </w:p>
    <w:p>
      <w:pPr>
        <w:spacing w:after="0" w:line="60" w:lineRule="exact"/>
        <w:rPr>
          <w:rFonts w:ascii="Arial" w:cs="Arial" w:eastAsia="Arial" w:hAnsi="Arial"/>
          <w:sz w:val="15"/>
          <w:szCs w:val="15"/>
          <w:color w:val="auto"/>
        </w:rPr>
      </w:pPr>
    </w:p>
    <w:p>
      <w:pPr>
        <w:ind w:left="1600" w:right="1919" w:hanging="143"/>
        <w:spacing w:after="0" w:line="264"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90,000 square foot office and hangar facility which has been converted into our corporate headquarters.</w:t>
      </w:r>
    </w:p>
    <w:p>
      <w:pPr>
        <w:spacing w:after="0" w:line="82"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For charter service with an origin or destination where we do not have ground handling capabilities, we arrange with airports, fixed base operators or military bases to provide ground services on an as needed basis.</w:t>
      </w:r>
    </w:p>
    <w:p>
      <w:pPr>
        <w:spacing w:after="0" w:line="100"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Community Partnerships</w:t>
      </w:r>
    </w:p>
    <w:p>
      <w:pPr>
        <w:spacing w:after="0" w:line="128" w:lineRule="exact"/>
        <w:rPr>
          <w:sz w:val="20"/>
          <w:szCs w:val="20"/>
          <w:color w:val="auto"/>
        </w:rPr>
      </w:pPr>
    </w:p>
    <w:p>
      <w:pPr>
        <w:jc w:val="both"/>
        <w:ind w:left="1160" w:right="1259" w:firstLine="293"/>
        <w:spacing w:after="0" w:line="283" w:lineRule="auto"/>
        <w:rPr>
          <w:sz w:val="20"/>
          <w:szCs w:val="20"/>
          <w:color w:val="auto"/>
        </w:rPr>
      </w:pPr>
      <w:r>
        <w:rPr>
          <w:rFonts w:ascii="Arial" w:cs="Arial" w:eastAsia="Arial" w:hAnsi="Arial"/>
          <w:sz w:val="14"/>
          <w:szCs w:val="14"/>
          <w:color w:val="auto"/>
        </w:rPr>
        <w:t>As a Minnesota-based company, it is an important part of our culture to give back to the community in which we work and live. We have several key community partnership initiatives, some of which are:</w:t>
      </w:r>
    </w:p>
    <w:p>
      <w:pPr>
        <w:spacing w:after="0" w:line="27" w:lineRule="exact"/>
        <w:rPr>
          <w:sz w:val="20"/>
          <w:szCs w:val="20"/>
          <w:color w:val="auto"/>
        </w:rPr>
      </w:pPr>
    </w:p>
    <w:p>
      <w:pPr>
        <w:ind w:left="1600" w:right="1359" w:hanging="143"/>
        <w:spacing w:after="0" w:line="341" w:lineRule="auto"/>
        <w:tabs>
          <w:tab w:leader="none" w:pos="16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Everyday Heroes—a program where we recognize one hero every month with a $500 Sun Country travel voucher, with recognition through TV and radio properties owned by our media partner.</w:t>
      </w:r>
    </w:p>
    <w:p>
      <w:pPr>
        <w:spacing w:after="0" w:line="14" w:lineRule="exact"/>
        <w:rPr>
          <w:rFonts w:ascii="Arial" w:cs="Arial" w:eastAsia="Arial" w:hAnsi="Arial"/>
          <w:sz w:val="13"/>
          <w:szCs w:val="13"/>
          <w:color w:val="auto"/>
        </w:rPr>
      </w:pPr>
    </w:p>
    <w:p>
      <w:pPr>
        <w:ind w:left="1600" w:right="1459" w:hanging="143"/>
        <w:spacing w:after="0" w:line="264" w:lineRule="auto"/>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Make-A-Wish Minnesota—we have a three-year commitment with Make-A-Wish MN to provide travel to every Minnesota Wish Kid flying to a destination Sun Country serves.</w:t>
      </w:r>
    </w:p>
    <w:p>
      <w:pPr>
        <w:spacing w:after="0" w:line="59"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Hennepin Theatre Trust—we support the Trust’s Spotlight Education program, focused on education for local performing arts students.</w:t>
      </w:r>
    </w:p>
    <w:p>
      <w:pPr>
        <w:spacing w:after="0" w:line="59" w:lineRule="exact"/>
        <w:rPr>
          <w:rFonts w:ascii="Arial" w:cs="Arial" w:eastAsia="Arial" w:hAnsi="Arial"/>
          <w:sz w:val="15"/>
          <w:szCs w:val="15"/>
          <w:color w:val="auto"/>
        </w:rPr>
      </w:pPr>
    </w:p>
    <w:p>
      <w:pPr>
        <w:ind w:left="1600" w:right="1239" w:hanging="143"/>
        <w:spacing w:after="0" w:line="274" w:lineRule="auto"/>
        <w:tabs>
          <w:tab w:leader="none" w:pos="1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order to assist our community as we all dealt with the duel crisis of pandemic and civil unrest, we organized a number of volunteer events throughout 2020. Through December 31, 2020, 175 Sun Country volunteers have spent over 415 hours volunteering in our community at organizations, including The Sheridan Story, The Food Group and Mississippi River Connection Cleanup.</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Insurance</w:t>
      </w:r>
    </w:p>
    <w:p>
      <w:pPr>
        <w:spacing w:after="0" w:line="117"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Foreign Ownership</w:t>
      </w:r>
    </w:p>
    <w:p>
      <w:pPr>
        <w:spacing w:after="0" w:line="128"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which allow unrestricted access between the United States and the applicable foreign country and to points beyond the foreign country on flights serving</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0" w:name="page141"/>
    <w:bookmarkEnd w:id="14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54" w:lineRule="auto"/>
        <w:rPr>
          <w:sz w:val="20"/>
          <w:szCs w:val="20"/>
          <w:color w:val="auto"/>
        </w:rPr>
      </w:pPr>
      <w:r>
        <w:rPr>
          <w:rFonts w:ascii="Arial" w:cs="Arial" w:eastAsia="Arial" w:hAnsi="Arial"/>
          <w:sz w:val="15"/>
          <w:szCs w:val="15"/>
          <w:color w:val="auto"/>
        </w:rPr>
        <w:t xml:space="preserve">the foreign country. We are currently in compliance with these ownership provisions. For a discussion of the procedures we instituted to ensure compliance with these foreign ownership rules, please see </w:t>
      </w:r>
      <w:r>
        <w:rPr>
          <w:rFonts w:ascii="Arial" w:cs="Arial" w:eastAsia="Arial" w:hAnsi="Arial"/>
          <w:sz w:val="15"/>
          <w:szCs w:val="15"/>
          <w:i w:val="1"/>
          <w:iCs w:val="1"/>
          <w:color w:val="auto"/>
        </w:rPr>
        <w:t>“Description</w:t>
      </w:r>
      <w:r>
        <w:rPr>
          <w:rFonts w:ascii="Arial" w:cs="Arial" w:eastAsia="Arial" w:hAnsi="Arial"/>
          <w:sz w:val="15"/>
          <w:szCs w:val="15"/>
          <w:color w:val="auto"/>
        </w:rPr>
        <w:t xml:space="preserve"> </w:t>
      </w:r>
      <w:r>
        <w:rPr>
          <w:rFonts w:ascii="Arial" w:cs="Arial" w:eastAsia="Arial" w:hAnsi="Arial"/>
          <w:sz w:val="15"/>
          <w:szCs w:val="15"/>
          <w:i w:val="1"/>
          <w:iCs w:val="1"/>
          <w:color w:val="auto"/>
        </w:rPr>
        <w:t>of Capital Stock—Limited Ownership and Voting by Foreign Owners.”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Government Regulation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Aviation Regulation</w:t>
      </w:r>
    </w:p>
    <w:p>
      <w:pPr>
        <w:spacing w:after="0" w:line="113"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The airline industry is heavily regulated, especially by the federal government. Two of the primary regulatory authorities overseeing air transportation in the United States are the DOT and the FAA. The DOT has authority to issue certificates of public convenience and necessity, exemptions and other economic authority required for airlines to provide domestic and foreign air transportation. International routes and international code-sharing arrangements are regulated by the DOT and by the governments of the foreign countries involved. A U.S. airline’s ability to operate flights to and from international destinations is subject to the air transport agreements between the United States and the foreign country and the carrier’s ability to obtain the necessary authority from the DOT and the applicable foreign government.</w:t>
      </w:r>
    </w:p>
    <w:p>
      <w:pPr>
        <w:spacing w:after="0" w:line="94"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5"/>
          <w:szCs w:val="15"/>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105"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4"/>
          <w:szCs w:val="14"/>
          <w:color w:val="auto"/>
        </w:rPr>
        <w:t>The FAA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Airport Access</w:t>
      </w:r>
    </w:p>
    <w:p>
      <w:pPr>
        <w:spacing w:after="0" w:line="11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(i) demand for airport infrastructure significantly exceeds the airport’s capacity during the relevant period; (ii) expansion of airport infrastructure to meet demand is not possible in the short term; (iii) attempts to resolve the problem through voluntary schedule adjustments have failed or are ineffective; and (iv) as a result, a process of slot allocation is required whereby it is necessary for all airlines and other aircraft operators to have a slot allocated by a coordinator in order to arrive or depart at the airport during the periods when slot allocation occurs. We do not currently operate in or out of any Level 3 airports. We currently operate, or plan to operate, in and out of San Francisco International Airport (SFO), Los Angeles International Airport (LAX), Chicago O’Hare International Airport (ORD) and Newark International Airport (EWR), which are Level 2 airports. We generally do not have any difficulty accessing these airports.</w:t>
      </w:r>
    </w:p>
    <w:p>
      <w:pPr>
        <w:spacing w:after="0" w:line="100"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In addition, we plan to launch service to Vancouver, Canada during the second quarter of 2021. Terminal access for Vancouver is controlled by Vancouver Airport Authority due to facility constraints. We have obtained the access we need to accommodate our planned service.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1" w:name="page142"/>
    <w:bookmarkEnd w:id="14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Consumer Protection Regulation</w:t>
      </w:r>
    </w:p>
    <w:p>
      <w:pPr>
        <w:spacing w:after="0" w:line="113" w:lineRule="exact"/>
        <w:rPr>
          <w:sz w:val="20"/>
          <w:szCs w:val="20"/>
          <w:color w:val="auto"/>
        </w:rPr>
      </w:pPr>
    </w:p>
    <w:p>
      <w:pPr>
        <w:ind w:left="1160" w:right="1199" w:firstLine="293"/>
        <w:spacing w:after="0" w:line="270" w:lineRule="auto"/>
        <w:rPr>
          <w:sz w:val="20"/>
          <w:szCs w:val="20"/>
          <w:color w:val="auto"/>
        </w:rPr>
      </w:pPr>
      <w:r>
        <w:rPr>
          <w:rFonts w:ascii="Arial" w:cs="Arial" w:eastAsia="Arial" w:hAnsi="Arial"/>
          <w:sz w:val="13"/>
          <w:szCs w:val="13"/>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 leasing agreements (where one airline provides aircraft and crew to another airline) between carriers and regulates other economic matters such as slot transactions.</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Security Regulation</w:t>
      </w:r>
    </w:p>
    <w:p>
      <w:pPr>
        <w:spacing w:after="0" w:line="124" w:lineRule="exact"/>
        <w:rPr>
          <w:sz w:val="20"/>
          <w:szCs w:val="20"/>
          <w:color w:val="auto"/>
        </w:rPr>
      </w:pPr>
    </w:p>
    <w:p>
      <w:pPr>
        <w:ind w:left="1160" w:right="1339" w:firstLine="293"/>
        <w:spacing w:after="0" w:line="279" w:lineRule="auto"/>
        <w:rPr>
          <w:sz w:val="20"/>
          <w:szCs w:val="20"/>
          <w:color w:val="auto"/>
        </w:rPr>
      </w:pPr>
      <w:r>
        <w:rPr>
          <w:rFonts w:ascii="Arial" w:cs="Arial" w:eastAsia="Arial" w:hAnsi="Arial"/>
          <w:sz w:val="13"/>
          <w:szCs w:val="13"/>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Environmental Regulation</w:t>
      </w:r>
    </w:p>
    <w:p>
      <w:pPr>
        <w:spacing w:after="0" w:line="124"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77"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GHG Emissions</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 -production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However, President Biden, who is expected to promote more aggressive policies with respect to climate change and carbon emissions, including in the aviation sector, issued an executive order calling for a review of regulatory actions of the prior administration for their consistency with the Biden administration’s policies, including with respect to climate change. Accordingly, there may be future rulemaking that may result in stricter GHG emissions standards than those contained in the proposed rule.</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In addition, in October 2016, the ICAO adopted the CORSIA, which is a global, market-based</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emissions offset program designed to encourage carbon-neutral growth beyond 2020. The CORSIA will</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2" w:name="page143"/>
    <w:bookmarkEnd w:id="14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419"/>
        <w:spacing w:after="0" w:line="281" w:lineRule="auto"/>
        <w:rPr>
          <w:sz w:val="20"/>
          <w:szCs w:val="20"/>
          <w:color w:val="auto"/>
        </w:rPr>
      </w:pPr>
      <w:r>
        <w:rPr>
          <w:rFonts w:ascii="Arial" w:cs="Arial" w:eastAsia="Arial" w:hAnsi="Arial"/>
          <w:sz w:val="14"/>
          <w:szCs w:val="14"/>
          <w:color w:val="auto"/>
        </w:rPr>
        <w:t>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Noise</w:t>
      </w:r>
    </w:p>
    <w:p>
      <w:pPr>
        <w:spacing w:after="0" w:line="113"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Other Regulations</w:t>
      </w:r>
    </w:p>
    <w:p>
      <w:pPr>
        <w:spacing w:after="0" w:line="124"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Legal Proceedings</w:t>
      </w:r>
    </w:p>
    <w:p>
      <w:pPr>
        <w:spacing w:after="0" w:line="128" w:lineRule="exact"/>
        <w:rPr>
          <w:sz w:val="20"/>
          <w:szCs w:val="20"/>
          <w:color w:val="auto"/>
        </w:rPr>
      </w:pPr>
    </w:p>
    <w:p>
      <w:pPr>
        <w:ind w:left="1160" w:right="1399" w:firstLine="293"/>
        <w:spacing w:after="0" w:line="274" w:lineRule="auto"/>
        <w:rPr>
          <w:sz w:val="20"/>
          <w:szCs w:val="20"/>
          <w:color w:val="auto"/>
        </w:rPr>
      </w:pPr>
      <w:r>
        <w:rPr>
          <w:rFonts w:ascii="Arial" w:cs="Arial" w:eastAsia="Arial" w:hAnsi="Arial"/>
          <w:sz w:val="14"/>
          <w:szCs w:val="14"/>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3" w:name="page144"/>
    <w:bookmarkEnd w:id="14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w:t>
      </w:r>
    </w:p>
    <w:p>
      <w:pPr>
        <w:spacing w:after="0" w:line="117"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following table sets forth the name, age and position of each of our executive officers and directors as of the date of this prospectus.</w:t>
      </w:r>
    </w:p>
    <w:p>
      <w:pPr>
        <w:spacing w:after="0" w:line="10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9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9"/>
              </w:rPr>
              <w:t>Age</w:t>
            </w:r>
          </w:p>
        </w:tc>
        <w:tc>
          <w:tcPr>
            <w:tcW w:w="4360" w:type="dxa"/>
            <w:vAlign w:val="bottom"/>
          </w:tcPr>
          <w:p>
            <w:pPr>
              <w:ind w:left="1980"/>
              <w:spacing w:after="0"/>
              <w:rPr>
                <w:sz w:val="20"/>
                <w:szCs w:val="20"/>
                <w:color w:val="auto"/>
              </w:rPr>
            </w:pPr>
            <w:r>
              <w:rPr>
                <w:rFonts w:ascii="Arial" w:cs="Arial" w:eastAsia="Arial" w:hAnsi="Arial"/>
                <w:sz w:val="12"/>
                <w:szCs w:val="12"/>
                <w:b w:val="1"/>
                <w:bCs w:val="1"/>
                <w:color w:val="auto"/>
              </w:rPr>
              <w:t>Position</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r>
        <w:trPr>
          <w:trHeight w:val="200"/>
        </w:trPr>
        <w:tc>
          <w:tcPr>
            <w:tcW w:w="1940" w:type="dxa"/>
            <w:vAlign w:val="bottom"/>
            <w:gridSpan w:val="2"/>
          </w:tcPr>
          <w:p>
            <w:pPr>
              <w:spacing w:after="0"/>
              <w:rPr>
                <w:sz w:val="20"/>
                <w:szCs w:val="20"/>
                <w:color w:val="auto"/>
              </w:rPr>
            </w:pPr>
            <w:r>
              <w:rPr>
                <w:rFonts w:ascii="Arial" w:cs="Arial" w:eastAsia="Arial" w:hAnsi="Arial"/>
                <w:sz w:val="15"/>
                <w:szCs w:val="15"/>
                <w:color w:val="auto"/>
              </w:rPr>
              <w:t>Jude Bricker</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48</w:t>
            </w:r>
          </w:p>
        </w:tc>
        <w:tc>
          <w:tcPr>
            <w:tcW w:w="18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Executive Officer; Director</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Dave Davis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55</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President and Chief Financial Officer; Director</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Gregory Mays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53</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Operating Officer and Executive Vice President</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Eric Levenhagen</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40</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Administrative Officer, General Counsel and Secretary</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Jeffrey Mader</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60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Information Officer and Executive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Brian Davis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42</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Marketing Officer and Senior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Grant Whitney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45</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Revenue Officer and Executive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John Gyurci</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51</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Vice President, Finance, and Chief Accounting Officer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Bill Trousdale</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52</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Vice President, Financial Planning &amp; Analysis, and Treasurer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Patrick Kearney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29</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Thomas C. Kennedy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56</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Antoine Munfakh</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38</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Kerry Philipovitch</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51</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David Siegel</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59</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Chairman; 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Juan Carlos Zuazua</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42</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110"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The following are brief biographies describing the backgrounds of the executive officers and directors of the Company.</w:t>
      </w:r>
    </w:p>
    <w:p>
      <w:pPr>
        <w:spacing w:after="0" w:line="9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b w:val="1"/>
          <w:bCs w:val="1"/>
          <w:i w:val="1"/>
          <w:iCs w:val="1"/>
          <w:color w:val="auto"/>
        </w:rPr>
        <w:t xml:space="preserve">Jude Bricker </w:t>
      </w:r>
      <w:r>
        <w:rPr>
          <w:rFonts w:ascii="Arial" w:cs="Arial" w:eastAsia="Arial" w:hAnsi="Arial"/>
          <w:sz w:val="14"/>
          <w:szCs w:val="14"/>
          <w:color w:val="auto"/>
        </w:rPr>
        <w:t>has served as our Chief Executive Officer since July 2017 and is a member of our board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directors. Mr. Bricker has 17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w:t>
      </w:r>
    </w:p>
    <w:p>
      <w:pPr>
        <w:spacing w:after="0" w:line="3" w:lineRule="exact"/>
        <w:rPr>
          <w:sz w:val="20"/>
          <w:szCs w:val="20"/>
          <w:color w:val="auto"/>
        </w:rPr>
      </w:pPr>
    </w:p>
    <w:p>
      <w:pPr>
        <w:ind w:left="1160" w:right="1679"/>
        <w:spacing w:after="0" w:line="236" w:lineRule="auto"/>
        <w:rPr>
          <w:sz w:val="20"/>
          <w:szCs w:val="20"/>
          <w:color w:val="auto"/>
        </w:rPr>
      </w:pPr>
      <w:r>
        <w:rPr>
          <w:rFonts w:ascii="Arial" w:cs="Arial" w:eastAsia="Arial" w:hAnsi="Arial"/>
          <w:sz w:val="15"/>
          <w:szCs w:val="15"/>
          <w:color w:val="auto"/>
        </w:rPr>
        <w:t>May 2006, Mr. Bricker was a finance manager at American Airlines. Mr. Bricker holds a BS in Civil Engineering from Texas A&amp;M University and an MBA from the University of Texas.</w:t>
      </w:r>
    </w:p>
    <w:p>
      <w:pPr>
        <w:spacing w:after="0" w:line="88" w:lineRule="exact"/>
        <w:rPr>
          <w:sz w:val="20"/>
          <w:szCs w:val="20"/>
          <w:color w:val="auto"/>
        </w:rPr>
      </w:pPr>
    </w:p>
    <w:p>
      <w:pPr>
        <w:ind w:left="1160" w:right="1639" w:firstLine="293"/>
        <w:spacing w:after="0" w:line="274" w:lineRule="auto"/>
        <w:rPr>
          <w:sz w:val="20"/>
          <w:szCs w:val="20"/>
          <w:color w:val="auto"/>
        </w:rPr>
      </w:pPr>
      <w:r>
        <w:rPr>
          <w:rFonts w:ascii="Arial" w:cs="Arial" w:eastAsia="Arial" w:hAnsi="Arial"/>
          <w:sz w:val="13"/>
          <w:szCs w:val="13"/>
          <w:b w:val="1"/>
          <w:bCs w:val="1"/>
          <w:i w:val="1"/>
          <w:iCs w:val="1"/>
          <w:color w:val="auto"/>
        </w:rPr>
        <w:t xml:space="preserve">Dave Davis </w:t>
      </w:r>
      <w:r>
        <w:rPr>
          <w:rFonts w:ascii="Arial" w:cs="Arial" w:eastAsia="Arial" w:hAnsi="Arial"/>
          <w:sz w:val="13"/>
          <w:szCs w:val="13"/>
          <w:color w:val="auto"/>
        </w:rPr>
        <w:t>has served as our Chief Financial Officer since April 2018 and as our President since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2019 and is a member of our board of directors. Prior thereto, from December 2017 to</w:t>
      </w:r>
    </w:p>
    <w:p>
      <w:pPr>
        <w:ind w:left="1160" w:right="1259"/>
        <w:spacing w:after="0" w:line="247" w:lineRule="auto"/>
        <w:rPr>
          <w:sz w:val="20"/>
          <w:szCs w:val="20"/>
          <w:color w:val="auto"/>
        </w:rPr>
      </w:pPr>
      <w:r>
        <w:rPr>
          <w:rFonts w:ascii="Arial" w:cs="Arial" w:eastAsia="Arial" w:hAnsi="Arial"/>
          <w:sz w:val="14"/>
          <w:szCs w:val="14"/>
          <w:color w:val="auto"/>
        </w:rPr>
        <w:t>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w:t>
      </w:r>
    </w:p>
    <w:p>
      <w:pPr>
        <w:spacing w:after="0" w:line="100"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3"/>
          <w:szCs w:val="13"/>
          <w:b w:val="1"/>
          <w:bCs w:val="1"/>
          <w:i w:val="1"/>
          <w:iCs w:val="1"/>
          <w:color w:val="auto"/>
        </w:rPr>
        <w:t xml:space="preserve">Gregory Mays </w:t>
      </w:r>
      <w:r>
        <w:rPr>
          <w:rFonts w:ascii="Arial" w:cs="Arial" w:eastAsia="Arial" w:hAnsi="Arial"/>
          <w:sz w:val="13"/>
          <w:szCs w:val="13"/>
          <w:color w:val="auto"/>
        </w:rPr>
        <w:t>has served as our Chief Operating Officer since June 2019. Mr. Mays has 29 years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experience in the aviation industry. Prior to joining us, he served as a senior industry advisor with Boston Consulting Group beginning in February 2019. Prior thereto he served seven years at Alaska Airlines from 2011 to 2018, most recently in the role of Vice President of Labor Relations from September 2018 to December 2018. Prior to that Mr. Mays served as Vice President of Maintenance and Engineering. Prior thereto Mr. Mays served at Delta Air Lines, Inc. for 13 years from 1998 to 2011 and started his career at The Boeing company from 1992 to 1998. Over the period has served in various leadership capacities such as</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4" w:name="page145"/>
    <w:bookmarkEnd w:id="14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19"/>
        <w:spacing w:after="0" w:line="239" w:lineRule="auto"/>
        <w:rPr>
          <w:sz w:val="20"/>
          <w:szCs w:val="20"/>
          <w:color w:val="auto"/>
        </w:rPr>
      </w:pPr>
      <w:r>
        <w:rPr>
          <w:rFonts w:ascii="Arial" w:cs="Arial" w:eastAsia="Arial" w:hAnsi="Arial"/>
          <w:sz w:val="15"/>
          <w:szCs w:val="15"/>
          <w:color w:val="auto"/>
        </w:rPr>
        <w:t>maintenance and engineering, airport operations, cargo operations, labor relations, and design/test engineering. Mr. Mays earned a BS in Aerospace Engineering from the University and Alabama and an MBA from Emory University.</w:t>
      </w:r>
    </w:p>
    <w:p>
      <w:pPr>
        <w:spacing w:after="0" w:line="89"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b w:val="1"/>
          <w:bCs w:val="1"/>
          <w:i w:val="1"/>
          <w:iCs w:val="1"/>
          <w:color w:val="auto"/>
        </w:rPr>
        <w:t xml:space="preserve">Eric Levenhagen </w:t>
      </w:r>
      <w:r>
        <w:rPr>
          <w:rFonts w:ascii="Arial" w:cs="Arial" w:eastAsia="Arial" w:hAnsi="Arial"/>
          <w:sz w:val="14"/>
          <w:szCs w:val="14"/>
          <w:color w:val="auto"/>
        </w:rPr>
        <w:t>has served as our Chief Administrative Officer since April 2018 and has served as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Vice President of Legal since April 2017 and as General Counsel since September 2016. Previously, Mr. Levenhagen served as Assistant General Counsel at Landmark Aviation, an aviation services company from September 2014 to August 2016. Prior thereto, Mr. Levenhagen was a practicing corporate attorney from September 2009 to September 2014 and Adjunct Professor of Business Law and Ethics at Belhaven University from January 2010 to July 2016. Before practicing law, Mr. Levenhagen served in marketing and finance roles in several companies, including Northwest Airlines. He received a BS from Texas Christian University and a JD from Mitchell Hamline School of Law in St. Paul, Minnesota.</w:t>
      </w:r>
    </w:p>
    <w:p>
      <w:pPr>
        <w:spacing w:after="0" w:line="92"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b w:val="1"/>
          <w:bCs w:val="1"/>
          <w:i w:val="1"/>
          <w:iCs w:val="1"/>
          <w:color w:val="auto"/>
        </w:rPr>
        <w:t xml:space="preserve">Jeffrey Mader </w:t>
      </w:r>
      <w:r>
        <w:rPr>
          <w:rFonts w:ascii="Arial" w:cs="Arial" w:eastAsia="Arial" w:hAnsi="Arial"/>
          <w:sz w:val="15"/>
          <w:szCs w:val="15"/>
          <w:color w:val="auto"/>
        </w:rPr>
        <w:t>has served as our Chief Information Officer since April 2018. He previously served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Information Officer at Imagine! Print Solutions from August 2015 to June 2017. From January 1991 to August 2014, Mr. Mader held various senior leadership positions on the technology team at Target. Since 2009, Mr. Mader has been on the board of United Through Reading, a nonprofit organization. He holds a BS in Computer Science, Finance and Management from Minnesota State University, Mankato and an MBA from the University of St. Thomas (St. Paul).</w:t>
      </w:r>
    </w:p>
    <w:p>
      <w:pPr>
        <w:spacing w:after="0" w:line="101"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b w:val="1"/>
          <w:bCs w:val="1"/>
          <w:i w:val="1"/>
          <w:iCs w:val="1"/>
          <w:color w:val="auto"/>
        </w:rPr>
        <w:t xml:space="preserve">Brian Davis </w:t>
      </w:r>
      <w:r>
        <w:rPr>
          <w:rFonts w:ascii="Arial" w:cs="Arial" w:eastAsia="Arial" w:hAnsi="Arial"/>
          <w:sz w:val="14"/>
          <w:szCs w:val="14"/>
          <w:color w:val="auto"/>
        </w:rPr>
        <w:t>has served as our Chief Marketing Officer since January 2018. Mr. Davis previously served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Special Advisor on Business Strategy to Wingo, a subsidiary of Copa Airlines, from June 2017 to January 2018. From 2005 to 2017, Mr. Davis served in a number of leadership roles at Allegiant Travel Company, including as Vice President of Marketing and Sales from May 2014 to June 2017. Additionally, Mr. Davis was previously an Adjunct Professor of Marketing and PR at California State University, Los Angeles. He holds an MBA from the Wharton School of the University of Pennsylvania.</w:t>
      </w:r>
    </w:p>
    <w:p>
      <w:pPr>
        <w:spacing w:after="0" w:line="80"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b w:val="1"/>
          <w:bCs w:val="1"/>
          <w:i w:val="1"/>
          <w:iCs w:val="1"/>
          <w:color w:val="auto"/>
        </w:rPr>
        <w:t xml:space="preserve">Grant Whitney </w:t>
      </w:r>
      <w:r>
        <w:rPr>
          <w:rFonts w:ascii="Arial" w:cs="Arial" w:eastAsia="Arial" w:hAnsi="Arial"/>
          <w:sz w:val="14"/>
          <w:szCs w:val="14"/>
          <w:color w:val="auto"/>
        </w:rPr>
        <w:t>has served as our Chief Revenue Officer since May 2019. Prior thereto, he spent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nine years at United Airlines from 2010 to 2018, most recently in the role of Vice President of Domestic Network Planning and Aircraft Scheduling from August 2016 to March 2018.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spacing w:after="0" w:line="91" w:lineRule="exact"/>
        <w:rPr>
          <w:sz w:val="20"/>
          <w:szCs w:val="20"/>
          <w:color w:val="auto"/>
        </w:rPr>
      </w:pPr>
    </w:p>
    <w:p>
      <w:pPr>
        <w:ind w:left="1160" w:right="1279" w:firstLine="293"/>
        <w:spacing w:after="0" w:line="233" w:lineRule="auto"/>
        <w:rPr>
          <w:sz w:val="20"/>
          <w:szCs w:val="20"/>
          <w:color w:val="auto"/>
        </w:rPr>
      </w:pPr>
      <w:r>
        <w:rPr>
          <w:rFonts w:ascii="Arial" w:cs="Arial" w:eastAsia="Arial" w:hAnsi="Arial"/>
          <w:sz w:val="15"/>
          <w:szCs w:val="15"/>
          <w:b w:val="1"/>
          <w:bCs w:val="1"/>
          <w:i w:val="1"/>
          <w:iCs w:val="1"/>
          <w:color w:val="auto"/>
        </w:rPr>
        <w:t xml:space="preserve">John Gyurci </w:t>
      </w:r>
      <w:r>
        <w:rPr>
          <w:rFonts w:ascii="Arial" w:cs="Arial" w:eastAsia="Arial" w:hAnsi="Arial"/>
          <w:sz w:val="15"/>
          <w:szCs w:val="15"/>
          <w:color w:val="auto"/>
        </w:rPr>
        <w:t>has served as our Chief Accounting Officer since October 2018. Mr. Gyurci previously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Corporate Controller at MTS Systems Corporation, a global manufacturing company, from October 2017 to October 2018. Prior thereto, Mr. Gyurci served as Vice President of Financial Accounting &amp; Reporting at Merrill Corporation, a technology company, from July 2011 to October 2017. Prior to that, Mr. Gyurci served as Managing Director of Corporate Accounting &amp; Reporting at Northwest Airlines. He received a BA in Accounting from the University of St. Thomas in St. Paul, Minnesota, and is also a CPA (inactive status) in the state of Minnesota.</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4"/>
          <w:szCs w:val="14"/>
          <w:b w:val="1"/>
          <w:bCs w:val="1"/>
          <w:i w:val="1"/>
          <w:iCs w:val="1"/>
          <w:color w:val="auto"/>
        </w:rPr>
        <w:t xml:space="preserve">Bill Trousdale </w:t>
      </w:r>
      <w:r>
        <w:rPr>
          <w:rFonts w:ascii="Arial" w:cs="Arial" w:eastAsia="Arial" w:hAnsi="Arial"/>
          <w:sz w:val="14"/>
          <w:szCs w:val="14"/>
          <w:color w:val="auto"/>
        </w:rPr>
        <w:t>has served as our Vice President of Financial Planning &amp; Analysis and Treasurer since</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June 2018. Previously, he served as Vice President of Corporate Finance and Treasurer at Global Eagle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Entertainment from May 2016 to October 2017. Prior thereto, Mr. Trousdale worked at Laureate Education</w:t>
      </w:r>
    </w:p>
    <w:p>
      <w:pPr>
        <w:ind w:left="1160"/>
        <w:spacing w:after="0" w:line="234" w:lineRule="auto"/>
        <w:rPr>
          <w:sz w:val="20"/>
          <w:szCs w:val="20"/>
          <w:color w:val="auto"/>
        </w:rPr>
      </w:pPr>
      <w:r>
        <w:rPr>
          <w:rFonts w:ascii="Arial" w:cs="Arial" w:eastAsia="Arial" w:hAnsi="Arial"/>
          <w:sz w:val="15"/>
          <w:szCs w:val="15"/>
          <w:color w:val="auto"/>
        </w:rPr>
        <w:t>from 2009 to 2016, most recently in the role of Vice President of Financial Transformation from</w:t>
      </w:r>
    </w:p>
    <w:p>
      <w:pPr>
        <w:ind w:left="1160"/>
        <w:spacing w:after="0"/>
        <w:rPr>
          <w:sz w:val="20"/>
          <w:szCs w:val="20"/>
          <w:color w:val="auto"/>
        </w:rPr>
      </w:pPr>
      <w:r>
        <w:rPr>
          <w:rFonts w:ascii="Arial" w:cs="Arial" w:eastAsia="Arial" w:hAnsi="Arial"/>
          <w:sz w:val="14"/>
          <w:szCs w:val="14"/>
          <w:color w:val="auto"/>
        </w:rPr>
        <w:t>October 2014 to March 2016. Prior thereto, he held senior finance positions at Northwest Airlines and US</w:t>
      </w:r>
    </w:p>
    <w:p>
      <w:pPr>
        <w:ind w:left="1160"/>
        <w:spacing w:after="0" w:line="234" w:lineRule="auto"/>
        <w:rPr>
          <w:sz w:val="20"/>
          <w:szCs w:val="20"/>
          <w:color w:val="auto"/>
        </w:rPr>
      </w:pPr>
      <w:r>
        <w:rPr>
          <w:rFonts w:ascii="Arial" w:cs="Arial" w:eastAsia="Arial" w:hAnsi="Arial"/>
          <w:sz w:val="15"/>
          <w:szCs w:val="15"/>
          <w:color w:val="auto"/>
        </w:rPr>
        <w:t>Airways. Mr. Trousdale received a BS in Mechanical Engineering from MIT and an MBA from</w:t>
      </w:r>
    </w:p>
    <w:p>
      <w:pPr>
        <w:ind w:left="1160"/>
        <w:spacing w:after="0"/>
        <w:rPr>
          <w:sz w:val="20"/>
          <w:szCs w:val="20"/>
          <w:color w:val="auto"/>
        </w:rPr>
      </w:pPr>
      <w:r>
        <w:rPr>
          <w:rFonts w:ascii="Arial" w:cs="Arial" w:eastAsia="Arial" w:hAnsi="Arial"/>
          <w:sz w:val="15"/>
          <w:szCs w:val="15"/>
          <w:color w:val="auto"/>
        </w:rPr>
        <w:t>Northwestern University.</w:t>
      </w:r>
    </w:p>
    <w:p>
      <w:pPr>
        <w:spacing w:after="0" w:line="90"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b w:val="1"/>
          <w:bCs w:val="1"/>
          <w:i w:val="1"/>
          <w:iCs w:val="1"/>
          <w:color w:val="auto"/>
        </w:rPr>
        <w:t xml:space="preserve">Patrick Kearney </w:t>
      </w:r>
      <w:r>
        <w:rPr>
          <w:rFonts w:ascii="Arial" w:cs="Arial" w:eastAsia="Arial" w:hAnsi="Arial"/>
          <w:sz w:val="14"/>
          <w:szCs w:val="14"/>
          <w:color w:val="auto"/>
        </w:rPr>
        <w:t>is a member of our board of directors. Mr. Kearney joined Apollo in 2017 in the Private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Group and is responsible for analyzing investment opportunities and managing existing investments in a wide range of industries, including transportation. Prior to that time, Mr. Kearney was an analyst at Moelis &amp; Company from August 2015 to June 2017. Mr. Kearney graduated magna cum laude from The Wharton School of the University of Pennsylvania, where he earned a B.S. in Economics degree with a concentration in Finance and a minor in Computer Science.</w:t>
      </w:r>
    </w:p>
    <w:p>
      <w:pPr>
        <w:spacing w:after="0" w:line="91" w:lineRule="exact"/>
        <w:rPr>
          <w:sz w:val="20"/>
          <w:szCs w:val="20"/>
          <w:color w:val="auto"/>
        </w:rPr>
      </w:pPr>
    </w:p>
    <w:p>
      <w:pPr>
        <w:ind w:left="1160" w:right="1379" w:firstLine="293"/>
        <w:spacing w:after="0" w:line="323" w:lineRule="auto"/>
        <w:rPr>
          <w:sz w:val="20"/>
          <w:szCs w:val="20"/>
          <w:color w:val="auto"/>
        </w:rPr>
      </w:pPr>
      <w:r>
        <w:rPr>
          <w:rFonts w:ascii="Arial" w:cs="Arial" w:eastAsia="Arial" w:hAnsi="Arial"/>
          <w:sz w:val="13"/>
          <w:szCs w:val="13"/>
          <w:b w:val="1"/>
          <w:bCs w:val="1"/>
          <w:i w:val="1"/>
          <w:iCs w:val="1"/>
          <w:color w:val="auto"/>
        </w:rPr>
        <w:t xml:space="preserve">Thomas C. Kennedy </w:t>
      </w:r>
      <w:r>
        <w:rPr>
          <w:rFonts w:ascii="Arial" w:cs="Arial" w:eastAsia="Arial" w:hAnsi="Arial"/>
          <w:sz w:val="13"/>
          <w:szCs w:val="13"/>
          <w:color w:val="auto"/>
        </w:rPr>
        <w:t>is a member of our board of directors. Mr. Kennedy currently serves as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CFO of SIXT Rent a Car USA. Previously, Mr. Kennedy served as Senior Executive Vice President</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5" w:name="page146"/>
    <w:bookmarkEnd w:id="14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64" w:lineRule="auto"/>
        <w:rPr>
          <w:sz w:val="20"/>
          <w:szCs w:val="20"/>
          <w:color w:val="auto"/>
        </w:rPr>
      </w:pPr>
      <w:r>
        <w:rPr>
          <w:rFonts w:ascii="Arial" w:cs="Arial" w:eastAsia="Arial" w:hAnsi="Arial"/>
          <w:sz w:val="14"/>
          <w:szCs w:val="14"/>
          <w:color w:val="auto"/>
        </w:rPr>
        <w:t>and Chief Financial Officer of Hertz Global Holdings from 2013 to 2018. Hertz filed for bankruptcy protection in May 2020. Prior to joining Hertz, Mr. Kennedy served as Executive Vice President and Chief Financial Officer of Hilton Worldwide Holdings from 2008 to 2013. Between 2003 and 2007, Mr. Kennedy served as Executive Vice President and Chief Financial Officer of Vanguard Car Rental, parent company of the National Car Rental and Alamo Rental Car brands. Prior to joining Vanguard, Mr. Kennedy served in a number of financial positions with increasing responsibilities from 1992 to 2003 at Northwest Airlines, Inc., a global network airline, including Senior Vice President and Corporate Controller; Vice President, Financial Planning and Analysis; Managing Director, Corporate Planning; and, Director Finance and Information Services, Pacific Division, Tokyo, Japan. Mr. Kennedy graduated from Tulane University, summa cum laude and Phi Beta Kappa with a Bachelor of Arts degree majoring in Economics in 1987 where he also was a three-year letterman swimmer. Mr. Kennedy received his Master of Business Administration degree from Harvard University in 1992. Between his undergraduate and graduate studies, Mr. Kennedy worked for Merrill Lynch Capital Markets in their Public Finance investment banking division from 1987 to 1990. Mr. Kennedy serves on the board of the Lobeck Taylor Family Foundation.</w:t>
      </w:r>
    </w:p>
    <w:p>
      <w:pPr>
        <w:spacing w:after="0" w:line="92" w:lineRule="exact"/>
        <w:rPr>
          <w:sz w:val="20"/>
          <w:szCs w:val="20"/>
          <w:color w:val="auto"/>
        </w:rPr>
      </w:pPr>
    </w:p>
    <w:p>
      <w:pPr>
        <w:ind w:left="1160" w:right="1359" w:firstLine="293"/>
        <w:spacing w:after="0" w:line="285" w:lineRule="auto"/>
        <w:rPr>
          <w:sz w:val="20"/>
          <w:szCs w:val="20"/>
          <w:color w:val="auto"/>
        </w:rPr>
      </w:pPr>
      <w:r>
        <w:rPr>
          <w:rFonts w:ascii="Arial" w:cs="Arial" w:eastAsia="Arial" w:hAnsi="Arial"/>
          <w:sz w:val="13"/>
          <w:szCs w:val="13"/>
          <w:b w:val="1"/>
          <w:bCs w:val="1"/>
          <w:i w:val="1"/>
          <w:iCs w:val="1"/>
          <w:color w:val="auto"/>
        </w:rPr>
        <w:t xml:space="preserve">Antoine Munfakh </w:t>
      </w:r>
      <w:r>
        <w:rPr>
          <w:rFonts w:ascii="Arial" w:cs="Arial" w:eastAsia="Arial" w:hAnsi="Arial"/>
          <w:sz w:val="13"/>
          <w:szCs w:val="13"/>
          <w:color w:val="auto"/>
        </w:rPr>
        <w:t>is a member of our board of directors. Mr. Munfakh is a Senior Partner at Apollo,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having joined in 2008. Previously, Mr. Munfakh served as an Associate at the private equity firm Court Square Capital Partners, where he focused on investments into the Business &amp; Industrial Services sectors. Prior thereto, he started his career as an Analyst in the Financial Sponsor Investment Banking group at JPMorgan, where he provided M&amp;A and financing services in support of private equity transactions.</w:t>
      </w:r>
    </w:p>
    <w:p>
      <w:pPr>
        <w:spacing w:after="0" w:line="2" w:lineRule="exact"/>
        <w:rPr>
          <w:sz w:val="20"/>
          <w:szCs w:val="20"/>
          <w:color w:val="auto"/>
        </w:rPr>
      </w:pPr>
    </w:p>
    <w:p>
      <w:pPr>
        <w:ind w:left="1160" w:right="1199"/>
        <w:spacing w:after="0" w:line="265" w:lineRule="auto"/>
        <w:rPr>
          <w:sz w:val="20"/>
          <w:szCs w:val="20"/>
          <w:color w:val="auto"/>
        </w:rPr>
      </w:pPr>
      <w:r>
        <w:rPr>
          <w:rFonts w:ascii="Arial" w:cs="Arial" w:eastAsia="Arial" w:hAnsi="Arial"/>
          <w:sz w:val="14"/>
          <w:szCs w:val="14"/>
          <w:color w:val="auto"/>
        </w:rPr>
        <w:t>Mr. Munfakh currently serves on the board of directors of Volotea Airlines, Direct ChassisLink Inc, Blume Global, Maxim Crane Works, Apollo Education Group and McGraw-Hill Education, Inc. He also serves on the Board of Governors of The Thirst Project, a charitable organization that builds freshwater wells in developing nations. He previously served on the board of directors of CH2M HILL Companies and Claire’s Stores, Inc. Mr. Munfakh graduated summa cum laude from Duke University with a BS in Economics, where he was elected to Phi Beta Kappa. In 2018, Mr. Munfakh was selected by The M&amp;A Advisor for their Ninth Annual Emerging Leaders Award, commonly referred to as the “40 Under 40” award.</w:t>
      </w:r>
    </w:p>
    <w:p>
      <w:pPr>
        <w:spacing w:after="0" w:line="96"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b w:val="1"/>
          <w:bCs w:val="1"/>
          <w:i w:val="1"/>
          <w:iCs w:val="1"/>
          <w:color w:val="auto"/>
        </w:rPr>
        <w:t xml:space="preserve">Kerry Philipovitch </w:t>
      </w:r>
      <w:r>
        <w:rPr>
          <w:rFonts w:ascii="Arial" w:cs="Arial" w:eastAsia="Arial" w:hAnsi="Arial"/>
          <w:sz w:val="14"/>
          <w:szCs w:val="14"/>
          <w:color w:val="auto"/>
        </w:rPr>
        <w:t>is a member of our board of directors. Ms. Philipovitch most recently served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 Vice President—Customer Experience for American Airlines. She oversaw airline operations impacting critical measures of customer value, including worldwide airport customer service,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serves on the board of The American Heart Association—Dallas Division, and previously held board positions for Junior Achievement and Homeward Bound in Arizona.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w:t>
      </w:r>
    </w:p>
    <w:p>
      <w:pPr>
        <w:spacing w:after="0" w:line="99" w:lineRule="exact"/>
        <w:rPr>
          <w:sz w:val="20"/>
          <w:szCs w:val="20"/>
          <w:color w:val="auto"/>
        </w:rPr>
      </w:pPr>
    </w:p>
    <w:p>
      <w:pPr>
        <w:ind w:left="1160" w:right="1459" w:firstLine="293"/>
        <w:spacing w:after="0" w:line="270" w:lineRule="auto"/>
        <w:rPr>
          <w:sz w:val="20"/>
          <w:szCs w:val="20"/>
          <w:color w:val="auto"/>
        </w:rPr>
      </w:pPr>
      <w:r>
        <w:rPr>
          <w:rFonts w:ascii="Arial" w:cs="Arial" w:eastAsia="Arial" w:hAnsi="Arial"/>
          <w:sz w:val="14"/>
          <w:szCs w:val="14"/>
          <w:b w:val="1"/>
          <w:bCs w:val="1"/>
          <w:i w:val="1"/>
          <w:iCs w:val="1"/>
          <w:color w:val="auto"/>
        </w:rPr>
        <w:t xml:space="preserve">David Siegel </w:t>
      </w:r>
      <w:r>
        <w:rPr>
          <w:rFonts w:ascii="Arial" w:cs="Arial" w:eastAsia="Arial" w:hAnsi="Arial"/>
          <w:sz w:val="14"/>
          <w:szCs w:val="14"/>
          <w:color w:val="auto"/>
        </w:rPr>
        <w:t>has served as our Chairman since March 2021, served as our Executive Chairman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April 2018 to March 2021 and is a member of our board of directors. Prior to joining Sun Country,</w:t>
      </w:r>
    </w:p>
    <w:p>
      <w:pPr>
        <w:jc w:val="both"/>
        <w:ind w:left="1160" w:right="1199"/>
        <w:spacing w:after="0" w:line="262" w:lineRule="auto"/>
        <w:rPr>
          <w:sz w:val="20"/>
          <w:szCs w:val="20"/>
          <w:color w:val="auto"/>
        </w:rPr>
      </w:pPr>
      <w:r>
        <w:rPr>
          <w:rFonts w:ascii="Arial" w:cs="Arial" w:eastAsia="Arial" w:hAnsi="Arial"/>
          <w:sz w:val="14"/>
          <w:szCs w:val="14"/>
          <w:color w:val="auto"/>
        </w:rPr>
        <w:t>Mr. Siegel served as the Chief Executive Officer of Ansett Worldwide Aviation Services, one of the world’s 10 largest aircraft leasing companies, from April 2016 to September 2017. From January 2012 to May 2015, Mr. Siegel served as the Chief Executive Officer and President of Frontier Airlines, Inc. Prior thereto,</w:t>
      </w:r>
    </w:p>
    <w:p>
      <w:pPr>
        <w:jc w:val="both"/>
        <w:ind w:left="1160" w:right="1259"/>
        <w:spacing w:after="0" w:line="245" w:lineRule="auto"/>
        <w:rPr>
          <w:sz w:val="20"/>
          <w:szCs w:val="20"/>
          <w:color w:val="auto"/>
        </w:rPr>
      </w:pPr>
      <w:r>
        <w:rPr>
          <w:rFonts w:ascii="Arial" w:cs="Arial" w:eastAsia="Arial" w:hAnsi="Arial"/>
          <w:sz w:val="15"/>
          <w:szCs w:val="15"/>
          <w:color w:val="auto"/>
        </w:rPr>
        <w:t>Mr. Siegel served as Chairman and Chief Executive Officer of XOJET, Inc., a TPG Growth backed private aviation company, and as President, Chief Executive Officer and board member of US Airways Group, Inc. Mr. Siegel currently serves on the board of directors and as Chairman of Volotea, S.A. Mr. Siegel earned a MBA with honors from Harvard Business School and graduated magna cum laude from Brown University with an Sc.B. in Applied Mathematics—Economics.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6" w:name="page147"/>
    <w:bookmarkEnd w:id="14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b w:val="1"/>
          <w:bCs w:val="1"/>
          <w:i w:val="1"/>
          <w:iCs w:val="1"/>
          <w:color w:val="auto"/>
        </w:rPr>
        <w:t xml:space="preserve">Juan Carlos Zuazua </w:t>
      </w:r>
      <w:r>
        <w:rPr>
          <w:rFonts w:ascii="Arial" w:cs="Arial" w:eastAsia="Arial" w:hAnsi="Arial"/>
          <w:sz w:val="15"/>
          <w:szCs w:val="15"/>
          <w:color w:val="auto"/>
        </w:rPr>
        <w:t>is a member of our board of directors. Mr. Zuazua has 13 years of experience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aviation industry serving as the Chief Commercial Officer and promoted to Chief Executive Officer since 2010 of VivaAerobus. Mr. Zuazua holds a BS in Industrial Engineering from Tecnológico de Monterrey and a master degree in Public Policy from Tecnológico de Monterrey School of Government and Public Transformation.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Family Relationships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There are no family relationships among our directors and executive officers.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Loss of Controlled Company Status</w:t>
      </w:r>
    </w:p>
    <w:p>
      <w:pPr>
        <w:spacing w:after="0" w:line="128" w:lineRule="exact"/>
        <w:rPr>
          <w:sz w:val="20"/>
          <w:szCs w:val="20"/>
          <w:color w:val="auto"/>
        </w:rPr>
      </w:pPr>
    </w:p>
    <w:p>
      <w:pPr>
        <w:ind w:left="1160" w:right="1259" w:firstLine="293"/>
        <w:spacing w:after="0" w:line="253" w:lineRule="auto"/>
        <w:rPr>
          <w:sz w:val="20"/>
          <w:szCs w:val="20"/>
          <w:color w:val="auto"/>
        </w:rPr>
      </w:pPr>
      <w:r>
        <w:rPr>
          <w:rFonts w:ascii="Arial" w:cs="Arial" w:eastAsia="Arial" w:hAnsi="Arial"/>
          <w:sz w:val="14"/>
          <w:szCs w:val="14"/>
          <w:color w:val="auto"/>
        </w:rPr>
        <w:t>Our common stock is listed on Nasdaq. The Apollo Stockholder currently controls more than 50% of the voting power of our outstanding voting stock and, as a result, we are a “controlled company” for the purposes of Nasdaq’s rules and corporate governance standards. Following this offering, the Apollo Stockholder will no longer control more than 50% of the voting power of our outstanding voting stock and, consequently, we will no longer be a “controlled company.” As a result, we will be subject to additional corporate governance requirements, including the requirements that:</w:t>
      </w:r>
    </w:p>
    <w:p>
      <w:pPr>
        <w:spacing w:after="0" w:line="58" w:lineRule="exact"/>
        <w:rPr>
          <w:sz w:val="20"/>
          <w:szCs w:val="20"/>
          <w:color w:val="auto"/>
        </w:rPr>
      </w:pPr>
    </w:p>
    <w:p>
      <w:pPr>
        <w:ind w:left="1600" w:hanging="143"/>
        <w:spacing w:after="0"/>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 majority of the board of directors consist of independent directors;</w:t>
      </w:r>
    </w:p>
    <w:p>
      <w:pPr>
        <w:spacing w:after="0" w:line="80"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nominating and corporate governance committee be composed entirely of independent directors; and</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w:t>
      </w:r>
    </w:p>
    <w:p>
      <w:pPr>
        <w:spacing w:after="0" w:line="113" w:lineRule="exact"/>
        <w:rPr>
          <w:sz w:val="20"/>
          <w:szCs w:val="20"/>
          <w:color w:val="auto"/>
        </w:rPr>
      </w:pPr>
    </w:p>
    <w:p>
      <w:pPr>
        <w:ind w:left="1160" w:right="1339" w:firstLine="293"/>
        <w:spacing w:after="0" w:line="253" w:lineRule="auto"/>
        <w:rPr>
          <w:sz w:val="20"/>
          <w:szCs w:val="20"/>
          <w:color w:val="auto"/>
        </w:rPr>
      </w:pPr>
      <w:r>
        <w:rPr>
          <w:rFonts w:ascii="Arial" w:cs="Arial" w:eastAsia="Arial" w:hAnsi="Arial"/>
          <w:sz w:val="14"/>
          <w:szCs w:val="14"/>
          <w:color w:val="auto"/>
        </w:rPr>
        <w:t>The Nasdaq rules provide for phase-in periods for these requirements (including that each such committee consist of a majority of independent directors within 90 days of the consummation of this offering), but we must be fully compliant with the requirements within one year of the date on which we cease to be a “controlled company.” Currently, we do not have a majority of independent directors on our board of directors and only one of the three members of each of our nominating and corporate governance committee and our compensation committee are independent.</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Independence</w:t>
      </w:r>
    </w:p>
    <w:p>
      <w:pPr>
        <w:spacing w:after="0" w:line="128"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While we are a “controlled company” we are not required to have a majority of independent directors. As allowed under the applicable rules and regulations of the SEC and Nasdaq, we intend to phase in compliance with the heightened independence requirements prior to the end of the one- year transition period after we cease to be a “controlled company.” Our independent directors, as such term is defined by the applicable rules and regulations of Nasdaq, are Thomas C. Kennedy, Kerry Philipovitch and Juan Carlos Zuazua.</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Composition</w:t>
      </w:r>
    </w:p>
    <w:p>
      <w:pPr>
        <w:spacing w:after="0" w:line="128" w:lineRule="exact"/>
        <w:rPr>
          <w:sz w:val="20"/>
          <w:szCs w:val="20"/>
          <w:color w:val="auto"/>
        </w:rPr>
      </w:pPr>
    </w:p>
    <w:p>
      <w:pPr>
        <w:ind w:left="1160" w:right="1219" w:firstLine="293"/>
        <w:spacing w:after="0" w:line="250" w:lineRule="auto"/>
        <w:rPr>
          <w:sz w:val="20"/>
          <w:szCs w:val="20"/>
          <w:color w:val="auto"/>
        </w:rPr>
      </w:pPr>
      <w:r>
        <w:rPr>
          <w:rFonts w:ascii="Arial" w:cs="Arial" w:eastAsia="Arial" w:hAnsi="Arial"/>
          <w:sz w:val="14"/>
          <w:szCs w:val="14"/>
          <w:color w:val="auto"/>
        </w:rPr>
        <w:t>Our board of directors currently consists of eight members. We have availed ourselves of the “controlled company” exception under the Nasdaq rules, which eliminates the requirements that we have a majority of independent directors on our board of directors and that we have a compensation committee and a nominating/corporate governance committee composed entirely of independent directors. Following this offering, the Apollo Stockholder will no longer control more than 50% of the voting power of our outstanding voting stock and, consequently, we will no longer be a “controlled company.” The board of directors will take all action necessary to comply with the applicable Nasdaq rules, including appointing a majority of independent directors to the board of directors and establishing certain committees composed entirely of independent directors, subject to a permitted phase-in period.</w:t>
      </w:r>
    </w:p>
    <w:p>
      <w:pPr>
        <w:spacing w:after="0" w:line="84" w:lineRule="exact"/>
        <w:rPr>
          <w:sz w:val="20"/>
          <w:szCs w:val="20"/>
          <w:color w:val="auto"/>
        </w:rPr>
      </w:pPr>
    </w:p>
    <w:p>
      <w:pPr>
        <w:ind w:left="1160" w:right="1299" w:firstLine="293"/>
        <w:spacing w:after="0" w:line="234" w:lineRule="auto"/>
        <w:rPr>
          <w:sz w:val="20"/>
          <w:szCs w:val="20"/>
          <w:color w:val="auto"/>
        </w:rPr>
      </w:pPr>
      <w:r>
        <w:rPr>
          <w:rFonts w:ascii="Arial" w:cs="Arial" w:eastAsia="Arial" w:hAnsi="Arial"/>
          <w:sz w:val="15"/>
          <w:szCs w:val="15"/>
          <w:color w:val="auto"/>
        </w:rPr>
        <w:t>We were required to have an audit committee with one independent director during the 90-day period beginning on the date of effectiveness of the Company’s registration statement on Form S-1 (File No. 333-252858), which was March 16, 2021. After such 90-day period and until one year from the date of effectiveness of such registration statement, which will be March 16, 2022, we are required to have a majority of independent directors on our audit committee. Thereafter, we will be required to have an audit committee comprised entirely of independent directors.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7" w:name="page148"/>
    <w:bookmarkEnd w:id="14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color w:val="auto"/>
        </w:rPr>
        <w:t>Our board of directors is divided into three classes. The members of each class serve staggered, three-year terms (other than with respect to the initial terms of the Class I and Class II directors, which will be one and two years, respectively). Upon the expiration of the term of a class of directors, directors in that class will be elected for three-year terms at the annual meeting of stockholders in the year in which their term expires. Our current directors are divided into the following classes:</w:t>
      </w:r>
    </w:p>
    <w:p>
      <w:pPr>
        <w:spacing w:after="0" w:line="46" w:lineRule="exact"/>
        <w:rPr>
          <w:sz w:val="20"/>
          <w:szCs w:val="20"/>
          <w:color w:val="auto"/>
        </w:rPr>
      </w:pPr>
    </w:p>
    <w:p>
      <w:pPr>
        <w:ind w:left="1600" w:right="1199" w:hanging="143"/>
        <w:spacing w:after="0" w:line="264" w:lineRule="auto"/>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Patrick Kearney, Thomas C. Kennedy and Antoine Munfakh are Class I directors, whose initial terms will expire at the fiscal 2022 annual meeting of stockholders;</w:t>
      </w:r>
    </w:p>
    <w:p>
      <w:pPr>
        <w:spacing w:after="0" w:line="38"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David Siegel and Juan Carlos Zuazua are Class II directors, whose initial terms will expire at the fiscal 2023 annual meeting of stockholders; and</w:t>
      </w:r>
    </w:p>
    <w:p>
      <w:pPr>
        <w:spacing w:after="0" w:line="49" w:lineRule="exact"/>
        <w:rPr>
          <w:rFonts w:ascii="Arial" w:cs="Arial" w:eastAsia="Arial" w:hAnsi="Arial"/>
          <w:sz w:val="15"/>
          <w:szCs w:val="15"/>
          <w:color w:val="auto"/>
        </w:rPr>
      </w:pPr>
    </w:p>
    <w:p>
      <w:pPr>
        <w:ind w:left="1600" w:right="1499" w:hanging="143"/>
        <w:spacing w:after="0" w:line="264" w:lineRule="auto"/>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Jude Bricker, Dave Davis and Kerry Philipovitch are Class III directors, whose initial terms will expire at the fiscal 2024 annual meeting of stockholders.</w:t>
      </w:r>
    </w:p>
    <w:p>
      <w:pPr>
        <w:spacing w:after="0" w:line="82" w:lineRule="exact"/>
        <w:rPr>
          <w:sz w:val="20"/>
          <w:szCs w:val="20"/>
          <w:color w:val="auto"/>
        </w:rPr>
      </w:pPr>
    </w:p>
    <w:p>
      <w:pPr>
        <w:ind w:left="1160" w:right="1379" w:firstLine="293"/>
        <w:spacing w:after="0" w:line="284" w:lineRule="auto"/>
        <w:rPr>
          <w:sz w:val="20"/>
          <w:szCs w:val="20"/>
          <w:color w:val="auto"/>
        </w:rPr>
      </w:pPr>
      <w:r>
        <w:rPr>
          <w:rFonts w:ascii="Arial" w:cs="Arial" w:eastAsia="Arial" w:hAnsi="Arial"/>
          <w:sz w:val="13"/>
          <w:szCs w:val="13"/>
          <w:color w:val="auto"/>
        </w:rPr>
        <w:t>Any additional directorships resulting from an increase in the number of directors will be distributed among the three classes so that, as nearly as possible, each class will consist of one-third of our directors. This classification of our board of directors may have the effect of delaying or preventing changes in control. At each annual meeting, our stockholders will elect the successors to one class of our directors.</w:t>
      </w:r>
    </w:p>
    <w:p>
      <w:pPr>
        <w:spacing w:after="0" w:line="72"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The authorized number of directors may be increased or decreased by our board of directors in accordance with our certificate of incorporation. At any meeting of the board of directors, except as otherwise required by law, a majority of the total number of directors then in office will constitute a quorum for all purposes, except that if Apollo and its affiliates, including the Apollo Stockholder, own at least 5% of the voting power of our outstanding common stock and there is at least one member of our board of directors who is an Apollo Director, then that Apollo Director must be present for there to be a quorum unless each Apollo Director waives his or her right to be included in the quorum at such meeting.</w:t>
      </w:r>
    </w:p>
    <w:p>
      <w:pPr>
        <w:spacing w:after="0" w:line="91" w:lineRule="exact"/>
        <w:rPr>
          <w:sz w:val="20"/>
          <w:szCs w:val="20"/>
          <w:color w:val="auto"/>
        </w:rPr>
      </w:pPr>
    </w:p>
    <w:p>
      <w:pPr>
        <w:ind w:left="1160" w:right="1299" w:firstLine="293"/>
        <w:spacing w:after="0" w:line="235" w:lineRule="auto"/>
        <w:rPr>
          <w:sz w:val="20"/>
          <w:szCs w:val="20"/>
          <w:color w:val="auto"/>
        </w:rPr>
      </w:pPr>
      <w:r>
        <w:rPr>
          <w:rFonts w:ascii="Arial" w:cs="Arial" w:eastAsia="Arial" w:hAnsi="Arial"/>
          <w:sz w:val="15"/>
          <w:szCs w:val="15"/>
          <w:color w:val="auto"/>
        </w:rPr>
        <w:t>The Apollo Stockholder has the right, at any time until Apollo and its affiliates, including the Apollo Stockholder, no longer beneficially own at least 5% of the voting power of our outstanding common stock, to nominate a number of directors (the “Apollo Directors”) comprising a percentage of our board of directors in accordance with their beneficial ownership of the voting power of our outstanding common stock (rounded up to the nearest whole number).</w:t>
      </w:r>
    </w:p>
    <w:p>
      <w:pPr>
        <w:spacing w:after="0" w:line="89" w:lineRule="exact"/>
        <w:rPr>
          <w:sz w:val="20"/>
          <w:szCs w:val="20"/>
          <w:color w:val="auto"/>
        </w:rPr>
      </w:pPr>
    </w:p>
    <w:p>
      <w:pPr>
        <w:jc w:val="both"/>
        <w:ind w:left="1160" w:right="1179" w:firstLine="293"/>
        <w:spacing w:after="0" w:line="239" w:lineRule="auto"/>
        <w:rPr>
          <w:sz w:val="20"/>
          <w:szCs w:val="20"/>
          <w:color w:val="auto"/>
        </w:rPr>
      </w:pPr>
      <w:r>
        <w:rPr>
          <w:rFonts w:ascii="Arial" w:cs="Arial" w:eastAsia="Arial" w:hAnsi="Arial"/>
          <w:sz w:val="15"/>
          <w:szCs w:val="15"/>
          <w:color w:val="auto"/>
        </w:rPr>
        <w:t>For so long as Amazon holds the 2019 Warrants or any shares of common stock issued upon exercise of the 2019 Warrants and the ATSA remains in effect, Amazon will have the right to nominate a member or an observer to our board of directors.</w:t>
      </w:r>
    </w:p>
    <w:p>
      <w:pPr>
        <w:spacing w:after="0" w:line="100" w:lineRule="exact"/>
        <w:rPr>
          <w:sz w:val="20"/>
          <w:szCs w:val="20"/>
          <w:color w:val="auto"/>
        </w:rPr>
      </w:pPr>
    </w:p>
    <w:p>
      <w:pPr>
        <w:ind w:left="1160" w:right="1559" w:firstLine="293"/>
        <w:spacing w:after="0" w:line="283" w:lineRule="auto"/>
        <w:rPr>
          <w:sz w:val="20"/>
          <w:szCs w:val="20"/>
          <w:color w:val="auto"/>
        </w:rPr>
      </w:pPr>
      <w:r>
        <w:rPr>
          <w:rFonts w:ascii="Arial" w:cs="Arial" w:eastAsia="Arial" w:hAnsi="Arial"/>
          <w:sz w:val="14"/>
          <w:szCs w:val="14"/>
          <w:color w:val="auto"/>
        </w:rPr>
        <w:t>Patrick Kearney and Antoine Munfakh are the Apollo Directors. As of the date of this prospectus, Amazon has not exercised its right to nominate a member or an observer to our board of directors.</w:t>
      </w:r>
    </w:p>
    <w:p>
      <w:pPr>
        <w:spacing w:after="0" w:line="71" w:lineRule="exact"/>
        <w:rPr>
          <w:sz w:val="20"/>
          <w:szCs w:val="20"/>
          <w:color w:val="auto"/>
        </w:rPr>
      </w:pPr>
    </w:p>
    <w:p>
      <w:pPr>
        <w:jc w:val="both"/>
        <w:ind w:left="1160" w:right="1499" w:firstLine="293"/>
        <w:spacing w:after="0" w:line="239" w:lineRule="auto"/>
        <w:rPr>
          <w:sz w:val="20"/>
          <w:szCs w:val="20"/>
          <w:color w:val="auto"/>
        </w:rPr>
      </w:pPr>
      <w:r>
        <w:rPr>
          <w:rFonts w:ascii="Arial" w:cs="Arial" w:eastAsia="Arial" w:hAnsi="Arial"/>
          <w:sz w:val="15"/>
          <w:szCs w:val="15"/>
          <w:color w:val="auto"/>
        </w:rPr>
        <w:t>The restrictions imposed by federal law and DOT policy currently require that our president and at least two-thirds of the members of our board of directors and other managing officers be citizens of the United States, as defined in 49 U.S.C. § 40102(a)(15).</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Committees</w:t>
      </w:r>
    </w:p>
    <w:p>
      <w:pPr>
        <w:spacing w:after="0" w:line="117"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Our board committees include an executive committee, an audit committee, a compensation committee, a nominating and corporate governance committee and a safety committee. So long as Apollo and its affiliates, including the Apollo Stockholder, beneficially own at least 5% of the voting power of our outstanding common stock, a number of directors nominated by the Apollo Stockholder that is as proportionate (rounding up to the next whole director) to the number of members of such committee as is the number of directors that the Apollo Stockholder is entitled to nominate to the number of members of our board of directors will serve on each committee of our board, subject to compliance with applicable law and the rules and regulations of Nasdaq. At least two-thirds of the members of each of the executive committee, audit committee, compensation committee and nominating and corporate governance committee are citizens of the United States, as defined in 49 U.S.C. §40102(a)(15).</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Executive Committee</w:t>
      </w:r>
    </w:p>
    <w:p>
      <w:pPr>
        <w:spacing w:after="0" w:line="124" w:lineRule="exact"/>
        <w:rPr>
          <w:sz w:val="20"/>
          <w:szCs w:val="20"/>
          <w:color w:val="auto"/>
        </w:rPr>
      </w:pPr>
    </w:p>
    <w:p>
      <w:pPr>
        <w:ind w:left="1160" w:right="1199" w:firstLine="293"/>
        <w:spacing w:after="0" w:line="323" w:lineRule="auto"/>
        <w:rPr>
          <w:sz w:val="20"/>
          <w:szCs w:val="20"/>
          <w:color w:val="auto"/>
        </w:rPr>
      </w:pPr>
      <w:r>
        <w:rPr>
          <w:rFonts w:ascii="Arial" w:cs="Arial" w:eastAsia="Arial" w:hAnsi="Arial"/>
          <w:sz w:val="13"/>
          <w:szCs w:val="13"/>
          <w:color w:val="auto"/>
        </w:rPr>
        <w:t>Our executive committee consists of Jude Bricker, as chairperson, Antoine Munfakh and David Siegel. Subject to certain exceptions, the executive committee generally may exercise all of the powers of the board</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8" w:name="page149"/>
    <w:bookmarkEnd w:id="14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259"/>
        <w:spacing w:after="0" w:line="254" w:lineRule="auto"/>
        <w:rPr>
          <w:sz w:val="20"/>
          <w:szCs w:val="20"/>
          <w:color w:val="auto"/>
        </w:rPr>
      </w:pPr>
      <w:r>
        <w:rPr>
          <w:rFonts w:ascii="Arial" w:cs="Arial" w:eastAsia="Arial" w:hAnsi="Arial"/>
          <w:sz w:val="15"/>
          <w:szCs w:val="15"/>
          <w:color w:val="auto"/>
        </w:rPr>
        <w:t>of directors when the board of directors is not in session. The executive committee serves at the pleasure of our board of directors. This committee and any of its members may continue or be changed as our board of directors deems appropriate.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13"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Our audit committee consists of Thomas C. Kennedy, as chairperson, Kerry Philipovitch and Juan Carlos Zuazua.</w:t>
      </w:r>
    </w:p>
    <w:p>
      <w:pPr>
        <w:spacing w:after="0" w:line="93" w:lineRule="exact"/>
        <w:rPr>
          <w:sz w:val="20"/>
          <w:szCs w:val="20"/>
          <w:color w:val="auto"/>
        </w:rPr>
      </w:pPr>
    </w:p>
    <w:p>
      <w:pPr>
        <w:ind w:left="1160" w:right="1479" w:firstLine="293"/>
        <w:spacing w:after="0" w:line="266" w:lineRule="auto"/>
        <w:rPr>
          <w:sz w:val="20"/>
          <w:szCs w:val="20"/>
          <w:color w:val="auto"/>
        </w:rPr>
      </w:pPr>
      <w:r>
        <w:rPr>
          <w:rFonts w:ascii="Arial" w:cs="Arial" w:eastAsia="Arial" w:hAnsi="Arial"/>
          <w:sz w:val="14"/>
          <w:szCs w:val="14"/>
          <w:color w:val="auto"/>
        </w:rPr>
        <w:t>Until March 16, 2022, we will be required to have a majority of independent directors on our audit committee. After March 16, 2022, we will be required to have an audit committee comprised entirely of independent directors. Our board of directors has determined that Mr. Kennedy qualifies as an “audit committee financial expert” as such term is defined in Item 407(d)(5) of Regulation S-K and that</w:t>
      </w:r>
    </w:p>
    <w:p>
      <w:pPr>
        <w:ind w:left="1160" w:right="1339"/>
        <w:spacing w:after="0" w:line="246" w:lineRule="auto"/>
        <w:rPr>
          <w:sz w:val="20"/>
          <w:szCs w:val="20"/>
          <w:color w:val="auto"/>
        </w:rPr>
      </w:pPr>
      <w:r>
        <w:rPr>
          <w:rFonts w:ascii="Arial" w:cs="Arial" w:eastAsia="Arial" w:hAnsi="Arial"/>
          <w:sz w:val="15"/>
          <w:szCs w:val="15"/>
          <w:color w:val="auto"/>
        </w:rPr>
        <w:t>Mr. Kennedy, Ms. Philipovitch and Mr. Zuazua are independent as independence is defined in Rule 10A-3 of the Exchange Act and the Nasdaq’s listing standards. The principal duties and responsibilities of our audit committee are as follows:</w:t>
      </w:r>
    </w:p>
    <w:p>
      <w:pPr>
        <w:spacing w:after="0" w:line="74" w:lineRule="exact"/>
        <w:rPr>
          <w:sz w:val="20"/>
          <w:szCs w:val="20"/>
          <w:color w:val="auto"/>
        </w:rPr>
      </w:pPr>
    </w:p>
    <w:p>
      <w:pPr>
        <w:ind w:left="1600" w:hanging="143"/>
        <w:spacing w:after="0"/>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to prepare the annual audit committee report to be included in our annual proxy statement;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to oversee and monitor our accounting and financial reporting processes;</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to oversee and monitor the integrity of our financial statements and internal control system;</w:t>
      </w:r>
    </w:p>
    <w:p>
      <w:pPr>
        <w:spacing w:after="0" w:line="91" w:lineRule="exact"/>
        <w:rPr>
          <w:rFonts w:ascii="Arial" w:cs="Arial" w:eastAsia="Arial" w:hAnsi="Arial"/>
          <w:sz w:val="15"/>
          <w:szCs w:val="15"/>
          <w:color w:val="auto"/>
        </w:rPr>
      </w:pPr>
    </w:p>
    <w:p>
      <w:pPr>
        <w:ind w:left="1600" w:right="1859" w:hanging="143"/>
        <w:spacing w:after="0" w:line="26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to oversee and monitor the independence, retention, performance and compensation of our independent auditor;</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to oversee and monitor the performance, appointment and retention of our internal audit department;</w:t>
      </w:r>
    </w:p>
    <w:p>
      <w:pPr>
        <w:spacing w:after="0" w:line="113" w:lineRule="exact"/>
        <w:rPr>
          <w:rFonts w:ascii="Arial" w:cs="Arial" w:eastAsia="Arial" w:hAnsi="Arial"/>
          <w:sz w:val="14"/>
          <w:szCs w:val="14"/>
          <w:color w:val="auto"/>
        </w:rPr>
      </w:pPr>
    </w:p>
    <w:p>
      <w:pPr>
        <w:ind w:left="1600" w:hanging="143"/>
        <w:spacing w:after="0"/>
        <w:tabs>
          <w:tab w:leader="none" w:pos="16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to discuss, oversee and monitor policies with respect to risk assessment and risk management, and</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to oversee and monitor our compliance with legal and regulatory matters.</w:t>
      </w:r>
    </w:p>
    <w:p>
      <w:pPr>
        <w:spacing w:after="0" w:line="113" w:lineRule="exact"/>
        <w:rPr>
          <w:sz w:val="20"/>
          <w:szCs w:val="20"/>
          <w:color w:val="auto"/>
        </w:rPr>
      </w:pPr>
    </w:p>
    <w:p>
      <w:pPr>
        <w:ind w:left="1160" w:right="1359" w:firstLine="293"/>
        <w:spacing w:after="0" w:line="264" w:lineRule="auto"/>
        <w:rPr>
          <w:sz w:val="20"/>
          <w:szCs w:val="20"/>
          <w:color w:val="auto"/>
        </w:rPr>
      </w:pPr>
      <w:r>
        <w:rPr>
          <w:rFonts w:ascii="Arial" w:cs="Arial" w:eastAsia="Arial" w:hAnsi="Arial"/>
          <w:sz w:val="15"/>
          <w:szCs w:val="15"/>
          <w:color w:val="auto"/>
        </w:rPr>
        <w:t>The audit committee also has the authority to retain counsel and advisors to fulfill its responsibilities and duties and to form and delegate authority to subcommittees.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24" w:lineRule="exact"/>
        <w:rPr>
          <w:sz w:val="20"/>
          <w:szCs w:val="20"/>
          <w:color w:val="auto"/>
        </w:rPr>
      </w:pPr>
    </w:p>
    <w:p>
      <w:pPr>
        <w:jc w:val="both"/>
        <w:ind w:left="1160" w:right="1519" w:firstLine="293"/>
        <w:spacing w:after="0" w:line="341" w:lineRule="auto"/>
        <w:rPr>
          <w:sz w:val="20"/>
          <w:szCs w:val="20"/>
          <w:color w:val="auto"/>
        </w:rPr>
      </w:pPr>
      <w:r>
        <w:rPr>
          <w:rFonts w:ascii="Arial" w:cs="Arial" w:eastAsia="Arial" w:hAnsi="Arial"/>
          <w:sz w:val="13"/>
          <w:szCs w:val="13"/>
          <w:color w:val="auto"/>
        </w:rPr>
        <w:t>Our compensation committee consists of Antoine Munfakh, as chairperson, David Siegel and Juan Carlos Zuazua. The principal duties and responsibilities of the compensation committee are as follows:</w:t>
      </w:r>
    </w:p>
    <w:p>
      <w:pPr>
        <w:spacing w:after="0" w:line="15" w:lineRule="exact"/>
        <w:rPr>
          <w:sz w:val="20"/>
          <w:szCs w:val="20"/>
          <w:color w:val="auto"/>
        </w:rPr>
      </w:pPr>
    </w:p>
    <w:p>
      <w:pPr>
        <w:ind w:left="1600" w:right="1859" w:hanging="143"/>
        <w:spacing w:after="0" w:line="264"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 review, evaluate and make recommendations to the full board of directors regarding our compensation policies and programs;</w:t>
      </w:r>
    </w:p>
    <w:p>
      <w:pPr>
        <w:spacing w:after="0" w:line="70" w:lineRule="exact"/>
        <w:rPr>
          <w:rFonts w:ascii="Arial" w:cs="Arial" w:eastAsia="Arial" w:hAnsi="Arial"/>
          <w:sz w:val="15"/>
          <w:szCs w:val="15"/>
          <w:color w:val="auto"/>
        </w:rPr>
      </w:pPr>
    </w:p>
    <w:p>
      <w:pPr>
        <w:jc w:val="both"/>
        <w:ind w:left="1600" w:right="1319" w:hanging="143"/>
        <w:spacing w:after="0" w:line="254"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 review and approve the compensation of our chief executive officer, other executive officers and key employees, including all material benefits, option or stock award grants and perquisites and all material employment agreements;</w:t>
      </w:r>
    </w:p>
    <w:p>
      <w:pPr>
        <w:spacing w:after="0" w:line="67" w:lineRule="exact"/>
        <w:rPr>
          <w:rFonts w:ascii="Arial" w:cs="Arial" w:eastAsia="Arial" w:hAnsi="Arial"/>
          <w:sz w:val="15"/>
          <w:szCs w:val="15"/>
          <w:color w:val="auto"/>
        </w:rPr>
      </w:pPr>
    </w:p>
    <w:p>
      <w:pPr>
        <w:ind w:left="1600" w:right="1779" w:hanging="143"/>
        <w:spacing w:after="0" w:line="300" w:lineRule="auto"/>
        <w:tabs>
          <w:tab w:leader="none" w:pos="1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to review and make recommendations to the board of directors with respect to our incentive compensation plans and equity-based compensation plans and pension plans;</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 administer incentive compensation and equity-related plans and pension plans;</w:t>
      </w:r>
    </w:p>
    <w:p>
      <w:pPr>
        <w:spacing w:after="0" w:line="91"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 review and make recommendations to the board of directors with respect to the financial and other performance targets that must be met; and</w:t>
      </w:r>
    </w:p>
    <w:p>
      <w:pPr>
        <w:spacing w:after="0" w:line="59"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 prepare an annual compensation committee report and take such other actions as are necessary and consistent with the governing law and our organizational documents.</w:t>
      </w:r>
    </w:p>
    <w:p>
      <w:pPr>
        <w:spacing w:after="0" w:line="93"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We have availed ourselves of the “controlled company” exception under the Nasdaq rules which exempts us from the requirement that we have a compensation committee composed entirely of independent directors. Following the completion of this offering, we will cease to be a “controlled company” and must comply with the independent board committee requirements under the Nasdaq rules as they relate to compensation committees within the phase-in periods specified under the Nasdaq rules.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9" w:name="page150"/>
    <w:bookmarkEnd w:id="14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13"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color w:val="auto"/>
        </w:rPr>
        <w:t>Our nominating and corporate governance committee consists of Antoine Munfakh, as chairperson, Kerry Philipovitch and David Siegel. The principal duties and responsibilities of the nominating and corporate governance committee are as follows:</w:t>
      </w:r>
    </w:p>
    <w:p>
      <w:pPr>
        <w:spacing w:after="0" w:line="67" w:lineRule="exact"/>
        <w:rPr>
          <w:sz w:val="20"/>
          <w:szCs w:val="20"/>
          <w:color w:val="auto"/>
        </w:rPr>
      </w:pPr>
    </w:p>
    <w:p>
      <w:pPr>
        <w:ind w:left="1600" w:right="175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identify candidates qualified to become directors of the Company, consistent with criteria approved by our board of directors;</w:t>
      </w:r>
    </w:p>
    <w:p>
      <w:pPr>
        <w:spacing w:after="0" w:line="60" w:lineRule="exact"/>
        <w:rPr>
          <w:rFonts w:ascii="Arial" w:cs="Arial" w:eastAsia="Arial" w:hAnsi="Arial"/>
          <w:sz w:val="15"/>
          <w:szCs w:val="15"/>
          <w:color w:val="auto"/>
        </w:rPr>
      </w:pPr>
    </w:p>
    <w:p>
      <w:pPr>
        <w:jc w:val="both"/>
        <w:ind w:left="1600" w:right="1199" w:hanging="143"/>
        <w:spacing w:after="0" w:line="25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67" w:lineRule="exact"/>
        <w:rPr>
          <w:rFonts w:ascii="Arial" w:cs="Arial" w:eastAsia="Arial" w:hAnsi="Arial"/>
          <w:sz w:val="15"/>
          <w:szCs w:val="15"/>
          <w:color w:val="auto"/>
        </w:rPr>
      </w:pPr>
    </w:p>
    <w:p>
      <w:pPr>
        <w:ind w:left="1600" w:right="131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recommend to our board of directors candidates to fill vacancies and newly created directorships on the board of directors;</w:t>
      </w:r>
    </w:p>
    <w:p>
      <w:pPr>
        <w:spacing w:after="0" w:line="60" w:lineRule="exact"/>
        <w:rPr>
          <w:rFonts w:ascii="Arial" w:cs="Arial" w:eastAsia="Arial" w:hAnsi="Arial"/>
          <w:sz w:val="15"/>
          <w:szCs w:val="15"/>
          <w:color w:val="auto"/>
        </w:rPr>
      </w:pPr>
    </w:p>
    <w:p>
      <w:pPr>
        <w:jc w:val="both"/>
        <w:ind w:left="1600" w:right="1359" w:hanging="143"/>
        <w:spacing w:after="0" w:line="341" w:lineRule="auto"/>
        <w:tabs>
          <w:tab w:leader="none" w:pos="16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to identify best practices and recommend corporate governance principles, including giving proper attention and making effective responses to stockholder concerns regarding corporate governance;</w:t>
      </w:r>
    </w:p>
    <w:p>
      <w:pPr>
        <w:spacing w:after="0" w:line="3" w:lineRule="exact"/>
        <w:rPr>
          <w:rFonts w:ascii="Arial" w:cs="Arial" w:eastAsia="Arial" w:hAnsi="Arial"/>
          <w:sz w:val="13"/>
          <w:szCs w:val="13"/>
          <w:color w:val="auto"/>
        </w:rPr>
      </w:pPr>
    </w:p>
    <w:p>
      <w:pPr>
        <w:ind w:left="1600" w:hanging="143"/>
        <w:spacing w:after="0"/>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set and review the compensation of the non-executive members of the board of directors;</w:t>
      </w:r>
    </w:p>
    <w:p>
      <w:pPr>
        <w:spacing w:after="0" w:line="91"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develop and recommend to our board of directors guidelines setting forth corporate governance principles applicable to the Company; and</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oversee the evaluation of our board of directors.</w:t>
      </w:r>
    </w:p>
    <w:p>
      <w:pPr>
        <w:spacing w:after="0" w:line="124"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We have availed ourselves of the “controlled company” exception under the Nasdaq rules which exempts us from the requirement that we have a nominating and corporate governance committee composed entirely of independent directors. Following the completion of this offering, we will cease to be a “controlled company” and must comply with the independent board committee requirements under the Nasdaq rules as they relate to nominating and corporate governance committees within the phase-in periods specified under the Nasdaq rules.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Safety Committee</w:t>
      </w:r>
    </w:p>
    <w:p>
      <w:pPr>
        <w:spacing w:after="0" w:line="124" w:lineRule="exact"/>
        <w:rPr>
          <w:sz w:val="20"/>
          <w:szCs w:val="20"/>
          <w:color w:val="auto"/>
        </w:rPr>
      </w:pPr>
    </w:p>
    <w:p>
      <w:pPr>
        <w:ind w:left="1160" w:right="1299" w:firstLine="293"/>
        <w:spacing w:after="0" w:line="267" w:lineRule="auto"/>
        <w:rPr>
          <w:sz w:val="20"/>
          <w:szCs w:val="20"/>
          <w:color w:val="auto"/>
        </w:rPr>
      </w:pPr>
      <w:r>
        <w:rPr>
          <w:rFonts w:ascii="Arial" w:cs="Arial" w:eastAsia="Arial" w:hAnsi="Arial"/>
          <w:sz w:val="13"/>
          <w:szCs w:val="13"/>
          <w:color w:val="auto"/>
        </w:rPr>
        <w:t>Our safety committee consists of Jude Bricker, as chairperson, Kerry Philipovitch, David Siegel and Juan Carlos Zuazua. Our safety committee assists the board with overseeing the Company’s safety and security processes, procedures and reporting and is responsible for: (i) monitoring management’s efforts to ensure the safety of our passengers and employees; (ii) reviewing our policies, procedures and investments and monitoring our activities with respect to information security; (iii) monitoring and assisting management in creating a uniform safety culture that achieves the highest possible industry standards; and</w:t>
      </w:r>
    </w:p>
    <w:p>
      <w:pPr>
        <w:spacing w:after="0" w:line="3" w:lineRule="exact"/>
        <w:rPr>
          <w:sz w:val="20"/>
          <w:szCs w:val="20"/>
          <w:color w:val="auto"/>
        </w:rPr>
      </w:pPr>
    </w:p>
    <w:p>
      <w:pPr>
        <w:ind w:left="1160" w:right="1219" w:firstLine="4"/>
        <w:spacing w:after="0" w:line="236" w:lineRule="auto"/>
        <w:tabs>
          <w:tab w:leader="none" w:pos="1423" w:val="left"/>
        </w:tabs>
        <w:numPr>
          <w:ilvl w:val="0"/>
          <w:numId w:val="65"/>
        </w:numPr>
        <w:rPr>
          <w:rFonts w:ascii="Arial" w:cs="Arial" w:eastAsia="Arial" w:hAnsi="Arial"/>
          <w:sz w:val="15"/>
          <w:szCs w:val="15"/>
          <w:color w:val="auto"/>
        </w:rPr>
      </w:pPr>
      <w:r>
        <w:rPr>
          <w:rFonts w:ascii="Arial" w:cs="Arial" w:eastAsia="Arial" w:hAnsi="Arial"/>
          <w:sz w:val="15"/>
          <w:szCs w:val="15"/>
          <w:color w:val="auto"/>
        </w:rPr>
        <w:t>periodically reviewing all aspects of airline safety and security with management and outside experts as necessary.</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17"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During 2020, our compensation committee consisted of: Messrs. Joshua Black, Antoine Munfakh and David Siegel. Other than David Siegel, our Chairman, none of these directors has ever served as an officer or employee of the Company. During 2020, none of the members of the compensation committee had any relationship with the Company requiring disclosure under Item 404 of Regulation S-K. None of our executive officers served as a member of the board of directors or compensation committee, or similar committee, of any other company whose executive officer(s) served as a member of our board of directors or our compensation committee.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28"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Our board of directors has adopted an amended code of business conduct and ethics that applies to all of our directors, officers and employees and is intended to comply with the relevant listing requirements for a code of conduct as well as qualify as a “code of ethics” as defined by the rules of the SEC. The code of business conduct and ethics contains general guidelines for conducting our business consistent with the highest standards of business ethics. We intend to disclose future amendments to certain provisions of our code of business conduct and ethics, or waivers of such provisions applicable to any principal executive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0" w:name="page151"/>
    <w:bookmarkEnd w:id="15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54" w:lineRule="auto"/>
        <w:rPr>
          <w:sz w:val="20"/>
          <w:szCs w:val="20"/>
          <w:color w:val="auto"/>
        </w:rPr>
      </w:pPr>
      <w:r>
        <w:rPr>
          <w:rFonts w:ascii="Arial" w:cs="Arial" w:eastAsia="Arial" w:hAnsi="Arial"/>
          <w:sz w:val="15"/>
          <w:szCs w:val="15"/>
          <w:color w:val="auto"/>
        </w:rPr>
        <w:t>officer, principal financial officer, principal accounting officer and controller, or persons performing similar functions, and our directors, on our website at https://www.ir.suncountry.com. The code of conduct is available on our website.</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Leadership Structure and Board’s Role in Risk Oversight</w:t>
      </w:r>
    </w:p>
    <w:p>
      <w:pPr>
        <w:spacing w:after="0" w:line="117"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The board of directors has an oversight role, as a whole and also at the committee level, in overseeing management of its risks. The board of directors regularly reviews information regarding our credit, liquidity and operations, as well as the risks associated with each. The compensation committee of the board of directors is responsible for overseeing the management of risks relating to employee compensation plans and arrangements and the audit committee of the board of directors oversees the management of financial risks. While each committee is responsible for evaluating certain risks and overseeing the management of such risks, the entire board of directors will be regularly informed through committee reports about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1" w:name="page152"/>
    <w:bookmarkEnd w:id="15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Executive Summary</w:t>
      </w:r>
    </w:p>
    <w:p>
      <w:pPr>
        <w:spacing w:after="0" w:line="117"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both individual and corporate performance and motivates the executive officers to achieve corporate strategic objectives; (iii) reward superior financial and operational performance in a given year, over a sustained period and expectations for the future; (iv) place compensation at risk if performance goals are not achieved; and (v) align the interests of executive officers with the long-term interests of stockholders through stock-based awards.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Summary Compensation Table</w:t>
      </w:r>
    </w:p>
    <w:p>
      <w:pPr>
        <w:spacing w:after="0" w:line="124" w:lineRule="exact"/>
        <w:rPr>
          <w:sz w:val="20"/>
          <w:szCs w:val="20"/>
          <w:color w:val="auto"/>
        </w:rPr>
      </w:pPr>
    </w:p>
    <w:p>
      <w:pPr>
        <w:ind w:left="1160" w:right="1419" w:firstLine="293"/>
        <w:spacing w:after="0" w:line="239" w:lineRule="auto"/>
        <w:rPr>
          <w:sz w:val="20"/>
          <w:szCs w:val="20"/>
          <w:color w:val="auto"/>
        </w:rPr>
      </w:pPr>
      <w:r>
        <w:rPr>
          <w:rFonts w:ascii="Arial" w:cs="Arial" w:eastAsia="Arial" w:hAnsi="Arial"/>
          <w:sz w:val="15"/>
          <w:szCs w:val="15"/>
          <w:color w:val="auto"/>
        </w:rPr>
        <w:t>The following table sets forth the compensation paid or awarded to our named executive officers, or NEOs, by the Company and its affiliates for services rendered in all capacities to the Company and its affiliates in fiscal years 2019 and 2020: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 Compensation Table</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79"/>
              </w:rPr>
              <w:t>Stock</w:t>
            </w:r>
          </w:p>
        </w:tc>
        <w:tc>
          <w:tcPr>
            <w:tcW w:w="100" w:type="dxa"/>
            <w:vAlign w:val="bottom"/>
          </w:tcPr>
          <w:p>
            <w:pPr>
              <w:spacing w:after="0"/>
              <w:rPr>
                <w:sz w:val="12"/>
                <w:szCs w:val="12"/>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Option</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All 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jc w:val="center"/>
              <w:ind w:right="180"/>
              <w:spacing w:after="0" w:line="131" w:lineRule="exact"/>
              <w:rPr>
                <w:sz w:val="20"/>
                <w:szCs w:val="20"/>
                <w:color w:val="auto"/>
              </w:rPr>
            </w:pPr>
            <w:r>
              <w:rPr>
                <w:rFonts w:ascii="Arial" w:cs="Arial" w:eastAsia="Arial" w:hAnsi="Arial"/>
                <w:sz w:val="12"/>
                <w:szCs w:val="12"/>
                <w:b w:val="1"/>
                <w:bCs w:val="1"/>
                <w:color w:val="auto"/>
                <w:w w:val="87"/>
              </w:rPr>
              <w:t>Awards</w:t>
            </w:r>
          </w:p>
        </w:tc>
        <w:tc>
          <w:tcPr>
            <w:tcW w:w="100" w:type="dxa"/>
            <w:vAlign w:val="bottom"/>
          </w:tcPr>
          <w:p>
            <w:pPr>
              <w:spacing w:after="0"/>
              <w:rPr>
                <w:sz w:val="11"/>
                <w:szCs w:val="11"/>
                <w:color w:val="auto"/>
              </w:rPr>
            </w:pPr>
          </w:p>
        </w:tc>
        <w:tc>
          <w:tcPr>
            <w:tcW w:w="640" w:type="dxa"/>
            <w:vAlign w:val="bottom"/>
            <w:gridSpan w:val="2"/>
          </w:tcPr>
          <w:p>
            <w:pPr>
              <w:jc w:val="center"/>
              <w:ind w:right="280"/>
              <w:spacing w:after="0" w:line="131" w:lineRule="exact"/>
              <w:rPr>
                <w:sz w:val="20"/>
                <w:szCs w:val="20"/>
                <w:color w:val="auto"/>
              </w:rPr>
            </w:pPr>
            <w:r>
              <w:rPr>
                <w:rFonts w:ascii="Arial" w:cs="Arial" w:eastAsia="Arial" w:hAnsi="Arial"/>
                <w:sz w:val="12"/>
                <w:szCs w:val="12"/>
                <w:b w:val="1"/>
                <w:bCs w:val="1"/>
                <w:color w:val="auto"/>
                <w:w w:val="82"/>
              </w:rPr>
              <w:t>Awards</w:t>
            </w:r>
          </w:p>
        </w:tc>
        <w:tc>
          <w:tcPr>
            <w:tcW w:w="900" w:type="dxa"/>
            <w:vAlign w:val="bottom"/>
            <w:gridSpan w:val="2"/>
          </w:tcPr>
          <w:p>
            <w:pPr>
              <w:jc w:val="center"/>
              <w:ind w:right="200"/>
              <w:spacing w:after="0" w:line="131" w:lineRule="exact"/>
              <w:rPr>
                <w:sz w:val="20"/>
                <w:szCs w:val="20"/>
                <w:color w:val="auto"/>
              </w:rPr>
            </w:pPr>
            <w:r>
              <w:rPr>
                <w:rFonts w:ascii="Arial" w:cs="Arial" w:eastAsia="Arial" w:hAnsi="Arial"/>
                <w:sz w:val="12"/>
                <w:szCs w:val="12"/>
                <w:b w:val="1"/>
                <w:bCs w:val="1"/>
                <w:color w:val="auto"/>
                <w:w w:val="83"/>
              </w:rPr>
              <w:t>Compensation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 and Principal Position</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Year</w:t>
            </w: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Salary ($)</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0"/>
              </w:rPr>
              <w:t>Bonus ($)</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0"/>
              <w:spacing w:after="0"/>
              <w:rPr>
                <w:sz w:val="20"/>
                <w:szCs w:val="20"/>
                <w:color w:val="auto"/>
              </w:rPr>
            </w:pPr>
            <w:r>
              <w:rPr>
                <w:rFonts w:ascii="Arial" w:cs="Arial" w:eastAsia="Arial" w:hAnsi="Arial"/>
                <w:sz w:val="12"/>
                <w:szCs w:val="12"/>
                <w:b w:val="1"/>
                <w:bCs w:val="1"/>
                <w:color w:val="auto"/>
                <w:w w:val="84"/>
              </w:rPr>
              <w:t>($)</w:t>
            </w:r>
            <w:r>
              <w:rPr>
                <w:rFonts w:ascii="Arial" w:cs="Arial" w:eastAsia="Arial" w:hAnsi="Arial"/>
                <w:sz w:val="14"/>
                <w:szCs w:val="14"/>
                <w:b w:val="1"/>
                <w:bCs w:val="1"/>
                <w:color w:val="auto"/>
                <w:w w:val="84"/>
                <w:vertAlign w:val="superscript"/>
              </w:rPr>
              <w:t>(2)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4"/>
              </w:rPr>
              <w:t>($)</w:t>
            </w:r>
            <w:r>
              <w:rPr>
                <w:rFonts w:ascii="Arial" w:cs="Arial" w:eastAsia="Arial" w:hAnsi="Arial"/>
                <w:sz w:val="14"/>
                <w:szCs w:val="14"/>
                <w:b w:val="1"/>
                <w:bCs w:val="1"/>
                <w:color w:val="auto"/>
                <w:w w:val="84"/>
                <w:vertAlign w:val="superscript"/>
              </w:rPr>
              <w:t>(3)</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w:t>
            </w:r>
            <w:r>
              <w:rPr>
                <w:rFonts w:ascii="Arial" w:cs="Arial" w:eastAsia="Arial" w:hAnsi="Arial"/>
                <w:sz w:val="14"/>
                <w:szCs w:val="14"/>
                <w:b w:val="1"/>
                <w:bCs w:val="1"/>
                <w:color w:val="auto"/>
                <w:w w:val="84"/>
                <w:vertAlign w:val="superscript"/>
              </w:rPr>
              <w:t>(4)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w w:val="89"/>
              </w:rPr>
              <w:t>Total ($)</w:t>
            </w:r>
          </w:p>
        </w:tc>
        <w:tc>
          <w:tcPr>
            <w:tcW w:w="0" w:type="dxa"/>
            <w:vAlign w:val="bottom"/>
          </w:tcPr>
          <w:p>
            <w:pPr>
              <w:spacing w:after="0"/>
              <w:rPr>
                <w:sz w:val="1"/>
                <w:szCs w:val="1"/>
                <w:color w:val="auto"/>
              </w:rPr>
            </w:pPr>
          </w:p>
        </w:tc>
      </w:tr>
      <w:tr>
        <w:trPr>
          <w:trHeight w:val="200"/>
        </w:trPr>
        <w:tc>
          <w:tcPr>
            <w:tcW w:w="17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Jude Bricker</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9"/>
              </w:rPr>
              <w:t>2020</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$200,000</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6"/>
              </w:rPr>
              <w:t>$340,000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$ 23,777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563,777</w:t>
            </w:r>
          </w:p>
        </w:tc>
        <w:tc>
          <w:tcPr>
            <w:tcW w:w="0" w:type="dxa"/>
            <w:vAlign w:val="bottom"/>
          </w:tcPr>
          <w:p>
            <w:pPr>
              <w:spacing w:after="0"/>
              <w:rPr>
                <w:sz w:val="1"/>
                <w:szCs w:val="1"/>
                <w:color w:val="auto"/>
              </w:rPr>
            </w:pPr>
          </w:p>
        </w:tc>
      </w:tr>
      <w:tr>
        <w:trPr>
          <w:trHeight w:val="186"/>
        </w:trPr>
        <w:tc>
          <w:tcPr>
            <w:tcW w:w="17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Chief Executive Officer</w:t>
            </w:r>
          </w:p>
        </w:tc>
        <w:tc>
          <w:tcPr>
            <w:tcW w:w="8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5"/>
                <w:szCs w:val="15"/>
                <w:color w:val="auto"/>
                <w:w w:val="89"/>
              </w:rPr>
              <w:t>2019</w:t>
            </w:r>
          </w:p>
        </w:tc>
        <w:tc>
          <w:tcPr>
            <w:tcW w:w="7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5"/>
                <w:szCs w:val="15"/>
                <w:color w:val="auto"/>
                <w:w w:val="89"/>
              </w:rPr>
              <w:t>$200,000</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w w:val="86"/>
              </w:rPr>
              <w:t>$338,300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2"/>
              </w:rPr>
              <w:t>$ 28,970</w:t>
            </w:r>
          </w:p>
        </w:tc>
        <w:tc>
          <w:tcPr>
            <w:tcW w:w="18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567,270</w:t>
            </w:r>
          </w:p>
        </w:tc>
        <w:tc>
          <w:tcPr>
            <w:tcW w:w="0" w:type="dxa"/>
            <w:vAlign w:val="bottom"/>
          </w:tcPr>
          <w:p>
            <w:pPr>
              <w:spacing w:after="0"/>
              <w:rPr>
                <w:sz w:val="1"/>
                <w:szCs w:val="1"/>
                <w:color w:val="auto"/>
              </w:rPr>
            </w:pPr>
          </w:p>
        </w:tc>
      </w:tr>
      <w:tr>
        <w:trPr>
          <w:trHeight w:val="66"/>
        </w:trPr>
        <w:tc>
          <w:tcPr>
            <w:tcW w:w="1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gridSpan w:val="2"/>
            <w:vMerge w:val="continue"/>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720" w:type="dxa"/>
            <w:vAlign w:val="bottom"/>
            <w:gridSpan w:val="3"/>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720" w:type="dxa"/>
            <w:vAlign w:val="bottom"/>
            <w:gridSpan w:val="2"/>
          </w:tcPr>
          <w:p>
            <w:pPr>
              <w:spacing w:after="0"/>
              <w:rPr>
                <w:sz w:val="20"/>
                <w:szCs w:val="20"/>
                <w:color w:val="auto"/>
              </w:rPr>
            </w:pPr>
            <w:r>
              <w:rPr>
                <w:rFonts w:ascii="Arial" w:cs="Arial" w:eastAsia="Arial" w:hAnsi="Arial"/>
                <w:sz w:val="15"/>
                <w:szCs w:val="15"/>
                <w:b w:val="1"/>
                <w:bCs w:val="1"/>
                <w:color w:val="auto"/>
              </w:rPr>
              <w:t>Dave Davis</w:t>
            </w:r>
          </w:p>
        </w:tc>
        <w:tc>
          <w:tcPr>
            <w:tcW w:w="540" w:type="dxa"/>
            <w:vAlign w:val="bottom"/>
            <w:gridSpan w:val="3"/>
          </w:tcPr>
          <w:p>
            <w:pPr>
              <w:jc w:val="center"/>
              <w:ind w:right="40"/>
              <w:spacing w:after="0"/>
              <w:rPr>
                <w:sz w:val="20"/>
                <w:szCs w:val="20"/>
                <w:color w:val="auto"/>
              </w:rPr>
            </w:pPr>
            <w:r>
              <w:rPr>
                <w:rFonts w:ascii="Arial" w:cs="Arial" w:eastAsia="Arial" w:hAnsi="Arial"/>
                <w:sz w:val="15"/>
                <w:szCs w:val="15"/>
                <w:color w:val="auto"/>
                <w:w w:val="89"/>
              </w:rPr>
              <w:t>2020</w:t>
            </w:r>
          </w:p>
        </w:tc>
        <w:tc>
          <w:tcPr>
            <w:tcW w:w="7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$360,000</w:t>
            </w:r>
          </w:p>
        </w:tc>
        <w:tc>
          <w:tcPr>
            <w:tcW w:w="720" w:type="dxa"/>
            <w:vAlign w:val="bottom"/>
            <w:gridSpan w:val="3"/>
          </w:tcPr>
          <w:p>
            <w:pPr>
              <w:jc w:val="right"/>
              <w:ind w:right="160"/>
              <w:spacing w:after="0"/>
              <w:rPr>
                <w:sz w:val="20"/>
                <w:szCs w:val="20"/>
                <w:color w:val="auto"/>
              </w:rPr>
            </w:pPr>
            <w:r>
              <w:rPr>
                <w:rFonts w:ascii="Arial" w:cs="Arial" w:eastAsia="Arial" w:hAnsi="Arial"/>
                <w:sz w:val="15"/>
                <w:szCs w:val="15"/>
                <w:color w:val="auto"/>
                <w:w w:val="86"/>
              </w:rPr>
              <w:t>$270,000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jc w:val="center"/>
              <w:spacing w:after="0"/>
              <w:rPr>
                <w:sz w:val="20"/>
                <w:szCs w:val="20"/>
                <w:color w:val="auto"/>
              </w:rPr>
            </w:pPr>
            <w:r>
              <w:rPr>
                <w:rFonts w:ascii="Arial" w:cs="Arial" w:eastAsia="Arial" w:hAnsi="Arial"/>
                <w:sz w:val="15"/>
                <w:szCs w:val="15"/>
                <w:color w:val="auto"/>
                <w:w w:val="82"/>
              </w:rPr>
              <w:t>$ 14,456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644,456</w:t>
            </w:r>
          </w:p>
        </w:tc>
        <w:tc>
          <w:tcPr>
            <w:tcW w:w="0" w:type="dxa"/>
            <w:vAlign w:val="bottom"/>
          </w:tcPr>
          <w:p>
            <w:pPr>
              <w:spacing w:after="0"/>
              <w:rPr>
                <w:sz w:val="1"/>
                <w:szCs w:val="1"/>
                <w:color w:val="auto"/>
              </w:rPr>
            </w:pPr>
          </w:p>
        </w:tc>
      </w:tr>
      <w:tr>
        <w:trPr>
          <w:trHeight w:val="186"/>
        </w:trPr>
        <w:tc>
          <w:tcPr>
            <w:tcW w:w="1720" w:type="dxa"/>
            <w:vAlign w:val="bottom"/>
            <w:gridSpan w:val="2"/>
          </w:tcPr>
          <w:p>
            <w:pPr>
              <w:ind w:left="160"/>
              <w:spacing w:after="0"/>
              <w:rPr>
                <w:sz w:val="20"/>
                <w:szCs w:val="20"/>
                <w:color w:val="auto"/>
              </w:rPr>
            </w:pPr>
            <w:r>
              <w:rPr>
                <w:rFonts w:ascii="Arial" w:cs="Arial" w:eastAsia="Arial" w:hAnsi="Arial"/>
                <w:sz w:val="15"/>
                <w:szCs w:val="15"/>
                <w:color w:val="auto"/>
              </w:rPr>
              <w:t>President and Chief</w:t>
            </w:r>
          </w:p>
        </w:tc>
        <w:tc>
          <w:tcPr>
            <w:tcW w:w="540" w:type="dxa"/>
            <w:vAlign w:val="bottom"/>
            <w:gridSpan w:val="3"/>
          </w:tcPr>
          <w:p>
            <w:pPr>
              <w:jc w:val="center"/>
              <w:ind w:right="40"/>
              <w:spacing w:after="0"/>
              <w:rPr>
                <w:sz w:val="20"/>
                <w:szCs w:val="20"/>
                <w:color w:val="auto"/>
              </w:rPr>
            </w:pPr>
            <w:r>
              <w:rPr>
                <w:rFonts w:ascii="Arial" w:cs="Arial" w:eastAsia="Arial" w:hAnsi="Arial"/>
                <w:sz w:val="15"/>
                <w:szCs w:val="15"/>
                <w:color w:val="auto"/>
                <w:w w:val="89"/>
              </w:rPr>
              <w:t>2019</w:t>
            </w:r>
          </w:p>
        </w:tc>
        <w:tc>
          <w:tcPr>
            <w:tcW w:w="7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$360,000</w:t>
            </w:r>
          </w:p>
        </w:tc>
        <w:tc>
          <w:tcPr>
            <w:tcW w:w="720" w:type="dxa"/>
            <w:vAlign w:val="bottom"/>
            <w:gridSpan w:val="3"/>
          </w:tcPr>
          <w:p>
            <w:pPr>
              <w:jc w:val="right"/>
              <w:ind w:right="160"/>
              <w:spacing w:after="0"/>
              <w:rPr>
                <w:sz w:val="20"/>
                <w:szCs w:val="20"/>
                <w:color w:val="auto"/>
              </w:rPr>
            </w:pPr>
            <w:r>
              <w:rPr>
                <w:rFonts w:ascii="Arial" w:cs="Arial" w:eastAsia="Arial" w:hAnsi="Arial"/>
                <w:sz w:val="15"/>
                <w:szCs w:val="15"/>
                <w:color w:val="auto"/>
                <w:w w:val="86"/>
              </w:rPr>
              <w:t>$182,275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549,098</w:t>
            </w:r>
          </w:p>
        </w:tc>
        <w:tc>
          <w:tcPr>
            <w:tcW w:w="720" w:type="dxa"/>
            <w:vAlign w:val="bottom"/>
          </w:tcPr>
          <w:p>
            <w:pPr>
              <w:jc w:val="center"/>
              <w:spacing w:after="0"/>
              <w:rPr>
                <w:sz w:val="20"/>
                <w:szCs w:val="20"/>
                <w:color w:val="auto"/>
              </w:rPr>
            </w:pPr>
            <w:r>
              <w:rPr>
                <w:rFonts w:ascii="Arial" w:cs="Arial" w:eastAsia="Arial" w:hAnsi="Arial"/>
                <w:sz w:val="15"/>
                <w:szCs w:val="15"/>
                <w:color w:val="auto"/>
                <w:w w:val="82"/>
              </w:rPr>
              <w:t>$ 17,662</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83"/>
              </w:rPr>
              <w:t>1,109,035</w:t>
            </w:r>
          </w:p>
        </w:tc>
        <w:tc>
          <w:tcPr>
            <w:tcW w:w="0" w:type="dxa"/>
            <w:vAlign w:val="bottom"/>
          </w:tcPr>
          <w:p>
            <w:pPr>
              <w:spacing w:after="0"/>
              <w:rPr>
                <w:sz w:val="1"/>
                <w:szCs w:val="1"/>
                <w:color w:val="auto"/>
              </w:rPr>
            </w:pPr>
          </w:p>
        </w:tc>
      </w:tr>
      <w:tr>
        <w:trPr>
          <w:trHeight w:val="192"/>
        </w:trPr>
        <w:tc>
          <w:tcPr>
            <w:tcW w:w="1720" w:type="dxa"/>
            <w:vAlign w:val="bottom"/>
            <w:gridSpan w:val="2"/>
          </w:tcPr>
          <w:p>
            <w:pPr>
              <w:ind w:left="160"/>
              <w:spacing w:after="0"/>
              <w:rPr>
                <w:sz w:val="20"/>
                <w:szCs w:val="20"/>
                <w:color w:val="auto"/>
              </w:rPr>
            </w:pPr>
            <w:r>
              <w:rPr>
                <w:rFonts w:ascii="Arial" w:cs="Arial" w:eastAsia="Arial" w:hAnsi="Arial"/>
                <w:sz w:val="15"/>
                <w:szCs w:val="15"/>
                <w:color w:val="auto"/>
              </w:rPr>
              <w:t>Financial Officer</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Gregory Mays</w:t>
            </w:r>
            <w:r>
              <w:rPr>
                <w:rFonts w:ascii="Arial" w:cs="Arial" w:eastAsia="Arial" w:hAnsi="Arial"/>
                <w:sz w:val="19"/>
                <w:szCs w:val="19"/>
                <w:color w:val="auto"/>
                <w:vertAlign w:val="superscript"/>
              </w:rPr>
              <w:t>(1)</w:t>
            </w: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9"/>
              </w:rPr>
              <w:t>2020</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$300,000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1"/>
              </w:rPr>
              <w:t>56,250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56,194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$ 14,663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427,107</w:t>
            </w: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Chief Operating Officer</w:t>
            </w: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9"/>
              </w:rPr>
              <w:t>2019</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$162,500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1"/>
              </w:rPr>
              <w:t>91,300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988,950</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2"/>
              </w:rPr>
              <w:t>$ 90,038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1,332,788</w:t>
            </w:r>
          </w:p>
        </w:tc>
        <w:tc>
          <w:tcPr>
            <w:tcW w:w="0" w:type="dxa"/>
            <w:vAlign w:val="bottom"/>
          </w:tcPr>
          <w:p>
            <w:pPr>
              <w:spacing w:after="0"/>
              <w:rPr>
                <w:sz w:val="1"/>
                <w:szCs w:val="1"/>
                <w:color w:val="auto"/>
              </w:rPr>
            </w:pPr>
          </w:p>
        </w:tc>
      </w:tr>
      <w:tr>
        <w:trPr>
          <w:trHeight w:val="66"/>
        </w:trPr>
        <w:tc>
          <w:tcPr>
            <w:tcW w:w="1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-1003935</wp:posOffset>
            </wp:positionV>
            <wp:extent cx="11176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-1003935</wp:posOffset>
            </wp:positionV>
            <wp:extent cx="10477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-1003935</wp:posOffset>
            </wp:positionV>
            <wp:extent cx="97790"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-1003935</wp:posOffset>
            </wp:positionV>
            <wp:extent cx="9779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-1003935</wp:posOffset>
            </wp:positionV>
            <wp:extent cx="9779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-1003935</wp:posOffset>
            </wp:positionV>
            <wp:extent cx="9779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-1003935</wp:posOffset>
            </wp:positionV>
            <wp:extent cx="97790"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ind w:left="1460" w:hanging="296"/>
        <w:spacing w:after="0"/>
        <w:tabs>
          <w:tab w:leader="none" w:pos="1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Mr. Mays was hired in June 2019.</w:t>
      </w:r>
    </w:p>
    <w:p>
      <w:pPr>
        <w:spacing w:after="0" w:line="58" w:lineRule="exact"/>
        <w:rPr>
          <w:rFonts w:ascii="Arial" w:cs="Arial" w:eastAsia="Arial" w:hAnsi="Arial"/>
          <w:sz w:val="15"/>
          <w:szCs w:val="15"/>
          <w:color w:val="auto"/>
        </w:rPr>
      </w:pPr>
    </w:p>
    <w:p>
      <w:pPr>
        <w:ind w:left="1460" w:hanging="296"/>
        <w:spacing w:after="0"/>
        <w:tabs>
          <w:tab w:leader="none" w:pos="1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an award of fully vested stock.</w:t>
      </w:r>
    </w:p>
    <w:p>
      <w:pPr>
        <w:spacing w:after="0" w:line="47" w:lineRule="exact"/>
        <w:rPr>
          <w:rFonts w:ascii="Arial" w:cs="Arial" w:eastAsia="Arial" w:hAnsi="Arial"/>
          <w:sz w:val="14"/>
          <w:szCs w:val="14"/>
          <w:color w:val="auto"/>
        </w:rPr>
      </w:pPr>
    </w:p>
    <w:p>
      <w:pPr>
        <w:ind w:left="1460" w:right="1259" w:hanging="296"/>
        <w:spacing w:after="0" w:line="237" w:lineRule="auto"/>
        <w:tabs>
          <w:tab w:leader="none" w:pos="1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stock option computed in accordance with Accounting Standards Codification 718 Compensation—Stock Compensation (“ASC 718”). See Note 11 to our audited consolidated financial statements included elsewhere in this prospectus for the assumptions used in calculating this amount. These options were originally granted as options to purchase SCA common stock and were converted into options to purchase common stock in connection with the Reorganization Transactions.</w:t>
      </w:r>
    </w:p>
    <w:p>
      <w:pPr>
        <w:spacing w:after="0" w:line="34" w:lineRule="exact"/>
        <w:rPr>
          <w:rFonts w:ascii="Arial" w:cs="Arial" w:eastAsia="Arial" w:hAnsi="Arial"/>
          <w:sz w:val="14"/>
          <w:szCs w:val="14"/>
          <w:color w:val="auto"/>
        </w:rPr>
      </w:pPr>
    </w:p>
    <w:p>
      <w:pPr>
        <w:ind w:left="1460" w:right="1219" w:hanging="296"/>
        <w:spacing w:after="0" w:line="232" w:lineRule="auto"/>
        <w:tabs>
          <w:tab w:leader="none" w:pos="1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each of our NEOs, the amounts under “All Other Compensation” for fiscal year 2019 represent the Company’s contributions in respect of life insurance and our 401(k) Plan ($11,258 for Mr. Bricker, $11,258 for Mr. Davis and $5,534 for Mr. Mays), annual cell phone allowance ($720 for Mr. Bricker, $720 for Mr. Davis and $360 for Mr. Mays), payment for relocation expenses for Mr. Mays ($81,123) and flight benefits under our Air Travel Plan (“ATP”). For fiscal year 2020, the amounts reflect the Company’s contributions in respect of life insurance and our 401(k) Plan ($11,258 for Mr. Bricker, $11,458 for Mr. Davis and $11,210 for Mr. Mays), annual cell phone allowance ($720 for Messrs. Bricker, Davis and Mays) and flight benefits under our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2019, each NEO received a travel bank under the ATP ($15,000 for Mr. Bricker and $12,500 for Messrs. Davis and Mays). As the ATP benefit utilized by the executive is taxable income to the NEOs and the Company pays such taxes on a grossed up basis, the amounts reflected under “All Other Compensation” in respect of the ATP benefit utilized were adjusted to $16,993, $5,684 and $3,021 for Messrs. Bricker, Davis and Mays, respectively. For fiscal 2020, each NEO also received a travel bank under the ATP ($15,000 for Mr. Bricker and $12,500 for</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2" w:name="page153"/>
    <w:bookmarkEnd w:id="15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60" w:right="1279"/>
        <w:spacing w:after="0" w:line="306" w:lineRule="auto"/>
        <w:rPr>
          <w:sz w:val="20"/>
          <w:szCs w:val="20"/>
          <w:color w:val="auto"/>
        </w:rPr>
      </w:pPr>
      <w:r>
        <w:rPr>
          <w:rFonts w:ascii="Arial" w:cs="Arial" w:eastAsia="Arial" w:hAnsi="Arial"/>
          <w:sz w:val="13"/>
          <w:szCs w:val="13"/>
          <w:color w:val="auto"/>
        </w:rPr>
        <w:t>Messrs., Davis and Mays) . The amounts reflected in respect of the ATP benefit utilized for fiscal 2020 were adjusted to $11,799, $2,278 and $2,733 for Messrs., Bricker, Davis and Mays, respectively.</w:t>
      </w:r>
    </w:p>
    <w:p>
      <w:pPr>
        <w:spacing w:after="0" w:line="10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Employment Agreements with Named Executive Officers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Jude Bricker Employment Agreement</w:t>
      </w:r>
    </w:p>
    <w:p>
      <w:pPr>
        <w:spacing w:after="0" w:line="113"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We entered into a second amended and restated employment agreement with Jude Bricker to serve as Chief Executive Officer of the Company, dated as of November 7, 2018. The agreement extends for an initial term of five years from April 11, 2018 until April 11, 2023, and shall thereafter be automatically extended for successive one-year periods, unless either party provides written notice of non-renewal at least 90 days prior to the expiration of the initial term or any extended term. Pursuant to the employment agreement, Mr. Bricker’s annual base salary shall be no less than $200,000 and Mr. Bricker shall be eligible to receive a non-discretionary annual bonus equal to $60,000, and a discretionary performance-based annual bonus with a target equal to 200% of his annual base salary.</w:t>
      </w:r>
    </w:p>
    <w:p>
      <w:pPr>
        <w:spacing w:after="0" w:line="92"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In connection with Mr. Bricker’s agreement, Mr. Bricker received an option to purchase shares of SCA common stock equal to 3% of the fully diluted total outstanding shares of SCA common stock, subject to the terms and conditions set forth in the SCA Acquisition Equity Plan and a nonqualified stock option agreement thereunder. 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was repaid in February 2021.</w:t>
      </w:r>
    </w:p>
    <w:p>
      <w:pPr>
        <w:spacing w:after="0" w:line="102" w:lineRule="exact"/>
        <w:rPr>
          <w:sz w:val="20"/>
          <w:szCs w:val="20"/>
          <w:color w:val="auto"/>
        </w:rPr>
      </w:pPr>
    </w:p>
    <w:p>
      <w:pPr>
        <w:ind w:left="1160" w:right="1259" w:firstLine="293"/>
        <w:spacing w:after="0" w:line="254" w:lineRule="auto"/>
        <w:rPr>
          <w:sz w:val="20"/>
          <w:szCs w:val="20"/>
          <w:color w:val="auto"/>
        </w:rPr>
      </w:pPr>
      <w:r>
        <w:rPr>
          <w:rFonts w:ascii="Arial" w:cs="Arial" w:eastAsia="Arial" w:hAnsi="Arial"/>
          <w:sz w:val="14"/>
          <w:szCs w:val="14"/>
          <w:color w:val="auto"/>
        </w:rPr>
        <w:t>Mr. Bricker is also entitled to travel benefits, including an annual credit of $15,000 in his ATP account for personal travel on Company scheduled flights for him and certain qualifying friends and family.</w:t>
      </w:r>
    </w:p>
    <w:p>
      <w:pPr>
        <w:spacing w:after="0" w:line="1" w:lineRule="exact"/>
        <w:rPr>
          <w:sz w:val="20"/>
          <w:szCs w:val="20"/>
          <w:color w:val="auto"/>
        </w:rPr>
      </w:pPr>
    </w:p>
    <w:p>
      <w:pPr>
        <w:ind w:left="1160" w:right="1259"/>
        <w:spacing w:after="0" w:line="252" w:lineRule="auto"/>
        <w:rPr>
          <w:sz w:val="20"/>
          <w:szCs w:val="20"/>
          <w:color w:val="auto"/>
        </w:rPr>
      </w:pPr>
      <w:r>
        <w:rPr>
          <w:rFonts w:ascii="Arial" w:cs="Arial" w:eastAsia="Arial" w:hAnsi="Arial"/>
          <w:sz w:val="14"/>
          <w:szCs w:val="14"/>
          <w:color w:val="auto"/>
        </w:rPr>
        <w:t>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spacing w:after="0" w:line="81" w:lineRule="exact"/>
        <w:rPr>
          <w:sz w:val="20"/>
          <w:szCs w:val="20"/>
          <w:color w:val="auto"/>
        </w:rPr>
      </w:pPr>
    </w:p>
    <w:p>
      <w:pPr>
        <w:ind w:left="1160" w:right="1399" w:firstLine="293"/>
        <w:spacing w:after="0" w:line="294" w:lineRule="auto"/>
        <w:rPr>
          <w:sz w:val="20"/>
          <w:szCs w:val="20"/>
          <w:color w:val="auto"/>
        </w:rPr>
      </w:pPr>
      <w:r>
        <w:rPr>
          <w:rFonts w:ascii="Arial" w:cs="Arial" w:eastAsia="Arial" w:hAnsi="Arial"/>
          <w:sz w:val="13"/>
          <w:szCs w:val="13"/>
          <w:color w:val="auto"/>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Arial" w:cs="Arial" w:eastAsia="Arial" w:hAnsi="Arial"/>
          <w:sz w:val="13"/>
          <w:szCs w:val="13"/>
          <w:i w:val="1"/>
          <w:iCs w:val="1"/>
          <w:color w:val="auto"/>
        </w:rPr>
        <w:t>Potential Payments upon Termination</w:t>
      </w:r>
      <w:r>
        <w:rPr>
          <w:rFonts w:ascii="Arial" w:cs="Arial" w:eastAsia="Arial" w:hAnsi="Arial"/>
          <w:sz w:val="13"/>
          <w:szCs w:val="13"/>
          <w:color w:val="auto"/>
        </w:rPr>
        <w:t>.”</w:t>
      </w:r>
    </w:p>
    <w:p>
      <w:pPr>
        <w:spacing w:after="0" w:line="66"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Mr. Bricker is subject to restrictive covenants, including non-competition during employment and for</w:t>
      </w:r>
    </w:p>
    <w:p>
      <w:pPr>
        <w:spacing w:after="0" w:line="16" w:lineRule="exact"/>
        <w:rPr>
          <w:sz w:val="20"/>
          <w:szCs w:val="20"/>
          <w:color w:val="auto"/>
        </w:rPr>
      </w:pPr>
    </w:p>
    <w:p>
      <w:pPr>
        <w:ind w:left="1160" w:right="1259" w:firstLine="4"/>
        <w:spacing w:after="0" w:line="255" w:lineRule="auto"/>
        <w:tabs>
          <w:tab w:leader="none" w:pos="1352" w:val="left"/>
        </w:tabs>
        <w:numPr>
          <w:ilvl w:val="0"/>
          <w:numId w:val="67"/>
        </w:numPr>
        <w:rPr>
          <w:rFonts w:ascii="Arial" w:cs="Arial" w:eastAsia="Arial" w:hAnsi="Arial"/>
          <w:sz w:val="14"/>
          <w:szCs w:val="14"/>
          <w:color w:val="auto"/>
        </w:rPr>
      </w:pPr>
      <w:r>
        <w:rPr>
          <w:rFonts w:ascii="Arial" w:cs="Arial" w:eastAsia="Arial" w:hAnsi="Arial"/>
          <w:sz w:val="14"/>
          <w:szCs w:val="14"/>
          <w:color w:val="auto"/>
        </w:rPr>
        <w:t>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Dave Davis Employment Agreement</w:t>
      </w:r>
    </w:p>
    <w:p>
      <w:pPr>
        <w:spacing w:after="0" w:line="12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Sun Country, Inc. entered into an employment agreement with Dave Davis to serve as Chief Financial Officer, effective as of April 11, 2018. Mr. Davis was thereafter promoted to President and Chief Financial Officer effective November 5, 2019. The agreement extends for a term of five years, until April 11, 2023. Pursuant to the employment agreement, Mr. Davis’ annual base salary shall be no less than $ 420,000 until March 31, 2019 and, beginning April 1, 2019, shall be no less than $360,000. Mr. Davis was eligible to receive a bonus of $168,666 for the calendar year ending December 31, 2018 and, for calendar years 2019 and thereafter, a discretionary annual bonus with a target equal to 75% of his base salary; provided, however, that for calendar year 2019, one-half of the target amount ($135,000) shall be guaranteed and paid to Mr. Davis during the calendar year in equal installments, and during each successive year of the employment term, Mr. Davis may request, subject to approval by the chief executive officer and the board of directors, a portion of his discretionary annual bonus to become guaranteed and payable.</w:t>
      </w:r>
    </w:p>
    <w:p>
      <w:pPr>
        <w:spacing w:after="0" w:line="85" w:lineRule="exact"/>
        <w:rPr>
          <w:sz w:val="20"/>
          <w:szCs w:val="20"/>
          <w:color w:val="auto"/>
        </w:rPr>
      </w:pPr>
    </w:p>
    <w:p>
      <w:pPr>
        <w:ind w:left="1160" w:right="1499" w:firstLine="293"/>
        <w:spacing w:after="0" w:line="235" w:lineRule="auto"/>
        <w:rPr>
          <w:sz w:val="20"/>
          <w:szCs w:val="20"/>
          <w:color w:val="auto"/>
        </w:rPr>
      </w:pPr>
      <w:r>
        <w:rPr>
          <w:rFonts w:ascii="Arial" w:cs="Arial" w:eastAsia="Arial" w:hAnsi="Arial"/>
          <w:sz w:val="15"/>
          <w:szCs w:val="15"/>
          <w:color w:val="auto"/>
        </w:rPr>
        <w:t>In connection with Mr. Davis’ agreement, Mr. Davis received an option to purchase SCA common stock equal to 1.45% of the fully diluted total outstanding SCA common stock, subject to the terms and conditions set forth in the SCA Acquisition Equity Plan and a nonqualified stock option agreement thereunder. Additionally, Mr. Davis had the opportunity to purchase SCA common stock at the same indicative price per share paid by the Apollo Funds.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3" w:name="page154"/>
    <w:bookmarkEnd w:id="15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4"/>
          <w:szCs w:val="14"/>
          <w:color w:val="auto"/>
        </w:rPr>
        <w:t>Mr. Davis is also entitled to travel benefits, including an annual credit of $12,500 in his ATP account for personal travel on Company scheduled flights for him and certain qualifying friends and family.</w:t>
      </w:r>
    </w:p>
    <w:p>
      <w:pPr>
        <w:ind w:left="1160" w:right="1259"/>
        <w:spacing w:after="0" w:line="269" w:lineRule="auto"/>
        <w:rPr>
          <w:sz w:val="20"/>
          <w:szCs w:val="20"/>
          <w:color w:val="auto"/>
        </w:rPr>
      </w:pPr>
      <w:r>
        <w:rPr>
          <w:rFonts w:ascii="Arial" w:cs="Arial" w:eastAsia="Arial" w:hAnsi="Arial"/>
          <w:sz w:val="14"/>
          <w:szCs w:val="14"/>
          <w:color w:val="auto"/>
        </w:rPr>
        <w:t>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spacing w:after="0" w:line="81"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Mr. Davis is subject to restrictive covenants, including non-competition during employment and for</w:t>
      </w:r>
    </w:p>
    <w:p>
      <w:pPr>
        <w:spacing w:after="0" w:line="14" w:lineRule="exact"/>
        <w:rPr>
          <w:sz w:val="20"/>
          <w:szCs w:val="20"/>
          <w:color w:val="auto"/>
        </w:rPr>
      </w:pPr>
    </w:p>
    <w:p>
      <w:pPr>
        <w:ind w:left="1160" w:right="1259" w:firstLine="4"/>
        <w:spacing w:after="0" w:line="273" w:lineRule="auto"/>
        <w:tabs>
          <w:tab w:leader="none" w:pos="1352" w:val="left"/>
        </w:tabs>
        <w:numPr>
          <w:ilvl w:val="0"/>
          <w:numId w:val="68"/>
        </w:numPr>
        <w:rPr>
          <w:rFonts w:ascii="Arial" w:cs="Arial" w:eastAsia="Arial" w:hAnsi="Arial"/>
          <w:sz w:val="14"/>
          <w:szCs w:val="14"/>
          <w:color w:val="auto"/>
        </w:rPr>
      </w:pPr>
      <w:r>
        <w:rPr>
          <w:rFonts w:ascii="Arial" w:cs="Arial" w:eastAsia="Arial" w:hAnsi="Arial"/>
          <w:sz w:val="14"/>
          <w:szCs w:val="14"/>
          <w:color w:val="auto"/>
        </w:rPr>
        <w:t>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Gregory Mays Employment Agreement</w:t>
      </w:r>
    </w:p>
    <w:p>
      <w:pPr>
        <w:spacing w:after="0" w:line="124"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Sun Country, Inc. entered into an employment agreement with Gregory Mays to serve as Chief Operating Officer, effective as of June 3, 2019. The agreement extends for an initial term of five years until June 3, 2024 and provides that it would thereafter be automatically extended for successive one-year periods, unless either party provides written notice of non-renewal at least 90 days prior to the expiration of the initial term or any extended term. Pursuant to the employment agreement, Mr. Mays’ annual base salary shall be no less than $300,000. Mr. Mays shall also be eligible to receive a discretionary annual bonus with a target equal to 75% of his annual base salary. Mr. Mays also received a relocation bonus of $52,000 for his relocation to the Minneapolis, Minnesota area; however, if Mr. Mays resigns from employment for any reason prior to June 3, 2021, he must repay to the Company within 30 days of his termination a prorated portion of the relocation bonus.</w:t>
      </w:r>
    </w:p>
    <w:p>
      <w:pPr>
        <w:spacing w:after="0" w:line="83" w:lineRule="exact"/>
        <w:rPr>
          <w:sz w:val="20"/>
          <w:szCs w:val="20"/>
          <w:color w:val="auto"/>
        </w:rPr>
      </w:pPr>
    </w:p>
    <w:p>
      <w:pPr>
        <w:jc w:val="both"/>
        <w:ind w:left="1160" w:right="1199" w:firstLine="293"/>
        <w:spacing w:after="0" w:line="281" w:lineRule="auto"/>
        <w:rPr>
          <w:sz w:val="20"/>
          <w:szCs w:val="20"/>
          <w:color w:val="auto"/>
        </w:rPr>
      </w:pPr>
      <w:r>
        <w:rPr>
          <w:rFonts w:ascii="Arial" w:cs="Arial" w:eastAsia="Arial" w:hAnsi="Arial"/>
          <w:sz w:val="14"/>
          <w:szCs w:val="14"/>
          <w:color w:val="auto"/>
        </w:rPr>
        <w:t>In connection with Mr. Mays’ agreement, Mr. Mays received an option to purchase SCA common stock equal to 1.0% of the fully diluted total outstanding SCA common stock, subject to the terms and conditions set forth in the SCA Acquisition Equity Plan and a nonqualified stock option agreement thereunder.</w:t>
      </w:r>
    </w:p>
    <w:p>
      <w:pPr>
        <w:spacing w:after="0" w:line="83" w:lineRule="exact"/>
        <w:rPr>
          <w:sz w:val="20"/>
          <w:szCs w:val="20"/>
          <w:color w:val="auto"/>
        </w:rPr>
      </w:pPr>
    </w:p>
    <w:p>
      <w:pPr>
        <w:ind w:left="1160" w:right="1379" w:firstLine="293"/>
        <w:spacing w:after="0" w:line="270" w:lineRule="auto"/>
        <w:rPr>
          <w:sz w:val="20"/>
          <w:szCs w:val="20"/>
          <w:color w:val="auto"/>
        </w:rPr>
      </w:pPr>
      <w:r>
        <w:rPr>
          <w:rFonts w:ascii="Arial" w:cs="Arial" w:eastAsia="Arial" w:hAnsi="Arial"/>
          <w:sz w:val="14"/>
          <w:szCs w:val="14"/>
          <w:color w:val="auto"/>
        </w:rPr>
        <w:t>Mr. Mays is also entitled to travel benefits, including an annual credit of $12,500 in his ATP account for personal travel on Company scheduled flights for him and certain qualifying friends and family.</w:t>
      </w:r>
    </w:p>
    <w:p>
      <w:pPr>
        <w:ind w:left="1160" w:right="1259"/>
        <w:spacing w:after="0" w:line="269" w:lineRule="auto"/>
        <w:rPr>
          <w:sz w:val="20"/>
          <w:szCs w:val="20"/>
          <w:color w:val="auto"/>
        </w:rPr>
      </w:pPr>
      <w:r>
        <w:rPr>
          <w:rFonts w:ascii="Arial" w:cs="Arial" w:eastAsia="Arial" w:hAnsi="Arial"/>
          <w:sz w:val="14"/>
          <w:szCs w:val="14"/>
          <w:color w:val="auto"/>
        </w:rPr>
        <w:t>Mr. Mays may also travel on scheduled Company flights in accordance with the Company’s general employee travel policy, the cost of which is not deducted from Mr. Mays’ ATP account. Upon the earlier of June 3, 2024 or a Change in Control (as defined in the SCA Acquisition Equity Plan), Mr. Mays’ travel benefits will vest for his lifetime and be useable by Mr. Mays for the remainder of his life.</w:t>
      </w:r>
    </w:p>
    <w:p>
      <w:pPr>
        <w:spacing w:after="0" w:line="92"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In addition to the compensation and benefits described herein, Mr. Mays’ employment agreement also provides for compensation and benefits under specified circumstances in connection with the termination of his employment, as described below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w:t>
      </w:r>
    </w:p>
    <w:p>
      <w:pPr>
        <w:spacing w:after="0" w:line="72"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In connection with his employment agreement, Mr. Mays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Mays for a perpetual period of time.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Outstanding Equity Awards at Fiscal Year-End Table</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lists each NEO’s outstanding equity awards at the end of fiscal 2020.</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4" w:name="page155"/>
    <w:bookmarkEnd w:id="15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Outstanding Equity Awards At Fiscal 2020 Year-End</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4"/>
              </w:rPr>
              <w:t>Equity Incentive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2"/>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Plan Awards:</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9"/>
              </w:rPr>
              <w:t>Number of</w:t>
            </w: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0"/>
              </w:rPr>
              <w:t>Securities</w:t>
            </w:r>
          </w:p>
        </w:tc>
        <w:tc>
          <w:tcPr>
            <w:tcW w:w="10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0"/>
              </w:rPr>
              <w:t>Securities</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Underlying</w:t>
            </w:r>
          </w:p>
        </w:tc>
        <w:tc>
          <w:tcPr>
            <w:tcW w:w="10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Underlying</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10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62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7"/>
              </w:rPr>
              <w:t>Option</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Option</w:t>
            </w:r>
          </w:p>
        </w:tc>
      </w:tr>
      <w:tr>
        <w:trPr>
          <w:trHeight w:val="131"/>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2"/>
                <w:szCs w:val="12"/>
                <w:b w:val="1"/>
                <w:bCs w:val="1"/>
                <w:color w:val="auto"/>
                <w:w w:val="85"/>
              </w:rPr>
              <w:t>Options (#)</w:t>
            </w:r>
          </w:p>
        </w:tc>
        <w:tc>
          <w:tcPr>
            <w:tcW w:w="1060" w:type="dxa"/>
            <w:vAlign w:val="bottom"/>
            <w:gridSpan w:val="2"/>
          </w:tcPr>
          <w:p>
            <w:pPr>
              <w:jc w:val="center"/>
              <w:ind w:right="200"/>
              <w:spacing w:after="0" w:line="131" w:lineRule="exact"/>
              <w:rPr>
                <w:sz w:val="20"/>
                <w:szCs w:val="20"/>
                <w:color w:val="auto"/>
              </w:rPr>
            </w:pPr>
            <w:r>
              <w:rPr>
                <w:rFonts w:ascii="Arial" w:cs="Arial" w:eastAsia="Arial" w:hAnsi="Arial"/>
                <w:sz w:val="12"/>
                <w:szCs w:val="12"/>
                <w:b w:val="1"/>
                <w:bCs w:val="1"/>
                <w:color w:val="auto"/>
                <w:w w:val="85"/>
              </w:rPr>
              <w:t>Options (#)</w:t>
            </w:r>
          </w:p>
        </w:tc>
        <w:tc>
          <w:tcPr>
            <w:tcW w:w="1000" w:type="dxa"/>
            <w:vAlign w:val="bottom"/>
            <w:gridSpan w:val="2"/>
          </w:tcPr>
          <w:p>
            <w:pPr>
              <w:jc w:val="center"/>
              <w:ind w:right="200"/>
              <w:spacing w:after="0" w:line="131" w:lineRule="exact"/>
              <w:rPr>
                <w:sz w:val="20"/>
                <w:szCs w:val="20"/>
                <w:color w:val="auto"/>
              </w:rPr>
            </w:pPr>
            <w:r>
              <w:rPr>
                <w:rFonts w:ascii="Arial" w:cs="Arial" w:eastAsia="Arial" w:hAnsi="Arial"/>
                <w:sz w:val="12"/>
                <w:szCs w:val="12"/>
                <w:b w:val="1"/>
                <w:bCs w:val="1"/>
                <w:color w:val="auto"/>
                <w:w w:val="86"/>
              </w:rPr>
              <w:t>Unearned</w:t>
            </w:r>
          </w:p>
        </w:tc>
        <w:tc>
          <w:tcPr>
            <w:tcW w:w="620" w:type="dxa"/>
            <w:vAlign w:val="bottom"/>
            <w:gridSpan w:val="2"/>
          </w:tcPr>
          <w:p>
            <w:pPr>
              <w:jc w:val="center"/>
              <w:ind w:right="180"/>
              <w:spacing w:after="0" w:line="131" w:lineRule="exact"/>
              <w:rPr>
                <w:sz w:val="20"/>
                <w:szCs w:val="20"/>
                <w:color w:val="auto"/>
              </w:rPr>
            </w:pPr>
            <w:r>
              <w:rPr>
                <w:rFonts w:ascii="Arial" w:cs="Arial" w:eastAsia="Arial" w:hAnsi="Arial"/>
                <w:sz w:val="12"/>
                <w:szCs w:val="12"/>
                <w:b w:val="1"/>
                <w:bCs w:val="1"/>
                <w:color w:val="auto"/>
                <w:w w:val="80"/>
              </w:rPr>
              <w:t>Exercise</w:t>
            </w:r>
          </w:p>
        </w:tc>
        <w:tc>
          <w:tcPr>
            <w:tcW w:w="68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88"/>
              </w:rPr>
              <w:t>Expiration</w:t>
            </w:r>
          </w:p>
        </w:tc>
      </w:tr>
      <w:tr>
        <w:trPr>
          <w:trHeight w:val="172"/>
        </w:trPr>
        <w:tc>
          <w:tcPr>
            <w:tcW w:w="2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Executive</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Exercisable</w:t>
            </w: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Unexercisable</w:t>
            </w:r>
            <w:r>
              <w:rPr>
                <w:rFonts w:ascii="Arial" w:cs="Arial" w:eastAsia="Arial" w:hAnsi="Arial"/>
                <w:sz w:val="14"/>
                <w:szCs w:val="14"/>
                <w:b w:val="1"/>
                <w:bCs w:val="1"/>
                <w:color w:val="auto"/>
                <w:w w:val="80"/>
                <w:vertAlign w:val="superscript"/>
              </w:rPr>
              <w:t>(2)(3)</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Options (#)</w:t>
            </w:r>
            <w:r>
              <w:rPr>
                <w:rFonts w:ascii="Arial" w:cs="Arial" w:eastAsia="Arial" w:hAnsi="Arial"/>
                <w:sz w:val="14"/>
                <w:szCs w:val="14"/>
                <w:b w:val="1"/>
                <w:bCs w:val="1"/>
                <w:color w:val="auto"/>
                <w:w w:val="81"/>
                <w:vertAlign w:val="superscript"/>
              </w:rPr>
              <w:t>(2)(4)</w:t>
            </w: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Price ($)</w:t>
            </w: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Date</w:t>
            </w:r>
          </w:p>
        </w:tc>
      </w:tr>
      <w:tr>
        <w:trPr>
          <w:trHeight w:val="178"/>
        </w:trPr>
        <w:tc>
          <w:tcPr>
            <w:tcW w:w="25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Jude Bricker</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w w:val="95"/>
              </w:rPr>
              <w:t>310,319</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56"/>
              <w:spacing w:after="0"/>
              <w:rPr>
                <w:sz w:val="20"/>
                <w:szCs w:val="20"/>
                <w:color w:val="auto"/>
              </w:rPr>
            </w:pPr>
            <w:r>
              <w:rPr>
                <w:rFonts w:ascii="Arial" w:cs="Arial" w:eastAsia="Arial" w:hAnsi="Arial"/>
                <w:sz w:val="15"/>
                <w:szCs w:val="15"/>
                <w:color w:val="auto"/>
              </w:rPr>
              <w:t>310,319</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rPr>
              <w:t>991,409</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11/21/2028</w:t>
            </w:r>
          </w:p>
        </w:tc>
      </w:tr>
      <w:tr>
        <w:trPr>
          <w:trHeight w:val="198"/>
        </w:trPr>
        <w:tc>
          <w:tcPr>
            <w:tcW w:w="2520" w:type="dxa"/>
            <w:vAlign w:val="bottom"/>
            <w:gridSpan w:val="2"/>
          </w:tcPr>
          <w:p>
            <w:pPr>
              <w:spacing w:after="0" w:line="198" w:lineRule="exact"/>
              <w:rPr>
                <w:sz w:val="20"/>
                <w:szCs w:val="20"/>
                <w:color w:val="auto"/>
              </w:rPr>
            </w:pPr>
            <w:r>
              <w:rPr>
                <w:rFonts w:ascii="Arial" w:cs="Arial" w:eastAsia="Arial" w:hAnsi="Arial"/>
                <w:sz w:val="15"/>
                <w:szCs w:val="15"/>
                <w:b w:val="1"/>
                <w:bCs w:val="1"/>
                <w:color w:val="auto"/>
              </w:rPr>
              <w:t>Dave Davis</w:t>
            </w:r>
            <w:r>
              <w:rPr>
                <w:rFonts w:ascii="Arial" w:cs="Arial" w:eastAsia="Arial" w:hAnsi="Arial"/>
                <w:sz w:val="19"/>
                <w:szCs w:val="19"/>
                <w:b w:val="1"/>
                <w:bCs w:val="1"/>
                <w:color w:val="auto"/>
                <w:vertAlign w:val="superscript"/>
              </w:rPr>
              <w:t>(1)</w:t>
            </w:r>
          </w:p>
        </w:tc>
        <w:tc>
          <w:tcPr>
            <w:tcW w:w="620" w:type="dxa"/>
            <w:vAlign w:val="bottom"/>
          </w:tcPr>
          <w:p>
            <w:pPr>
              <w:jc w:val="right"/>
              <w:ind w:right="16"/>
              <w:spacing w:after="0"/>
              <w:rPr>
                <w:sz w:val="20"/>
                <w:szCs w:val="20"/>
                <w:color w:val="auto"/>
              </w:rPr>
            </w:pPr>
            <w:r>
              <w:rPr>
                <w:rFonts w:ascii="Arial" w:cs="Arial" w:eastAsia="Arial" w:hAnsi="Arial"/>
                <w:sz w:val="15"/>
                <w:szCs w:val="15"/>
                <w:color w:val="auto"/>
                <w:w w:val="95"/>
              </w:rPr>
              <w:t>124,127</w:t>
            </w:r>
          </w:p>
        </w:tc>
        <w:tc>
          <w:tcPr>
            <w:tcW w:w="180" w:type="dxa"/>
            <w:vAlign w:val="bottom"/>
          </w:tcPr>
          <w:p>
            <w:pPr>
              <w:spacing w:after="0"/>
              <w:rPr>
                <w:sz w:val="17"/>
                <w:szCs w:val="17"/>
                <w:color w:val="auto"/>
              </w:rPr>
            </w:pPr>
          </w:p>
        </w:tc>
        <w:tc>
          <w:tcPr>
            <w:tcW w:w="900" w:type="dxa"/>
            <w:vAlign w:val="bottom"/>
          </w:tcPr>
          <w:p>
            <w:pPr>
              <w:jc w:val="right"/>
              <w:ind w:right="156"/>
              <w:spacing w:after="0"/>
              <w:rPr>
                <w:sz w:val="20"/>
                <w:szCs w:val="20"/>
                <w:color w:val="auto"/>
              </w:rPr>
            </w:pPr>
            <w:r>
              <w:rPr>
                <w:rFonts w:ascii="Arial" w:cs="Arial" w:eastAsia="Arial" w:hAnsi="Arial"/>
                <w:sz w:val="15"/>
                <w:szCs w:val="15"/>
                <w:color w:val="auto"/>
              </w:rPr>
              <w:t>124,128</w:t>
            </w:r>
          </w:p>
        </w:tc>
        <w:tc>
          <w:tcPr>
            <w:tcW w:w="160" w:type="dxa"/>
            <w:vAlign w:val="bottom"/>
          </w:tcPr>
          <w:p>
            <w:pPr>
              <w:spacing w:after="0"/>
              <w:rPr>
                <w:sz w:val="17"/>
                <w:szCs w:val="17"/>
                <w:color w:val="auto"/>
              </w:rPr>
            </w:pPr>
          </w:p>
        </w:tc>
        <w:tc>
          <w:tcPr>
            <w:tcW w:w="840" w:type="dxa"/>
            <w:vAlign w:val="bottom"/>
          </w:tcPr>
          <w:p>
            <w:pPr>
              <w:jc w:val="right"/>
              <w:ind w:right="117"/>
              <w:spacing w:after="0"/>
              <w:rPr>
                <w:sz w:val="20"/>
                <w:szCs w:val="20"/>
                <w:color w:val="auto"/>
              </w:rPr>
            </w:pPr>
            <w:r>
              <w:rPr>
                <w:rFonts w:ascii="Arial" w:cs="Arial" w:eastAsia="Arial" w:hAnsi="Arial"/>
                <w:sz w:val="15"/>
                <w:szCs w:val="15"/>
                <w:color w:val="auto"/>
              </w:rPr>
              <w:t>396,563</w:t>
            </w:r>
          </w:p>
        </w:tc>
        <w:tc>
          <w:tcPr>
            <w:tcW w:w="16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4/17/2028</w:t>
            </w:r>
          </w:p>
        </w:tc>
      </w:tr>
      <w:tr>
        <w:trPr>
          <w:trHeight w:val="176"/>
        </w:trPr>
        <w:tc>
          <w:tcPr>
            <w:tcW w:w="2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rPr>
              <w:t>12,929</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56"/>
              <w:spacing w:after="0"/>
              <w:rPr>
                <w:sz w:val="20"/>
                <w:szCs w:val="20"/>
                <w:color w:val="auto"/>
              </w:rPr>
            </w:pPr>
            <w:r>
              <w:rPr>
                <w:rFonts w:ascii="Arial" w:cs="Arial" w:eastAsia="Arial" w:hAnsi="Arial"/>
                <w:sz w:val="15"/>
                <w:szCs w:val="15"/>
                <w:color w:val="auto"/>
              </w:rPr>
              <w:t>38,790</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rPr>
              <w:t>82,616</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$15.17</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11/19/2029</w:t>
            </w:r>
          </w:p>
        </w:tc>
      </w:tr>
      <w:tr>
        <w:trPr>
          <w:trHeight w:val="209"/>
        </w:trPr>
        <w:tc>
          <w:tcPr>
            <w:tcW w:w="2520" w:type="dxa"/>
            <w:vAlign w:val="bottom"/>
            <w:gridSpan w:val="2"/>
          </w:tcPr>
          <w:p>
            <w:pPr>
              <w:spacing w:after="0"/>
              <w:rPr>
                <w:sz w:val="20"/>
                <w:szCs w:val="20"/>
                <w:color w:val="auto"/>
              </w:rPr>
            </w:pPr>
            <w:r>
              <w:rPr>
                <w:rFonts w:ascii="Arial" w:cs="Arial" w:eastAsia="Arial" w:hAnsi="Arial"/>
                <w:sz w:val="15"/>
                <w:szCs w:val="15"/>
                <w:b w:val="1"/>
                <w:bCs w:val="1"/>
                <w:color w:val="auto"/>
              </w:rPr>
              <w:t>Gregory Mays</w:t>
            </w:r>
          </w:p>
        </w:tc>
        <w:tc>
          <w:tcPr>
            <w:tcW w:w="620" w:type="dxa"/>
            <w:vAlign w:val="bottom"/>
          </w:tcPr>
          <w:p>
            <w:pPr>
              <w:jc w:val="right"/>
              <w:ind w:right="16"/>
              <w:spacing w:after="0"/>
              <w:rPr>
                <w:sz w:val="20"/>
                <w:szCs w:val="20"/>
                <w:color w:val="auto"/>
              </w:rPr>
            </w:pPr>
            <w:r>
              <w:rPr>
                <w:rFonts w:ascii="Arial" w:cs="Arial" w:eastAsia="Arial" w:hAnsi="Arial"/>
                <w:sz w:val="15"/>
                <w:szCs w:val="15"/>
                <w:color w:val="auto"/>
              </w:rPr>
              <w:t>51,719</w:t>
            </w:r>
          </w:p>
        </w:tc>
        <w:tc>
          <w:tcPr>
            <w:tcW w:w="180" w:type="dxa"/>
            <w:vAlign w:val="bottom"/>
          </w:tcPr>
          <w:p>
            <w:pPr>
              <w:spacing w:after="0"/>
              <w:rPr>
                <w:sz w:val="18"/>
                <w:szCs w:val="18"/>
                <w:color w:val="auto"/>
              </w:rPr>
            </w:pPr>
          </w:p>
        </w:tc>
        <w:tc>
          <w:tcPr>
            <w:tcW w:w="900" w:type="dxa"/>
            <w:vAlign w:val="bottom"/>
          </w:tcPr>
          <w:p>
            <w:pPr>
              <w:jc w:val="right"/>
              <w:ind w:right="156"/>
              <w:spacing w:after="0"/>
              <w:rPr>
                <w:sz w:val="20"/>
                <w:szCs w:val="20"/>
                <w:color w:val="auto"/>
              </w:rPr>
            </w:pPr>
            <w:r>
              <w:rPr>
                <w:rFonts w:ascii="Arial" w:cs="Arial" w:eastAsia="Arial" w:hAnsi="Arial"/>
                <w:sz w:val="15"/>
                <w:szCs w:val="15"/>
                <w:color w:val="auto"/>
              </w:rPr>
              <w:t>155,160</w:t>
            </w:r>
          </w:p>
        </w:tc>
        <w:tc>
          <w:tcPr>
            <w:tcW w:w="160" w:type="dxa"/>
            <w:vAlign w:val="bottom"/>
          </w:tcPr>
          <w:p>
            <w:pPr>
              <w:spacing w:after="0"/>
              <w:rPr>
                <w:sz w:val="18"/>
                <w:szCs w:val="18"/>
                <w:color w:val="auto"/>
              </w:rPr>
            </w:pPr>
          </w:p>
        </w:tc>
        <w:tc>
          <w:tcPr>
            <w:tcW w:w="840" w:type="dxa"/>
            <w:vAlign w:val="bottom"/>
          </w:tcPr>
          <w:p>
            <w:pPr>
              <w:jc w:val="right"/>
              <w:ind w:right="117"/>
              <w:spacing w:after="0"/>
              <w:rPr>
                <w:sz w:val="20"/>
                <w:szCs w:val="20"/>
                <w:color w:val="auto"/>
              </w:rPr>
            </w:pPr>
            <w:r>
              <w:rPr>
                <w:rFonts w:ascii="Arial" w:cs="Arial" w:eastAsia="Arial" w:hAnsi="Arial"/>
                <w:sz w:val="15"/>
                <w:szCs w:val="15"/>
                <w:color w:val="auto"/>
              </w:rPr>
              <w:t>330,469</w:t>
            </w:r>
          </w:p>
        </w:tc>
        <w:tc>
          <w:tcPr>
            <w:tcW w:w="1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7/1/2029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-494665</wp:posOffset>
            </wp:positionV>
            <wp:extent cx="11176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-494665</wp:posOffset>
            </wp:positionV>
            <wp:extent cx="11176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-494665</wp:posOffset>
            </wp:positionV>
            <wp:extent cx="11176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-494665</wp:posOffset>
            </wp:positionV>
            <wp:extent cx="11176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-494665</wp:posOffset>
            </wp:positionV>
            <wp:extent cx="11176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104775</wp:posOffset>
            </wp:positionV>
            <wp:extent cx="44640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67" w:lineRule="exact"/>
        <w:rPr>
          <w:sz w:val="20"/>
          <w:szCs w:val="20"/>
          <w:color w:val="auto"/>
        </w:rPr>
      </w:pPr>
    </w:p>
    <w:p>
      <w:pPr>
        <w:ind w:left="1460" w:right="1339" w:hanging="296"/>
        <w:spacing w:after="0" w:line="236" w:lineRule="auto"/>
        <w:tabs>
          <w:tab w:leader="none" w:pos="1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On November 19, 2019, Mr. Davis was granted additional options with an exercise price of $15.17 in connection with his promotion to President and Chief Financial Officer.</w:t>
      </w:r>
    </w:p>
    <w:p>
      <w:pPr>
        <w:spacing w:after="0" w:line="23" w:lineRule="exact"/>
        <w:rPr>
          <w:rFonts w:ascii="Arial" w:cs="Arial" w:eastAsia="Arial" w:hAnsi="Arial"/>
          <w:sz w:val="15"/>
          <w:szCs w:val="15"/>
          <w:color w:val="auto"/>
        </w:rPr>
      </w:pPr>
    </w:p>
    <w:p>
      <w:pPr>
        <w:ind w:left="1460" w:right="1419" w:hanging="296"/>
        <w:spacing w:after="0" w:line="267" w:lineRule="auto"/>
        <w:tabs>
          <w:tab w:leader="none" w:pos="1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Options were originally granted as options to purchase SCA common stock and were converted into options to purchase common stock in connection with the Reorganization Transactions.</w:t>
      </w:r>
    </w:p>
    <w:p>
      <w:pPr>
        <w:spacing w:after="0" w:line="15" w:lineRule="exact"/>
        <w:rPr>
          <w:rFonts w:ascii="Arial" w:cs="Arial" w:eastAsia="Arial" w:hAnsi="Arial"/>
          <w:sz w:val="14"/>
          <w:szCs w:val="14"/>
          <w:color w:val="auto"/>
        </w:rPr>
      </w:pPr>
    </w:p>
    <w:p>
      <w:pPr>
        <w:ind w:left="1460" w:right="1179" w:hanging="296"/>
        <w:spacing w:after="0" w:line="218" w:lineRule="auto"/>
        <w:tabs>
          <w:tab w:leader="none" w:pos="1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For Messrs. Bricker and Davis, the time-based component of options granted in 2018 vest and become exercisable ratably on each of the first four anniversaries of April 11, 2018, subject to the holder continuing to provide services to the Company through each such vesting date. For Mr. Davis, the time-based component of options granted in 2019 vest and become exercisable ratably on each of the first four anniversaries of November 5, 2019, subject to the holder continuing to provide services to the Company through each such vesting date. For Mr. Mays, the time-based component of options vest and become exercisable ratably on each of the first four anniversaries of June 3, 2019, subject to the holder continuing to provide services to the Company through each such vesting date. All time-based options will accelerate and vest in full upon a Change in Control (as defined in the SCA Acquisition Equity Plan).</w:t>
      </w:r>
    </w:p>
    <w:p>
      <w:pPr>
        <w:spacing w:after="0" w:line="26" w:lineRule="exact"/>
        <w:rPr>
          <w:rFonts w:ascii="Arial" w:cs="Arial" w:eastAsia="Arial" w:hAnsi="Arial"/>
          <w:sz w:val="15"/>
          <w:szCs w:val="15"/>
          <w:color w:val="auto"/>
        </w:rPr>
      </w:pPr>
    </w:p>
    <w:p>
      <w:pPr>
        <w:ind w:left="1460" w:right="1199" w:hanging="296"/>
        <w:spacing w:after="0" w:line="232" w:lineRule="auto"/>
        <w:tabs>
          <w:tab w:leader="none" w:pos="1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 5.0x. Vesting in respect of achievement between a MOIC of 3.0x and a MOIC of 5.0x is linearly interpolated. In the event that 100% of the performance-based options have not vested prior to or at the time of the effectiveness of our initial public offering, on certain “MOIC Test Dates” (</w:t>
      </w:r>
      <w:r>
        <w:rPr>
          <w:rFonts w:ascii="Arial" w:cs="Arial" w:eastAsia="Arial" w:hAnsi="Arial"/>
          <w:sz w:val="14"/>
          <w:szCs w:val="14"/>
          <w:i w:val="1"/>
          <w:iCs w:val="1"/>
          <w:color w:val="auto"/>
        </w:rPr>
        <w:t>i.e.</w:t>
      </w:r>
      <w:r>
        <w:rPr>
          <w:rFonts w:ascii="Arial" w:cs="Arial" w:eastAsia="Arial" w:hAnsi="Arial"/>
          <w:sz w:val="14"/>
          <w:szCs w:val="14"/>
          <w:color w:val="auto"/>
        </w:rPr>
        <w:t>, months following our initial public offering), unvested performance-based options will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p>
      <w:pPr>
        <w:spacing w:after="0" w:line="10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86"/>
              </w:rPr>
              <w:t>Months Post-IPO</w:t>
            </w:r>
          </w:p>
        </w:tc>
        <w:tc>
          <w:tcPr>
            <w:tcW w:w="1680" w:type="dxa"/>
            <w:vAlign w:val="bottom"/>
            <w:gridSpan w:val="2"/>
          </w:tcPr>
          <w:p>
            <w:pPr>
              <w:jc w:val="center"/>
              <w:ind w:left="349"/>
              <w:spacing w:after="0"/>
              <w:rPr>
                <w:sz w:val="20"/>
                <w:szCs w:val="20"/>
                <w:color w:val="auto"/>
              </w:rPr>
            </w:pPr>
            <w:r>
              <w:rPr>
                <w:rFonts w:ascii="Arial" w:cs="Arial" w:eastAsia="Arial" w:hAnsi="Arial"/>
                <w:sz w:val="12"/>
                <w:szCs w:val="12"/>
                <w:b w:val="1"/>
                <w:bCs w:val="1"/>
                <w:color w:val="auto"/>
                <w:w w:val="85"/>
              </w:rPr>
              <w:t>% of Performance-Based</w:t>
            </w:r>
          </w:p>
        </w:tc>
        <w:tc>
          <w:tcPr>
            <w:tcW w:w="21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2"/>
              </w:rPr>
              <w:t>Vested Amount Based on</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2"/>
              </w:rPr>
              <w:t>Vested Amount Based on</w:t>
            </w:r>
          </w:p>
        </w:tc>
      </w:tr>
      <w:tr>
        <w:trPr>
          <w:trHeight w:val="150"/>
        </w:trPr>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0"/>
              </w:rPr>
              <w:t>(“MOIC Test Date”)</w:t>
            </w:r>
          </w:p>
        </w:tc>
        <w:tc>
          <w:tcPr>
            <w:tcW w:w="4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83"/>
              </w:rPr>
              <w:t>Options Eligible to Vest</w:t>
            </w:r>
          </w:p>
        </w:tc>
        <w:tc>
          <w:tcPr>
            <w:tcW w:w="460" w:type="dxa"/>
            <w:vAlign w:val="bottom"/>
          </w:tcPr>
          <w:p>
            <w:pPr>
              <w:spacing w:after="0"/>
              <w:rPr>
                <w:sz w:val="13"/>
                <w:szCs w:val="13"/>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7"/>
              </w:rPr>
              <w:t>3.0x TRMOIC</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4"/>
              </w:rPr>
              <w:t>5.0x TRMOIC</w:t>
            </w: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8"/>
        </w:trPr>
        <w:tc>
          <w:tcPr>
            <w:tcW w:w="1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12</w:t>
            </w:r>
          </w:p>
        </w:tc>
        <w:tc>
          <w:tcPr>
            <w:tcW w:w="1680" w:type="dxa"/>
            <w:vAlign w:val="bottom"/>
            <w:gridSpan w:val="2"/>
            <w:shd w:val="clear" w:color="auto" w:fill="CCEEFF"/>
          </w:tcPr>
          <w:p>
            <w:pPr>
              <w:jc w:val="center"/>
              <w:ind w:left="369"/>
              <w:spacing w:after="0"/>
              <w:rPr>
                <w:sz w:val="20"/>
                <w:szCs w:val="20"/>
                <w:color w:val="auto"/>
              </w:rPr>
            </w:pPr>
            <w:r>
              <w:rPr>
                <w:rFonts w:ascii="Arial" w:cs="Arial" w:eastAsia="Arial" w:hAnsi="Arial"/>
                <w:sz w:val="15"/>
                <w:szCs w:val="15"/>
                <w:color w:val="auto"/>
                <w:w w:val="93"/>
              </w:rPr>
              <w:t>25%</w:t>
            </w:r>
          </w:p>
        </w:tc>
        <w:tc>
          <w:tcPr>
            <w:tcW w:w="1700" w:type="dxa"/>
            <w:vAlign w:val="bottom"/>
            <w:gridSpan w:val="2"/>
            <w:shd w:val="clear" w:color="auto" w:fill="CCEEFF"/>
          </w:tcPr>
          <w:p>
            <w:pPr>
              <w:jc w:val="center"/>
              <w:ind w:left="389"/>
              <w:spacing w:after="0"/>
              <w:rPr>
                <w:sz w:val="20"/>
                <w:szCs w:val="20"/>
                <w:color w:val="auto"/>
              </w:rPr>
            </w:pPr>
            <w:r>
              <w:rPr>
                <w:rFonts w:ascii="Arial" w:cs="Arial" w:eastAsia="Arial" w:hAnsi="Arial"/>
                <w:sz w:val="15"/>
                <w:szCs w:val="15"/>
                <w:color w:val="auto"/>
                <w:w w:val="93"/>
              </w:rPr>
              <w:t>7.5%</w:t>
            </w: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25%</w:t>
            </w:r>
          </w:p>
        </w:tc>
      </w:tr>
      <w:tr>
        <w:trPr>
          <w:trHeight w:val="187"/>
        </w:trPr>
        <w:tc>
          <w:tcPr>
            <w:tcW w:w="1020" w:type="dxa"/>
            <w:vAlign w:val="bottom"/>
          </w:tcPr>
          <w:p>
            <w:pPr>
              <w:jc w:val="center"/>
              <w:spacing w:after="0"/>
              <w:rPr>
                <w:sz w:val="20"/>
                <w:szCs w:val="20"/>
                <w:color w:val="auto"/>
              </w:rPr>
            </w:pPr>
            <w:r>
              <w:rPr>
                <w:rFonts w:ascii="Arial" w:cs="Arial" w:eastAsia="Arial" w:hAnsi="Arial"/>
                <w:sz w:val="15"/>
                <w:szCs w:val="15"/>
                <w:color w:val="auto"/>
                <w:w w:val="83"/>
              </w:rPr>
              <w:t>18</w:t>
            </w:r>
          </w:p>
        </w:tc>
        <w:tc>
          <w:tcPr>
            <w:tcW w:w="1680" w:type="dxa"/>
            <w:vAlign w:val="bottom"/>
            <w:gridSpan w:val="2"/>
          </w:tcPr>
          <w:p>
            <w:pPr>
              <w:jc w:val="center"/>
              <w:ind w:left="369"/>
              <w:spacing w:after="0"/>
              <w:rPr>
                <w:sz w:val="20"/>
                <w:szCs w:val="20"/>
                <w:color w:val="auto"/>
              </w:rPr>
            </w:pPr>
            <w:r>
              <w:rPr>
                <w:rFonts w:ascii="Arial" w:cs="Arial" w:eastAsia="Arial" w:hAnsi="Arial"/>
                <w:sz w:val="15"/>
                <w:szCs w:val="15"/>
                <w:color w:val="auto"/>
                <w:w w:val="93"/>
              </w:rPr>
              <w:t>37.5%</w:t>
            </w:r>
          </w:p>
        </w:tc>
        <w:tc>
          <w:tcPr>
            <w:tcW w:w="1700" w:type="dxa"/>
            <w:vAlign w:val="bottom"/>
            <w:gridSpan w:val="2"/>
          </w:tcPr>
          <w:p>
            <w:pPr>
              <w:jc w:val="center"/>
              <w:ind w:left="369"/>
              <w:spacing w:after="0"/>
              <w:rPr>
                <w:sz w:val="20"/>
                <w:szCs w:val="20"/>
                <w:color w:val="auto"/>
              </w:rPr>
            </w:pPr>
            <w:r>
              <w:rPr>
                <w:rFonts w:ascii="Arial" w:cs="Arial" w:eastAsia="Arial" w:hAnsi="Arial"/>
                <w:sz w:val="15"/>
                <w:szCs w:val="15"/>
                <w:color w:val="auto"/>
                <w:w w:val="90"/>
              </w:rPr>
              <w:t>11.25%</w:t>
            </w:r>
          </w:p>
        </w:tc>
        <w:tc>
          <w:tcPr>
            <w:tcW w:w="4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37.5%</w:t>
            </w:r>
          </w:p>
        </w:tc>
      </w:tr>
      <w:tr>
        <w:trPr>
          <w:trHeight w:val="187"/>
        </w:trPr>
        <w:tc>
          <w:tcPr>
            <w:tcW w:w="1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24</w:t>
            </w:r>
          </w:p>
        </w:tc>
        <w:tc>
          <w:tcPr>
            <w:tcW w:w="1680" w:type="dxa"/>
            <w:vAlign w:val="bottom"/>
            <w:gridSpan w:val="2"/>
            <w:shd w:val="clear" w:color="auto" w:fill="CCEEFF"/>
          </w:tcPr>
          <w:p>
            <w:pPr>
              <w:jc w:val="center"/>
              <w:ind w:left="369"/>
              <w:spacing w:after="0"/>
              <w:rPr>
                <w:sz w:val="20"/>
                <w:szCs w:val="20"/>
                <w:color w:val="auto"/>
              </w:rPr>
            </w:pPr>
            <w:r>
              <w:rPr>
                <w:rFonts w:ascii="Arial" w:cs="Arial" w:eastAsia="Arial" w:hAnsi="Arial"/>
                <w:sz w:val="15"/>
                <w:szCs w:val="15"/>
                <w:color w:val="auto"/>
                <w:w w:val="93"/>
              </w:rPr>
              <w:t>50%</w:t>
            </w:r>
          </w:p>
        </w:tc>
        <w:tc>
          <w:tcPr>
            <w:tcW w:w="1700" w:type="dxa"/>
            <w:vAlign w:val="bottom"/>
            <w:gridSpan w:val="2"/>
            <w:shd w:val="clear" w:color="auto" w:fill="CCEEFF"/>
          </w:tcPr>
          <w:p>
            <w:pPr>
              <w:jc w:val="center"/>
              <w:ind w:left="389"/>
              <w:spacing w:after="0"/>
              <w:rPr>
                <w:sz w:val="20"/>
                <w:szCs w:val="20"/>
                <w:color w:val="auto"/>
              </w:rPr>
            </w:pPr>
            <w:r>
              <w:rPr>
                <w:rFonts w:ascii="Arial" w:cs="Arial" w:eastAsia="Arial" w:hAnsi="Arial"/>
                <w:sz w:val="15"/>
                <w:szCs w:val="15"/>
                <w:color w:val="auto"/>
                <w:w w:val="93"/>
              </w:rPr>
              <w:t>15.0%</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50%</w:t>
            </w:r>
          </w:p>
        </w:tc>
      </w:tr>
      <w:tr>
        <w:trPr>
          <w:trHeight w:val="187"/>
        </w:trPr>
        <w:tc>
          <w:tcPr>
            <w:tcW w:w="1020" w:type="dxa"/>
            <w:vAlign w:val="bottom"/>
          </w:tcPr>
          <w:p>
            <w:pPr>
              <w:jc w:val="center"/>
              <w:spacing w:after="0"/>
              <w:rPr>
                <w:sz w:val="20"/>
                <w:szCs w:val="20"/>
                <w:color w:val="auto"/>
              </w:rPr>
            </w:pPr>
            <w:r>
              <w:rPr>
                <w:rFonts w:ascii="Arial" w:cs="Arial" w:eastAsia="Arial" w:hAnsi="Arial"/>
                <w:sz w:val="15"/>
                <w:szCs w:val="15"/>
                <w:color w:val="auto"/>
                <w:w w:val="83"/>
              </w:rPr>
              <w:t>30</w:t>
            </w:r>
          </w:p>
        </w:tc>
        <w:tc>
          <w:tcPr>
            <w:tcW w:w="1680" w:type="dxa"/>
            <w:vAlign w:val="bottom"/>
            <w:gridSpan w:val="2"/>
          </w:tcPr>
          <w:p>
            <w:pPr>
              <w:jc w:val="center"/>
              <w:ind w:left="369"/>
              <w:spacing w:after="0"/>
              <w:rPr>
                <w:sz w:val="20"/>
                <w:szCs w:val="20"/>
                <w:color w:val="auto"/>
              </w:rPr>
            </w:pPr>
            <w:r>
              <w:rPr>
                <w:rFonts w:ascii="Arial" w:cs="Arial" w:eastAsia="Arial" w:hAnsi="Arial"/>
                <w:sz w:val="15"/>
                <w:szCs w:val="15"/>
                <w:color w:val="auto"/>
                <w:w w:val="93"/>
              </w:rPr>
              <w:t>62.5%</w:t>
            </w:r>
          </w:p>
        </w:tc>
        <w:tc>
          <w:tcPr>
            <w:tcW w:w="1700" w:type="dxa"/>
            <w:vAlign w:val="bottom"/>
            <w:gridSpan w:val="2"/>
          </w:tcPr>
          <w:p>
            <w:pPr>
              <w:jc w:val="center"/>
              <w:ind w:left="369"/>
              <w:spacing w:after="0"/>
              <w:rPr>
                <w:sz w:val="20"/>
                <w:szCs w:val="20"/>
                <w:color w:val="auto"/>
              </w:rPr>
            </w:pPr>
            <w:r>
              <w:rPr>
                <w:rFonts w:ascii="Arial" w:cs="Arial" w:eastAsia="Arial" w:hAnsi="Arial"/>
                <w:sz w:val="15"/>
                <w:szCs w:val="15"/>
                <w:color w:val="auto"/>
                <w:w w:val="90"/>
              </w:rPr>
              <w:t>18.75%</w:t>
            </w:r>
          </w:p>
        </w:tc>
        <w:tc>
          <w:tcPr>
            <w:tcW w:w="4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62.5%</w:t>
            </w:r>
          </w:p>
        </w:tc>
      </w:tr>
      <w:tr>
        <w:trPr>
          <w:trHeight w:val="187"/>
        </w:trPr>
        <w:tc>
          <w:tcPr>
            <w:tcW w:w="1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36</w:t>
            </w:r>
          </w:p>
        </w:tc>
        <w:tc>
          <w:tcPr>
            <w:tcW w:w="1680" w:type="dxa"/>
            <w:vAlign w:val="bottom"/>
            <w:gridSpan w:val="2"/>
            <w:shd w:val="clear" w:color="auto" w:fill="CCEEFF"/>
          </w:tcPr>
          <w:p>
            <w:pPr>
              <w:jc w:val="center"/>
              <w:ind w:left="369"/>
              <w:spacing w:after="0"/>
              <w:rPr>
                <w:sz w:val="20"/>
                <w:szCs w:val="20"/>
                <w:color w:val="auto"/>
              </w:rPr>
            </w:pPr>
            <w:r>
              <w:rPr>
                <w:rFonts w:ascii="Arial" w:cs="Arial" w:eastAsia="Arial" w:hAnsi="Arial"/>
                <w:sz w:val="15"/>
                <w:szCs w:val="15"/>
                <w:color w:val="auto"/>
                <w:w w:val="93"/>
              </w:rPr>
              <w:t>75%</w:t>
            </w:r>
          </w:p>
        </w:tc>
        <w:tc>
          <w:tcPr>
            <w:tcW w:w="1700" w:type="dxa"/>
            <w:vAlign w:val="bottom"/>
            <w:gridSpan w:val="2"/>
            <w:shd w:val="clear" w:color="auto" w:fill="CCEEFF"/>
          </w:tcPr>
          <w:p>
            <w:pPr>
              <w:jc w:val="center"/>
              <w:ind w:left="389"/>
              <w:spacing w:after="0"/>
              <w:rPr>
                <w:sz w:val="20"/>
                <w:szCs w:val="20"/>
                <w:color w:val="auto"/>
              </w:rPr>
            </w:pPr>
            <w:r>
              <w:rPr>
                <w:rFonts w:ascii="Arial" w:cs="Arial" w:eastAsia="Arial" w:hAnsi="Arial"/>
                <w:sz w:val="15"/>
                <w:szCs w:val="15"/>
                <w:color w:val="auto"/>
                <w:w w:val="93"/>
              </w:rPr>
              <w:t>22.5%</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-599440</wp:posOffset>
            </wp:positionV>
            <wp:extent cx="29273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-599440</wp:posOffset>
            </wp:positionV>
            <wp:extent cx="29273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1576070</wp:posOffset>
            </wp:positionH>
            <wp:positionV relativeFrom="paragraph">
              <wp:posOffset>-599440</wp:posOffset>
            </wp:positionV>
            <wp:extent cx="278765"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78765" cy="6985"/>
                    </a:xfrm>
                    <a:prstGeom prst="rect">
                      <a:avLst/>
                    </a:prstGeom>
                    <a:noFill/>
                  </pic:spPr>
                </pic:pic>
              </a:graphicData>
            </a:graphic>
          </wp:anchor>
        </w:drawing>
      </w:r>
    </w:p>
    <w:p>
      <w:pPr>
        <w:spacing w:after="0" w:line="79"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Vesting in respect of achievement between a TRMOIC of 3.0x and a TRMOIC of 5.0x will be linearly interpolated. On each MOIC Test Date, the percentage of the performance- based options that will vest on that date will be added to the percentage of the performance-based options that vested prior to the applicable MOIC Test Date, provided, however, that on any given MOIC Test Date, the total percentage of the performance-based options that may vest will not exceed the percentage shown for the applicable MOIC Test Date under the column heading “Vested Amount Based on 5.0x TRMOIC.”</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5" w:name="page156"/>
    <w:bookmarkEnd w:id="15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Potential Payments Upon Termination</w:t>
      </w:r>
    </w:p>
    <w:p>
      <w:pPr>
        <w:spacing w:after="0" w:line="117" w:lineRule="exact"/>
        <w:rPr>
          <w:sz w:val="20"/>
          <w:szCs w:val="20"/>
          <w:color w:val="auto"/>
        </w:rPr>
      </w:pPr>
    </w:p>
    <w:p>
      <w:pPr>
        <w:ind w:left="1160" w:right="1279" w:firstLine="293"/>
        <w:spacing w:after="0" w:line="287" w:lineRule="auto"/>
        <w:rPr>
          <w:sz w:val="20"/>
          <w:szCs w:val="20"/>
          <w:color w:val="auto"/>
        </w:rPr>
      </w:pPr>
      <w:r>
        <w:rPr>
          <w:rFonts w:ascii="Arial" w:cs="Arial" w:eastAsia="Arial" w:hAnsi="Arial"/>
          <w:sz w:val="13"/>
          <w:szCs w:val="13"/>
          <w:color w:val="auto"/>
        </w:rPr>
        <w:t>Upon a termination of employment for any reason, each NEO would be entitled to (i) any amount of annual base salary earned, but not yet paid, through the termination date, (ii) any annual bonus for the year prior to the year of termination that was earned, but not yet paid, (iii) any expenses owed to the NEO and</w:t>
      </w:r>
    </w:p>
    <w:p>
      <w:pPr>
        <w:spacing w:after="0" w:line="2" w:lineRule="exact"/>
        <w:rPr>
          <w:sz w:val="20"/>
          <w:szCs w:val="20"/>
          <w:color w:val="auto"/>
        </w:rPr>
      </w:pPr>
    </w:p>
    <w:p>
      <w:pPr>
        <w:ind w:left="1160" w:right="1439" w:firstLine="4"/>
        <w:spacing w:after="0" w:line="269" w:lineRule="auto"/>
        <w:tabs>
          <w:tab w:leader="none" w:pos="1423"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any amount arising from the NEO’s participation in, or benefits under, any employee benefit plans, programs or arrangements (including, where applicable, any death and disability benefits) (the “Accrued Obligations”). Pursuant to the terms of each NEO’s option award agreement, all unvested options would automatically terminate without consideration upon a termination of employment for any reason.</w:t>
      </w:r>
    </w:p>
    <w:p>
      <w:pPr>
        <w:spacing w:after="0" w:line="92"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Upon a termination of employment by the Company or its subsidiary without Cause (including, for Messrs. Bricker and Davis, a non-renewal by the Company or its subsidiary), or in the case of Mr. Bricker, a resignation by Mr. Bricker for Good Reason (each, a “Qualifying Termination”), each NEO would be entitled to: (i) his Accrued Obligations and (ii) continued payment of his base salary until the earlier of the 12-month (for Mr. Bricker, 18-month) anniversary of the termination date and the first date that the NEO violates any of his restrictive covenants after receipt of notice thereof and expiration of a 10-business day cure period (the “Severance Benefits”). The Severance Benefits are conditioned upon the NEO’s execution of a general release of claims.</w:t>
      </w:r>
    </w:p>
    <w:p>
      <w:pPr>
        <w:spacing w:after="0" w:line="107" w:lineRule="exact"/>
        <w:rPr>
          <w:sz w:val="20"/>
          <w:szCs w:val="20"/>
          <w:color w:val="auto"/>
        </w:rPr>
      </w:pPr>
    </w:p>
    <w:p>
      <w:pPr>
        <w:ind w:left="1160" w:right="1219" w:firstLine="293"/>
        <w:spacing w:after="0" w:line="263" w:lineRule="auto"/>
        <w:rPr>
          <w:sz w:val="20"/>
          <w:szCs w:val="20"/>
          <w:color w:val="auto"/>
        </w:rPr>
      </w:pPr>
      <w:r>
        <w:rPr>
          <w:rFonts w:ascii="Arial" w:cs="Arial" w:eastAsia="Arial" w:hAnsi="Arial"/>
          <w:sz w:val="14"/>
          <w:szCs w:val="14"/>
          <w:color w:val="auto"/>
        </w:rPr>
        <w:t>For purposes of each NEO’s employment agreement, Cause shall mean: (i) the NEO’s indictment for, conviction of, or plea of guilty or nolo contendere to, any (x) felony, (y) misdemeanor involving moral turpitude, or (z) other crime involving either fraud or a breach of the NEO’s duty of loyalty with respect to the Company or any affiliates thereof, or any of its customers or suppliers, (ii) the NEO’s failure to perform duties as reasonably directed by the board of directors (other than as a consequence of disability) after written notice thereof and failure to cure within ten business days of receipt of the written notice, (iii) the NEO’s fraud, misappropriation, embezzlement (whether or not in connection with employment), or material misuse of funds or property belonging to the Company or any of its affiliates, (iv) the NEO’s willful violation of the policies of the Company or any of its subsidiaries, or gross negligence in connection with the performance of his duties, after written notice thereof and failure to cure within ten business days of receipt of written notice, (v) the NEO’s use of alcohol that interferes with the performance of the NEO’s duties or use of illegal drugs, if either (A) the NEO fails to obtain treatment within ten business days after receipt of written notice thereof or (B) the NEO obtains treatment and, following NEO’s return to work, the NEO’s use of alcohol again interferes with the performance of the NEO’s duties or the NEO again uses illegal drugs, (vi) the NEO’s material breach of his employment agreement, and failure to cure such breach within ten business days after receipt of written notice or (vii) the NEO’s breach of the confidentiality or non-disparagement provisions (excluding unintentional breaches that are cured within ten days after the NEO becomes aware of such breaches, to the extent curable) or the non-competition and non-solicitation provisions to which the NEO is subject. If, within 30 days subsequent to the NEO’s termination of employment for any reason other than by the Company or its subsidiary for Cause, the Company or its subsidiary discovers facts such that the NEO’s termination of employment could have been for Cause, the NEO’s termination of employment will be deemed to have been for Cause for all purposes, and the NEO will be required to disgorge to the Company or its subsidiary all amounts received under his employment agreement, all equity awards or otherwise that would not have been payable to the NEO had such termination of employment been by the Company or its subsidiary for Cause.</w:t>
      </w:r>
    </w:p>
    <w:p>
      <w:pPr>
        <w:spacing w:after="0" w:line="94"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4"/>
          <w:szCs w:val="14"/>
          <w:color w:val="auto"/>
        </w:rPr>
        <w:t>For purposes of Mr. Bricker’s employment agreement, Good Reason shall mean any of the following actions are taken by the Company without his express written consent: (i) a material reduction of</w:t>
      </w:r>
    </w:p>
    <w:p>
      <w:pPr>
        <w:ind w:left="1160" w:right="1239"/>
        <w:spacing w:after="0" w:line="262" w:lineRule="auto"/>
        <w:rPr>
          <w:sz w:val="20"/>
          <w:szCs w:val="20"/>
          <w:color w:val="auto"/>
        </w:rPr>
      </w:pPr>
      <w:r>
        <w:rPr>
          <w:rFonts w:ascii="Arial" w:cs="Arial" w:eastAsia="Arial" w:hAnsi="Arial"/>
          <w:sz w:val="14"/>
          <w:szCs w:val="14"/>
          <w:color w:val="auto"/>
        </w:rPr>
        <w:t>Mr. Bricker’s duties and responsibilities in his capacity as an employee of the Company, (ii) the relocation of Mr. Bricker’s principal office location by more than 50 miles from the Minneapolis, Minnesota area (provided that the same materially increases his commute), (iii) any material breach by the Company of any material term or provision of Mr. Bricker’s employment agreement or (iv) a material reduction in</w:t>
      </w:r>
    </w:p>
    <w:p>
      <w:pPr>
        <w:ind w:left="1160" w:right="1219"/>
        <w:spacing w:after="0" w:line="267" w:lineRule="auto"/>
        <w:rPr>
          <w:sz w:val="20"/>
          <w:szCs w:val="20"/>
          <w:color w:val="auto"/>
        </w:rPr>
      </w:pPr>
      <w:r>
        <w:rPr>
          <w:rFonts w:ascii="Arial" w:cs="Arial" w:eastAsia="Arial" w:hAnsi="Arial"/>
          <w:sz w:val="14"/>
          <w:szCs w:val="14"/>
          <w:color w:val="auto"/>
        </w:rPr>
        <w:t>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 such notice, and Mr. Bricker shall have terminated his employment with the Company within ten days following the expiration of such remedial period.</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6" w:name="page157"/>
    <w:bookmarkEnd w:id="15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In the event that the payment of the severance benefits described above (together with any other payments or benefits) will result in a NEO being subject to the excise tax imposed on certain “golden parachute” arrangements under Sections 280G and 4999 of the Code, the NEOs’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8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addition, subsequent to fiscal 2020, on March 6, 2021,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Equity Compensation Plans</w:t>
      </w:r>
    </w:p>
    <w:p>
      <w:pPr>
        <w:spacing w:after="0" w:line="128" w:lineRule="exact"/>
        <w:rPr>
          <w:sz w:val="20"/>
          <w:szCs w:val="20"/>
          <w:color w:val="auto"/>
        </w:rPr>
      </w:pPr>
    </w:p>
    <w:p>
      <w:pPr>
        <w:jc w:val="both"/>
        <w:ind w:left="1160" w:right="1679" w:firstLine="293"/>
        <w:spacing w:after="0" w:line="239" w:lineRule="auto"/>
        <w:rPr>
          <w:sz w:val="20"/>
          <w:szCs w:val="20"/>
          <w:color w:val="auto"/>
        </w:rPr>
      </w:pPr>
      <w:r>
        <w:rPr>
          <w:rFonts w:ascii="Arial" w:cs="Arial" w:eastAsia="Arial" w:hAnsi="Arial"/>
          <w:sz w:val="15"/>
          <w:szCs w:val="15"/>
          <w:color w:val="auto"/>
        </w:rPr>
        <w:t>We currently maintain the SCA Acquisition Equity Plan. In connection with the Reorganization Transactions, all outstanding options to purchase SCA common stock were converted into options to purchase common stock.</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2021 Omnibus Incentive Plan</w:t>
      </w:r>
    </w:p>
    <w:p>
      <w:pPr>
        <w:spacing w:after="0" w:line="124"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In connection with our initial public offering, our board of directors adopted, and our stockholders approved, our 2021 Omnibus Incentive Plan (the “Omnibus Incentive Plan”), which became effective in connection with the consummation of our initial public offering. As a result, we will not issue additional options under the SCA Acquisition Equity Plan. This summary is qualified in its entirety by reference to the Omnibus Incentive Plan.</w:t>
      </w:r>
    </w:p>
    <w:p>
      <w:pPr>
        <w:spacing w:after="0" w:line="89"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3"/>
          <w:szCs w:val="13"/>
          <w:i w:val="1"/>
          <w:iCs w:val="1"/>
          <w:color w:val="auto"/>
        </w:rPr>
        <w:t xml:space="preserve">Administration. </w:t>
      </w:r>
      <w:r>
        <w:rPr>
          <w:rFonts w:ascii="Arial" w:cs="Arial" w:eastAsia="Arial" w:hAnsi="Arial"/>
          <w:sz w:val="13"/>
          <w:szCs w:val="13"/>
          <w:color w:val="auto"/>
        </w:rPr>
        <w:t>The compensation committee of our board of directors administers the Omnibus</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 Plan. The compensation committee has the authority to determine the terms and conditions of any agreements evidencing any awards granted under the Omnibus Incentive Plan and to adopt, alter and repeal rules, guidelines and practices relating to the Omnibus Incentive Plan. The compensation committee has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80"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Any current or prospective employees, directors, officers,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who are selected by the compensation committee will be eligible for awards under the Omnibus Incentive Plan. The compensation committee has the sole and complete authority to determine who will be granted an award under the Omnibus Incentive Plan.</w:t>
      </w:r>
    </w:p>
    <w:p>
      <w:pPr>
        <w:spacing w:after="0" w:line="102"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i w:val="1"/>
          <w:iCs w:val="1"/>
          <w:color w:val="auto"/>
        </w:rPr>
        <w:t>Number of Shares Authorized</w:t>
      </w:r>
      <w:r>
        <w:rPr>
          <w:rFonts w:ascii="Arial" w:cs="Arial" w:eastAsia="Arial" w:hAnsi="Arial"/>
          <w:sz w:val="15"/>
          <w:szCs w:val="15"/>
          <w:color w:val="auto"/>
        </w:rPr>
        <w:t>. Pursuant to the Omnibus Incentive Plan, we have reserved an aggregate</w:t>
      </w:r>
      <w:r>
        <w:rPr>
          <w:rFonts w:ascii="Arial" w:cs="Arial" w:eastAsia="Arial" w:hAnsi="Arial"/>
          <w:sz w:val="15"/>
          <w:szCs w:val="15"/>
          <w:i w:val="1"/>
          <w:iCs w:val="1"/>
          <w:color w:val="auto"/>
        </w:rPr>
        <w:t xml:space="preserve"> </w:t>
      </w:r>
      <w:r>
        <w:rPr>
          <w:rFonts w:ascii="Arial" w:cs="Arial" w:eastAsia="Arial" w:hAnsi="Arial"/>
          <w:sz w:val="15"/>
          <w:szCs w:val="15"/>
          <w:color w:val="auto"/>
        </w:rPr>
        <w:t>of 3,600,000 shares of our common stock for issuance of awards to be granted thereunder. No more than 3,600,000 shares of our common stock may be issued with respect to incentive stock options under the Omnibus Incentive Plan. The maximum grant date fair value of cash and equity awards that may be awarded to a non- employee director under the Omnibus Incentive Plan during any one fiscal year, taken together with any cash fees paid to such non-employee director during such fiscal year, will be $500,000, provided that the foregoing limitation will not apply to any awards issued to a non-employee director in respect of any one-time initial equity grant upon a non-employee director’s appointment to the board of directors. If any</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7" w:name="page158"/>
    <w:bookmarkEnd w:id="15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51" w:lineRule="auto"/>
        <w:rPr>
          <w:sz w:val="20"/>
          <w:szCs w:val="20"/>
          <w:color w:val="auto"/>
        </w:rPr>
      </w:pPr>
      <w:r>
        <w:rPr>
          <w:rFonts w:ascii="Arial" w:cs="Arial" w:eastAsia="Arial" w:hAnsi="Arial"/>
          <w:sz w:val="14"/>
          <w:szCs w:val="14"/>
          <w:color w:val="auto"/>
        </w:rPr>
        <w:t>award granted under the Omnibus Incentive Plan expires, terminates, or is canceled or forfeited without being settled, vested or exercised, shares of our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 Shares of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spacing w:after="0" w:line="81" w:lineRule="exact"/>
        <w:rPr>
          <w:sz w:val="20"/>
          <w:szCs w:val="20"/>
          <w:color w:val="auto"/>
        </w:rPr>
      </w:pPr>
    </w:p>
    <w:p>
      <w:pPr>
        <w:ind w:left="1160" w:right="1179" w:firstLine="293"/>
        <w:spacing w:after="0" w:line="270" w:lineRule="auto"/>
        <w:rPr>
          <w:sz w:val="20"/>
          <w:szCs w:val="20"/>
          <w:color w:val="auto"/>
        </w:rPr>
      </w:pPr>
      <w:r>
        <w:rPr>
          <w:rFonts w:ascii="Arial" w:cs="Arial" w:eastAsia="Arial" w:hAnsi="Arial"/>
          <w:sz w:val="13"/>
          <w:szCs w:val="13"/>
          <w:i w:val="1"/>
          <w:iCs w:val="1"/>
          <w:color w:val="auto"/>
        </w:rPr>
        <w:t xml:space="preserve">Change in Capitalization. </w:t>
      </w:r>
      <w:r>
        <w:rPr>
          <w:rFonts w:ascii="Arial" w:cs="Arial" w:eastAsia="Arial" w:hAnsi="Arial"/>
          <w:sz w:val="13"/>
          <w:szCs w:val="13"/>
          <w:color w:val="auto"/>
        </w:rPr>
        <w:t>If there is a change in our capitalization in the event of a stock or</w:t>
      </w:r>
      <w:r>
        <w:rPr>
          <w:rFonts w:ascii="Arial" w:cs="Arial" w:eastAsia="Arial" w:hAnsi="Arial"/>
          <w:sz w:val="13"/>
          <w:szCs w:val="13"/>
          <w:i w:val="1"/>
          <w:iCs w:val="1"/>
          <w:color w:val="auto"/>
        </w:rPr>
        <w:t xml:space="preserve"> </w:t>
      </w:r>
      <w:r>
        <w:rPr>
          <w:rFonts w:ascii="Arial" w:cs="Arial" w:eastAsia="Arial" w:hAnsi="Arial"/>
          <w:sz w:val="13"/>
          <w:szCs w:val="13"/>
          <w:color w:val="auto"/>
        </w:rPr>
        <w:t>extraordinary cash dividend, recapitalization, stock split, reverse stock split, reorganization, merger, consolidation, split-up, split-off, spin-off, combination, repurchase or exchange of shares of our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(other than with respect to other cash-based awards) make adjustments in a manner that it deems equitable. Such adjustments may be to the number of shares reserved for issuance under the Omnibus Incentive Plan, the number of shares covered by awards then outstanding under the Omnibus Incentive 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spacing w:after="0" w:line="248"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i w:val="1"/>
          <w:iCs w:val="1"/>
          <w:color w:val="auto"/>
        </w:rPr>
        <w:t xml:space="preserve">Awards Available for Grant. </w:t>
      </w:r>
      <w:r>
        <w:rPr>
          <w:rFonts w:ascii="Arial" w:cs="Arial" w:eastAsia="Arial" w:hAnsi="Arial"/>
          <w:sz w:val="14"/>
          <w:szCs w:val="14"/>
          <w:color w:val="auto"/>
        </w:rPr>
        <w:t>The compensation committee may grant awards of non-qualified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options, incentive (qualified) stock options, 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spacing w:after="0" w:line="92"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The compensation committee is authorized to grant options to purchase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that are either “qualified,” meaning they are intended to satisfy the requirements of Section 422 of the Code for incentive stock options, or “non-qualified,” meaning they are not intended to satisfy the requirements of Section 422 of the Code. All options granted under the Omnibus Incentive Plan shall be non-qualified unless the applicable award agreement expressly states that the option is intended to be an incentive stock option. 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 at a time when trading in the shares of our common stock is prohibited by the Company’s insider trading policy, the option’s term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(as long as such extension shall not violate Section 409A of the Code). Payment in respect of the exercise of an option may be made in cash, by check, by cash equivalent and/or by delivery of shares of our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 required withholding taxes, (ii) if there is a public market for the shares of our common stock at such time, by means of a broker-assisted cashless exercise mechanism or (iii) by means of a “net exercise” procedure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8" w:name="page159"/>
    <w:bookmarkEnd w:id="15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60" w:right="1359"/>
        <w:spacing w:after="0" w:line="253" w:lineRule="auto"/>
        <w:rPr>
          <w:sz w:val="20"/>
          <w:szCs w:val="20"/>
          <w:color w:val="auto"/>
        </w:rPr>
      </w:pPr>
      <w:r>
        <w:rPr>
          <w:rFonts w:ascii="Arial" w:cs="Arial" w:eastAsia="Arial" w:hAnsi="Arial"/>
          <w:sz w:val="14"/>
          <w:szCs w:val="14"/>
          <w:color w:val="auto"/>
        </w:rPr>
        <w:t>effected by withholding the minimum number of shares otherwise deliverable in respect of an option that are needed to pay the exercise price and all applicable required withholding taxes. No fractional shares of common stock shall be issued or delivered pursuant to the Omnibus Incentive Plan or any award, and the compensation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8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The compensation committee is authorized to award SARs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Omnibus Incentive Plan. SARs will be 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common stock underlying each SAR shall not be less than 100% of the fair market value of such share, determined as of the date of grant and the maximum term of a SAR granted under the Omnibus Incentive Plan will be ten years from the date of grant.</w:t>
      </w:r>
    </w:p>
    <w:p>
      <w:pPr>
        <w:spacing w:after="0" w:line="94"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The compensation committee is authorized to grant restricted stock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Omnibus Incentive Plan, which will be 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w:t>
      </w:r>
    </w:p>
    <w:p>
      <w:pPr>
        <w:spacing w:after="0" w:line="9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i w:val="1"/>
          <w:iCs w:val="1"/>
          <w:color w:val="auto"/>
        </w:rPr>
        <w:t xml:space="preserve">Restricted Stock Unit Awards. </w:t>
      </w:r>
      <w:r>
        <w:rPr>
          <w:rFonts w:ascii="Arial" w:cs="Arial" w:eastAsia="Arial" w:hAnsi="Arial"/>
          <w:sz w:val="14"/>
          <w:szCs w:val="14"/>
          <w:color w:val="auto"/>
        </w:rPr>
        <w:t>The compensation committee is authorized to grant restricted stock unit</w:t>
      </w:r>
      <w:r>
        <w:rPr>
          <w:rFonts w:ascii="Arial" w:cs="Arial" w:eastAsia="Arial" w:hAnsi="Arial"/>
          <w:sz w:val="14"/>
          <w:szCs w:val="14"/>
          <w:i w:val="1"/>
          <w:iCs w:val="1"/>
          <w:color w:val="auto"/>
        </w:rPr>
        <w:t xml:space="preserve"> </w:t>
      </w:r>
      <w:r>
        <w:rPr>
          <w:rFonts w:ascii="Arial" w:cs="Arial" w:eastAsia="Arial" w:hAnsi="Arial"/>
          <w:sz w:val="14"/>
          <w:szCs w:val="14"/>
          <w:color w:val="auto"/>
        </w:rPr>
        <w:t>awards, which will be subject to the terms and conditions established by the compensation committee. A restricted stock unit award, once vested, may be settled in a number of shares of our common stock equal to the number of units earned, in cash equal to the fair market value of the number of shares of our common stock earned in respect 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spacing w:after="0" w:line="86"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i w:val="1"/>
          <w:iCs w:val="1"/>
          <w:color w:val="auto"/>
        </w:rPr>
        <w:t xml:space="preserve">Other Stock-Based Awards and Other Cash-Based Awards. </w:t>
      </w:r>
      <w:r>
        <w:rPr>
          <w:rFonts w:ascii="Arial" w:cs="Arial" w:eastAsia="Arial" w:hAnsi="Arial"/>
          <w:sz w:val="15"/>
          <w:szCs w:val="15"/>
          <w:color w:val="auto"/>
        </w:rPr>
        <w:t>The compensation committee is authorized</w:t>
      </w:r>
      <w:r>
        <w:rPr>
          <w:rFonts w:ascii="Arial" w:cs="Arial" w:eastAsia="Arial" w:hAnsi="Arial"/>
          <w:sz w:val="15"/>
          <w:szCs w:val="15"/>
          <w:i w:val="1"/>
          <w:iCs w:val="1"/>
          <w:color w:val="auto"/>
        </w:rPr>
        <w:t xml:space="preserve"> </w:t>
      </w:r>
      <w:r>
        <w:rPr>
          <w:rFonts w:ascii="Arial" w:cs="Arial" w:eastAsia="Arial" w:hAnsi="Arial"/>
          <w:sz w:val="15"/>
          <w:szCs w:val="15"/>
          <w:color w:val="auto"/>
        </w:rPr>
        <w:t>to grant awards of unrestricted shares of our common stock, rights to receive grants of awards at a future date, other awards denominated in shares of our common stock, or awards that provide for cash payments based in whole or in part on the value of our common stock and other cash-based awards under such terms and conditions as the compensation committee may determine and as set forth in the applicable award agreement.</w:t>
      </w:r>
    </w:p>
    <w:p>
      <w:pPr>
        <w:spacing w:after="0" w:line="10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i w:val="1"/>
          <w:iCs w:val="1"/>
          <w:color w:val="auto"/>
        </w:rPr>
        <w:t xml:space="preserve">Effect of Termination of Service a Change in Control. </w:t>
      </w:r>
      <w:r>
        <w:rPr>
          <w:rFonts w:ascii="Arial" w:cs="Arial" w:eastAsia="Arial" w:hAnsi="Arial"/>
          <w:sz w:val="14"/>
          <w:szCs w:val="14"/>
          <w:color w:val="auto"/>
        </w:rPr>
        <w:t>To the extent permitted under Section 409A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Code, the compensation committee may provide, by rule or regulation or in any applicable award agreement, or may determine in any individual case, the circumstances in which, and to the extent which, an award may be exercised, settled, vested, paid or forfeited in the event of a participant’s termination of service prior to the end of a performance period or vesting, exercise or settlement of such award. In the event of a change in control, notwithstanding any provision of the Omnibus Incentive Plan to the contrary, the compensation committee may provide for: (i) continuation or assumption of outstanding awards under the Omnibus Incentive Plan by the Company (if it is the surviving corporation) or by the surviving corporation or its parent; (ii) substitution by the surviving corporation or its parent of awards with</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9" w:name="page160"/>
    <w:bookmarkEnd w:id="15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19"/>
        <w:spacing w:after="0" w:line="248" w:lineRule="auto"/>
        <w:rPr>
          <w:sz w:val="20"/>
          <w:szCs w:val="20"/>
          <w:color w:val="auto"/>
        </w:rPr>
      </w:pPr>
      <w:r>
        <w:rPr>
          <w:rFonts w:ascii="Arial" w:cs="Arial" w:eastAsia="Arial" w:hAnsi="Arial"/>
          <w:sz w:val="14"/>
          <w:szCs w:val="14"/>
          <w:color w:val="auto"/>
        </w:rPr>
        <w:t>substantially the same terms and value for such outstanding awards (in the case of an option or SAR, the intrinsic value (i.e., the excess, if any, of the price or implied price per share in a change in control or other event over the exercise or hurdle price of such award, multiplied by the number of shares covered by such award at grant of such substitute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compensation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compensation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86"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i w:val="1"/>
          <w:iCs w:val="1"/>
          <w:color w:val="auto"/>
        </w:rPr>
        <w:t xml:space="preserve">Nontransferability. </w:t>
      </w:r>
      <w:r>
        <w:rPr>
          <w:rFonts w:ascii="Arial" w:cs="Arial" w:eastAsia="Arial" w:hAnsi="Arial"/>
          <w:sz w:val="14"/>
          <w:szCs w:val="14"/>
          <w:color w:val="auto"/>
        </w:rPr>
        <w:t>Each award may be exercised during the participant’s lifetime by the participant</w:t>
      </w:r>
      <w:r>
        <w:rPr>
          <w:rFonts w:ascii="Arial" w:cs="Arial" w:eastAsia="Arial" w:hAnsi="Arial"/>
          <w:sz w:val="14"/>
          <w:szCs w:val="14"/>
          <w:i w:val="1"/>
          <w:iCs w:val="1"/>
          <w:color w:val="auto"/>
        </w:rPr>
        <w:t xml:space="preserve"> </w:t>
      </w:r>
      <w:r>
        <w:rPr>
          <w:rFonts w:ascii="Arial" w:cs="Arial" w:eastAsia="Arial" w:hAnsi="Arial"/>
          <w:sz w:val="14"/>
          <w:szCs w:val="14"/>
          <w:color w:val="auto"/>
        </w:rPr>
        <w:t>or, if permissible under applicable law, by 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spacing w:after="0" w:line="90"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i w:val="1"/>
          <w:iCs w:val="1"/>
          <w:color w:val="auto"/>
        </w:rPr>
        <w:t xml:space="preserve">Amendment. </w:t>
      </w:r>
      <w:r>
        <w:rPr>
          <w:rFonts w:ascii="Arial" w:cs="Arial" w:eastAsia="Arial" w:hAnsi="Arial"/>
          <w:sz w:val="15"/>
          <w:szCs w:val="15"/>
          <w:color w:val="auto"/>
        </w:rPr>
        <w:t>The Omnibus Incentive Plan has a term of ten years. The board of directors may amend,</w:t>
      </w:r>
      <w:r>
        <w:rPr>
          <w:rFonts w:ascii="Arial" w:cs="Arial" w:eastAsia="Arial" w:hAnsi="Arial"/>
          <w:sz w:val="15"/>
          <w:szCs w:val="15"/>
          <w:i w:val="1"/>
          <w:iCs w:val="1"/>
          <w:color w:val="auto"/>
        </w:rPr>
        <w:t xml:space="preserve"> </w:t>
      </w:r>
      <w:r>
        <w:rPr>
          <w:rFonts w:ascii="Arial" w:cs="Arial" w:eastAsia="Arial" w:hAnsi="Arial"/>
          <w:sz w:val="15"/>
          <w:szCs w:val="15"/>
          <w:color w:val="auto"/>
        </w:rPr>
        <w:t>suspend or terminate the Omnibus Incentive Plan at any time, subject to stockholder approval if necessary to comply with any tax, exchange rules, or other applicable regulatory requirement. No amendment, suspension or termination will materially and adversely affect the rights of any participant or recipient of any award without the consent of the participant or recipient.</w:t>
      </w:r>
    </w:p>
    <w:p>
      <w:pPr>
        <w:spacing w:after="0" w:line="100"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4"/>
          <w:szCs w:val="14"/>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 (i) 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 any other action considered a repricing for purposes of the stockholder approval rules of the applicable securities exchange on which our common shares are listed and (iv) the compensation committee may not cancel any outstanding option or SAR that has a per-share exercise price or strike price (as applicable) at or above the fair market value of a share of our common stock on the date of cancellation and pay any consideration to the holder thereof. However, stockholder approval is not required with respect to clauses (i), (ii), (iii) and (iv) above with respect to certain adjustments on changes in capitalization.</w:t>
      </w:r>
    </w:p>
    <w:p>
      <w:pPr>
        <w:spacing w:after="0" w:line="94"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i w:val="1"/>
          <w:iCs w:val="1"/>
          <w:color w:val="auto"/>
        </w:rPr>
        <w:t xml:space="preserve">Clawback/Forfeiture. </w:t>
      </w:r>
      <w:r>
        <w:rPr>
          <w:rFonts w:ascii="Arial" w:cs="Arial" w:eastAsia="Arial" w:hAnsi="Arial"/>
          <w:sz w:val="14"/>
          <w:szCs w:val="14"/>
          <w:color w:val="auto"/>
        </w:rPr>
        <w:t>Awards may be subject to clawback or forfeiture to the extent required by</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law (including, without limitation, Section 304 of the Sarbanes-Oxley Act and Section 954 of the Dodd-Frank Act) and/or the rules and regulations of Nasdaq or other applicable securities exchange, or if so required pursuant to a written policy adopted by the Company or the provisions of an award agreement.</w:t>
      </w:r>
    </w:p>
    <w:p>
      <w:pPr>
        <w:spacing w:after="0" w:line="88" w:lineRule="exact"/>
        <w:rPr>
          <w:sz w:val="20"/>
          <w:szCs w:val="20"/>
          <w:color w:val="auto"/>
        </w:rPr>
      </w:pPr>
    </w:p>
    <w:p>
      <w:pPr>
        <w:jc w:val="center"/>
        <w:ind w:right="-20"/>
        <w:spacing w:after="0"/>
        <w:tabs>
          <w:tab w:leader="none" w:pos="100" w:val="left"/>
        </w:tabs>
        <w:rPr>
          <w:sz w:val="20"/>
          <w:szCs w:val="20"/>
          <w:color w:val="auto"/>
        </w:rPr>
      </w:pPr>
      <w:r>
        <w:rPr>
          <w:rFonts w:ascii="Arial" w:cs="Arial" w:eastAsia="Arial" w:hAnsi="Arial"/>
          <w:sz w:val="15"/>
          <w:szCs w:val="15"/>
          <w:i w:val="1"/>
          <w:iCs w:val="1"/>
          <w:color w:val="auto"/>
        </w:rPr>
        <w:t>Whistleblower Acknowledgments</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Nothing in the Omnibus Incentive Plan or award agreement will</w:t>
      </w:r>
    </w:p>
    <w:p>
      <w:pPr>
        <w:spacing w:after="0" w:line="4" w:lineRule="exact"/>
        <w:rPr>
          <w:sz w:val="20"/>
          <w:szCs w:val="20"/>
          <w:color w:val="auto"/>
        </w:rPr>
      </w:pPr>
    </w:p>
    <w:p>
      <w:pPr>
        <w:ind w:left="1160" w:right="1319" w:firstLine="4"/>
        <w:spacing w:after="0" w:line="232" w:lineRule="auto"/>
        <w:tabs>
          <w:tab w:leader="none" w:pos="1347" w:val="left"/>
        </w:tabs>
        <w:numPr>
          <w:ilvl w:val="0"/>
          <w:numId w:val="71"/>
        </w:numPr>
        <w:rPr>
          <w:rFonts w:ascii="Arial" w:cs="Arial" w:eastAsia="Arial" w:hAnsi="Arial"/>
          <w:sz w:val="15"/>
          <w:szCs w:val="15"/>
          <w:color w:val="auto"/>
        </w:rPr>
      </w:pPr>
      <w:r>
        <w:rPr>
          <w:rFonts w:ascii="Arial" w:cs="Arial" w:eastAsia="Arial" w:hAnsi="Arial"/>
          <w:sz w:val="15"/>
          <w:szCs w:val="15"/>
          <w:color w:val="auto"/>
        </w:rPr>
        <w:t>prohibit a participant from making reports 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0" w:name="page161"/>
    <w:bookmarkEnd w:id="16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U.S. Federal Income Tax Consequences</w:t>
      </w:r>
    </w:p>
    <w:p>
      <w:pPr>
        <w:spacing w:after="0" w:line="113"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i w:val="1"/>
          <w:iCs w:val="1"/>
          <w:color w:val="auto"/>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79"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Holders of incentive stock options will generally incur no federal income tax liability</w:t>
      </w:r>
      <w:r>
        <w:rPr>
          <w:rFonts w:ascii="Arial" w:cs="Arial" w:eastAsia="Arial" w:hAnsi="Arial"/>
          <w:sz w:val="14"/>
          <w:szCs w:val="14"/>
          <w:i w:val="1"/>
          <w:iCs w:val="1"/>
          <w:color w:val="auto"/>
        </w:rPr>
        <w:t xml:space="preserve"> </w:t>
      </w:r>
      <w:r>
        <w:rPr>
          <w:rFonts w:ascii="Arial" w:cs="Arial" w:eastAsia="Arial" w:hAnsi="Arial"/>
          <w:sz w:val="14"/>
          <w:szCs w:val="14"/>
          <w:color w:val="auto"/>
        </w:rPr>
        <w:t>at the time of 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w:t>
      </w:r>
    </w:p>
    <w:p>
      <w:pPr>
        <w:spacing w:after="0" w:line="5" w:lineRule="exact"/>
        <w:rPr>
          <w:sz w:val="20"/>
          <w:szCs w:val="20"/>
          <w:color w:val="auto"/>
        </w:rPr>
      </w:pPr>
    </w:p>
    <w:p>
      <w:pPr>
        <w:ind w:left="1160" w:right="1259"/>
        <w:spacing w:after="0" w:line="247" w:lineRule="auto"/>
        <w:rPr>
          <w:sz w:val="20"/>
          <w:szCs w:val="20"/>
          <w:color w:val="auto"/>
        </w:rPr>
      </w:pPr>
      <w:r>
        <w:rPr>
          <w:rFonts w:ascii="Arial" w:cs="Arial" w:eastAsia="Arial" w:hAnsi="Arial"/>
          <w:sz w:val="14"/>
          <w:szCs w:val="14"/>
          <w:color w:val="auto"/>
        </w:rPr>
        <w:t>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100"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89"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i w:val="1"/>
          <w:iCs w:val="1"/>
          <w:color w:val="auto"/>
        </w:rPr>
        <w:t xml:space="preserve">SARs </w:t>
      </w:r>
      <w:r>
        <w:rPr>
          <w:rFonts w:ascii="Arial" w:cs="Arial" w:eastAsia="Arial" w:hAnsi="Arial"/>
          <w:sz w:val="14"/>
          <w:szCs w:val="14"/>
          <w:color w:val="auto"/>
        </w:rPr>
        <w:t>. No income will be realized by a participant upon grant or vesting of a SAR. Upon the exercise</w:t>
      </w:r>
      <w:r>
        <w:rPr>
          <w:rFonts w:ascii="Arial" w:cs="Arial" w:eastAsia="Arial" w:hAnsi="Arial"/>
          <w:sz w:val="14"/>
          <w:szCs w:val="14"/>
          <w:i w:val="1"/>
          <w:iCs w:val="1"/>
          <w:color w:val="auto"/>
        </w:rPr>
        <w:t xml:space="preserve"> </w:t>
      </w:r>
      <w:r>
        <w:rPr>
          <w:rFonts w:ascii="Arial" w:cs="Arial" w:eastAsia="Arial" w:hAnsi="Arial"/>
          <w:sz w:val="14"/>
          <w:szCs w:val="14"/>
          <w:color w:val="auto"/>
        </w:rPr>
        <w:t>of a SAR, 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9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A participant will not be subject to tax upon the grant of an award of restricted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unless the participant otherwise elects to be 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1" w:name="page162"/>
    <w:bookmarkEnd w:id="16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49" w:lineRule="auto"/>
        <w:rPr>
          <w:sz w:val="20"/>
          <w:szCs w:val="20"/>
          <w:color w:val="auto"/>
        </w:rPr>
      </w:pPr>
      <w:r>
        <w:rPr>
          <w:rFonts w:ascii="Arial" w:cs="Arial" w:eastAsia="Arial" w:hAnsi="Arial"/>
          <w:sz w:val="15"/>
          <w:szCs w:val="15"/>
          <w:color w:val="auto"/>
        </w:rPr>
        <w:t>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94"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A participant will not be subject to tax upon the grant or vesting of a restricted</w:t>
      </w:r>
      <w:r>
        <w:rPr>
          <w:rFonts w:ascii="Arial" w:cs="Arial" w:eastAsia="Arial" w:hAnsi="Arial"/>
          <w:sz w:val="15"/>
          <w:szCs w:val="15"/>
          <w:i w:val="1"/>
          <w:iCs w:val="1"/>
          <w:color w:val="auto"/>
        </w:rPr>
        <w:t xml:space="preserve"> </w:t>
      </w:r>
      <w:r>
        <w:rPr>
          <w:rFonts w:ascii="Arial" w:cs="Arial" w:eastAsia="Arial" w:hAnsi="Arial"/>
          <w:sz w:val="15"/>
          <w:szCs w:val="15"/>
          <w:color w:val="auto"/>
        </w:rPr>
        <w:t>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09"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i w:val="1"/>
          <w:iCs w:val="1"/>
          <w:color w:val="auto"/>
        </w:rPr>
        <w:t xml:space="preserve">Section 162(m). </w:t>
      </w:r>
      <w:r>
        <w:rPr>
          <w:rFonts w:ascii="Arial" w:cs="Arial" w:eastAsia="Arial" w:hAnsi="Arial"/>
          <w:sz w:val="14"/>
          <w:szCs w:val="14"/>
          <w:color w:val="auto"/>
        </w:rPr>
        <w:t>In general, Section 162(m) of the Code denies a publicly held corporation a deduction</w:t>
      </w:r>
      <w:r>
        <w:rPr>
          <w:rFonts w:ascii="Arial" w:cs="Arial" w:eastAsia="Arial" w:hAnsi="Arial"/>
          <w:sz w:val="14"/>
          <w:szCs w:val="14"/>
          <w:i w:val="1"/>
          <w:iCs w:val="1"/>
          <w:color w:val="auto"/>
        </w:rPr>
        <w:t xml:space="preserve"> </w:t>
      </w:r>
      <w:r>
        <w:rPr>
          <w:rFonts w:ascii="Arial" w:cs="Arial" w:eastAsia="Arial" w:hAnsi="Arial"/>
          <w:sz w:val="14"/>
          <w:szCs w:val="14"/>
          <w:color w:val="auto"/>
        </w:rPr>
        <w:t>for U.S. federal income tax purposes for 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w:t>
      </w:r>
    </w:p>
    <w:p>
      <w:pPr>
        <w:spacing w:after="0" w:line="1" w:lineRule="exact"/>
        <w:rPr>
          <w:sz w:val="20"/>
          <w:szCs w:val="20"/>
          <w:color w:val="auto"/>
        </w:rPr>
      </w:pPr>
    </w:p>
    <w:p>
      <w:pPr>
        <w:ind w:left="1160" w:right="1219"/>
        <w:spacing w:after="0" w:line="265" w:lineRule="auto"/>
        <w:rPr>
          <w:sz w:val="20"/>
          <w:szCs w:val="20"/>
          <w:color w:val="auto"/>
        </w:rPr>
      </w:pPr>
      <w:r>
        <w:rPr>
          <w:rFonts w:ascii="Arial" w:cs="Arial" w:eastAsia="Arial" w:hAnsi="Arial"/>
          <w:sz w:val="14"/>
          <w:szCs w:val="14"/>
          <w:color w:val="auto"/>
        </w:rPr>
        <w:t>Section 162(m) may provide us, as a new publicly traded company, transition relief from the $1,000,000 deduction limitation until our first stockholders meeting at which directors are elected in the year that is three years following the closing of our initial public offering. However, the IRS has requested comments from interested stakeholders on the application of Section 162(m) to new publicly traded companies in light of the Tax Cuts and Jobs Act, which was passed at the end of 2017, and which made significant changes to Section 162(m). It is possible that the IRS might narrow or eliminate the transition relief. In addition, we reserve the right to award compensation as to which a deduction may be limited under Section 162(m) where we believe it is appropriate to do so.</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Compensation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Director Compensation</w:t>
      </w:r>
    </w:p>
    <w:p>
      <w:pPr>
        <w:spacing w:after="0" w:line="124" w:lineRule="exact"/>
        <w:rPr>
          <w:sz w:val="20"/>
          <w:szCs w:val="20"/>
          <w:color w:val="auto"/>
        </w:rPr>
      </w:pPr>
    </w:p>
    <w:p>
      <w:pPr>
        <w:ind w:left="1160" w:right="1599" w:firstLine="293"/>
        <w:spacing w:after="0" w:line="264" w:lineRule="auto"/>
        <w:rPr>
          <w:sz w:val="20"/>
          <w:szCs w:val="20"/>
          <w:color w:val="auto"/>
        </w:rPr>
      </w:pPr>
      <w:r>
        <w:rPr>
          <w:rFonts w:ascii="Arial" w:cs="Arial" w:eastAsia="Arial" w:hAnsi="Arial"/>
          <w:sz w:val="15"/>
          <w:szCs w:val="15"/>
          <w:color w:val="auto"/>
        </w:rPr>
        <w:t>During 2020, none of the members of our board of directors received any compensation from the Company for their services on the board, except as set forth below.</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Fees Earned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1"/>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or Paid in</w:t>
            </w:r>
          </w:p>
        </w:tc>
        <w:tc>
          <w:tcPr>
            <w:tcW w:w="160" w:type="dxa"/>
            <w:vAlign w:val="bottom"/>
          </w:tcPr>
          <w:p>
            <w:pPr>
              <w:spacing w:after="0"/>
              <w:rPr>
                <w:sz w:val="11"/>
                <w:szCs w:val="11"/>
                <w:color w:val="auto"/>
              </w:rPr>
            </w:pPr>
          </w:p>
        </w:tc>
        <w:tc>
          <w:tcPr>
            <w:tcW w:w="640" w:type="dxa"/>
            <w:vAlign w:val="bottom"/>
            <w:gridSpan w:val="2"/>
          </w:tcPr>
          <w:p>
            <w:pPr>
              <w:jc w:val="center"/>
              <w:ind w:right="360"/>
              <w:spacing w:after="0" w:line="131" w:lineRule="exact"/>
              <w:rPr>
                <w:sz w:val="20"/>
                <w:szCs w:val="20"/>
                <w:color w:val="auto"/>
              </w:rPr>
            </w:pPr>
            <w:r>
              <w:rPr>
                <w:rFonts w:ascii="Arial" w:cs="Arial" w:eastAsia="Arial" w:hAnsi="Arial"/>
                <w:sz w:val="12"/>
                <w:szCs w:val="12"/>
                <w:b w:val="1"/>
                <w:bCs w:val="1"/>
                <w:color w:val="auto"/>
                <w:w w:val="85"/>
              </w:rPr>
              <w:t>Stock</w:t>
            </w:r>
          </w:p>
        </w:tc>
        <w:tc>
          <w:tcPr>
            <w:tcW w:w="6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Option</w:t>
            </w:r>
          </w:p>
        </w:tc>
        <w:tc>
          <w:tcPr>
            <w:tcW w:w="1140" w:type="dxa"/>
            <w:vAlign w:val="bottom"/>
            <w:gridSpan w:val="3"/>
          </w:tcPr>
          <w:p>
            <w:pPr>
              <w:ind w:left="240"/>
              <w:spacing w:after="0" w:line="131" w:lineRule="exact"/>
              <w:rPr>
                <w:sz w:val="20"/>
                <w:szCs w:val="20"/>
                <w:color w:val="auto"/>
              </w:rPr>
            </w:pPr>
            <w:r>
              <w:rPr>
                <w:rFonts w:ascii="Arial" w:cs="Arial" w:eastAsia="Arial" w:hAnsi="Arial"/>
                <w:sz w:val="12"/>
                <w:szCs w:val="12"/>
                <w:b w:val="1"/>
                <w:bCs w:val="1"/>
                <w:color w:val="auto"/>
              </w:rPr>
              <w:t>All Other</w:t>
            </w:r>
          </w:p>
        </w:tc>
        <w:tc>
          <w:tcPr>
            <w:tcW w:w="500" w:type="dxa"/>
            <w:vAlign w:val="bottom"/>
          </w:tcPr>
          <w:p>
            <w:pPr>
              <w:spacing w:after="0"/>
              <w:rPr>
                <w:sz w:val="11"/>
                <w:szCs w:val="11"/>
                <w:color w:val="auto"/>
              </w:rPr>
            </w:pPr>
          </w:p>
        </w:tc>
      </w:tr>
      <w:tr>
        <w:trPr>
          <w:trHeight w:val="172"/>
        </w:trPr>
        <w:tc>
          <w:tcPr>
            <w:tcW w:w="2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1"/>
              </w:rPr>
              <w:t>Cash ($)</w:t>
            </w:r>
            <w:r>
              <w:rPr>
                <w:rFonts w:ascii="Arial" w:cs="Arial" w:eastAsia="Arial" w:hAnsi="Arial"/>
                <w:sz w:val="14"/>
                <w:szCs w:val="14"/>
                <w:b w:val="1"/>
                <w:bCs w:val="1"/>
                <w:color w:val="auto"/>
                <w:w w:val="91"/>
                <w:vertAlign w:val="superscript"/>
              </w:rPr>
              <w:t>(1)</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Awards ($)</w:t>
            </w:r>
            <w:r>
              <w:rPr>
                <w:rFonts w:ascii="Arial" w:cs="Arial" w:eastAsia="Arial" w:hAnsi="Arial"/>
                <w:sz w:val="14"/>
                <w:szCs w:val="14"/>
                <w:b w:val="1"/>
                <w:bCs w:val="1"/>
                <w:color w:val="auto"/>
                <w:w w:val="85"/>
                <w:vertAlign w:val="superscript"/>
              </w:rPr>
              <w:t>(2)</w:t>
            </w:r>
          </w:p>
        </w:tc>
        <w:tc>
          <w:tcPr>
            <w:tcW w:w="1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3"/>
              </w:rPr>
              <w:t>Awards</w:t>
            </w:r>
            <w:r>
              <w:rPr>
                <w:rFonts w:ascii="Arial" w:cs="Arial" w:eastAsia="Arial" w:hAnsi="Arial"/>
                <w:sz w:val="14"/>
                <w:szCs w:val="14"/>
                <w:b w:val="1"/>
                <w:bCs w:val="1"/>
                <w:color w:val="auto"/>
                <w:w w:val="83"/>
                <w:vertAlign w:val="superscript"/>
              </w:rPr>
              <w:t>(2)</w:t>
            </w:r>
          </w:p>
        </w:tc>
        <w:tc>
          <w:tcPr>
            <w:tcW w:w="1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3"/>
              </w:rPr>
              <w:t>Compensation ($)</w:t>
            </w:r>
            <w:r>
              <w:rPr>
                <w:rFonts w:ascii="Arial" w:cs="Arial" w:eastAsia="Arial" w:hAnsi="Arial"/>
                <w:sz w:val="14"/>
                <w:szCs w:val="14"/>
                <w:b w:val="1"/>
                <w:bCs w:val="1"/>
                <w:color w:val="auto"/>
                <w:w w:val="83"/>
                <w:vertAlign w:val="superscript"/>
              </w:rPr>
              <w:t>(3)</w:t>
            </w: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Total ($)</w:t>
            </w:r>
          </w:p>
        </w:tc>
      </w:tr>
      <w:tr>
        <w:trPr>
          <w:trHeight w:val="222"/>
        </w:trPr>
        <w:tc>
          <w:tcPr>
            <w:tcW w:w="2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David Siegel</w:t>
            </w:r>
            <w:r>
              <w:rPr>
                <w:rFonts w:ascii="Arial" w:cs="Arial" w:eastAsia="Arial" w:hAnsi="Arial"/>
                <w:sz w:val="19"/>
                <w:szCs w:val="19"/>
                <w:color w:val="auto"/>
                <w:vertAlign w:val="superscript"/>
              </w:rPr>
              <w:t>(4)</w:t>
            </w:r>
          </w:p>
        </w:tc>
        <w:tc>
          <w:tcPr>
            <w:tcW w:w="62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95"/>
              </w:rPr>
              <w:t>$60,000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7"/>
              <w:spacing w:after="0"/>
              <w:rPr>
                <w:sz w:val="20"/>
                <w:szCs w:val="20"/>
                <w:color w:val="auto"/>
              </w:rPr>
            </w:pPr>
            <w:r>
              <w:rPr>
                <w:rFonts w:ascii="Arial" w:cs="Arial" w:eastAsia="Arial" w:hAnsi="Arial"/>
                <w:sz w:val="15"/>
                <w:szCs w:val="15"/>
                <w:color w:val="auto"/>
              </w:rPr>
              <w:t>$2,458</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$62,458</w:t>
            </w:r>
          </w:p>
        </w:tc>
      </w:tr>
      <w:tr>
        <w:trPr>
          <w:trHeight w:val="209"/>
        </w:trPr>
        <w:tc>
          <w:tcPr>
            <w:tcW w:w="2760" w:type="dxa"/>
            <w:vAlign w:val="bottom"/>
            <w:gridSpan w:val="2"/>
          </w:tcPr>
          <w:p>
            <w:pPr>
              <w:spacing w:after="0"/>
              <w:rPr>
                <w:sz w:val="20"/>
                <w:szCs w:val="20"/>
                <w:color w:val="auto"/>
              </w:rPr>
            </w:pPr>
            <w:r>
              <w:rPr>
                <w:rFonts w:ascii="Arial" w:cs="Arial" w:eastAsia="Arial" w:hAnsi="Arial"/>
                <w:sz w:val="15"/>
                <w:szCs w:val="15"/>
                <w:color w:val="auto"/>
              </w:rPr>
              <w:t>Juan Carlos ZuaZua</w:t>
            </w:r>
          </w:p>
        </w:tc>
        <w:tc>
          <w:tcPr>
            <w:tcW w:w="620" w:type="dxa"/>
            <w:vAlign w:val="bottom"/>
            <w:gridSpan w:val="2"/>
          </w:tcPr>
          <w:p>
            <w:pPr>
              <w:jc w:val="right"/>
              <w:ind w:right="7"/>
              <w:spacing w:after="0"/>
              <w:rPr>
                <w:sz w:val="20"/>
                <w:szCs w:val="20"/>
                <w:color w:val="auto"/>
              </w:rPr>
            </w:pPr>
            <w:r>
              <w:rPr>
                <w:rFonts w:ascii="Arial" w:cs="Arial" w:eastAsia="Arial" w:hAnsi="Arial"/>
                <w:sz w:val="15"/>
                <w:szCs w:val="15"/>
                <w:color w:val="auto"/>
                <w:w w:val="95"/>
              </w:rPr>
              <w:t>$50,000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w w:val="82"/>
              </w:rPr>
              <w:t>38,743</w:t>
            </w:r>
          </w:p>
        </w:tc>
        <w:tc>
          <w:tcPr>
            <w:tcW w:w="460" w:type="dxa"/>
            <w:vAlign w:val="bottom"/>
          </w:tcPr>
          <w:p>
            <w:pPr>
              <w:jc w:val="right"/>
              <w:ind w:right="33"/>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500" w:type="dxa"/>
            <w:vAlign w:val="bottom"/>
          </w:tcPr>
          <w:p>
            <w:pPr>
              <w:jc w:val="center"/>
              <w:spacing w:after="0"/>
              <w:rPr>
                <w:sz w:val="20"/>
                <w:szCs w:val="20"/>
                <w:color w:val="auto"/>
              </w:rPr>
            </w:pPr>
            <w:r>
              <w:rPr>
                <w:rFonts w:ascii="Arial" w:cs="Arial" w:eastAsia="Arial" w:hAnsi="Arial"/>
                <w:sz w:val="15"/>
                <w:szCs w:val="15"/>
                <w:color w:val="auto"/>
                <w:w w:val="88"/>
              </w:rPr>
              <w:t>$88,743</w:t>
            </w:r>
          </w:p>
        </w:tc>
      </w:tr>
      <w:tr>
        <w:trPr>
          <w:trHeight w:val="209"/>
        </w:trPr>
        <w:tc>
          <w:tcPr>
            <w:tcW w:w="2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Kerry Philipovitch</w:t>
            </w:r>
          </w:p>
        </w:tc>
        <w:tc>
          <w:tcPr>
            <w:tcW w:w="26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9"/>
              </w:rPr>
              <w:t>$49,987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$49,987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-417830</wp:posOffset>
            </wp:positionV>
            <wp:extent cx="11176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-417830</wp:posOffset>
            </wp:positionV>
            <wp:extent cx="11176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-417830</wp:posOffset>
            </wp:positionV>
            <wp:extent cx="111760"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-417830</wp:posOffset>
            </wp:positionV>
            <wp:extent cx="111760"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-417830</wp:posOffset>
            </wp:positionV>
            <wp:extent cx="111760"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ind w:left="1460" w:right="1579" w:hanging="296"/>
        <w:spacing w:after="0" w:line="291" w:lineRule="auto"/>
        <w:tabs>
          <w:tab w:leader="none" w:pos="14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This reflects an annual cash retainer amount. Ms. Philipovitch joined our board of directors in December 2020 and beginning fiscal year 2021, her annual cash retainer amount will be $50,000.</w:t>
      </w:r>
    </w:p>
    <w:p>
      <w:pPr>
        <w:ind w:left="1460" w:right="1219" w:hanging="296"/>
        <w:spacing w:after="0" w:line="236" w:lineRule="auto"/>
        <w:tabs>
          <w:tab w:leader="none" w:pos="1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award granted in 2020. In 2020, Mr. ZuaZua was granted an option award to purchase 4,722 shares of common stock which was fully vested on the date of grant and Ms. Philipovitch was granted a fully vested award of 2,889 shares of common stock. In addition, in 2019, Mr. Siegel was granted a one-time fully vested award of 56,665 shares of SCA common stock as compensation for certain diligence services in connection with our acquisition by the Apollo Funds and Mr. ZuaZua was granted an award of options to purchase 4,722 shares of SCA common stock, which fully vested on April 17, 2020.</w:t>
      </w:r>
    </w:p>
    <w:p>
      <w:pPr>
        <w:spacing w:after="0" w:line="34" w:lineRule="exact"/>
        <w:rPr>
          <w:rFonts w:ascii="Arial" w:cs="Arial" w:eastAsia="Arial" w:hAnsi="Arial"/>
          <w:sz w:val="14"/>
          <w:szCs w:val="14"/>
          <w:color w:val="auto"/>
        </w:rPr>
      </w:pPr>
    </w:p>
    <w:p>
      <w:pPr>
        <w:ind w:left="1460" w:right="1239" w:hanging="296"/>
        <w:spacing w:after="0" w:line="229" w:lineRule="auto"/>
        <w:tabs>
          <w:tab w:leader="none" w:pos="14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amounts under “All Other Compensation” represent the Company’s contributions in respect of life insurance and our 401(k) Plan. The value of this benefit is reported as taxable income with taxes on such income paid for by the Company.</w:t>
      </w:r>
    </w:p>
    <w:p>
      <w:pPr>
        <w:spacing w:after="0" w:line="22" w:lineRule="exact"/>
        <w:rPr>
          <w:rFonts w:ascii="Arial" w:cs="Arial" w:eastAsia="Arial" w:hAnsi="Arial"/>
          <w:sz w:val="15"/>
          <w:szCs w:val="15"/>
          <w:color w:val="auto"/>
        </w:rPr>
      </w:pPr>
    </w:p>
    <w:p>
      <w:pPr>
        <w:ind w:left="1460" w:right="1179" w:hanging="296"/>
        <w:spacing w:after="0" w:line="267" w:lineRule="auto"/>
        <w:tabs>
          <w:tab w:leader="none" w:pos="1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addition, upon his termination of service without cause, Mr. Siegel shall be eligible to receive certain Post Termination Health Care Benefits, as approved by our board of directors on March 6, 2021.</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2" w:name="page163"/>
    <w:bookmarkEnd w:id="16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17"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Other than compensation arrangements for our executive officers and directors (see “</w:t>
      </w:r>
      <w:r>
        <w:rPr>
          <w:rFonts w:ascii="Arial" w:cs="Arial" w:eastAsia="Arial" w:hAnsi="Arial"/>
          <w:sz w:val="15"/>
          <w:szCs w:val="15"/>
          <w:i w:val="1"/>
          <w:iCs w:val="1"/>
          <w:color w:val="auto"/>
        </w:rPr>
        <w:t>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Compensation </w:t>
      </w:r>
      <w:r>
        <w:rPr>
          <w:rFonts w:ascii="Arial" w:cs="Arial" w:eastAsia="Arial" w:hAnsi="Arial"/>
          <w:sz w:val="15"/>
          <w:szCs w:val="15"/>
          <w:color w:val="auto"/>
        </w:rPr>
        <w:t>” for a discussion of compensation arrangements for our named executive officers and</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and the transactions discussed below, there were no transactions, to which we were a party or will be a party, in which:</w:t>
      </w:r>
    </w:p>
    <w:p>
      <w:pPr>
        <w:spacing w:after="0" w:line="69" w:lineRule="exact"/>
        <w:rPr>
          <w:sz w:val="20"/>
          <w:szCs w:val="20"/>
          <w:color w:val="auto"/>
        </w:rPr>
      </w:pPr>
    </w:p>
    <w:p>
      <w:pPr>
        <w:ind w:left="1600" w:hanging="143"/>
        <w:spacing w:after="0"/>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amounts involved exceeded or will exceed $120,000; and</w:t>
      </w:r>
    </w:p>
    <w:p>
      <w:pPr>
        <w:spacing w:after="0" w:line="91" w:lineRule="exact"/>
        <w:rPr>
          <w:rFonts w:ascii="Arial" w:cs="Arial" w:eastAsia="Arial" w:hAnsi="Arial"/>
          <w:sz w:val="15"/>
          <w:szCs w:val="15"/>
          <w:color w:val="auto"/>
        </w:rPr>
      </w:pPr>
    </w:p>
    <w:p>
      <w:pPr>
        <w:jc w:val="both"/>
        <w:ind w:left="1600" w:right="1619" w:hanging="143"/>
        <w:spacing w:after="0" w:line="254" w:lineRule="auto"/>
        <w:tabs>
          <w:tab w:leader="none" w:pos="16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capital stock, or any member of the immediate family of the foregoing persons, had or will have a direct or indirect material interest.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28"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We have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91"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audit committee.</w:t>
      </w:r>
    </w:p>
    <w:p>
      <w:pPr>
        <w:spacing w:after="0" w:line="91"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color w:val="auto"/>
        </w:rPr>
        <w:t>The policy requires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7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The Reorganization Transactions</w:t>
      </w:r>
    </w:p>
    <w:p>
      <w:pPr>
        <w:spacing w:after="0" w:line="117"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06"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3" w:name="page164"/>
    <w:bookmarkEnd w:id="16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379"/>
        <w:spacing w:after="0" w:line="235" w:lineRule="auto"/>
        <w:rPr>
          <w:sz w:val="20"/>
          <w:szCs w:val="20"/>
          <w:color w:val="auto"/>
        </w:rPr>
      </w:pPr>
      <w:r>
        <w:rPr>
          <w:rFonts w:ascii="Arial" w:cs="Arial" w:eastAsia="Arial" w:hAnsi="Arial"/>
          <w:sz w:val="15"/>
          <w:szCs w:val="15"/>
          <w:color w:val="auto"/>
        </w:rPr>
        <w:t>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89"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In this prospectus, we refer to the transactions described above as the “Reorganization Transactions.”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Transactions with Executive Officers and Directors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On April 11, 2018, Jude Bricker, our Chief Executive Officer and a director, purchased 1,227,759</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shares of SCA common stock at a purchase price of $5.30 per share. In addition, Mr. Bricker borrowed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$2,500,000 from SCA Acquisition Holdings, LLC pursuant to a promissory note issued on April 20, 2018.</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loan was repaid in full in February 2021.</w:t>
      </w:r>
    </w:p>
    <w:p>
      <w:pPr>
        <w:spacing w:after="0" w:line="90" w:lineRule="exact"/>
        <w:rPr>
          <w:sz w:val="20"/>
          <w:szCs w:val="20"/>
          <w:color w:val="auto"/>
        </w:rPr>
      </w:pPr>
    </w:p>
    <w:p>
      <w:pPr>
        <w:ind w:left="1160" w:right="1319" w:firstLine="293"/>
        <w:spacing w:after="0" w:line="234" w:lineRule="auto"/>
        <w:rPr>
          <w:sz w:val="20"/>
          <w:szCs w:val="20"/>
          <w:color w:val="auto"/>
        </w:rPr>
      </w:pPr>
      <w:r>
        <w:rPr>
          <w:rFonts w:ascii="Arial" w:cs="Arial" w:eastAsia="Arial" w:hAnsi="Arial"/>
          <w:sz w:val="15"/>
          <w:szCs w:val="15"/>
          <w:color w:val="auto"/>
        </w:rPr>
        <w:t>On April 11, 2018, David Siegel, our Chairman and a director, purchased 188,886 shares of SCA common stock at a purchase price of $5.30 per share. In addition, Mr. Siegel borrowed $1,000,000 from SCA Acquisition Holdings, LLC pursuant to a promissory note issued on April 20, 2018. The loan was repaid in full in February 2021. On August 1, 2019, SCA Acquisition Holdings, LLC issued 56,665 shares of SCA common stock to Mr. Siegel as compensation for certain diligence services in connection with our acquisition by the Apollo Funds.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EETC Financing</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An affiliate of Apollo, Apollo Global Securities, LLC, acted as co-manager in connection with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2019-1 EETC financing and received customary placement agent fees of approximately $198,870.</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Initial Public Offering</w:t>
      </w:r>
    </w:p>
    <w:p>
      <w:pPr>
        <w:spacing w:after="0" w:line="128" w:lineRule="exact"/>
        <w:rPr>
          <w:sz w:val="20"/>
          <w:szCs w:val="20"/>
          <w:color w:val="auto"/>
        </w:rPr>
      </w:pPr>
    </w:p>
    <w:p>
      <w:pPr>
        <w:ind w:left="1160" w:right="1239" w:firstLine="293"/>
        <w:spacing w:after="0" w:line="239" w:lineRule="auto"/>
        <w:rPr>
          <w:sz w:val="20"/>
          <w:szCs w:val="20"/>
          <w:color w:val="auto"/>
        </w:rPr>
      </w:pPr>
      <w:r>
        <w:rPr>
          <w:rFonts w:ascii="Arial" w:cs="Arial" w:eastAsia="Arial" w:hAnsi="Arial"/>
          <w:sz w:val="15"/>
          <w:szCs w:val="15"/>
          <w:color w:val="auto"/>
        </w:rPr>
        <w:t>An affiliate of Apollo, Apollo Global Securities, LLC, was an underwriter in our initial public offering and received underwriting discounts and commissions in connection with our initial public offering of approximately $1.0 million.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Secondary Offering</w:t>
      </w:r>
    </w:p>
    <w:p>
      <w:pPr>
        <w:spacing w:after="0" w:line="117" w:lineRule="exact"/>
        <w:rPr>
          <w:sz w:val="20"/>
          <w:szCs w:val="20"/>
          <w:color w:val="auto"/>
        </w:rPr>
      </w:pPr>
    </w:p>
    <w:p>
      <w:pPr>
        <w:jc w:val="both"/>
        <w:ind w:left="1160" w:right="1379" w:firstLine="293"/>
        <w:spacing w:after="0" w:line="264" w:lineRule="auto"/>
        <w:rPr>
          <w:sz w:val="20"/>
          <w:szCs w:val="20"/>
          <w:color w:val="auto"/>
        </w:rPr>
      </w:pPr>
      <w:r>
        <w:rPr>
          <w:rFonts w:ascii="Arial" w:cs="Arial" w:eastAsia="Arial" w:hAnsi="Arial"/>
          <w:sz w:val="14"/>
          <w:szCs w:val="14"/>
          <w:color w:val="auto"/>
        </w:rPr>
        <w:t>An affiliate of Apollo, Apollo Global Securities, LLC, was an underwriter in a secondary offering of our common stock by the Apollo Stockholder, which closed on May 24, 2021, and received underwriting discounts and commissions in connection with such offering of approximately $704,727.</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This Offering</w:t>
      </w:r>
    </w:p>
    <w:p>
      <w:pPr>
        <w:spacing w:after="0" w:line="128" w:lineRule="exact"/>
        <w:rPr>
          <w:sz w:val="20"/>
          <w:szCs w:val="20"/>
          <w:color w:val="auto"/>
        </w:rPr>
      </w:pPr>
    </w:p>
    <w:p>
      <w:pPr>
        <w:ind w:left="1160" w:right="1639" w:firstLine="293"/>
        <w:spacing w:after="0" w:line="300" w:lineRule="auto"/>
        <w:rPr>
          <w:sz w:val="20"/>
          <w:szCs w:val="20"/>
          <w:color w:val="auto"/>
        </w:rPr>
      </w:pPr>
      <w:r>
        <w:rPr>
          <w:rFonts w:ascii="Arial" w:cs="Arial" w:eastAsia="Arial" w:hAnsi="Arial"/>
          <w:sz w:val="14"/>
          <w:szCs w:val="14"/>
          <w:color w:val="auto"/>
        </w:rPr>
        <w:t>An affiliate of Apollo, Apollo Global Securities, LLC, is an underwriter in this offering and will receive a portion of the underwriting discounts and commissions in connection with this offering.</w:t>
      </w:r>
    </w:p>
    <w:p>
      <w:pPr>
        <w:spacing w:after="0" w:line="70"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As more fully discussed in “</w:t>
      </w:r>
      <w:r>
        <w:rPr>
          <w:rFonts w:ascii="Arial" w:cs="Arial" w:eastAsia="Arial" w:hAnsi="Arial"/>
          <w:sz w:val="14"/>
          <w:szCs w:val="14"/>
          <w:i w:val="1"/>
          <w:iCs w:val="1"/>
          <w:color w:val="auto"/>
        </w:rPr>
        <w:t>Underwriting (Conflict of Interest)—Conflict of Interest,</w:t>
      </w:r>
      <w:r>
        <w:rPr>
          <w:rFonts w:ascii="Arial" w:cs="Arial" w:eastAsia="Arial" w:hAnsi="Arial"/>
          <w:sz w:val="14"/>
          <w:szCs w:val="14"/>
          <w:color w:val="auto"/>
        </w:rPr>
        <w:t>” because affiliates of Apollo own in excess of 10% of our outstanding shares prior to the consummation of this offering, Apollo Global Securities, LLC is deemed to have a “conflict of interest” under FINRA Rule 5121. Accordingly, this offering is being made in compliance with the applicable provisions of FINRA Rule 5121.</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Stockholders Agreement</w:t>
      </w:r>
    </w:p>
    <w:p>
      <w:pPr>
        <w:spacing w:after="0" w:line="117" w:lineRule="exact"/>
        <w:rPr>
          <w:sz w:val="20"/>
          <w:szCs w:val="20"/>
          <w:color w:val="auto"/>
        </w:rPr>
      </w:pPr>
    </w:p>
    <w:p>
      <w:pPr>
        <w:ind w:left="1160" w:right="1219" w:firstLine="293"/>
        <w:spacing w:after="0" w:line="302" w:lineRule="auto"/>
        <w:rPr>
          <w:sz w:val="20"/>
          <w:szCs w:val="20"/>
          <w:color w:val="auto"/>
        </w:rPr>
      </w:pPr>
      <w:r>
        <w:rPr>
          <w:rFonts w:ascii="Arial" w:cs="Arial" w:eastAsia="Arial" w:hAnsi="Arial"/>
          <w:sz w:val="13"/>
          <w:szCs w:val="13"/>
          <w:color w:val="auto"/>
        </w:rPr>
        <w:t>On May 16, 2018, SCA Acquisition Holdings, LLC entered into the Amended and Restated Stockholders’ Agreement (as amended or modified from time to time, the “Stockholders Agreement”) with AP VIII (SCA Stock AIV), LLC (“Stock AIV”) and the co-investors and other stockholders party thereto, which imposes certain transfer restrictions and provides for the Company’s right to repurchase any common</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4" w:name="page165"/>
    <w:bookmarkEnd w:id="16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spacing w:after="0" w:line="268" w:lineRule="auto"/>
        <w:rPr>
          <w:sz w:val="20"/>
          <w:szCs w:val="20"/>
          <w:color w:val="auto"/>
        </w:rPr>
      </w:pPr>
      <w:r>
        <w:rPr>
          <w:rFonts w:ascii="Arial" w:cs="Arial" w:eastAsia="Arial" w:hAnsi="Arial"/>
          <w:sz w:val="14"/>
          <w:szCs w:val="14"/>
          <w:color w:val="auto"/>
        </w:rPr>
        <w:t>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 Stockholders Agreement was amended and restated to reflect the Apollo Stockholder’s acquisition of SCA common stock from Stock AIV and our conversion to a corporation.</w:t>
      </w:r>
    </w:p>
    <w:p>
      <w:pPr>
        <w:spacing w:after="0" w:line="82"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We further amended and restated the Stockholders Agreement in connection with our initial public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4"/>
          <w:szCs w:val="14"/>
          <w:i w:val="1"/>
          <w:iCs w:val="1"/>
          <w:color w:val="auto"/>
        </w:rPr>
        <w:t>Management—Board Composition</w:t>
      </w:r>
      <w:r>
        <w:rPr>
          <w:rFonts w:ascii="Arial" w:cs="Arial" w:eastAsia="Arial" w:hAnsi="Arial"/>
          <w:sz w:val="14"/>
          <w:szCs w:val="14"/>
          <w:color w:val="auto"/>
        </w:rPr>
        <w:t>.”</w:t>
      </w:r>
    </w:p>
    <w:p>
      <w:pPr>
        <w:spacing w:after="0" w:line="97"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Additionally, the Stockholders Agreement also specifies that Amazon will have the right to nominate a member or an observer to our board of directors for so long as Amazon holds the 2019 Warrants or any shares of common stock issued upon exercise of the 2019 Warrants and the ATSA remains in effect. Further, the Stockholders Agreement sets forth certain information rights granted to the Apollo Stockholder.</w:t>
      </w:r>
    </w:p>
    <w:p>
      <w:pPr>
        <w:spacing w:after="0" w:line="89"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 Stockholders Agreement also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w:t>
      </w:r>
    </w:p>
    <w:p>
      <w:pPr>
        <w:spacing w:after="0" w:line="69" w:lineRule="exact"/>
        <w:rPr>
          <w:sz w:val="20"/>
          <w:szCs w:val="20"/>
          <w:color w:val="auto"/>
        </w:rPr>
      </w:pPr>
    </w:p>
    <w:p>
      <w:pPr>
        <w:ind w:left="1600" w:right="1279" w:hanging="143"/>
        <w:spacing w:after="0" w:line="281" w:lineRule="auto"/>
        <w:tabs>
          <w:tab w:leader="none" w:pos="1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amending, modifying or repealing (whether by merger, consolidation or otherwise) any provision of our certificate of incorporation, our bylaws or equivalent organizational documents of our subsidiaries in a manner that adversely affects the Apollo Stockholder and its affiliates;</w:t>
      </w:r>
    </w:p>
    <w:p>
      <w:pPr>
        <w:spacing w:after="0" w:line="49" w:lineRule="exact"/>
        <w:rPr>
          <w:rFonts w:ascii="Arial" w:cs="Arial" w:eastAsia="Arial" w:hAnsi="Arial"/>
          <w:sz w:val="14"/>
          <w:szCs w:val="14"/>
          <w:color w:val="auto"/>
        </w:rPr>
      </w:pPr>
    </w:p>
    <w:p>
      <w:pPr>
        <w:ind w:left="1600" w:right="1399" w:hanging="143"/>
        <w:spacing w:after="0" w:line="281" w:lineRule="auto"/>
        <w:tabs>
          <w:tab w:leader="none" w:pos="1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issuing additional shares of our or our subsidiaries’ equity securities other than any award issued pursuant to an equity compensation plan approved by the stockholders or a majority of the Apollo Directors, or intracompany issuance among the Company and our wholly-owned subsidiaries;</w:t>
      </w:r>
    </w:p>
    <w:p>
      <w:pPr>
        <w:spacing w:after="0" w:line="49" w:lineRule="exact"/>
        <w:rPr>
          <w:rFonts w:ascii="Arial" w:cs="Arial" w:eastAsia="Arial" w:hAnsi="Arial"/>
          <w:sz w:val="14"/>
          <w:szCs w:val="14"/>
          <w:color w:val="auto"/>
        </w:rPr>
      </w:pPr>
    </w:p>
    <w:p>
      <w:pPr>
        <w:ind w:left="1600" w:right="1259" w:hanging="143"/>
        <w:spacing w:after="0" w:line="249"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72" w:lineRule="exact"/>
        <w:rPr>
          <w:rFonts w:ascii="Arial" w:cs="Arial" w:eastAsia="Arial" w:hAnsi="Arial"/>
          <w:sz w:val="15"/>
          <w:szCs w:val="15"/>
          <w:color w:val="auto"/>
        </w:rPr>
      </w:pPr>
    </w:p>
    <w:p>
      <w:pPr>
        <w:ind w:left="1600" w:right="1239" w:hanging="143"/>
        <w:spacing w:after="0" w:line="281" w:lineRule="auto"/>
        <w:tabs>
          <w:tab w:leader="none" w:pos="1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49" w:lineRule="exact"/>
        <w:rPr>
          <w:rFonts w:ascii="Arial" w:cs="Arial" w:eastAsia="Arial" w:hAnsi="Arial"/>
          <w:sz w:val="14"/>
          <w:szCs w:val="14"/>
          <w:color w:val="auto"/>
        </w:rPr>
      </w:pPr>
    </w:p>
    <w:p>
      <w:pPr>
        <w:ind w:left="1600" w:right="1639" w:hanging="143"/>
        <w:spacing w:after="0" w:line="264"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any material disposition of any of our or our subsidiaries’ assets or equity interests, other than dispositions of aircraft or engines in the ordinary course of business;</w:t>
      </w:r>
    </w:p>
    <w:p>
      <w:pPr>
        <w:spacing w:after="0" w:line="59"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undertaking any liquidation, dissolution or winding up of the Company, Sun Country, Inc. or any other material subsidiary of the Company;</w:t>
      </w:r>
    </w:p>
    <w:p>
      <w:pPr>
        <w:spacing w:after="0" w:line="70" w:lineRule="exact"/>
        <w:rPr>
          <w:rFonts w:ascii="Arial" w:cs="Arial" w:eastAsia="Arial" w:hAnsi="Arial"/>
          <w:sz w:val="15"/>
          <w:szCs w:val="15"/>
          <w:color w:val="auto"/>
        </w:rPr>
      </w:pPr>
    </w:p>
    <w:p>
      <w:pPr>
        <w:ind w:left="1600" w:right="1499" w:hanging="143"/>
        <w:spacing w:after="0" w:line="297" w:lineRule="auto"/>
        <w:tabs>
          <w:tab w:leader="none" w:pos="16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incurrence of indebtedness for borrowed money, in a single transaction or a series of related transactions, aggregating to more than $25.0 million, except for (i) debt under a revolving credit facility that has previously been approved or is in existence on the date of closing of our initial public offering, (ii) intercompany indebtedness or (iii) financing arrangements for aircraft and engines permitted to be acquired under the Stockholders Agreement;</w:t>
      </w:r>
    </w:p>
    <w:p>
      <w:pPr>
        <w:spacing w:after="0" w:line="41" w:lineRule="exact"/>
        <w:rPr>
          <w:rFonts w:ascii="Arial" w:cs="Arial" w:eastAsia="Arial" w:hAnsi="Arial"/>
          <w:sz w:val="13"/>
          <w:szCs w:val="13"/>
          <w:color w:val="auto"/>
        </w:rPr>
      </w:pPr>
    </w:p>
    <w:p>
      <w:pPr>
        <w:ind w:left="1600" w:right="1219" w:hanging="143"/>
        <w:spacing w:after="0" w:line="264"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hiring or terminating any executive officer of our Company or designating any new executive officer of the Company;</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5" w:name="page166"/>
    <w:bookmarkEnd w:id="16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9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effecting any material change in the nature of the business of the Company and its subsidiaries, taken as a whole; or</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 change in the size of our board of directors.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 Agreement</w:t>
      </w:r>
    </w:p>
    <w:p>
      <w:pPr>
        <w:spacing w:after="0" w:line="12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On March 19, 2021, we entered into a registration rights agreement (the “Registration Rights Agreement”) with the Apollo Stockholder, Amazon, PAR Capital and certain of our existing holders of our common stock prior to our initial public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subject to the restrictions in the lock-up agreements, so long as the securities being registered in each registration statement or sold in any underwritten offering are reasonably expected to produce aggregate proceeds of at least $50.0 million.</w:t>
      </w:r>
    </w:p>
    <w:p>
      <w:pPr>
        <w:spacing w:after="0" w:line="86"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If we become eligible to register the sale of our securities on Form S-3 under the Securities Act, which will not be until at least twelve calendar months after the date of our initial public offering,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pacing w:after="0" w:line="93"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4"/>
          <w:szCs w:val="14"/>
          <w:color w:val="auto"/>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91"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All expenses of registration under the Registration Rights Agreement, including the legal fees of counsel chosen by stockholders participating in a registration, will be paid by us.</w:t>
      </w:r>
    </w:p>
    <w:p>
      <w:pPr>
        <w:spacing w:after="0" w:line="82"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91"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Any sales in the public market of any common stock registrable pursuant to the Registration Rights Agreement could adversely affect prevailing market prices of our common stock. See “</w:t>
      </w:r>
      <w:r>
        <w:rPr>
          <w:rFonts w:ascii="Arial" w:cs="Arial" w:eastAsia="Arial" w:hAnsi="Arial"/>
          <w:sz w:val="15"/>
          <w:szCs w:val="15"/>
          <w:i w:val="1"/>
          <w:iCs w:val="1"/>
          <w:color w:val="auto"/>
        </w:rPr>
        <w:t>Risk Factors—Risks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this Offering and Ownership of our Common Stock—Future sales of our common stock in the public market, or the perception in the public market that such sales may occur, could reduce our stock price</w:t>
      </w:r>
      <w:r>
        <w:rPr>
          <w:rFonts w:ascii="Arial" w:cs="Arial" w:eastAsia="Arial" w:hAnsi="Arial"/>
          <w:sz w:val="15"/>
          <w:szCs w:val="15"/>
          <w:color w:val="auto"/>
        </w:rPr>
        <w:t>” and “</w:t>
      </w:r>
      <w:r>
        <w:rPr>
          <w:rFonts w:ascii="Arial" w:cs="Arial" w:eastAsia="Arial" w:hAnsi="Arial"/>
          <w:sz w:val="15"/>
          <w:szCs w:val="15"/>
          <w:i w:val="1"/>
          <w:iCs w:val="1"/>
          <w:color w:val="auto"/>
        </w:rPr>
        <w:t>Shares Eligible for Future Sale</w:t>
      </w:r>
      <w:r>
        <w:rPr>
          <w:rFonts w:ascii="Arial" w:cs="Arial" w:eastAsia="Arial" w:hAnsi="Arial"/>
          <w:sz w:val="15"/>
          <w:szCs w:val="15"/>
          <w:color w:val="auto"/>
        </w:rPr>
        <w:t>.”</w:t>
      </w:r>
    </w:p>
    <w:p>
      <w:pPr>
        <w:spacing w:after="0" w:line="10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This offering is being made pursuant to the terms of the Registration Rights Agreement.</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Income Tax Receivable Agreement</w:t>
      </w:r>
    </w:p>
    <w:p>
      <w:pPr>
        <w:spacing w:after="0" w:line="11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On March 19, 2021, we entered into an income tax receivable agreement pursuant to which our pre-IPO stockholders have the right to receive payment by us of 85% of the amount of cash savings, if 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our initial public offering as a result of the utilization of our and our subsidiaries’ tax attributes existing at the time of our initial public offering. These tax attributes, which we refer to as the “Pre-IPO Tax Attributes,” include net operating loss carryforwards, deductions, tax basis and certain other tax attributes, in each case that relate to periods (or portions thereof) ending on or prior to the closing date of our initial public offering.</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6" w:name="page167"/>
    <w:bookmarkEnd w:id="16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300" w:lineRule="auto"/>
        <w:rPr>
          <w:sz w:val="20"/>
          <w:szCs w:val="20"/>
          <w:color w:val="auto"/>
        </w:rPr>
      </w:pPr>
      <w:r>
        <w:rPr>
          <w:rFonts w:ascii="Arial" w:cs="Arial" w:eastAsia="Arial" w:hAnsi="Arial"/>
          <w:sz w:val="14"/>
          <w:szCs w:val="14"/>
          <w:color w:val="auto"/>
        </w:rPr>
        <w:t>We expect to be able to utilize the Pre-IPO Tax Attributes. We expect that the Pre-IPO Tax Attributes will reduce the amount of tax that we and our subsidiaries would otherwise be required to pay in the future.</w:t>
      </w:r>
    </w:p>
    <w:p>
      <w:pPr>
        <w:spacing w:after="0" w:line="59"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color w:val="auto"/>
        </w:rPr>
        <w:t>For purposes of the income tax receivable agreement, cash savings in income tax are computed by reference to the reduction in the liability for income taxes resulting from the utilization of the tax benefits subject to the income tax receivable agreement. The term of the income tax receivable agreement will continue until all relevant tax benefits have been utilized or expired.</w:t>
      </w:r>
    </w:p>
    <w:p>
      <w:pPr>
        <w:spacing w:after="0" w:line="89"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spacing w:after="0" w:line="10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Any future changes in the realizability of our Pre-IPO Tax Attributes in each case, attributable to periods prior to our initial public offering, will impact the amount of the liability that will be paid to our pre-IPO stockholders.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$96.5 million. Based on our current taxable income estimates, we expect to pay the majority of this obligation by the end of our 2025 fiscal year. We plan to use cash flow from operations and availability under the Revolving Credit Facility to fund our obligations under the income tax receivable agreement.</w:t>
      </w:r>
    </w:p>
    <w:p>
      <w:pPr>
        <w:spacing w:after="0" w:line="94"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If we undergo certain mergers, stock and asset sales, other forms of business combinations or other transactions constituting a “changes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97"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 Payments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 distributions to us. Our existing and future debt agreement, as well as restrictions in government programs, may restrict the ability of our subsidiaries to make distributions to us, which could affect our ability to make payments under the income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spacing w:after="0" w:line="100"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4"/>
          <w:szCs w:val="14"/>
          <w:color w:val="auto"/>
        </w:rPr>
        <w:t>To the extent that we are unable to make payments under the income tax receivable agreement for any reason, other than due to restrictions under our or our subsidiaries’ indebtedness, such payments will be deferred and will accrue interest at a rate of LIBOR plus 5.00% per annum until paid. To the extent that we are unable to make payments under the income tax receivable agreement due to restrictions under our and our subsidiaries’ indebtedness, such payments will be deferred and will accrue interest at a rate of LIBOR plus 3.00% per annum until paid.</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7" w:name="page168"/>
    <w:bookmarkEnd w:id="16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79" w:firstLine="293"/>
        <w:spacing w:after="0" w:line="271" w:lineRule="auto"/>
        <w:rPr>
          <w:sz w:val="20"/>
          <w:szCs w:val="20"/>
          <w:color w:val="auto"/>
        </w:rPr>
      </w:pPr>
      <w:r>
        <w:rPr>
          <w:rFonts w:ascii="Arial" w:cs="Arial" w:eastAsia="Arial" w:hAnsi="Arial"/>
          <w:sz w:val="14"/>
          <w:szCs w:val="14"/>
          <w:color w:val="auto"/>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spacing w:after="0" w:line="80"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No payments under the income tax receivable agreement will be required until at least 12 months after the closing date of our initial public offering. Our first obligations to pay amounts owed to our pre-IPO stockholders under the income tax receivable agreement will not arise until 2023 at the earliest. In addition, if we are prohibited from making payments under the income tax receivable agreement for tax benefits utilized during any periods pursuant to the CARES Act or other governmental programs, we will not be required to make such payments to Pre-IPO stockholders for tax benefits utilized during such periods. Further, if the Company enters into indebtedness with a government entity of the United States that prohibits payments and will not allow such payments to be deferred, then such payments will not need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8" w:name="page169"/>
    <w:bookmarkEnd w:id="16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PRINCIPAL AND SELLING STOCKHOLDERS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sets forth the beneficial ownership of our common stock as of September 30, 2021,</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by:</w:t>
      </w:r>
    </w:p>
    <w:p>
      <w:pPr>
        <w:spacing w:after="0" w:line="80" w:lineRule="exact"/>
        <w:rPr>
          <w:sz w:val="20"/>
          <w:szCs w:val="20"/>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selling stockholders;</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each person, or group of affiliated persons, who we know to beneficially own more than 5% of our common stock;</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each of our named executive officers for fiscal year 2020;</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each of our current directors;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124"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w:t>
      </w:r>
    </w:p>
    <w:p>
      <w:pPr>
        <w:spacing w:after="0" w:line="93" w:lineRule="exact"/>
        <w:rPr>
          <w:sz w:val="20"/>
          <w:szCs w:val="20"/>
          <w:color w:val="auto"/>
        </w:rPr>
      </w:pPr>
    </w:p>
    <w:p>
      <w:pPr>
        <w:jc w:val="both"/>
        <w:ind w:left="1160" w:right="1659" w:firstLine="293"/>
        <w:spacing w:after="0" w:line="274" w:lineRule="auto"/>
        <w:rPr>
          <w:sz w:val="20"/>
          <w:szCs w:val="20"/>
          <w:color w:val="auto"/>
        </w:rPr>
      </w:pPr>
      <w:r>
        <w:rPr>
          <w:rFonts w:ascii="Arial" w:cs="Arial" w:eastAsia="Arial" w:hAnsi="Arial"/>
          <w:sz w:val="14"/>
          <w:szCs w:val="14"/>
          <w:color w:val="auto"/>
        </w:rPr>
        <w:t>Upon completion of this offering, we expect that Apollo and its affiliates, including the Apollo Stockholder, will no longer beneficially own more than 50% of the voting power of our outstanding common stock. See “</w:t>
      </w:r>
      <w:r>
        <w:rPr>
          <w:rFonts w:ascii="Arial" w:cs="Arial" w:eastAsia="Arial" w:hAnsi="Arial"/>
          <w:sz w:val="14"/>
          <w:szCs w:val="14"/>
          <w:i w:val="1"/>
          <w:iCs w:val="1"/>
          <w:color w:val="auto"/>
        </w:rPr>
        <w:t>Description of Capital Stock—Composition of Board of Directors; Election and</w:t>
      </w:r>
      <w:r>
        <w:rPr>
          <w:rFonts w:ascii="Arial" w:cs="Arial" w:eastAsia="Arial" w:hAnsi="Arial"/>
          <w:sz w:val="14"/>
          <w:szCs w:val="14"/>
          <w:color w:val="auto"/>
        </w:rPr>
        <w:t xml:space="preserve"> </w:t>
      </w:r>
      <w:r>
        <w:rPr>
          <w:rFonts w:ascii="Arial" w:cs="Arial" w:eastAsia="Arial" w:hAnsi="Arial"/>
          <w:sz w:val="14"/>
          <w:szCs w:val="14"/>
          <w:i w:val="1"/>
          <w:iCs w:val="1"/>
          <w:color w:val="auto"/>
        </w:rPr>
        <w:t>Removal</w:t>
      </w:r>
      <w:r>
        <w:rPr>
          <w:rFonts w:ascii="Arial" w:cs="Arial" w:eastAsia="Arial" w:hAnsi="Arial"/>
          <w:sz w:val="14"/>
          <w:szCs w:val="14"/>
          <w:color w:val="auto"/>
        </w:rPr>
        <w:t>” and “</w:t>
      </w:r>
      <w:r>
        <w:rPr>
          <w:rFonts w:ascii="Arial" w:cs="Arial" w:eastAsia="Arial" w:hAnsi="Arial"/>
          <w:sz w:val="14"/>
          <w:szCs w:val="14"/>
          <w:i w:val="1"/>
          <w:iCs w:val="1"/>
          <w:color w:val="auto"/>
        </w:rPr>
        <w:t>Description of Capital Stock—Certain Corporate Anti-takeover Provisions</w:t>
      </w:r>
      <w:r>
        <w:rPr>
          <w:rFonts w:ascii="Arial" w:cs="Arial" w:eastAsia="Arial" w:hAnsi="Arial"/>
          <w:sz w:val="14"/>
          <w:szCs w:val="14"/>
          <w:color w:val="auto"/>
        </w:rPr>
        <w:t>.”</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3"/>
              </w:rPr>
              <w:t>Shares of Common</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2"/>
        </w:trPr>
        <w:tc>
          <w:tcPr>
            <w:tcW w:w="2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3"/>
              </w:rPr>
              <w:t>Shares of Common</w:t>
            </w:r>
          </w:p>
        </w:tc>
        <w:tc>
          <w:tcPr>
            <w:tcW w:w="114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3"/>
              </w:rPr>
              <w:t>Shares of Common</w:t>
            </w:r>
          </w:p>
        </w:tc>
        <w:tc>
          <w:tcPr>
            <w:tcW w:w="108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3"/>
              </w:rPr>
              <w:t>Stock Beneficially</w:t>
            </w:r>
          </w:p>
        </w:tc>
        <w:tc>
          <w:tcPr>
            <w:tcW w:w="108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3"/>
              </w:rPr>
              <w:t>Shares of Common</w:t>
            </w:r>
          </w:p>
        </w:tc>
      </w:tr>
      <w:tr>
        <w:trPr>
          <w:trHeight w:val="132"/>
        </w:trPr>
        <w:tc>
          <w:tcPr>
            <w:tcW w:w="2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1"/>
              </w:rPr>
              <w:t>Stock to be Sold in the</w:t>
            </w:r>
          </w:p>
        </w:tc>
        <w:tc>
          <w:tcPr>
            <w:tcW w:w="114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1"/>
              </w:rPr>
              <w:t>Stock to be Sold in the</w:t>
            </w:r>
          </w:p>
        </w:tc>
        <w:tc>
          <w:tcPr>
            <w:tcW w:w="10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6"/>
              </w:rPr>
              <w:t>Owned After the</w:t>
            </w:r>
          </w:p>
        </w:tc>
        <w:tc>
          <w:tcPr>
            <w:tcW w:w="108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1"/>
              </w:rPr>
              <w:t>Stock Beneficially</w:t>
            </w:r>
          </w:p>
        </w:tc>
      </w:tr>
      <w:tr>
        <w:trPr>
          <w:trHeight w:val="132"/>
        </w:trPr>
        <w:tc>
          <w:tcPr>
            <w:tcW w:w="2420" w:type="dxa"/>
            <w:vAlign w:val="bottom"/>
          </w:tcPr>
          <w:p>
            <w:pPr>
              <w:spacing w:after="0"/>
              <w:rPr>
                <w:sz w:val="11"/>
                <w:szCs w:val="11"/>
                <w:color w:val="auto"/>
              </w:rPr>
            </w:pPr>
          </w:p>
        </w:tc>
        <w:tc>
          <w:tcPr>
            <w:tcW w:w="10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3"/>
              </w:rPr>
              <w:t>Shares of Common</w:t>
            </w:r>
          </w:p>
        </w:tc>
        <w:tc>
          <w:tcPr>
            <w:tcW w:w="114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3"/>
              </w:rPr>
              <w:t>Offering Assuming</w:t>
            </w:r>
          </w:p>
        </w:tc>
        <w:tc>
          <w:tcPr>
            <w:tcW w:w="114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5"/>
              </w:rPr>
              <w:t>Offering Assuming</w:t>
            </w:r>
          </w:p>
        </w:tc>
        <w:tc>
          <w:tcPr>
            <w:tcW w:w="10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5"/>
              </w:rPr>
              <w:t>Offering Assuming</w:t>
            </w:r>
          </w:p>
        </w:tc>
        <w:tc>
          <w:tcPr>
            <w:tcW w:w="108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6"/>
              </w:rPr>
              <w:t>Owned After the</w:t>
            </w:r>
          </w:p>
        </w:tc>
      </w:tr>
      <w:tr>
        <w:trPr>
          <w:trHeight w:val="132"/>
        </w:trPr>
        <w:tc>
          <w:tcPr>
            <w:tcW w:w="2420" w:type="dxa"/>
            <w:vAlign w:val="bottom"/>
          </w:tcPr>
          <w:p>
            <w:pPr>
              <w:spacing w:after="0"/>
              <w:rPr>
                <w:sz w:val="11"/>
                <w:szCs w:val="11"/>
                <w:color w:val="auto"/>
              </w:rPr>
            </w:pPr>
          </w:p>
        </w:tc>
        <w:tc>
          <w:tcPr>
            <w:tcW w:w="108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3"/>
              </w:rPr>
              <w:t>Stock Beneficially</w:t>
            </w:r>
          </w:p>
        </w:tc>
        <w:tc>
          <w:tcPr>
            <w:tcW w:w="114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90"/>
              </w:rPr>
              <w:t>Underwriters’</w:t>
            </w:r>
          </w:p>
        </w:tc>
        <w:tc>
          <w:tcPr>
            <w:tcW w:w="114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Underwriters’</w:t>
            </w:r>
          </w:p>
        </w:tc>
        <w:tc>
          <w:tcPr>
            <w:tcW w:w="10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Underwriters’</w:t>
            </w:r>
          </w:p>
        </w:tc>
        <w:tc>
          <w:tcPr>
            <w:tcW w:w="108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5"/>
              </w:rPr>
              <w:t>Offering Assuming</w:t>
            </w:r>
          </w:p>
        </w:tc>
      </w:tr>
      <w:tr>
        <w:trPr>
          <w:trHeight w:val="132"/>
        </w:trPr>
        <w:tc>
          <w:tcPr>
            <w:tcW w:w="2420" w:type="dxa"/>
            <w:vAlign w:val="bottom"/>
          </w:tcPr>
          <w:p>
            <w:pPr>
              <w:spacing w:after="0"/>
              <w:rPr>
                <w:sz w:val="11"/>
                <w:szCs w:val="11"/>
                <w:color w:val="auto"/>
              </w:rPr>
            </w:pPr>
          </w:p>
        </w:tc>
        <w:tc>
          <w:tcPr>
            <w:tcW w:w="10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5"/>
              </w:rPr>
              <w:t>Owned Before the</w:t>
            </w:r>
          </w:p>
        </w:tc>
        <w:tc>
          <w:tcPr>
            <w:tcW w:w="114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Option is Not</w:t>
            </w:r>
          </w:p>
        </w:tc>
        <w:tc>
          <w:tcPr>
            <w:tcW w:w="114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Option is</w:t>
            </w:r>
          </w:p>
        </w:tc>
        <w:tc>
          <w:tcPr>
            <w:tcW w:w="10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Option is Not</w:t>
            </w:r>
          </w:p>
        </w:tc>
        <w:tc>
          <w:tcPr>
            <w:tcW w:w="108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7"/>
              </w:rPr>
              <w:t>Underwriters’</w:t>
            </w:r>
          </w:p>
        </w:tc>
      </w:tr>
      <w:tr>
        <w:trPr>
          <w:trHeight w:val="150"/>
        </w:trPr>
        <w:tc>
          <w:tcPr>
            <w:tcW w:w="2420" w:type="dxa"/>
            <w:vAlign w:val="bottom"/>
          </w:tcPr>
          <w:p>
            <w:pPr>
              <w:spacing w:after="0"/>
              <w:rPr>
                <w:sz w:val="13"/>
                <w:szCs w:val="13"/>
                <w:color w:val="auto"/>
              </w:rPr>
            </w:pPr>
          </w:p>
        </w:tc>
        <w:tc>
          <w:tcPr>
            <w:tcW w:w="108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Offering</w:t>
            </w:r>
          </w:p>
        </w:tc>
        <w:tc>
          <w:tcPr>
            <w:tcW w:w="11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1"/>
              </w:rPr>
              <w:t>Exercised</w:t>
            </w:r>
          </w:p>
        </w:tc>
        <w:tc>
          <w:tcPr>
            <w:tcW w:w="11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1"/>
              </w:rPr>
              <w:t>Exercised</w:t>
            </w:r>
          </w:p>
        </w:tc>
        <w:tc>
          <w:tcPr>
            <w:tcW w:w="10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4"/>
              </w:rPr>
              <w:t>Exercised</w:t>
            </w:r>
          </w:p>
        </w:tc>
        <w:tc>
          <w:tcPr>
            <w:tcW w:w="10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3"/>
              </w:rPr>
              <w:t>Option is Exercised</w:t>
            </w:r>
          </w:p>
        </w:tc>
      </w:tr>
      <w:tr>
        <w:trPr>
          <w:trHeight w:val="21"/>
        </w:trPr>
        <w:tc>
          <w:tcPr>
            <w:tcW w:w="24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4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Number</w:t>
            </w:r>
          </w:p>
        </w:tc>
        <w:tc>
          <w:tcPr>
            <w:tcW w:w="4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1"/>
              </w:rPr>
              <w:t>Percent</w:t>
            </w:r>
          </w:p>
        </w:tc>
        <w:tc>
          <w:tcPr>
            <w:tcW w:w="11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8"/>
              </w:rPr>
              <w:t>Number</w:t>
            </w:r>
          </w:p>
        </w:tc>
        <w:tc>
          <w:tcPr>
            <w:tcW w:w="11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2"/>
              </w:rPr>
              <w:t>Number</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Number</w:t>
            </w:r>
          </w:p>
        </w:tc>
        <w:tc>
          <w:tcPr>
            <w:tcW w:w="4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1"/>
              </w:rPr>
              <w:t>Percent</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Number</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1"/>
              </w:rPr>
              <w:t>Percent</w:t>
            </w:r>
          </w:p>
        </w:tc>
      </w:tr>
      <w:tr>
        <w:trPr>
          <w:trHeight w:val="21"/>
        </w:trPr>
        <w:tc>
          <w:tcPr>
            <w:tcW w:w="24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5% Stockholders and Other Selling</w:t>
            </w: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4"/>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Stockholders</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420" w:type="dxa"/>
            <w:vAlign w:val="bottom"/>
          </w:tcPr>
          <w:p>
            <w:pPr>
              <w:spacing w:after="0"/>
              <w:rPr>
                <w:sz w:val="20"/>
                <w:szCs w:val="20"/>
                <w:color w:val="auto"/>
              </w:rPr>
            </w:pPr>
            <w:r>
              <w:rPr>
                <w:rFonts w:ascii="Arial" w:cs="Arial" w:eastAsia="Arial" w:hAnsi="Arial"/>
                <w:sz w:val="13"/>
                <w:szCs w:val="13"/>
                <w:color w:val="auto"/>
              </w:rPr>
              <w:t>SCA Horus Holdings, LLC</w:t>
            </w:r>
            <w:r>
              <w:rPr>
                <w:rFonts w:ascii="Arial" w:cs="Arial" w:eastAsia="Arial" w:hAnsi="Arial"/>
                <w:sz w:val="16"/>
                <w:szCs w:val="16"/>
                <w:color w:val="auto"/>
                <w:vertAlign w:val="superscript"/>
              </w:rPr>
              <w:t>(1)</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32,562,520</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56.6%</w:t>
            </w:r>
          </w:p>
        </w:tc>
        <w:tc>
          <w:tcPr>
            <w:tcW w:w="1100" w:type="dxa"/>
            <w:vAlign w:val="bottom"/>
          </w:tcPr>
          <w:p>
            <w:pPr>
              <w:jc w:val="right"/>
              <w:ind w:right="237"/>
              <w:spacing w:after="0"/>
              <w:rPr>
                <w:sz w:val="20"/>
                <w:szCs w:val="20"/>
                <w:color w:val="auto"/>
              </w:rPr>
            </w:pPr>
            <w:r>
              <w:rPr>
                <w:rFonts w:ascii="Arial" w:cs="Arial" w:eastAsia="Arial" w:hAnsi="Arial"/>
                <w:sz w:val="13"/>
                <w:szCs w:val="13"/>
                <w:color w:val="auto"/>
              </w:rPr>
              <w:t>7,450,000</w:t>
            </w:r>
          </w:p>
        </w:tc>
        <w:tc>
          <w:tcPr>
            <w:tcW w:w="40" w:type="dxa"/>
            <w:vAlign w:val="bottom"/>
          </w:tcPr>
          <w:p>
            <w:pPr>
              <w:spacing w:after="0"/>
              <w:rPr>
                <w:sz w:val="17"/>
                <w:szCs w:val="17"/>
                <w:color w:val="auto"/>
              </w:rPr>
            </w:pPr>
          </w:p>
        </w:tc>
        <w:tc>
          <w:tcPr>
            <w:tcW w:w="1100" w:type="dxa"/>
            <w:vAlign w:val="bottom"/>
          </w:tcPr>
          <w:p>
            <w:pPr>
              <w:jc w:val="right"/>
              <w:ind w:right="217"/>
              <w:spacing w:after="0"/>
              <w:rPr>
                <w:sz w:val="20"/>
                <w:szCs w:val="20"/>
                <w:color w:val="auto"/>
              </w:rPr>
            </w:pPr>
            <w:r>
              <w:rPr>
                <w:rFonts w:ascii="Arial" w:cs="Arial" w:eastAsia="Arial" w:hAnsi="Arial"/>
                <w:sz w:val="13"/>
                <w:szCs w:val="13"/>
                <w:color w:val="auto"/>
              </w:rPr>
              <w:t>8,245,000</w:t>
            </w:r>
          </w:p>
        </w:tc>
        <w:tc>
          <w:tcPr>
            <w:tcW w:w="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25,112,520</w:t>
            </w:r>
          </w:p>
        </w:tc>
        <w:tc>
          <w:tcPr>
            <w:tcW w:w="1100" w:type="dxa"/>
            <w:vAlign w:val="bottom"/>
            <w:gridSpan w:val="4"/>
          </w:tcPr>
          <w:p>
            <w:pPr>
              <w:jc w:val="right"/>
              <w:ind w:right="40"/>
              <w:spacing w:after="0"/>
              <w:rPr>
                <w:sz w:val="20"/>
                <w:szCs w:val="20"/>
                <w:color w:val="auto"/>
              </w:rPr>
            </w:pPr>
            <w:r>
              <w:rPr>
                <w:rFonts w:ascii="Arial" w:cs="Arial" w:eastAsia="Arial" w:hAnsi="Arial"/>
                <w:sz w:val="13"/>
                <w:szCs w:val="13"/>
                <w:color w:val="auto"/>
                <w:w w:val="98"/>
              </w:rPr>
              <w:t>43.6% 24,317,520</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42.0%</w:t>
            </w:r>
          </w:p>
        </w:tc>
      </w:tr>
      <w:tr>
        <w:trPr>
          <w:trHeight w:val="198"/>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Jude Bricker</w:t>
            </w:r>
            <w:r>
              <w:rPr>
                <w:rFonts w:ascii="Arial" w:cs="Arial" w:eastAsia="Arial" w:hAnsi="Arial"/>
                <w:sz w:val="16"/>
                <w:szCs w:val="16"/>
                <w:color w:val="auto"/>
                <w:vertAlign w:val="superscript"/>
              </w:rPr>
              <w:t>(2)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1,592,710</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1,050,000</w:t>
            </w:r>
          </w:p>
        </w:tc>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1,500,000</w:t>
            </w: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542,710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92,710</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r>
      <w:tr>
        <w:trPr>
          <w:trHeight w:val="198"/>
        </w:trPr>
        <w:tc>
          <w:tcPr>
            <w:tcW w:w="2420" w:type="dxa"/>
            <w:vAlign w:val="bottom"/>
          </w:tcPr>
          <w:p>
            <w:pPr>
              <w:spacing w:after="0"/>
              <w:rPr>
                <w:sz w:val="20"/>
                <w:szCs w:val="20"/>
                <w:color w:val="auto"/>
              </w:rPr>
            </w:pPr>
            <w:r>
              <w:rPr>
                <w:rFonts w:ascii="Arial" w:cs="Arial" w:eastAsia="Arial" w:hAnsi="Arial"/>
                <w:sz w:val="13"/>
                <w:szCs w:val="13"/>
                <w:color w:val="auto"/>
              </w:rPr>
              <w:t>David Siegel</w:t>
            </w:r>
            <w:r>
              <w:rPr>
                <w:rFonts w:ascii="Arial" w:cs="Arial" w:eastAsia="Arial" w:hAnsi="Arial"/>
                <w:sz w:val="16"/>
                <w:szCs w:val="16"/>
                <w:color w:val="auto"/>
                <w:vertAlign w:val="superscript"/>
              </w:rPr>
              <w:t>(3)</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321,708</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17"/>
              <w:spacing w:after="0"/>
              <w:rPr>
                <w:sz w:val="20"/>
                <w:szCs w:val="20"/>
                <w:color w:val="auto"/>
              </w:rPr>
            </w:pPr>
            <w:r>
              <w:rPr>
                <w:rFonts w:ascii="Arial" w:cs="Arial" w:eastAsia="Arial" w:hAnsi="Arial"/>
                <w:sz w:val="13"/>
                <w:szCs w:val="13"/>
                <w:color w:val="auto"/>
              </w:rPr>
              <w:t>30,000</w:t>
            </w:r>
          </w:p>
        </w:tc>
        <w:tc>
          <w:tcPr>
            <w:tcW w:w="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321,708</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291,708</w:t>
            </w:r>
          </w:p>
        </w:tc>
        <w:tc>
          <w:tcPr>
            <w:tcW w:w="4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r>
      <w:tr>
        <w:trPr>
          <w:trHeight w:val="187"/>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6"/>
              </w:rPr>
              <w:t>Named Executive Officers and Directors</w:t>
            </w: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2420" w:type="dxa"/>
            <w:vAlign w:val="bottom"/>
          </w:tcPr>
          <w:p>
            <w:pPr>
              <w:spacing w:after="0"/>
              <w:rPr>
                <w:sz w:val="20"/>
                <w:szCs w:val="20"/>
                <w:color w:val="auto"/>
              </w:rPr>
            </w:pPr>
            <w:r>
              <w:rPr>
                <w:rFonts w:ascii="Arial" w:cs="Arial" w:eastAsia="Arial" w:hAnsi="Arial"/>
                <w:sz w:val="13"/>
                <w:szCs w:val="13"/>
                <w:color w:val="auto"/>
              </w:rPr>
              <w:t>Jude Bricker</w:t>
            </w:r>
            <w:r>
              <w:rPr>
                <w:rFonts w:ascii="Arial" w:cs="Arial" w:eastAsia="Arial" w:hAnsi="Arial"/>
                <w:sz w:val="16"/>
                <w:szCs w:val="16"/>
                <w:color w:val="auto"/>
                <w:vertAlign w:val="superscript"/>
              </w:rPr>
              <w:t>(2)</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1,592,710</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2.7%</w:t>
            </w:r>
          </w:p>
        </w:tc>
        <w:tc>
          <w:tcPr>
            <w:tcW w:w="1100" w:type="dxa"/>
            <w:vAlign w:val="bottom"/>
          </w:tcPr>
          <w:p>
            <w:pPr>
              <w:jc w:val="right"/>
              <w:ind w:right="237"/>
              <w:spacing w:after="0"/>
              <w:rPr>
                <w:sz w:val="20"/>
                <w:szCs w:val="20"/>
                <w:color w:val="auto"/>
              </w:rPr>
            </w:pPr>
            <w:r>
              <w:rPr>
                <w:rFonts w:ascii="Arial" w:cs="Arial" w:eastAsia="Arial" w:hAnsi="Arial"/>
                <w:sz w:val="13"/>
                <w:szCs w:val="13"/>
                <w:color w:val="auto"/>
              </w:rPr>
              <w:t>1,050,000</w:t>
            </w:r>
          </w:p>
        </w:tc>
        <w:tc>
          <w:tcPr>
            <w:tcW w:w="40" w:type="dxa"/>
            <w:vAlign w:val="bottom"/>
          </w:tcPr>
          <w:p>
            <w:pPr>
              <w:spacing w:after="0"/>
              <w:rPr>
                <w:sz w:val="17"/>
                <w:szCs w:val="17"/>
                <w:color w:val="auto"/>
              </w:rPr>
            </w:pPr>
          </w:p>
        </w:tc>
        <w:tc>
          <w:tcPr>
            <w:tcW w:w="1100" w:type="dxa"/>
            <w:vAlign w:val="bottom"/>
          </w:tcPr>
          <w:p>
            <w:pPr>
              <w:jc w:val="right"/>
              <w:ind w:right="217"/>
              <w:spacing w:after="0"/>
              <w:rPr>
                <w:sz w:val="20"/>
                <w:szCs w:val="20"/>
                <w:color w:val="auto"/>
              </w:rPr>
            </w:pPr>
            <w:r>
              <w:rPr>
                <w:rFonts w:ascii="Arial" w:cs="Arial" w:eastAsia="Arial" w:hAnsi="Arial"/>
                <w:sz w:val="13"/>
                <w:szCs w:val="13"/>
                <w:color w:val="auto"/>
              </w:rPr>
              <w:t>1,500,000</w:t>
            </w:r>
          </w:p>
        </w:tc>
        <w:tc>
          <w:tcPr>
            <w:tcW w:w="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542,710</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1.0%</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92,710</w:t>
            </w:r>
          </w:p>
        </w:tc>
        <w:tc>
          <w:tcPr>
            <w:tcW w:w="4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r>
      <w:tr>
        <w:trPr>
          <w:trHeight w:val="198"/>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Dave Davis</w:t>
            </w:r>
            <w:r>
              <w:rPr>
                <w:rFonts w:ascii="Arial" w:cs="Arial" w:eastAsia="Arial" w:hAnsi="Arial"/>
                <w:sz w:val="16"/>
                <w:szCs w:val="16"/>
                <w:color w:val="auto"/>
                <w:vertAlign w:val="superscript"/>
              </w:rPr>
              <w:t>(4)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12,930</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12,930</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12,930</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3"/>
                <w:szCs w:val="13"/>
                <w:color w:val="auto"/>
              </w:rPr>
              <w:t>Gregory Mays</w:t>
            </w:r>
            <w:r>
              <w:rPr>
                <w:rFonts w:ascii="Arial" w:cs="Arial" w:eastAsia="Arial" w:hAnsi="Arial"/>
                <w:sz w:val="16"/>
                <w:szCs w:val="16"/>
                <w:color w:val="auto"/>
                <w:vertAlign w:val="superscript"/>
              </w:rPr>
              <w:t>(5)</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105,693</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105,693</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105,693</w:t>
            </w:r>
          </w:p>
        </w:tc>
        <w:tc>
          <w:tcPr>
            <w:tcW w:w="4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r>
      <w:tr>
        <w:trPr>
          <w:trHeight w:val="198"/>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Thomas C. Kennedy</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3"/>
                <w:szCs w:val="13"/>
                <w:color w:val="auto"/>
              </w:rPr>
              <w:t>Patrick Kearney</w:t>
            </w:r>
            <w:r>
              <w:rPr>
                <w:rFonts w:ascii="Arial" w:cs="Arial" w:eastAsia="Arial" w:hAnsi="Arial"/>
                <w:sz w:val="16"/>
                <w:szCs w:val="16"/>
                <w:color w:val="auto"/>
                <w:vertAlign w:val="superscript"/>
              </w:rPr>
              <w:t>(1)(6)</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9"/>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Antoine Munfakh</w:t>
            </w:r>
            <w:r>
              <w:rPr>
                <w:rFonts w:ascii="Arial" w:cs="Arial" w:eastAsia="Arial" w:hAnsi="Arial"/>
                <w:sz w:val="16"/>
                <w:szCs w:val="16"/>
                <w:color w:val="auto"/>
                <w:vertAlign w:val="superscript"/>
              </w:rPr>
              <w:t>(1)(6)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r>
      <w:tr>
        <w:trPr>
          <w:trHeight w:val="198"/>
        </w:trPr>
        <w:tc>
          <w:tcPr>
            <w:tcW w:w="2420" w:type="dxa"/>
            <w:vAlign w:val="bottom"/>
          </w:tcPr>
          <w:p>
            <w:pPr>
              <w:spacing w:after="0"/>
              <w:rPr>
                <w:sz w:val="20"/>
                <w:szCs w:val="20"/>
                <w:color w:val="auto"/>
              </w:rPr>
            </w:pPr>
            <w:r>
              <w:rPr>
                <w:rFonts w:ascii="Arial" w:cs="Arial" w:eastAsia="Arial" w:hAnsi="Arial"/>
                <w:sz w:val="13"/>
                <w:szCs w:val="13"/>
                <w:color w:val="auto"/>
              </w:rPr>
              <w:t>Kerry Philipovitch</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5,139</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5,139</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5,139</w:t>
            </w:r>
          </w:p>
        </w:tc>
        <w:tc>
          <w:tcPr>
            <w:tcW w:w="4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r>
      <w:tr>
        <w:trPr>
          <w:trHeight w:val="209"/>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David Siegel</w:t>
            </w:r>
            <w:r>
              <w:rPr>
                <w:rFonts w:ascii="Arial" w:cs="Arial" w:eastAsia="Arial" w:hAnsi="Arial"/>
                <w:sz w:val="16"/>
                <w:szCs w:val="16"/>
                <w:color w:val="auto"/>
                <w:vertAlign w:val="superscript"/>
              </w:rPr>
              <w:t>(3)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321,708</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30,000</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321,708</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291,708</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3"/>
                <w:szCs w:val="13"/>
                <w:color w:val="auto"/>
              </w:rPr>
              <w:t>Juan Carlos Zuazua</w:t>
            </w:r>
            <w:r>
              <w:rPr>
                <w:rFonts w:ascii="Arial" w:cs="Arial" w:eastAsia="Arial" w:hAnsi="Arial"/>
                <w:sz w:val="16"/>
                <w:szCs w:val="16"/>
                <w:color w:val="auto"/>
                <w:vertAlign w:val="superscript"/>
              </w:rPr>
              <w:t>(7)</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10,444</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10,444</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10,444</w:t>
            </w:r>
          </w:p>
        </w:tc>
        <w:tc>
          <w:tcPr>
            <w:tcW w:w="4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r>
      <w:tr>
        <w:trPr>
          <w:trHeight w:val="208"/>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All current directors and executive</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officers as a group (15 persons)</w:t>
            </w:r>
            <w:r>
              <w:rPr>
                <w:rFonts w:ascii="Arial" w:cs="Arial" w:eastAsia="Arial" w:hAnsi="Arial"/>
                <w:sz w:val="16"/>
                <w:szCs w:val="16"/>
                <w:color w:val="auto"/>
                <w:vertAlign w:val="superscript"/>
              </w:rPr>
              <w:t>(8)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2,351,162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1,050,000</w:t>
            </w:r>
          </w:p>
        </w:tc>
        <w:tc>
          <w:tcPr>
            <w:tcW w:w="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1,530,000</w:t>
            </w:r>
          </w:p>
        </w:tc>
        <w:tc>
          <w:tcPr>
            <w:tcW w:w="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1,301,162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821,162</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-2141220</wp:posOffset>
            </wp:positionV>
            <wp:extent cx="97663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976630"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-2141220</wp:posOffset>
            </wp:positionV>
            <wp:extent cx="27940"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-2141220</wp:posOffset>
            </wp:positionV>
            <wp:extent cx="27940"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-2141220</wp:posOffset>
            </wp:positionV>
            <wp:extent cx="27940"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-2141220</wp:posOffset>
            </wp:positionV>
            <wp:extent cx="1946275"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9462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44" w:lineRule="exact"/>
        <w:rPr>
          <w:sz w:val="20"/>
          <w:szCs w:val="20"/>
          <w:color w:val="auto"/>
        </w:rPr>
      </w:pPr>
    </w:p>
    <w:p>
      <w:pPr>
        <w:ind w:left="1460" w:hanging="296"/>
        <w:spacing w:after="0"/>
        <w:tabs>
          <w:tab w:leader="none" w:pos="14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9" w:name="page170"/>
    <w:bookmarkEnd w:id="16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60" w:right="1239" w:hanging="296"/>
        <w:spacing w:after="0" w:line="223" w:lineRule="auto"/>
        <w:tabs>
          <w:tab w:leader="none" w:pos="1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Apollo Stockholder is managed by a board of directors consisting of Laurie Medley, Patrick Kearney and Antoine Munfakh. Ms. Medley and Messrs. Kearney and Munfakh each disclaim any beneficial ownership of the shares of common stock held by the Apollo Stockholder except to the extent of their pecuniary interest therein. The address for the Apollo Stockholder is 9 West 57th Street, 43rd Floor, New York, New York 10019.</w:t>
      </w:r>
    </w:p>
    <w:p>
      <w:pPr>
        <w:spacing w:after="0" w:line="22" w:lineRule="exact"/>
        <w:rPr>
          <w:rFonts w:ascii="Arial" w:cs="Arial" w:eastAsia="Arial" w:hAnsi="Arial"/>
          <w:sz w:val="15"/>
          <w:szCs w:val="15"/>
          <w:color w:val="auto"/>
        </w:rPr>
      </w:pPr>
    </w:p>
    <w:p>
      <w:pPr>
        <w:ind w:left="1460" w:right="1479" w:hanging="296"/>
        <w:spacing w:after="0" w:line="229" w:lineRule="auto"/>
        <w:tabs>
          <w:tab w:leader="none" w:pos="1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465,478 shares of common stock issuable upon the exercise of options within 60 days (or 92,710 shares if the underwriters option to purchase additional shares is exercised in full).</w:t>
      </w:r>
    </w:p>
    <w:p>
      <w:pPr>
        <w:spacing w:after="0" w:line="22" w:lineRule="exact"/>
        <w:rPr>
          <w:rFonts w:ascii="Arial" w:cs="Arial" w:eastAsia="Arial" w:hAnsi="Arial"/>
          <w:sz w:val="15"/>
          <w:szCs w:val="15"/>
          <w:color w:val="auto"/>
        </w:rPr>
      </w:pPr>
    </w:p>
    <w:p>
      <w:pPr>
        <w:ind w:left="1460" w:right="1919" w:hanging="296"/>
        <w:spacing w:after="0" w:line="236" w:lineRule="auto"/>
        <w:tabs>
          <w:tab w:leader="none" w:pos="1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116,367 shares of common stock issuable upon the exercise of options within 60 days.</w:t>
      </w:r>
    </w:p>
    <w:p>
      <w:pPr>
        <w:spacing w:after="0" w:line="34" w:lineRule="exact"/>
        <w:rPr>
          <w:rFonts w:ascii="Arial" w:cs="Arial" w:eastAsia="Arial" w:hAnsi="Arial"/>
          <w:sz w:val="15"/>
          <w:szCs w:val="15"/>
          <w:color w:val="auto"/>
        </w:rPr>
      </w:pPr>
    </w:p>
    <w:p>
      <w:pPr>
        <w:ind w:left="1460" w:right="1639" w:hanging="296"/>
        <w:spacing w:after="0" w:line="236" w:lineRule="auto"/>
        <w:tabs>
          <w:tab w:leader="none" w:pos="1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12,930 shares of common stock issuable upon the exercise of options within 60 days.</w:t>
      </w:r>
    </w:p>
    <w:p>
      <w:pPr>
        <w:spacing w:after="0" w:line="23"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103,438 shares of common stock issuable upon the exercise of options within 60 days.</w:t>
      </w:r>
    </w:p>
    <w:p>
      <w:pPr>
        <w:spacing w:after="0" w:line="23" w:lineRule="exact"/>
        <w:rPr>
          <w:rFonts w:ascii="Arial" w:cs="Arial" w:eastAsia="Arial" w:hAnsi="Arial"/>
          <w:sz w:val="15"/>
          <w:szCs w:val="15"/>
          <w:color w:val="auto"/>
        </w:rPr>
      </w:pPr>
    </w:p>
    <w:p>
      <w:pPr>
        <w:ind w:left="1460" w:right="1299" w:hanging="296"/>
        <w:spacing w:after="0" w:line="223" w:lineRule="auto"/>
        <w:tabs>
          <w:tab w:leader="none" w:pos="1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Each of Patrick Kearney and Antoine Munfakh is affiliated with Apollo Management, L.P. and its affiliated investment managers and advisors. Each of Messrs. Kearney and Mr. Munfakh disclaims beneficial ownership of the shares of common stock held by the Apollo Stockholder except to the extent of his pecuniary interest therein. The address of each of Messrs. Kearney and Mr. Munfakh is 9 West 57th Street, 43rd Floor, New York, New York 10019.</w:t>
      </w:r>
    </w:p>
    <w:p>
      <w:pPr>
        <w:spacing w:after="0" w:line="33" w:lineRule="exact"/>
        <w:rPr>
          <w:rFonts w:ascii="Arial" w:cs="Arial" w:eastAsia="Arial" w:hAnsi="Arial"/>
          <w:sz w:val="15"/>
          <w:szCs w:val="15"/>
          <w:color w:val="auto"/>
        </w:rPr>
      </w:pPr>
    </w:p>
    <w:p>
      <w:pPr>
        <w:ind w:left="1460" w:right="1699" w:hanging="296"/>
        <w:spacing w:after="0" w:line="236" w:lineRule="auto"/>
        <w:tabs>
          <w:tab w:leader="none" w:pos="1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9,444 shares of common stock issuable upon the exercise of options within 60 days.</w:t>
      </w:r>
    </w:p>
    <w:p>
      <w:pPr>
        <w:spacing w:after="0" w:line="23" w:lineRule="exact"/>
        <w:rPr>
          <w:rFonts w:ascii="Arial" w:cs="Arial" w:eastAsia="Arial" w:hAnsi="Arial"/>
          <w:sz w:val="15"/>
          <w:szCs w:val="15"/>
          <w:color w:val="auto"/>
        </w:rPr>
      </w:pPr>
    </w:p>
    <w:p>
      <w:pPr>
        <w:jc w:val="both"/>
        <w:ind w:left="1460" w:right="1399" w:hanging="296"/>
        <w:spacing w:after="0" w:line="229" w:lineRule="auto"/>
        <w:tabs>
          <w:tab w:leader="none" w:pos="1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1,001,650 shares of common stock issuable upon the exercise of options within 60 days (or 628,882 shares if the underwriters option to purchase additional shares is exercised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0" w:name="page171"/>
    <w:bookmarkEnd w:id="17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CAPITAL STOCK</w:t>
      </w:r>
    </w:p>
    <w:p>
      <w:pPr>
        <w:spacing w:after="0" w:line="117"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i w:val="1"/>
          <w:iCs w:val="1"/>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DGCL.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w:t>
      </w:r>
    </w:p>
    <w:p>
      <w:pPr>
        <w:spacing w:after="0" w:line="128"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Our capital stock consists of 1,000,000,000 authorized shares, of which 995,000,000 shares, par value $0.01 per share, are designated as “common stock” and 5,000,000 shares, par value $0.01 per share, are designated as “preferred stock.” As of September 30, 2021, there were 57,551,741 shares of common stock outstanding and no shares of preferred stock outstanding.</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Common Stock</w:t>
      </w:r>
    </w:p>
    <w:p>
      <w:pPr>
        <w:spacing w:after="0" w:line="128" w:lineRule="exact"/>
        <w:rPr>
          <w:sz w:val="20"/>
          <w:szCs w:val="20"/>
          <w:color w:val="auto"/>
        </w:rPr>
      </w:pPr>
    </w:p>
    <w:p>
      <w:pPr>
        <w:ind w:left="1160" w:right="1579" w:firstLine="293"/>
        <w:spacing w:after="0" w:line="264" w:lineRule="auto"/>
        <w:rPr>
          <w:sz w:val="20"/>
          <w:szCs w:val="20"/>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The holders of our common stock are entitled to one vote per share on all matters</w:t>
      </w:r>
      <w:r>
        <w:rPr>
          <w:rFonts w:ascii="Arial" w:cs="Arial" w:eastAsia="Arial" w:hAnsi="Arial"/>
          <w:sz w:val="15"/>
          <w:szCs w:val="15"/>
          <w:i w:val="1"/>
          <w:iCs w:val="1"/>
          <w:color w:val="auto"/>
        </w:rPr>
        <w:t xml:space="preserve"> </w:t>
      </w:r>
      <w:r>
        <w:rPr>
          <w:rFonts w:ascii="Arial" w:cs="Arial" w:eastAsia="Arial" w:hAnsi="Arial"/>
          <w:sz w:val="15"/>
          <w:szCs w:val="15"/>
          <w:color w:val="auto"/>
        </w:rPr>
        <w:t>submitted for action by the stockholders generally.</w:t>
      </w:r>
    </w:p>
    <w:p>
      <w:pPr>
        <w:spacing w:after="0" w:line="82" w:lineRule="exact"/>
        <w:rPr>
          <w:sz w:val="20"/>
          <w:szCs w:val="20"/>
          <w:color w:val="auto"/>
        </w:rPr>
      </w:pPr>
    </w:p>
    <w:p>
      <w:pPr>
        <w:jc w:val="both"/>
        <w:ind w:left="1160" w:right="1259" w:firstLine="293"/>
        <w:spacing w:after="0" w:line="254" w:lineRule="auto"/>
        <w:rPr>
          <w:sz w:val="20"/>
          <w:szCs w:val="20"/>
          <w:color w:val="auto"/>
        </w:rPr>
      </w:pPr>
      <w:r>
        <w:rPr>
          <w:rFonts w:ascii="Arial" w:cs="Arial" w:eastAsia="Arial" w:hAnsi="Arial"/>
          <w:sz w:val="15"/>
          <w:szCs w:val="15"/>
          <w:i w:val="1"/>
          <w:iCs w:val="1"/>
          <w:color w:val="auto"/>
        </w:rPr>
        <w:t xml:space="preserve">Dividend Rights. </w:t>
      </w:r>
      <w:r>
        <w:rPr>
          <w:rFonts w:ascii="Arial" w:cs="Arial" w:eastAsia="Arial" w:hAnsi="Arial"/>
          <w:sz w:val="15"/>
          <w:szCs w:val="15"/>
          <w:color w:val="auto"/>
        </w:rPr>
        <w:t>Subject to any preferential rights of any then outstanding preferred stock, all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common stock are entitled to share equally in any dividends our board of directors may declare from legally available sources.</w:t>
      </w:r>
    </w:p>
    <w:p>
      <w:pPr>
        <w:spacing w:after="0" w:line="101" w:lineRule="exact"/>
        <w:rPr>
          <w:sz w:val="20"/>
          <w:szCs w:val="20"/>
          <w:color w:val="auto"/>
        </w:rPr>
      </w:pPr>
    </w:p>
    <w:p>
      <w:pPr>
        <w:ind w:left="1160" w:right="1599" w:firstLine="293"/>
        <w:spacing w:after="0" w:line="251" w:lineRule="auto"/>
        <w:rPr>
          <w:sz w:val="20"/>
          <w:szCs w:val="20"/>
          <w:color w:val="auto"/>
        </w:rPr>
      </w:pPr>
      <w:r>
        <w:rPr>
          <w:rFonts w:ascii="Arial" w:cs="Arial" w:eastAsia="Arial" w:hAnsi="Arial"/>
          <w:sz w:val="15"/>
          <w:szCs w:val="15"/>
          <w:i w:val="1"/>
          <w:iCs w:val="1"/>
          <w:color w:val="auto"/>
        </w:rPr>
        <w:t xml:space="preserve">Liquidation Rights. </w:t>
      </w:r>
      <w:r>
        <w:rPr>
          <w:rFonts w:ascii="Arial" w:cs="Arial" w:eastAsia="Arial" w:hAnsi="Arial"/>
          <w:sz w:val="15"/>
          <w:szCs w:val="15"/>
          <w:color w:val="auto"/>
        </w:rPr>
        <w:t>Upon our liquidation, dissolution or winding up, whether voluntary or</w:t>
      </w:r>
      <w:r>
        <w:rPr>
          <w:rFonts w:ascii="Arial" w:cs="Arial" w:eastAsia="Arial" w:hAnsi="Arial"/>
          <w:sz w:val="15"/>
          <w:szCs w:val="15"/>
          <w:i w:val="1"/>
          <w:iCs w:val="1"/>
          <w:color w:val="auto"/>
        </w:rPr>
        <w:t xml:space="preserve"> </w:t>
      </w:r>
      <w:r>
        <w:rPr>
          <w:rFonts w:ascii="Arial" w:cs="Arial" w:eastAsia="Arial" w:hAnsi="Arial"/>
          <w:sz w:val="15"/>
          <w:szCs w:val="15"/>
          <w:color w:val="auto"/>
        </w:rPr>
        <w:t>involuntary, after 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02"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 xml:space="preserve">Other Matters. </w:t>
      </w:r>
      <w:r>
        <w:rPr>
          <w:rFonts w:ascii="Arial" w:cs="Arial" w:eastAsia="Arial" w:hAnsi="Arial"/>
          <w:sz w:val="15"/>
          <w:szCs w:val="15"/>
          <w:color w:val="auto"/>
        </w:rPr>
        <w:t>Holders of our common stock have no preemptive or conversion rights, and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Preferred Stock</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Warrants</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In connection with the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September 30, 2021, approximately 15.3%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1" w:name="page172"/>
    <w:bookmarkEnd w:id="17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 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Composition of Board of Directors; Election and Removal</w:t>
      </w:r>
    </w:p>
    <w:p>
      <w:pPr>
        <w:spacing w:after="0" w:line="117"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three directors in Class I, two directors in Class II and three directors in Class III. See “</w:t>
      </w:r>
      <w:r>
        <w:rPr>
          <w:rFonts w:ascii="Arial" w:cs="Arial" w:eastAsia="Arial" w:hAnsi="Arial"/>
          <w:sz w:val="14"/>
          <w:szCs w:val="14"/>
          <w:i w:val="1"/>
          <w:iCs w:val="1"/>
          <w:color w:val="auto"/>
        </w:rPr>
        <w:t>Description of Capital Stock—Certain</w:t>
      </w:r>
      <w:r>
        <w:rPr>
          <w:rFonts w:ascii="Arial" w:cs="Arial" w:eastAsia="Arial" w:hAnsi="Arial"/>
          <w:sz w:val="14"/>
          <w:szCs w:val="14"/>
          <w:color w:val="auto"/>
        </w:rPr>
        <w:t xml:space="preserve"> </w:t>
      </w:r>
      <w:r>
        <w:rPr>
          <w:rFonts w:ascii="Arial" w:cs="Arial" w:eastAsia="Arial" w:hAnsi="Arial"/>
          <w:sz w:val="14"/>
          <w:szCs w:val="14"/>
          <w:i w:val="1"/>
          <w:iCs w:val="1"/>
          <w:color w:val="auto"/>
        </w:rPr>
        <w:t>Corporate Anti-takeover Provisions—Classified Board of Directors</w:t>
      </w:r>
      <w:r>
        <w:rPr>
          <w:rFonts w:ascii="Arial" w:cs="Arial" w:eastAsia="Arial" w:hAnsi="Arial"/>
          <w:sz w:val="14"/>
          <w:szCs w:val="14"/>
          <w:color w:val="auto"/>
        </w:rPr>
        <w:t>.”</w:t>
      </w:r>
    </w:p>
    <w:p>
      <w:pPr>
        <w:spacing w:after="0" w:line="9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 See “</w:t>
      </w:r>
      <w:r>
        <w:rPr>
          <w:rFonts w:ascii="Arial" w:cs="Arial" w:eastAsia="Arial" w:hAnsi="Arial"/>
          <w:sz w:val="14"/>
          <w:szCs w:val="14"/>
          <w:i w:val="1"/>
          <w:iCs w:val="1"/>
          <w:color w:val="auto"/>
        </w:rPr>
        <w:t>Certain Relationships and Related Party Transactions—Stockholders Agreement</w:t>
      </w:r>
      <w:r>
        <w:rPr>
          <w:rFonts w:ascii="Arial" w:cs="Arial" w:eastAsia="Arial" w:hAnsi="Arial"/>
          <w:sz w:val="14"/>
          <w:szCs w:val="14"/>
          <w:color w:val="auto"/>
        </w:rPr>
        <w:t>.”</w:t>
      </w:r>
    </w:p>
    <w:p>
      <w:pPr>
        <w:spacing w:after="0" w:line="95"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89"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 See “</w:t>
      </w:r>
      <w:r>
        <w:rPr>
          <w:rFonts w:ascii="Arial" w:cs="Arial" w:eastAsia="Arial" w:hAnsi="Arial"/>
          <w:sz w:val="15"/>
          <w:szCs w:val="15"/>
          <w:i w:val="1"/>
          <w:iCs w:val="1"/>
          <w:color w:val="auto"/>
        </w:rPr>
        <w:t>Certain Relationships and Related Party Transactions—</w:t>
      </w:r>
      <w:r>
        <w:rPr>
          <w:rFonts w:ascii="Arial" w:cs="Arial" w:eastAsia="Arial" w:hAnsi="Arial"/>
          <w:sz w:val="15"/>
          <w:szCs w:val="15"/>
          <w:color w:val="auto"/>
        </w:rPr>
        <w:t xml:space="preserve"> </w:t>
      </w:r>
      <w:r>
        <w:rPr>
          <w:rFonts w:ascii="Arial" w:cs="Arial" w:eastAsia="Arial" w:hAnsi="Arial"/>
          <w:sz w:val="15"/>
          <w:szCs w:val="15"/>
          <w:i w:val="1"/>
          <w:iCs w:val="1"/>
          <w:color w:val="auto"/>
        </w:rPr>
        <w:t>Stockholders Agreement</w:t>
      </w:r>
      <w:r>
        <w:rPr>
          <w:rFonts w:ascii="Arial" w:cs="Arial" w:eastAsia="Arial" w:hAnsi="Arial"/>
          <w:sz w:val="15"/>
          <w:szCs w:val="15"/>
          <w:color w:val="auto"/>
        </w:rPr>
        <w:t>.”</w:t>
      </w:r>
    </w:p>
    <w:p>
      <w:pPr>
        <w:spacing w:after="0" w:line="101"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Certain Corporate Anti-takeover Provisions</w:t>
      </w:r>
    </w:p>
    <w:p>
      <w:pPr>
        <w:spacing w:after="0" w:line="128"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2" w:name="page173"/>
    <w:bookmarkEnd w:id="17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Preferred Stock</w:t>
      </w:r>
    </w:p>
    <w:p>
      <w:pPr>
        <w:spacing w:after="0" w:line="113"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Classified Board of Directors</w:t>
      </w:r>
    </w:p>
    <w:p>
      <w:pPr>
        <w:spacing w:after="0" w:line="124"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w:t>
      </w:r>
      <w:r>
        <w:rPr>
          <w:rFonts w:ascii="Arial" w:cs="Arial" w:eastAsia="Arial" w:hAnsi="Arial"/>
          <w:sz w:val="15"/>
          <w:szCs w:val="15"/>
          <w:i w:val="1"/>
          <w:iCs w:val="1"/>
          <w:color w:val="auto"/>
        </w:rPr>
        <w:t>Composition of Board of Directors; Election</w:t>
      </w:r>
      <w:r>
        <w:rPr>
          <w:rFonts w:ascii="Arial" w:cs="Arial" w:eastAsia="Arial" w:hAnsi="Arial"/>
          <w:sz w:val="15"/>
          <w:szCs w:val="15"/>
          <w:color w:val="auto"/>
        </w:rPr>
        <w:t xml:space="preserve"> </w:t>
      </w:r>
      <w:r>
        <w:rPr>
          <w:rFonts w:ascii="Arial" w:cs="Arial" w:eastAsia="Arial" w:hAnsi="Arial"/>
          <w:sz w:val="15"/>
          <w:szCs w:val="15"/>
          <w:i w:val="1"/>
          <w:iCs w:val="1"/>
          <w:color w:val="auto"/>
        </w:rPr>
        <w:t>and Removal</w:t>
      </w:r>
      <w:r>
        <w:rPr>
          <w:rFonts w:ascii="Arial" w:cs="Arial" w:eastAsia="Arial" w:hAnsi="Arial"/>
          <w:sz w:val="15"/>
          <w:szCs w:val="15"/>
          <w:color w:val="auto"/>
        </w:rPr>
        <w:t>.”</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Removal of Directors; Vacancies</w:t>
      </w:r>
    </w:p>
    <w:p>
      <w:pPr>
        <w:spacing w:after="0" w:line="12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 xml:space="preserve">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w:t>
      </w:r>
      <w:r>
        <w:rPr>
          <w:rFonts w:ascii="Arial" w:cs="Arial" w:eastAsia="Arial" w:hAnsi="Arial"/>
          <w:sz w:val="14"/>
          <w:szCs w:val="14"/>
          <w:i w:val="1"/>
          <w:iCs w:val="1"/>
          <w:color w:val="auto"/>
        </w:rPr>
        <w:t>Composition of Board of Directors; Election and Removal</w:t>
      </w:r>
      <w:r>
        <w:rPr>
          <w:rFonts w:ascii="Arial" w:cs="Arial" w:eastAsia="Arial" w:hAnsi="Arial"/>
          <w:sz w:val="14"/>
          <w:szCs w:val="14"/>
          <w:color w:val="auto"/>
        </w:rPr>
        <w:t>.”</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 Cumulative Voting</w:t>
      </w:r>
    </w:p>
    <w:p>
      <w:pPr>
        <w:spacing w:after="0" w:line="113"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Under our certificate of incorporation, stockholders do not have the right to cumulative votes in the election of directors.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Special Meetings of Stockholders</w:t>
      </w:r>
    </w:p>
    <w:p>
      <w:pPr>
        <w:spacing w:after="0" w:line="124"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Stockholder Action by Written Consent</w:t>
      </w:r>
    </w:p>
    <w:p>
      <w:pPr>
        <w:spacing w:after="0" w:line="124"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3" w:name="page174"/>
    <w:bookmarkEnd w:id="17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199"/>
        <w:spacing w:after="0" w:line="233" w:lineRule="auto"/>
        <w:rPr>
          <w:sz w:val="20"/>
          <w:szCs w:val="20"/>
          <w:color w:val="auto"/>
        </w:rPr>
      </w:pPr>
      <w:r>
        <w:rPr>
          <w:rFonts w:ascii="Arial" w:cs="Arial" w:eastAsia="Arial" w:hAnsi="Arial"/>
          <w:sz w:val="15"/>
          <w:szCs w:val="15"/>
          <w:color w:val="auto"/>
        </w:rPr>
        <w:t>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Advance Notice Requirements for Stockholder Proposals and Director Nominations</w:t>
      </w:r>
    </w:p>
    <w:p>
      <w:pPr>
        <w:spacing w:after="0" w:line="11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97"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Delaware Takeover Statute</w:t>
      </w:r>
    </w:p>
    <w:p>
      <w:pPr>
        <w:spacing w:after="0" w:line="124" w:lineRule="exact"/>
        <w:rPr>
          <w:sz w:val="20"/>
          <w:szCs w:val="20"/>
          <w:color w:val="auto"/>
        </w:rPr>
      </w:pPr>
    </w:p>
    <w:p>
      <w:pPr>
        <w:jc w:val="both"/>
        <w:ind w:left="1160" w:right="1219" w:firstLine="293"/>
        <w:spacing w:after="0" w:line="254" w:lineRule="auto"/>
        <w:rPr>
          <w:sz w:val="20"/>
          <w:szCs w:val="20"/>
          <w:color w:val="auto"/>
        </w:rPr>
      </w:pPr>
      <w:r>
        <w:rPr>
          <w:rFonts w:ascii="Arial" w:cs="Arial" w:eastAsia="Arial" w:hAnsi="Arial"/>
          <w:sz w:val="15"/>
          <w:szCs w:val="15"/>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90"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58" w:lineRule="exact"/>
        <w:rPr>
          <w:sz w:val="20"/>
          <w:szCs w:val="20"/>
          <w:color w:val="auto"/>
        </w:rPr>
      </w:pPr>
    </w:p>
    <w:p>
      <w:pPr>
        <w:ind w:left="1600" w:right="1219" w:hanging="143"/>
        <w:spacing w:after="0" w:line="249" w:lineRule="auto"/>
        <w:tabs>
          <w:tab w:leader="none" w:pos="16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72" w:lineRule="exact"/>
        <w:rPr>
          <w:rFonts w:ascii="Arial" w:cs="Arial" w:eastAsia="Arial" w:hAnsi="Arial"/>
          <w:sz w:val="15"/>
          <w:szCs w:val="15"/>
          <w:color w:val="auto"/>
        </w:rPr>
      </w:pPr>
    </w:p>
    <w:p>
      <w:pPr>
        <w:jc w:val="both"/>
        <w:ind w:left="1600" w:right="1219" w:hanging="143"/>
        <w:spacing w:after="0" w:line="311" w:lineRule="auto"/>
        <w:tabs>
          <w:tab w:leader="none" w:pos="1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4" w:name="page175"/>
    <w:bookmarkEnd w:id="17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179"/>
        <w:spacing w:after="0" w:line="248" w:lineRule="auto"/>
        <w:rPr>
          <w:sz w:val="20"/>
          <w:szCs w:val="20"/>
          <w:color w:val="auto"/>
        </w:rPr>
      </w:pPr>
      <w:r>
        <w:rPr>
          <w:rFonts w:ascii="Arial" w:cs="Arial" w:eastAsia="Arial" w:hAnsi="Arial"/>
          <w:sz w:val="14"/>
          <w:szCs w:val="14"/>
          <w:color w:val="auto"/>
        </w:rPr>
        <w:t>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50" w:lineRule="exact"/>
        <w:rPr>
          <w:sz w:val="20"/>
          <w:szCs w:val="20"/>
          <w:color w:val="auto"/>
        </w:rPr>
      </w:pPr>
    </w:p>
    <w:p>
      <w:pPr>
        <w:ind w:left="1600" w:right="1259" w:hanging="143"/>
        <w:spacing w:after="0" w:line="254" w:lineRule="auto"/>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Arial" w:cs="Arial" w:eastAsia="Arial" w:hAnsi="Arial"/>
          <w:sz w:val="15"/>
          <w:szCs w:val="15"/>
          <w:color w:val="auto"/>
        </w:rPr>
      </w:pPr>
    </w:p>
    <w:p>
      <w:pPr>
        <w:ind w:left="1600" w:right="1219" w:hanging="143"/>
        <w:spacing w:after="0" w:line="247" w:lineRule="auto"/>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75" w:lineRule="exact"/>
        <w:rPr>
          <w:rFonts w:ascii="Arial" w:cs="Arial" w:eastAsia="Arial" w:hAnsi="Arial"/>
          <w:sz w:val="15"/>
          <w:szCs w:val="15"/>
          <w:color w:val="auto"/>
        </w:rPr>
      </w:pPr>
    </w:p>
    <w:p>
      <w:pPr>
        <w:ind w:left="1600" w:right="1199" w:hanging="143"/>
        <w:spacing w:after="0" w:line="251" w:lineRule="auto"/>
        <w:tabs>
          <w:tab w:leader="none" w:pos="1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91"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02" w:lineRule="exact"/>
        <w:rPr>
          <w:sz w:val="20"/>
          <w:szCs w:val="20"/>
          <w:color w:val="auto"/>
        </w:rPr>
      </w:pPr>
    </w:p>
    <w:p>
      <w:pPr>
        <w:ind w:left="1160" w:right="1339" w:firstLine="293"/>
        <w:spacing w:after="0" w:line="236" w:lineRule="auto"/>
        <w:rPr>
          <w:sz w:val="20"/>
          <w:szCs w:val="20"/>
          <w:color w:val="auto"/>
        </w:rPr>
      </w:pPr>
      <w:r>
        <w:rPr>
          <w:rFonts w:ascii="Arial" w:cs="Arial" w:eastAsia="Arial" w:hAnsi="Arial"/>
          <w:sz w:val="15"/>
          <w:szCs w:val="15"/>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Amendment of Our Certificate of Incorporation</w:t>
      </w:r>
    </w:p>
    <w:p>
      <w:pPr>
        <w:spacing w:after="0" w:line="12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Under Delaware law, our certificate of incorporation may be amended only with the affirmative vote of holders of at least a majority of the outstanding stock entitled to vote thereon.</w:t>
      </w:r>
    </w:p>
    <w:p>
      <w:pPr>
        <w:spacing w:after="0" w:line="83"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5" w:name="page176"/>
    <w:bookmarkEnd w:id="17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319" w:hanging="143"/>
        <w:spacing w:after="0" w:line="25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Arial" w:cs="Arial" w:eastAsia="Arial" w:hAnsi="Arial"/>
          <w:sz w:val="15"/>
          <w:szCs w:val="15"/>
          <w:color w:val="auto"/>
        </w:rPr>
      </w:pPr>
    </w:p>
    <w:p>
      <w:pPr>
        <w:ind w:left="1600" w:right="1199" w:hanging="143"/>
        <w:spacing w:after="0" w:line="249"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72"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provisions authorizing our board of directors to make, alter, amend or repeal our bylaws;</w:t>
      </w:r>
    </w:p>
    <w:p>
      <w:pPr>
        <w:spacing w:after="0" w:line="91"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provisions regarding the calling of special meetings and stockholder action by written consent in lieu of a meeting;</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provisions eliminating monetary damages for breaches of fiduciary duty by a director;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provisions providing for indemnification and advance of expenses of our directors and officers;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provisions regarding competition and corporate opportunities;</w:t>
      </w:r>
    </w:p>
    <w:p>
      <w:pPr>
        <w:spacing w:after="0" w:line="91" w:lineRule="exact"/>
        <w:rPr>
          <w:rFonts w:ascii="Arial" w:cs="Arial" w:eastAsia="Arial" w:hAnsi="Arial"/>
          <w:sz w:val="15"/>
          <w:szCs w:val="15"/>
          <w:color w:val="auto"/>
        </w:rPr>
      </w:pPr>
    </w:p>
    <w:p>
      <w:pPr>
        <w:ind w:left="1600" w:right="1239" w:hanging="143"/>
        <w:spacing w:after="0" w:line="251"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provisions regarding entering into business combinations with interested stockholders;</w:t>
      </w:r>
    </w:p>
    <w:p>
      <w:pPr>
        <w:spacing w:after="0" w:line="91" w:lineRule="exact"/>
        <w:rPr>
          <w:rFonts w:ascii="Arial" w:cs="Arial" w:eastAsia="Arial" w:hAnsi="Arial"/>
          <w:sz w:val="15"/>
          <w:szCs w:val="15"/>
          <w:color w:val="auto"/>
        </w:rPr>
      </w:pPr>
    </w:p>
    <w:p>
      <w:pPr>
        <w:ind w:left="1600" w:right="1379" w:hanging="143"/>
        <w:spacing w:after="0" w:line="274"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55" w:lineRule="exact"/>
        <w:rPr>
          <w:rFonts w:ascii="Arial" w:cs="Arial" w:eastAsia="Arial" w:hAnsi="Arial"/>
          <w:sz w:val="14"/>
          <w:szCs w:val="14"/>
          <w:color w:val="auto"/>
        </w:rPr>
      </w:pPr>
    </w:p>
    <w:p>
      <w:pPr>
        <w:ind w:left="1600" w:right="1399" w:hanging="143"/>
        <w:spacing w:after="0" w:line="274"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Amendment of Our Bylaws</w:t>
      </w:r>
    </w:p>
    <w:p>
      <w:pPr>
        <w:spacing w:after="0" w:line="124"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Certain Matters that Require Consent of our Stockholders</w:t>
      </w:r>
    </w:p>
    <w:p>
      <w:pPr>
        <w:spacing w:after="0" w:line="113"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69" w:lineRule="exact"/>
        <w:rPr>
          <w:sz w:val="20"/>
          <w:szCs w:val="20"/>
          <w:color w:val="auto"/>
        </w:rPr>
      </w:pPr>
    </w:p>
    <w:p>
      <w:pPr>
        <w:ind w:left="1600" w:right="1239" w:hanging="143"/>
        <w:spacing w:after="0" w:line="281" w:lineRule="auto"/>
        <w:tabs>
          <w:tab w:leader="none" w:pos="1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49" w:lineRule="exact"/>
        <w:rPr>
          <w:rFonts w:ascii="Arial" w:cs="Arial" w:eastAsia="Arial" w:hAnsi="Arial"/>
          <w:sz w:val="14"/>
          <w:szCs w:val="14"/>
          <w:color w:val="auto"/>
        </w:rPr>
      </w:pPr>
    </w:p>
    <w:p>
      <w:pPr>
        <w:ind w:left="1600" w:right="1639" w:hanging="143"/>
        <w:spacing w:after="0" w:line="264"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any material disposition of any of our or our subsidiaries’ assets or equity interests, other than dispositions of aircraft or engines in the ordinary course of business; or</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6" w:name="page177"/>
    <w:bookmarkEnd w:id="17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0" w:right="1259" w:hanging="143"/>
        <w:spacing w:after="0" w:line="248" w:lineRule="auto"/>
        <w:tabs>
          <w:tab w:leader="none" w:pos="1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 See “</w:t>
      </w:r>
      <w:r>
        <w:rPr>
          <w:rFonts w:ascii="Arial" w:cs="Arial" w:eastAsia="Arial" w:hAnsi="Arial"/>
          <w:sz w:val="15"/>
          <w:szCs w:val="15"/>
          <w:i w:val="1"/>
          <w:iCs w:val="1"/>
          <w:color w:val="auto"/>
        </w:rPr>
        <w:t>Certain Relationships and Related</w:t>
      </w:r>
      <w:r>
        <w:rPr>
          <w:rFonts w:ascii="Arial" w:cs="Arial" w:eastAsia="Arial" w:hAnsi="Arial"/>
          <w:sz w:val="15"/>
          <w:szCs w:val="15"/>
          <w:color w:val="auto"/>
        </w:rPr>
        <w:t xml:space="preserve"> </w:t>
      </w:r>
      <w:r>
        <w:rPr>
          <w:rFonts w:ascii="Arial" w:cs="Arial" w:eastAsia="Arial" w:hAnsi="Arial"/>
          <w:sz w:val="15"/>
          <w:szCs w:val="15"/>
          <w:i w:val="1"/>
          <w:iCs w:val="1"/>
          <w:color w:val="auto"/>
        </w:rPr>
        <w:t>Party Transactions—Stockholders Agreement</w:t>
      </w:r>
      <w:r>
        <w:rPr>
          <w:rFonts w:ascii="Arial" w:cs="Arial" w:eastAsia="Arial" w:hAnsi="Arial"/>
          <w:sz w:val="15"/>
          <w:szCs w:val="15"/>
          <w:color w:val="auto"/>
        </w:rPr>
        <w:t>.”</w:t>
      </w:r>
    </w:p>
    <w:p>
      <w:pPr>
        <w:spacing w:after="0" w:line="95" w:lineRule="exact"/>
        <w:rPr>
          <w:sz w:val="20"/>
          <w:szCs w:val="20"/>
          <w:color w:val="auto"/>
        </w:rPr>
      </w:pPr>
    </w:p>
    <w:p>
      <w:pPr>
        <w:ind w:left="1160" w:right="1299" w:firstLine="293"/>
        <w:spacing w:after="0" w:line="253" w:lineRule="auto"/>
        <w:rPr>
          <w:sz w:val="20"/>
          <w:szCs w:val="20"/>
          <w:color w:val="auto"/>
        </w:rPr>
      </w:pPr>
      <w:r>
        <w:rPr>
          <w:rFonts w:ascii="Arial" w:cs="Arial" w:eastAsia="Arial" w:hAnsi="Arial"/>
          <w:sz w:val="14"/>
          <w:szCs w:val="14"/>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Corporate Opportunity</w:t>
      </w:r>
    </w:p>
    <w:p>
      <w:pPr>
        <w:spacing w:after="0" w:line="128"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94"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Limited Ownership and Voting by Foreign Owners</w:t>
      </w:r>
    </w:p>
    <w:p>
      <w:pPr>
        <w:spacing w:after="0" w:line="117"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7" w:name="page178"/>
    <w:bookmarkEnd w:id="17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99"/>
        <w:spacing w:after="0" w:line="234" w:lineRule="auto"/>
        <w:rPr>
          <w:sz w:val="20"/>
          <w:szCs w:val="20"/>
          <w:color w:val="auto"/>
        </w:rPr>
      </w:pPr>
      <w:r>
        <w:rPr>
          <w:rFonts w:ascii="Arial" w:cs="Arial" w:eastAsia="Arial" w:hAnsi="Arial"/>
          <w:sz w:val="15"/>
          <w:szCs w:val="15"/>
          <w:color w:val="auto"/>
        </w:rPr>
        <w:t>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9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By participating in this offering, you are representing that you are a citizen of the United States, as defined in 49 U.S.C. § 40102(a)(15). For purposes of the restrictions on foreign ownership and control of U.S. airlines, under federal law and DOT policy, “citizen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Exclusive Forum Selection</w:t>
      </w:r>
    </w:p>
    <w:p>
      <w:pPr>
        <w:spacing w:after="0" w:line="128" w:lineRule="exact"/>
        <w:rPr>
          <w:sz w:val="20"/>
          <w:szCs w:val="20"/>
          <w:color w:val="auto"/>
        </w:rPr>
      </w:pPr>
    </w:p>
    <w:p>
      <w:pPr>
        <w:ind w:left="1160" w:right="1339" w:firstLine="293"/>
        <w:spacing w:after="0" w:line="283" w:lineRule="auto"/>
        <w:rPr>
          <w:sz w:val="20"/>
          <w:szCs w:val="20"/>
          <w:color w:val="auto"/>
        </w:rPr>
      </w:pPr>
      <w:r>
        <w:rPr>
          <w:rFonts w:ascii="Arial" w:cs="Arial" w:eastAsia="Arial" w:hAnsi="Arial"/>
          <w:sz w:val="14"/>
          <w:szCs w:val="14"/>
          <w:color w:val="auto"/>
        </w:rPr>
        <w:t>Unless we consent in writing to the selection of an alternative forum, the Chancery Court of the State of Delaware will, to the fullest extent permitted by law, be the sole and exclusive forum for:</w:t>
      </w:r>
    </w:p>
    <w:p>
      <w:pPr>
        <w:spacing w:after="0" w:line="38" w:lineRule="exact"/>
        <w:rPr>
          <w:sz w:val="20"/>
          <w:szCs w:val="20"/>
          <w:color w:val="auto"/>
        </w:rPr>
      </w:pPr>
    </w:p>
    <w:p>
      <w:pPr>
        <w:ind w:left="1600" w:hanging="143"/>
        <w:spacing w:after="0"/>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80" w:lineRule="exact"/>
        <w:rPr>
          <w:rFonts w:ascii="Arial" w:cs="Arial" w:eastAsia="Arial" w:hAnsi="Arial"/>
          <w:sz w:val="15"/>
          <w:szCs w:val="15"/>
          <w:color w:val="auto"/>
        </w:rPr>
      </w:pPr>
    </w:p>
    <w:p>
      <w:pPr>
        <w:ind w:left="1600" w:right="1519" w:hanging="143"/>
        <w:spacing w:after="0" w:line="26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any action asserting a claim of breach of a fiduciary duty owed by any of our directors, officers, employees or agents to us or our stockholders;</w:t>
      </w:r>
    </w:p>
    <w:p>
      <w:pPr>
        <w:spacing w:after="0" w:line="60"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any action asserting a claim arising pursuant to any provision of the DGCL or of our certificate of incorporation or our bylaws; or</w:t>
      </w:r>
    </w:p>
    <w:p>
      <w:pPr>
        <w:spacing w:after="0" w:line="59"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any action asserting a claim against us or any of our directors or officers governed by the internal affairs doctrine,</w:t>
      </w:r>
    </w:p>
    <w:p>
      <w:pPr>
        <w:spacing w:after="0" w:line="93" w:lineRule="exact"/>
        <w:rPr>
          <w:sz w:val="20"/>
          <w:szCs w:val="20"/>
          <w:color w:val="auto"/>
        </w:rPr>
      </w:pPr>
    </w:p>
    <w:p>
      <w:pPr>
        <w:ind w:left="1160" w:right="1839"/>
        <w:spacing w:after="0" w:line="248" w:lineRule="auto"/>
        <w:rPr>
          <w:sz w:val="20"/>
          <w:szCs w:val="20"/>
          <w:color w:val="auto"/>
        </w:rPr>
      </w:pPr>
      <w:r>
        <w:rPr>
          <w:rFonts w:ascii="Arial" w:cs="Arial" w:eastAsia="Arial" w:hAnsi="Arial"/>
          <w:sz w:val="15"/>
          <w:szCs w:val="15"/>
          <w:color w:val="auto"/>
        </w:rPr>
        <w:t>in each such case subject to the Delaware Court of Chancery having personal jurisdiction over the indispensable parties named as defendants.</w:t>
      </w:r>
    </w:p>
    <w:p>
      <w:pPr>
        <w:spacing w:after="0" w:line="83" w:lineRule="exact"/>
        <w:rPr>
          <w:sz w:val="20"/>
          <w:szCs w:val="20"/>
          <w:color w:val="auto"/>
        </w:rPr>
      </w:pPr>
    </w:p>
    <w:p>
      <w:pPr>
        <w:ind w:left="1160" w:right="1199" w:firstLine="293"/>
        <w:spacing w:after="0" w:line="231" w:lineRule="auto"/>
        <w:rPr>
          <w:sz w:val="20"/>
          <w:szCs w:val="20"/>
          <w:color w:val="auto"/>
        </w:rPr>
      </w:pPr>
      <w:r>
        <w:rPr>
          <w:rFonts w:ascii="Arial" w:cs="Arial" w:eastAsia="Arial" w:hAnsi="Arial"/>
          <w:sz w:val="15"/>
          <w:szCs w:val="15"/>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05"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8" w:name="page179"/>
    <w:bookmarkEnd w:id="17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60" w:right="1419"/>
        <w:spacing w:after="0" w:line="264" w:lineRule="auto"/>
        <w:rPr>
          <w:sz w:val="20"/>
          <w:szCs w:val="20"/>
          <w:color w:val="auto"/>
        </w:rPr>
      </w:pPr>
      <w:r>
        <w:rPr>
          <w:rFonts w:ascii="Arial" w:cs="Arial" w:eastAsia="Arial" w:hAnsi="Arial"/>
          <w:sz w:val="15"/>
          <w:szCs w:val="15"/>
          <w:color w:val="auto"/>
        </w:rPr>
        <w:t>where a stockholder considering an action may be located or would otherwise choose to bring the action, and such judgments may be more or less favorable to us than our stockholders.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Limitation of Liability and Indemnification</w:t>
      </w:r>
    </w:p>
    <w:p>
      <w:pPr>
        <w:spacing w:after="0" w:line="117" w:lineRule="exact"/>
        <w:rPr>
          <w:sz w:val="20"/>
          <w:szCs w:val="20"/>
          <w:color w:val="auto"/>
        </w:rPr>
      </w:pPr>
    </w:p>
    <w:p>
      <w:pPr>
        <w:jc w:val="both"/>
        <w:ind w:left="1160" w:right="1199" w:firstLine="293"/>
        <w:spacing w:after="0" w:line="254" w:lineRule="auto"/>
        <w:rPr>
          <w:sz w:val="20"/>
          <w:szCs w:val="20"/>
          <w:color w:val="auto"/>
        </w:rPr>
      </w:pPr>
      <w:r>
        <w:rPr>
          <w:rFonts w:ascii="Arial" w:cs="Arial" w:eastAsia="Arial" w:hAnsi="Arial"/>
          <w:sz w:val="15"/>
          <w:szCs w:val="15"/>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8" w:lineRule="exact"/>
        <w:rPr>
          <w:sz w:val="20"/>
          <w:szCs w:val="20"/>
          <w:color w:val="auto"/>
        </w:rPr>
      </w:pPr>
    </w:p>
    <w:p>
      <w:pPr>
        <w:ind w:left="1600" w:hanging="143"/>
        <w:spacing w:after="0"/>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for any breach of their duty of loyalty to the corporation or its stockholders;</w:t>
      </w:r>
    </w:p>
    <w:p>
      <w:pPr>
        <w:spacing w:after="0" w:line="91" w:lineRule="exact"/>
        <w:rPr>
          <w:rFonts w:ascii="Arial" w:cs="Arial" w:eastAsia="Arial" w:hAnsi="Arial"/>
          <w:sz w:val="15"/>
          <w:szCs w:val="15"/>
          <w:color w:val="auto"/>
        </w:rPr>
      </w:pPr>
    </w:p>
    <w:p>
      <w:pPr>
        <w:ind w:left="1600" w:right="1719" w:hanging="143"/>
        <w:spacing w:after="0" w:line="264" w:lineRule="auto"/>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for acts or omissions not in good faith or which involve intentional misconduct or a knowing violation of laws;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under Section 174 of the DGCL (governing distributions to stockholders); 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for any transaction from which the director derived an improper personal benefit.</w:t>
      </w:r>
    </w:p>
    <w:p>
      <w:pPr>
        <w:spacing w:after="0" w:line="12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0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98" w:lineRule="exact"/>
        <w:rPr>
          <w:sz w:val="20"/>
          <w:szCs w:val="20"/>
          <w:color w:val="auto"/>
        </w:rPr>
      </w:pPr>
    </w:p>
    <w:p>
      <w:pPr>
        <w:ind w:left="1160" w:right="1419" w:firstLine="293"/>
        <w:spacing w:after="0" w:line="281" w:lineRule="auto"/>
        <w:rPr>
          <w:sz w:val="20"/>
          <w:szCs w:val="20"/>
          <w:color w:val="auto"/>
        </w:rPr>
      </w:pPr>
      <w:r>
        <w:rPr>
          <w:rFonts w:ascii="Arial" w:cs="Arial" w:eastAsia="Arial" w:hAnsi="Arial"/>
          <w:sz w:val="14"/>
          <w:szCs w:val="14"/>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83" w:lineRule="exact"/>
        <w:rPr>
          <w:sz w:val="20"/>
          <w:szCs w:val="20"/>
          <w:color w:val="auto"/>
        </w:rPr>
      </w:pPr>
    </w:p>
    <w:p>
      <w:pPr>
        <w:ind w:left="1160" w:right="1399" w:firstLine="293"/>
        <w:spacing w:after="0" w:line="268" w:lineRule="auto"/>
        <w:rPr>
          <w:sz w:val="20"/>
          <w:szCs w:val="20"/>
          <w:color w:val="auto"/>
        </w:rPr>
      </w:pPr>
      <w:r>
        <w:rPr>
          <w:rFonts w:ascii="Arial" w:cs="Arial" w:eastAsia="Arial" w:hAnsi="Arial"/>
          <w:sz w:val="14"/>
          <w:szCs w:val="14"/>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93" w:lineRule="exact"/>
        <w:rPr>
          <w:sz w:val="20"/>
          <w:szCs w:val="20"/>
          <w:color w:val="auto"/>
        </w:rPr>
      </w:pPr>
    </w:p>
    <w:p>
      <w:pPr>
        <w:ind w:left="1160" w:right="1579" w:firstLine="293"/>
        <w:spacing w:after="0" w:line="264" w:lineRule="auto"/>
        <w:rPr>
          <w:sz w:val="20"/>
          <w:szCs w:val="20"/>
          <w:color w:val="auto"/>
        </w:rPr>
      </w:pPr>
      <w:r>
        <w:rPr>
          <w:rFonts w:ascii="Arial" w:cs="Arial" w:eastAsia="Arial" w:hAnsi="Arial"/>
          <w:sz w:val="15"/>
          <w:szCs w:val="15"/>
          <w:color w:val="auto"/>
        </w:rPr>
        <w:t>We believe these provisions will assist in attracting and retaining qualified individuals to serve as directors.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Listing</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common stock is listed on Nasdaq under the symbol “SNCY.”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Transfer Agent and Registrar</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transfer agent and registrar for our common stock is Broadridge Corporate Issuer Solutions.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9" w:name="page180"/>
    <w:bookmarkEnd w:id="17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ELIGIBLE FOR FUTURE SALE</w:t>
      </w:r>
    </w:p>
    <w:p>
      <w:pPr>
        <w:spacing w:after="0" w:line="117"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No predictions can be made about the effect, if any, that market sales of shares of our common stock or the availability of such shares for sale will have on the market price prevailing from time to time. Nevertheless, sales of a substantial number of shares of our common stock in the public market, or the perception that those sales may occur, could adversely affect the prevailing market price of our common stock at such time and our ability to raise equity-related capital at a time and price we deem appropriate. See “</w:t>
      </w:r>
      <w:r>
        <w:rPr>
          <w:rFonts w:ascii="Arial" w:cs="Arial" w:eastAsia="Arial" w:hAnsi="Arial"/>
          <w:sz w:val="15"/>
          <w:szCs w:val="15"/>
          <w:i w:val="1"/>
          <w:iCs w:val="1"/>
          <w:color w:val="auto"/>
        </w:rPr>
        <w:t>Risk Factors—Risks Related to this Offering and Ownership of our Common Stock—Future sales of our</w:t>
      </w:r>
      <w:r>
        <w:rPr>
          <w:rFonts w:ascii="Arial" w:cs="Arial" w:eastAsia="Arial" w:hAnsi="Arial"/>
          <w:sz w:val="15"/>
          <w:szCs w:val="15"/>
          <w:color w:val="auto"/>
        </w:rPr>
        <w:t xml:space="preserve"> </w:t>
      </w:r>
      <w:r>
        <w:rPr>
          <w:rFonts w:ascii="Arial" w:cs="Arial" w:eastAsia="Arial" w:hAnsi="Arial"/>
          <w:sz w:val="15"/>
          <w:szCs w:val="15"/>
          <w:i w:val="1"/>
          <w:iCs w:val="1"/>
          <w:color w:val="auto"/>
        </w:rPr>
        <w:t>common stock in the public market, or the perception in the public market that such sales may occur, could reduce our stock price</w:t>
      </w:r>
      <w:r>
        <w:rPr>
          <w:rFonts w:ascii="Arial" w:cs="Arial" w:eastAsia="Arial" w:hAnsi="Arial"/>
          <w:sz w:val="15"/>
          <w:szCs w:val="15"/>
          <w:color w:val="auto"/>
        </w:rPr>
        <w:t>.”</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Sales of Restricted Shares</w:t>
      </w:r>
    </w:p>
    <w:p>
      <w:pPr>
        <w:spacing w:after="0" w:line="12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As of September 30, 2021, we had outstanding an aggregate of 57,551,741 shares of common stock. Additionally, we had 5,592,191 options outstanding, which are exercisable into 5,592,191 shares of common stock, 7,634 shares of common stock that may be issued upon the vesting of outstanding RSUs and 9,482,606 warrants outstanding, which are exercisable for 9,482,606 shares of common stock, subject to their vesting terms and limitations imposed by federal law on foreign ownership and control of U.S. airlines. See “</w:t>
      </w:r>
      <w:r>
        <w:rPr>
          <w:rFonts w:ascii="Arial" w:cs="Arial" w:eastAsia="Arial" w:hAnsi="Arial"/>
          <w:sz w:val="14"/>
          <w:szCs w:val="14"/>
          <w:i w:val="1"/>
          <w:iCs w:val="1"/>
          <w:color w:val="auto"/>
        </w:rPr>
        <w:t>Description of Capital Stock—Limited Ownership and Voting by Foreign Owners</w:t>
      </w:r>
      <w:r>
        <w:rPr>
          <w:rFonts w:ascii="Arial" w:cs="Arial" w:eastAsia="Arial" w:hAnsi="Arial"/>
          <w:sz w:val="14"/>
          <w:szCs w:val="14"/>
          <w:color w:val="auto"/>
        </w:rPr>
        <w:t xml:space="preserve"> .” Of these shares, all of the 10,454,545 shares of common stock sold in our initial public offering, all of the 8,337,500 shares of common stock sold in the secondary offering that closed on May 24, 2021 and all of the 8,500,000 shares of common stock to be sold in this offering (or 9,775,000 shares assuming the underwriters exercise their option to purchase additional shares in full), will be freely tradable without restriction unless the shares are held by any of our “affiliates” as such term is defined in Rule 144 under the Securities Act, and without further registration under the Securities Act. All remaining shares of common stock will be deemed “restricted securities” as such term is defined under Rule 144.</w:t>
      </w:r>
    </w:p>
    <w:p>
      <w:pPr>
        <w:spacing w:after="0" w:line="101" w:lineRule="exact"/>
        <w:rPr>
          <w:sz w:val="20"/>
          <w:szCs w:val="20"/>
          <w:color w:val="auto"/>
        </w:rPr>
      </w:pPr>
    </w:p>
    <w:p>
      <w:pPr>
        <w:ind w:left="1160" w:right="1379" w:firstLine="293"/>
        <w:spacing w:after="0" w:line="236" w:lineRule="auto"/>
        <w:rPr>
          <w:sz w:val="20"/>
          <w:szCs w:val="20"/>
          <w:color w:val="auto"/>
        </w:rPr>
      </w:pPr>
      <w:r>
        <w:rPr>
          <w:rFonts w:ascii="Arial" w:cs="Arial" w:eastAsia="Arial" w:hAnsi="Arial"/>
          <w:sz w:val="15"/>
          <w:szCs w:val="15"/>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17"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We, the Apollo Stockholder and all of our executive officers and directors have agreed that, for a period of 60 days after the date of this prospectus, we and they will not, without the prior written consent of Barclays Capital Inc. and Morgan Stanley &amp; Co. LLC on behalf of the underwriters, dispose of any shares of common stock or any securities convertible into or exchangeable for our common stock, subject to certain exceptions. Please see “</w:t>
      </w:r>
      <w:r>
        <w:rPr>
          <w:rFonts w:ascii="Arial" w:cs="Arial" w:eastAsia="Arial" w:hAnsi="Arial"/>
          <w:sz w:val="15"/>
          <w:szCs w:val="15"/>
          <w:i w:val="1"/>
          <w:iCs w:val="1"/>
          <w:color w:val="auto"/>
        </w:rPr>
        <w:t>Underwriting (Conflict of Interest)</w:t>
      </w:r>
      <w:r>
        <w:rPr>
          <w:rFonts w:ascii="Arial" w:cs="Arial" w:eastAsia="Arial" w:hAnsi="Arial"/>
          <w:sz w:val="15"/>
          <w:szCs w:val="15"/>
          <w:color w:val="auto"/>
        </w:rPr>
        <w:t xml:space="preserve"> ” for a description of these lock-up provisions. Barclays Capital Inc. and Morgan Stanley &amp; Co. LLC in their sole discretion, may at any time release all or any portion of the shares from the restrictions in such agreements, subject to applicable notice requirements.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144</w:t>
      </w:r>
    </w:p>
    <w:p>
      <w:pPr>
        <w:spacing w:after="0" w:line="128"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3"/>
          <w:szCs w:val="13"/>
          <w:color w:val="auto"/>
        </w:rPr>
        <w:t>In general, under Rule 144 under the Securities Act as currently in effect, a person (or persons whose shares are aggregated) who is not deemed to have been an affiliate of ours at any time during the six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80"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4"/>
          <w:szCs w:val="14"/>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w:t>
      </w:r>
    </w:p>
    <w:p>
      <w:pPr>
        <w:spacing w:after="0" w:line="1" w:lineRule="exact"/>
        <w:rPr>
          <w:sz w:val="20"/>
          <w:szCs w:val="20"/>
          <w:color w:val="auto"/>
        </w:rPr>
      </w:pPr>
    </w:p>
    <w:p>
      <w:pPr>
        <w:ind w:left="1160" w:right="1319"/>
        <w:spacing w:after="0" w:line="265" w:lineRule="auto"/>
        <w:rPr>
          <w:sz w:val="20"/>
          <w:szCs w:val="20"/>
          <w:color w:val="auto"/>
        </w:rPr>
      </w:pPr>
      <w:r>
        <w:rPr>
          <w:rFonts w:ascii="Arial" w:cs="Arial" w:eastAsia="Arial" w:hAnsi="Arial"/>
          <w:sz w:val="14"/>
          <w:szCs w:val="14"/>
          <w:color w:val="auto"/>
        </w:rPr>
        <w:t>one percent of the then outstanding shares of our common stock or the average weekly trading volume of our common stock reported by Nasdaq during the four calendar weeks preceding the filing of notice of the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0" w:name="page181"/>
    <w:bookmarkEnd w:id="18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879"/>
        <w:spacing w:after="0" w:line="264" w:lineRule="auto"/>
        <w:rPr>
          <w:sz w:val="20"/>
          <w:szCs w:val="20"/>
          <w:color w:val="auto"/>
        </w:rPr>
      </w:pPr>
      <w:r>
        <w:rPr>
          <w:rFonts w:ascii="Arial" w:cs="Arial" w:eastAsia="Arial" w:hAnsi="Arial"/>
          <w:sz w:val="15"/>
          <w:szCs w:val="15"/>
          <w:color w:val="auto"/>
        </w:rPr>
        <w:t>sale. Such sales are also subject to certain manner of sale provisions, notice requirements and the availability of current public information about us.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701</w:t>
      </w:r>
    </w:p>
    <w:p>
      <w:pPr>
        <w:spacing w:after="0" w:line="11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general, under Rule 701 under the Securities Act, any of our employees, directors, officers, consultants or advisors who purchases shares from us in connection with a compensatory stock or option plan or other written agreement before the effective date of our initial public offering is entitled to sell such shares 90 days after our initial public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Warrants</w:t>
      </w:r>
    </w:p>
    <w:p>
      <w:pPr>
        <w:spacing w:after="0" w:line="128"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color w:val="auto"/>
        </w:rPr>
        <w:t>As of September 30, 2021, we had warrants to purchase an aggregate of 9,482,606 shares of our common stock outstanding, the exercise of which is subject to limitations imposed by federal law on foreign ownership and control of U.S. airlines, approximately 15.3% of which have vested as of September 30, 2021. During the period the warrants are outstanding, we will reserve from our authorized and unissued common stock a sufficient number of shares to provide for the issuance of shares of common stock underlying the warrants upon the exercise of the warrants. See “</w:t>
      </w:r>
      <w:r>
        <w:rPr>
          <w:rFonts w:ascii="Arial" w:cs="Arial" w:eastAsia="Arial" w:hAnsi="Arial"/>
          <w:sz w:val="14"/>
          <w:szCs w:val="14"/>
          <w:i w:val="1"/>
          <w:iCs w:val="1"/>
          <w:color w:val="auto"/>
        </w:rPr>
        <w:t>Description of Capital Stock—Warrants.</w:t>
      </w:r>
      <w:r>
        <w:rPr>
          <w:rFonts w:ascii="Arial" w:cs="Arial" w:eastAsia="Arial" w:hAnsi="Arial"/>
          <w:sz w:val="14"/>
          <w:szCs w:val="14"/>
          <w:color w:val="auto"/>
        </w:rPr>
        <w: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Options and Restricted Stock Units</w:t>
      </w:r>
    </w:p>
    <w:p>
      <w:pPr>
        <w:spacing w:after="0" w:line="12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As of September 30, 2021, we had options to purchase an aggregate of 5,592,191 shares of our common stock outstanding, the exercise of which is subject to limitations imposed by federal law on foreign ownership and control of U.S. airlines, of which options to purchase 1,186,421 shares had met the time-based requirements of the applicable vesting schedule. In addition, as of September 30, 2021, we had 7,634 shares of common stock that may be issued upon the vesting of outstanding RSUs. During the period the options are outstanding, we will reserve from our authorized and unissued common stock a sufficient number of shares to provide for the issuance of shares of common stock underlying the options upon the exercise of the options.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Issued Under Employee Plans</w:t>
      </w:r>
    </w:p>
    <w:p>
      <w:pPr>
        <w:spacing w:after="0" w:line="117"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We filed a registration statement on Form S-8 under the Securities Act to register our common stock issuable under the SCA Acquisition Equity Plan and the Omnibus Incentive Plan, which became effective upon filing. Accordingly, shares registered under such registration statement are available for sale in the open market, unless such shares are subject to vesting restrictions with us, Rule 144 restrictions applicable to our affiliates or the lock-up restrictions described above.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w:t>
      </w:r>
    </w:p>
    <w:p>
      <w:pPr>
        <w:spacing w:after="0" w:line="128"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Subject to the lock-up agreements, certain of our stockholders will be entitled to certain rights with respect to the registration of the sale of their shares of common stock under the Securities Act. For more information, see “</w:t>
      </w:r>
      <w:r>
        <w:rPr>
          <w:rFonts w:ascii="Arial" w:cs="Arial" w:eastAsia="Arial" w:hAnsi="Arial"/>
          <w:sz w:val="15"/>
          <w:szCs w:val="15"/>
          <w:i w:val="1"/>
          <w:iCs w:val="1"/>
          <w:color w:val="auto"/>
        </w:rPr>
        <w:t>Certain Relationships and Related Party Transactions—Registration Rights Agreement</w:t>
      </w:r>
      <w:r>
        <w:rPr>
          <w:rFonts w:ascii="Arial" w:cs="Arial" w:eastAsia="Arial" w:hAnsi="Arial"/>
          <w:sz w:val="15"/>
          <w:szCs w:val="15"/>
          <w:color w:val="auto"/>
        </w:rPr>
        <w:t>.” After such registration, these shares of common stock will become freely tradable without restriction under the Securities Act except for shares purchased by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1" w:name="page182"/>
    <w:bookmarkEnd w:id="18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MATERIAL U.S. FEDERAL INCOME TAX CONSIDERATIONS</w:t>
      </w:r>
    </w:p>
    <w:p>
      <w:pPr>
        <w:spacing w:after="0" w:line="117"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The following is a discussion of the material U.S. federal income tax considerations applicable to Non-U.S. Holders (as defined herein) with respect to the ownership and disposition of our common stock issued pursuant to this offering.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94"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This discussion only addresses beneficial owners of our common stock that hold such common stock as a capital asset within the meaning of Section 1221 of the Code (generally, property held for investment).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controlled foreign corporations, passive foreign investment companies, former citizens or former long-term residents of the United States, and Non-U.S. Holders that hold our common stock as part of a hedge, straddle, constructive sale or conversion transaction). In addition, this discussion does not address U.S. federal tax laws other than those pertaining to U.S. federal income tax (such as U.S. federal estate or gift tax or the Medicare contribution tax on certain net investment income), nor does it address any aspects of U.S. state, local or non-U.S. taxes. Non-U.S. Holders are urged to consult with their own tax advisors regarding the possible application of these taxes.</w:t>
      </w:r>
    </w:p>
    <w:p>
      <w:pPr>
        <w:spacing w:after="0" w:line="10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For purposes of this discussion, the term “Non-U.S. Holder” means a beneficial owner of our common stock that is an individual, corporation, estate or trust, other than:</w:t>
      </w:r>
    </w:p>
    <w:p>
      <w:pPr>
        <w:spacing w:after="0" w:line="60" w:lineRule="exact"/>
        <w:rPr>
          <w:sz w:val="20"/>
          <w:szCs w:val="20"/>
          <w:color w:val="auto"/>
        </w:rPr>
      </w:pPr>
    </w:p>
    <w:p>
      <w:pPr>
        <w:ind w:left="1600" w:right="1239" w:hanging="143"/>
        <w:spacing w:after="0" w:line="26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as determined for U.S. federal income tax purposes;</w:t>
      </w:r>
    </w:p>
    <w:p>
      <w:pPr>
        <w:spacing w:after="0" w:line="70" w:lineRule="exact"/>
        <w:rPr>
          <w:rFonts w:ascii="Arial" w:cs="Arial" w:eastAsia="Arial" w:hAnsi="Arial"/>
          <w:sz w:val="15"/>
          <w:szCs w:val="15"/>
          <w:color w:val="auto"/>
        </w:rPr>
      </w:pPr>
    </w:p>
    <w:p>
      <w:pPr>
        <w:ind w:left="1600" w:right="1319" w:hanging="143"/>
        <w:spacing w:after="0" w:line="25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in the United States or under the laws of the United States, any state thereof or the District of Columbia;</w:t>
      </w:r>
    </w:p>
    <w:p>
      <w:pPr>
        <w:spacing w:after="0" w:line="78"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 estate, the income of which is includible in gross income for U.S. federal income tax purposes regardless of its source; or</w:t>
      </w:r>
    </w:p>
    <w:p>
      <w:pPr>
        <w:spacing w:after="0" w:line="59" w:lineRule="exact"/>
        <w:rPr>
          <w:rFonts w:ascii="Arial" w:cs="Arial" w:eastAsia="Arial" w:hAnsi="Arial"/>
          <w:sz w:val="15"/>
          <w:szCs w:val="15"/>
          <w:color w:val="auto"/>
        </w:rPr>
      </w:pPr>
    </w:p>
    <w:p>
      <w:pPr>
        <w:ind w:left="1600" w:right="1279" w:hanging="143"/>
        <w:spacing w:after="0" w:line="251"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102"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05"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2" w:name="page183"/>
    <w:bookmarkEnd w:id="18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Distributions</w:t>
      </w:r>
    </w:p>
    <w:p>
      <w:pPr>
        <w:spacing w:after="0" w:line="117"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Arial" w:cs="Arial" w:eastAsia="Arial" w:hAnsi="Arial"/>
          <w:sz w:val="14"/>
          <w:szCs w:val="14"/>
          <w:i w:val="1"/>
          <w:iCs w:val="1"/>
          <w:color w:val="auto"/>
        </w:rPr>
        <w:t>U.S.</w:t>
      </w:r>
      <w:r>
        <w:rPr>
          <w:rFonts w:ascii="Arial" w:cs="Arial" w:eastAsia="Arial" w:hAnsi="Arial"/>
          <w:sz w:val="14"/>
          <w:szCs w:val="14"/>
          <w:color w:val="auto"/>
        </w:rPr>
        <w:t xml:space="preserve"> </w:t>
      </w:r>
      <w:r>
        <w:rPr>
          <w:rFonts w:ascii="Arial" w:cs="Arial" w:eastAsia="Arial" w:hAnsi="Arial"/>
          <w:sz w:val="14"/>
          <w:szCs w:val="14"/>
          <w:i w:val="1"/>
          <w:iCs w:val="1"/>
          <w:color w:val="auto"/>
        </w:rPr>
        <w:t>Trade or Business Income</w:t>
      </w:r>
      <w:r>
        <w:rPr>
          <w:rFonts w:ascii="Arial" w:cs="Arial" w:eastAsia="Arial" w:hAnsi="Arial"/>
          <w:sz w:val="14"/>
          <w:szCs w:val="14"/>
          <w:color w:val="auto"/>
        </w:rPr>
        <w:t>,” “—</w:t>
      </w:r>
      <w:r>
        <w:rPr>
          <w:rFonts w:ascii="Arial" w:cs="Arial" w:eastAsia="Arial" w:hAnsi="Arial"/>
          <w:sz w:val="14"/>
          <w:szCs w:val="14"/>
          <w:i w:val="1"/>
          <w:iCs w:val="1"/>
          <w:color w:val="auto"/>
        </w:rPr>
        <w:t>Information Reporting and Backup Withholding</w:t>
      </w:r>
      <w:r>
        <w:rPr>
          <w:rFonts w:ascii="Arial" w:cs="Arial" w:eastAsia="Arial" w:hAnsi="Arial"/>
          <w:sz w:val="14"/>
          <w:szCs w:val="14"/>
          <w:color w:val="auto"/>
        </w:rPr>
        <w:t>” and “—</w:t>
      </w:r>
      <w:r>
        <w:rPr>
          <w:rFonts w:ascii="Arial" w:cs="Arial" w:eastAsia="Arial" w:hAnsi="Arial"/>
          <w:sz w:val="14"/>
          <w:szCs w:val="14"/>
          <w:i w:val="1"/>
          <w:iCs w:val="1"/>
          <w:color w:val="auto"/>
        </w:rPr>
        <w:t>FATCA</w:t>
      </w:r>
      <w:r>
        <w:rPr>
          <w:rFonts w:ascii="Arial" w:cs="Arial" w:eastAsia="Arial" w:hAnsi="Arial"/>
          <w:sz w:val="14"/>
          <w:szCs w:val="14"/>
          <w:color w:val="auto"/>
        </w:rPr>
        <w:t>,” you</w:t>
      </w:r>
      <w:r>
        <w:rPr>
          <w:rFonts w:ascii="Arial" w:cs="Arial" w:eastAsia="Arial" w:hAnsi="Arial"/>
          <w:sz w:val="14"/>
          <w:szCs w:val="14"/>
          <w:i w:val="1"/>
          <w:iCs w:val="1"/>
          <w:color w:val="auto"/>
        </w:rPr>
        <w:t xml:space="preserve"> </w:t>
      </w:r>
      <w:r>
        <w:rPr>
          <w:rFonts w:ascii="Arial" w:cs="Arial" w:eastAsia="Arial" w:hAnsi="Arial"/>
          <w:sz w:val="14"/>
          <w:szCs w:val="14"/>
          <w:color w:val="auto"/>
        </w:rPr>
        <w:t>generally will be subject to U.S. federal 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95"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In order to obtain a reduced rate of U.S. federal withholding tax under an applicable income tax treaty, you will be required to provide a properly executed IRS Form W-8BEN or Form W-8BEN-E (or, in each case, a successor form) certifying your entitlement to benefits under the treaty. Special certifications and other requirements apply to certain Non-U.S. Holders that are pass-through entities rather than corporations or individuals for U.S. federal income tax purposes.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 Exchange or Other Taxable Disposition of Common Stock</w:t>
      </w:r>
    </w:p>
    <w:p>
      <w:pPr>
        <w:spacing w:after="0" w:line="128"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Subject to the discussions below under “—</w:t>
      </w:r>
      <w:r>
        <w:rPr>
          <w:rFonts w:ascii="Arial" w:cs="Arial" w:eastAsia="Arial" w:hAnsi="Arial"/>
          <w:sz w:val="15"/>
          <w:szCs w:val="15"/>
          <w:i w:val="1"/>
          <w:iCs w:val="1"/>
          <w:color w:val="auto"/>
        </w:rPr>
        <w:t>U.S. Trade or Business Income</w:t>
      </w:r>
      <w:r>
        <w:rPr>
          <w:rFonts w:ascii="Arial" w:cs="Arial" w:eastAsia="Arial" w:hAnsi="Arial"/>
          <w:sz w:val="15"/>
          <w:szCs w:val="15"/>
          <w:color w:val="auto"/>
        </w:rPr>
        <w:t>,” “—</w:t>
      </w:r>
      <w:r>
        <w:rPr>
          <w:rFonts w:ascii="Arial" w:cs="Arial" w:eastAsia="Arial" w:hAnsi="Arial"/>
          <w:sz w:val="15"/>
          <w:szCs w:val="15"/>
          <w:i w:val="1"/>
          <w:iCs w:val="1"/>
          <w:color w:val="auto"/>
        </w:rPr>
        <w:t>Information Reporting</w:t>
      </w:r>
      <w:r>
        <w:rPr>
          <w:rFonts w:ascii="Arial" w:cs="Arial" w:eastAsia="Arial" w:hAnsi="Arial"/>
          <w:sz w:val="15"/>
          <w:szCs w:val="15"/>
          <w:color w:val="auto"/>
        </w:rPr>
        <w:t xml:space="preserve"> </w:t>
      </w:r>
      <w:r>
        <w:rPr>
          <w:rFonts w:ascii="Arial" w:cs="Arial" w:eastAsia="Arial" w:hAnsi="Arial"/>
          <w:sz w:val="15"/>
          <w:szCs w:val="15"/>
          <w:i w:val="1"/>
          <w:iCs w:val="1"/>
          <w:color w:val="auto"/>
        </w:rPr>
        <w:t>and Backup Withholding</w:t>
      </w:r>
      <w:r>
        <w:rPr>
          <w:rFonts w:ascii="Arial" w:cs="Arial" w:eastAsia="Arial" w:hAnsi="Arial"/>
          <w:sz w:val="15"/>
          <w:szCs w:val="15"/>
          <w:color w:val="auto"/>
        </w:rPr>
        <w:t>” and “—</w:t>
      </w:r>
      <w:r>
        <w:rPr>
          <w:rFonts w:ascii="Arial" w:cs="Arial" w:eastAsia="Arial" w:hAnsi="Arial"/>
          <w:sz w:val="15"/>
          <w:szCs w:val="15"/>
          <w:i w:val="1"/>
          <w:iCs w:val="1"/>
          <w:color w:val="auto"/>
        </w:rPr>
        <w:t>FATCA</w:t>
      </w:r>
      <w:r>
        <w:rPr>
          <w:rFonts w:ascii="Arial" w:cs="Arial" w:eastAsia="Arial" w:hAnsi="Arial"/>
          <w:sz w:val="15"/>
          <w:szCs w:val="15"/>
          <w:color w:val="auto"/>
        </w:rPr>
        <w:t>,” you generally will not be subject to U.S. federal income or</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tax in respect of any gain on a sale, exchange or other taxable disposition of our common stock unless:</w:t>
      </w:r>
    </w:p>
    <w:p>
      <w:pPr>
        <w:spacing w:after="0" w:line="69" w:lineRule="exact"/>
        <w:rPr>
          <w:sz w:val="20"/>
          <w:szCs w:val="20"/>
          <w:color w:val="auto"/>
        </w:rPr>
      </w:pPr>
    </w:p>
    <w:p>
      <w:pPr>
        <w:ind w:left="1600" w:right="1299" w:hanging="143"/>
        <w:spacing w:after="0" w:line="264" w:lineRule="auto"/>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gain is U.S. trade or business income, in which case, such gain will be taxed as described in “— U.S. Trade or Business Income” below;</w:t>
      </w:r>
    </w:p>
    <w:p>
      <w:pPr>
        <w:spacing w:after="0" w:line="70" w:lineRule="exact"/>
        <w:rPr>
          <w:rFonts w:ascii="Arial" w:cs="Arial" w:eastAsia="Arial" w:hAnsi="Arial"/>
          <w:sz w:val="15"/>
          <w:szCs w:val="15"/>
          <w:color w:val="auto"/>
        </w:rPr>
      </w:pPr>
    </w:p>
    <w:p>
      <w:pPr>
        <w:ind w:left="1600" w:right="1219" w:hanging="143"/>
        <w:spacing w:after="0" w:line="249" w:lineRule="auto"/>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or</w:t>
      </w:r>
    </w:p>
    <w:p>
      <w:pPr>
        <w:spacing w:after="0" w:line="72" w:lineRule="exact"/>
        <w:rPr>
          <w:rFonts w:ascii="Arial" w:cs="Arial" w:eastAsia="Arial" w:hAnsi="Arial"/>
          <w:sz w:val="15"/>
          <w:szCs w:val="15"/>
          <w:color w:val="auto"/>
        </w:rPr>
      </w:pPr>
    </w:p>
    <w:p>
      <w:pPr>
        <w:ind w:left="1600" w:hanging="143"/>
        <w:spacing w:after="0"/>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we are or have been a “United States real property holding corporation” (a “USRPHC”) under</w:t>
      </w:r>
    </w:p>
    <w:p>
      <w:pPr>
        <w:spacing w:after="0" w:line="102" w:lineRule="exact"/>
        <w:rPr>
          <w:rFonts w:ascii="Arial" w:cs="Arial" w:eastAsia="Arial" w:hAnsi="Arial"/>
          <w:sz w:val="15"/>
          <w:szCs w:val="15"/>
          <w:color w:val="auto"/>
        </w:rPr>
      </w:pPr>
    </w:p>
    <w:p>
      <w:pPr>
        <w:ind w:left="1600" w:right="1319" w:hanging="143"/>
        <w:spacing w:after="0" w:line="274" w:lineRule="auto"/>
        <w:tabs>
          <w:tab w:leader="none" w:pos="16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Arial" w:cs="Arial" w:eastAsia="Arial" w:hAnsi="Arial"/>
          <w:sz w:val="14"/>
          <w:szCs w:val="14"/>
          <w:i w:val="1"/>
          <w:iCs w:val="1"/>
          <w:color w:val="auto"/>
        </w:rPr>
        <w:t>U.S. Trade or Business Income</w:t>
      </w:r>
      <w:r>
        <w:rPr>
          <w:rFonts w:ascii="Arial" w:cs="Arial" w:eastAsia="Arial" w:hAnsi="Arial"/>
          <w:sz w:val="14"/>
          <w:szCs w:val="14"/>
          <w:color w:val="auto"/>
        </w:rPr>
        <w:t>” below.</w:t>
      </w:r>
    </w:p>
    <w:p>
      <w:pPr>
        <w:spacing w:after="0" w:line="78"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are determined to be a USRPHC, gain will, nonetheless,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“United States real property holding corporation” for U.S. federal income tax purposes.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3" w:name="page184"/>
    <w:bookmarkEnd w:id="18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U.S. Trade or Business Income</w:t>
      </w:r>
    </w:p>
    <w:p>
      <w:pPr>
        <w:spacing w:after="0" w:line="117"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exception set forth above in the second paragraph of “—</w:t>
      </w:r>
      <w:r>
        <w:rPr>
          <w:rFonts w:ascii="Arial" w:cs="Arial" w:eastAsia="Arial" w:hAnsi="Arial"/>
          <w:sz w:val="14"/>
          <w:szCs w:val="14"/>
          <w:i w:val="1"/>
          <w:iCs w:val="1"/>
          <w:color w:val="auto"/>
        </w:rPr>
        <w:t>Sale, Exchange or Other Taxable Disposition of Common Stock</w:t>
      </w:r>
      <w:r>
        <w:rPr>
          <w:rFonts w:ascii="Arial" w:cs="Arial" w:eastAsia="Arial" w:hAnsi="Arial"/>
          <w:sz w:val="14"/>
          <w:szCs w:val="14"/>
          <w:color w:val="auto"/>
        </w:rPr>
        <w:t>”). Generally, U.S. trade or business income is not subject to U.S. federal withholding tax (provided that you comply with applicable certification and disclosure requirements, including providing a properly executed IRS Form W-8ECI (or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2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 successor form) or otherwise establish an exemption and the applicable withholding agent does not have actual knowledge or reason to know that you are a U.S. person or that the conditions of such other exemption are not, in fact, satisfied.</w:t>
      </w:r>
    </w:p>
    <w:p>
      <w:pPr>
        <w:spacing w:after="0" w:line="97"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84"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FATCA</w:t>
      </w:r>
    </w:p>
    <w:p>
      <w:pPr>
        <w:spacing w:after="0" w:line="128"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4" w:name="page185"/>
    <w:bookmarkEnd w:id="18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The FATCA withholding tax will apply even if the payment would otherwise not be subject to U.S. nonresident withholding tax (e.g., because it is capital gain). Foreign financial institutions located in jurisdictions that have an intergovernmental agreement with the United States governing FATCA may be subject to different rules.</w:t>
      </w:r>
    </w:p>
    <w:p>
      <w:pPr>
        <w:spacing w:after="0" w:line="96" w:lineRule="exact"/>
        <w:rPr>
          <w:sz w:val="20"/>
          <w:szCs w:val="20"/>
          <w:color w:val="auto"/>
        </w:rPr>
      </w:pPr>
    </w:p>
    <w:p>
      <w:pPr>
        <w:jc w:val="both"/>
        <w:ind w:left="1160" w:right="1599" w:firstLine="293"/>
        <w:spacing w:after="0" w:line="287" w:lineRule="auto"/>
        <w:rPr>
          <w:sz w:val="20"/>
          <w:szCs w:val="20"/>
          <w:color w:val="auto"/>
        </w:rPr>
      </w:pPr>
      <w:r>
        <w:rPr>
          <w:rFonts w:ascii="Arial" w:cs="Arial" w:eastAsia="Arial" w:hAnsi="Arial"/>
          <w:sz w:val="13"/>
          <w:szCs w:val="13"/>
          <w:color w:val="auto"/>
        </w:rPr>
        <w:t>FATCA currently applies to dividends made in respect of our common stock. Proposed Treasury regulations, the preamble to which state that they can be relied upon until final regulations are issued, exempt from FATCA proceeds on dispositions of stock. To avoid withholding on dividends, Non-U.S.</w:t>
      </w:r>
    </w:p>
    <w:p>
      <w:pPr>
        <w:spacing w:after="0" w:line="2" w:lineRule="exact"/>
        <w:rPr>
          <w:sz w:val="20"/>
          <w:szCs w:val="20"/>
          <w:color w:val="auto"/>
        </w:rPr>
      </w:pPr>
    </w:p>
    <w:p>
      <w:pPr>
        <w:ind w:left="1160" w:right="1199"/>
        <w:spacing w:after="0" w:line="273" w:lineRule="auto"/>
        <w:rPr>
          <w:sz w:val="20"/>
          <w:szCs w:val="20"/>
          <w:color w:val="auto"/>
        </w:rPr>
      </w:pPr>
      <w:r>
        <w:rPr>
          <w:rFonts w:ascii="Arial" w:cs="Arial" w:eastAsia="Arial" w:hAnsi="Arial"/>
          <w:sz w:val="14"/>
          <w:szCs w:val="14"/>
          <w:color w:val="auto"/>
        </w:rPr>
        <w:t>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5" w:name="page186"/>
    <w:bookmarkEnd w:id="18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UNDERWRITING (CONFLICT OF INTEREST)</w:t>
      </w:r>
    </w:p>
    <w:p>
      <w:pPr>
        <w:spacing w:after="0" w:line="117"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Under the terms and subject to the conditions in an underwriting agreement dated the date of this prospectus, the underwriters named below, for whom Barclays Capital Inc. and Morgan Stanley &amp; Co. LLC are acting as representatives, have severally agreed to purchase, and the selling stockholders have agreed to sell to them, severally, the number of shares indicated below:</w:t>
      </w:r>
    </w:p>
    <w:p>
      <w:pPr>
        <w:spacing w:after="0" w:line="122"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w w:val="89"/>
              </w:rPr>
              <w:t>Number of</w:t>
            </w:r>
          </w:p>
        </w:tc>
      </w:tr>
      <w:tr>
        <w:trPr>
          <w:trHeight w:val="150"/>
        </w:trPr>
        <w:tc>
          <w:tcPr>
            <w:tcW w:w="54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600" w:type="dxa"/>
            <w:vAlign w:val="bottom"/>
          </w:tcPr>
          <w:p>
            <w:pPr>
              <w:jc w:val="right"/>
              <w:ind w:right="69"/>
              <w:spacing w:after="0"/>
              <w:rPr>
                <w:sz w:val="20"/>
                <w:szCs w:val="20"/>
                <w:color w:val="auto"/>
              </w:rPr>
            </w:pPr>
            <w:r>
              <w:rPr>
                <w:rFonts w:ascii="Arial" w:cs="Arial" w:eastAsia="Arial" w:hAnsi="Arial"/>
                <w:sz w:val="12"/>
                <w:szCs w:val="12"/>
                <w:b w:val="1"/>
                <w:bCs w:val="1"/>
                <w:color w:val="auto"/>
              </w:rPr>
              <w:t>Shares</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0"/>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Barclays Capital Inc.</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2,996,394</w:t>
            </w:r>
          </w:p>
        </w:tc>
      </w:tr>
      <w:tr>
        <w:trPr>
          <w:trHeight w:val="209"/>
        </w:trPr>
        <w:tc>
          <w:tcPr>
            <w:tcW w:w="5480" w:type="dxa"/>
            <w:vAlign w:val="bottom"/>
            <w:gridSpan w:val="2"/>
          </w:tcPr>
          <w:p>
            <w:pPr>
              <w:spacing w:after="0"/>
              <w:rPr>
                <w:sz w:val="20"/>
                <w:szCs w:val="20"/>
                <w:color w:val="auto"/>
              </w:rPr>
            </w:pPr>
            <w:r>
              <w:rPr>
                <w:rFonts w:ascii="Arial" w:cs="Arial" w:eastAsia="Arial" w:hAnsi="Arial"/>
                <w:sz w:val="15"/>
                <w:szCs w:val="15"/>
                <w:color w:val="auto"/>
              </w:rPr>
              <w:t>Morgan Stanley &amp; Co. LLC</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2,317,524</w:t>
            </w:r>
          </w:p>
        </w:tc>
      </w:tr>
      <w:tr>
        <w:trPr>
          <w:trHeight w:val="209"/>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Deutsche Bank Securities Inc.</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699,833</w:t>
            </w:r>
          </w:p>
        </w:tc>
      </w:tr>
      <w:tr>
        <w:trPr>
          <w:trHeight w:val="209"/>
        </w:trPr>
        <w:tc>
          <w:tcPr>
            <w:tcW w:w="5480" w:type="dxa"/>
            <w:vAlign w:val="bottom"/>
            <w:gridSpan w:val="2"/>
          </w:tcPr>
          <w:p>
            <w:pPr>
              <w:spacing w:after="0"/>
              <w:rPr>
                <w:sz w:val="20"/>
                <w:szCs w:val="20"/>
                <w:color w:val="auto"/>
              </w:rPr>
            </w:pPr>
            <w:r>
              <w:rPr>
                <w:rFonts w:ascii="Arial" w:cs="Arial" w:eastAsia="Arial" w:hAnsi="Arial"/>
                <w:sz w:val="15"/>
                <w:szCs w:val="15"/>
                <w:color w:val="auto"/>
              </w:rPr>
              <w:t>Evercore Group L.L.C</w:t>
            </w:r>
          </w:p>
        </w:tc>
        <w:tc>
          <w:tcPr>
            <w:tcW w:w="600" w:type="dxa"/>
            <w:vAlign w:val="bottom"/>
          </w:tcPr>
          <w:p>
            <w:pPr>
              <w:jc w:val="right"/>
              <w:spacing w:after="0"/>
              <w:rPr>
                <w:sz w:val="20"/>
                <w:szCs w:val="20"/>
                <w:color w:val="auto"/>
              </w:rPr>
            </w:pPr>
            <w:r>
              <w:rPr>
                <w:rFonts w:ascii="Arial" w:cs="Arial" w:eastAsia="Arial" w:hAnsi="Arial"/>
                <w:sz w:val="15"/>
                <w:szCs w:val="15"/>
                <w:color w:val="auto"/>
              </w:rPr>
              <w:t>699,833</w:t>
            </w:r>
          </w:p>
        </w:tc>
      </w:tr>
      <w:tr>
        <w:trPr>
          <w:trHeight w:val="220"/>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Goldman Sachs &amp; Co. LLC</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699,833</w:t>
            </w:r>
          </w:p>
        </w:tc>
      </w:tr>
      <w:tr>
        <w:trPr>
          <w:trHeight w:val="220"/>
        </w:trPr>
        <w:tc>
          <w:tcPr>
            <w:tcW w:w="5480" w:type="dxa"/>
            <w:vAlign w:val="bottom"/>
            <w:gridSpan w:val="2"/>
          </w:tcPr>
          <w:p>
            <w:pPr>
              <w:spacing w:after="0"/>
              <w:rPr>
                <w:sz w:val="20"/>
                <w:szCs w:val="20"/>
                <w:color w:val="auto"/>
              </w:rPr>
            </w:pPr>
            <w:r>
              <w:rPr>
                <w:rFonts w:ascii="Arial" w:cs="Arial" w:eastAsia="Arial" w:hAnsi="Arial"/>
                <w:sz w:val="15"/>
                <w:szCs w:val="15"/>
                <w:color w:val="auto"/>
              </w:rPr>
              <w:t>Nomura Securities International, Inc.</w:t>
            </w:r>
          </w:p>
        </w:tc>
        <w:tc>
          <w:tcPr>
            <w:tcW w:w="600" w:type="dxa"/>
            <w:vAlign w:val="bottom"/>
          </w:tcPr>
          <w:p>
            <w:pPr>
              <w:jc w:val="right"/>
              <w:spacing w:after="0"/>
              <w:rPr>
                <w:sz w:val="20"/>
                <w:szCs w:val="20"/>
                <w:color w:val="auto"/>
              </w:rPr>
            </w:pPr>
            <w:r>
              <w:rPr>
                <w:rFonts w:ascii="Arial" w:cs="Arial" w:eastAsia="Arial" w:hAnsi="Arial"/>
                <w:sz w:val="15"/>
                <w:szCs w:val="15"/>
                <w:color w:val="auto"/>
              </w:rPr>
              <w:t>368,333</w:t>
            </w:r>
          </w:p>
        </w:tc>
      </w:tr>
      <w:tr>
        <w:trPr>
          <w:trHeight w:val="220"/>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Apollo Global Securities, LLC</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552,500</w:t>
            </w:r>
          </w:p>
        </w:tc>
      </w:tr>
      <w:tr>
        <w:trPr>
          <w:trHeight w:val="220"/>
        </w:trPr>
        <w:tc>
          <w:tcPr>
            <w:tcW w:w="5480" w:type="dxa"/>
            <w:vAlign w:val="bottom"/>
            <w:gridSpan w:val="2"/>
          </w:tcPr>
          <w:p>
            <w:pPr>
              <w:spacing w:after="0"/>
              <w:rPr>
                <w:sz w:val="20"/>
                <w:szCs w:val="20"/>
                <w:color w:val="auto"/>
              </w:rPr>
            </w:pPr>
            <w:r>
              <w:rPr>
                <w:rFonts w:ascii="Arial" w:cs="Arial" w:eastAsia="Arial" w:hAnsi="Arial"/>
                <w:sz w:val="15"/>
                <w:szCs w:val="15"/>
                <w:color w:val="auto"/>
              </w:rPr>
              <w:t>AmeriVet Securities, Inc.</w:t>
            </w:r>
          </w:p>
        </w:tc>
        <w:tc>
          <w:tcPr>
            <w:tcW w:w="600" w:type="dxa"/>
            <w:vAlign w:val="bottom"/>
          </w:tcPr>
          <w:p>
            <w:pPr>
              <w:jc w:val="right"/>
              <w:spacing w:after="0"/>
              <w:rPr>
                <w:sz w:val="20"/>
                <w:szCs w:val="20"/>
                <w:color w:val="auto"/>
              </w:rPr>
            </w:pPr>
            <w:r>
              <w:rPr>
                <w:rFonts w:ascii="Arial" w:cs="Arial" w:eastAsia="Arial" w:hAnsi="Arial"/>
                <w:sz w:val="15"/>
                <w:szCs w:val="15"/>
                <w:color w:val="auto"/>
              </w:rPr>
              <w:t>55,250</w:t>
            </w:r>
          </w:p>
        </w:tc>
      </w:tr>
      <w:tr>
        <w:trPr>
          <w:trHeight w:val="220"/>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Siebert Williams Shank &amp; Co., LLC</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55,250</w:t>
            </w:r>
          </w:p>
        </w:tc>
      </w:tr>
      <w:tr>
        <w:trPr>
          <w:trHeight w:val="220"/>
        </w:trPr>
        <w:tc>
          <w:tcPr>
            <w:tcW w:w="5480" w:type="dxa"/>
            <w:vAlign w:val="bottom"/>
            <w:gridSpan w:val="2"/>
          </w:tcPr>
          <w:p>
            <w:pPr>
              <w:spacing w:after="0"/>
              <w:rPr>
                <w:sz w:val="20"/>
                <w:szCs w:val="20"/>
                <w:color w:val="auto"/>
              </w:rPr>
            </w:pPr>
            <w:r>
              <w:rPr>
                <w:rFonts w:ascii="Arial" w:cs="Arial" w:eastAsia="Arial" w:hAnsi="Arial"/>
                <w:sz w:val="15"/>
                <w:szCs w:val="15"/>
                <w:color w:val="auto"/>
              </w:rPr>
              <w:t>Tribal Capital Markets, LLC</w:t>
            </w:r>
          </w:p>
        </w:tc>
        <w:tc>
          <w:tcPr>
            <w:tcW w:w="600" w:type="dxa"/>
            <w:vAlign w:val="bottom"/>
          </w:tcPr>
          <w:p>
            <w:pPr>
              <w:jc w:val="right"/>
              <w:spacing w:after="0"/>
              <w:rPr>
                <w:sz w:val="20"/>
                <w:szCs w:val="20"/>
                <w:color w:val="auto"/>
              </w:rPr>
            </w:pPr>
            <w:r>
              <w:rPr>
                <w:rFonts w:ascii="Arial" w:cs="Arial" w:eastAsia="Arial" w:hAnsi="Arial"/>
                <w:sz w:val="15"/>
                <w:szCs w:val="15"/>
                <w:color w:val="auto"/>
              </w:rPr>
              <w:t>55,250</w:t>
            </w:r>
          </w:p>
        </w:tc>
      </w:tr>
      <w:tr>
        <w:trPr>
          <w:trHeight w:val="220"/>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8,500,000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-1513205</wp:posOffset>
            </wp:positionV>
            <wp:extent cx="111760"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9" w:lineRule="exact"/>
        <w:rPr>
          <w:sz w:val="20"/>
          <w:szCs w:val="20"/>
          <w:color w:val="auto"/>
        </w:rPr>
      </w:pPr>
    </w:p>
    <w:p>
      <w:pPr>
        <w:ind w:left="1160" w:right="1299" w:firstLine="293"/>
        <w:spacing w:after="0" w:line="271" w:lineRule="auto"/>
        <w:rPr>
          <w:sz w:val="20"/>
          <w:szCs w:val="20"/>
          <w:color w:val="auto"/>
        </w:rPr>
      </w:pPr>
      <w:r>
        <w:rPr>
          <w:rFonts w:ascii="Arial" w:cs="Arial" w:eastAsia="Arial" w:hAnsi="Arial"/>
          <w:sz w:val="13"/>
          <w:szCs w:val="13"/>
          <w:color w:val="auto"/>
        </w:rPr>
        <w:t>The underwriters and the representatives are collectively referred to as the “underwriters” and the “representatives,” respectively. The underwriters may offer and sell the shares through certain of their affiliates or other registered broker-dealers or selling agents.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described below.</w:t>
      </w:r>
    </w:p>
    <w:p>
      <w:pPr>
        <w:spacing w:after="0" w:line="85"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The underwriters initially propose to offer part of the shares of common stock directly to the public at the offering price listed on the cover page of this prospectus and part to certain dealers at the public offering price less a concession not to exceed $0.73125 per share. After the initial offering of the shares of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90"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The selling stockholders have granted to the underwriters an option, exercisable for 30 days from the date of this prospectus, to purchase up to 1,275,000 additional shares of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91"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We, the selling stockholders and the underwriters have agreed to indemnify each other against certain liabilities, including liabilities under the Securities Act.</w:t>
      </w:r>
    </w:p>
    <w:p>
      <w:pPr>
        <w:spacing w:after="0" w:line="9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underwriters have informed us that they do not intend sales to discretionary accounts to exceed 5% of the total number of shares of our common stock offered by them.</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Commissions and Discounts</w:t>
      </w:r>
    </w:p>
    <w:p>
      <w:pPr>
        <w:spacing w:after="0" w:line="117" w:lineRule="exact"/>
        <w:rPr>
          <w:sz w:val="20"/>
          <w:szCs w:val="20"/>
          <w:color w:val="auto"/>
        </w:rPr>
      </w:pPr>
    </w:p>
    <w:p>
      <w:pPr>
        <w:ind w:left="1160" w:right="1219" w:firstLine="293"/>
        <w:spacing w:after="0" w:line="323" w:lineRule="auto"/>
        <w:rPr>
          <w:sz w:val="20"/>
          <w:szCs w:val="20"/>
          <w:color w:val="auto"/>
        </w:rPr>
      </w:pPr>
      <w:r>
        <w:rPr>
          <w:rFonts w:ascii="Arial" w:cs="Arial" w:eastAsia="Arial" w:hAnsi="Arial"/>
          <w:sz w:val="13"/>
          <w:szCs w:val="13"/>
          <w:color w:val="auto"/>
        </w:rPr>
        <w:t>The following table shows the per share and total public offering price, underwriting discounts and commissions, and proceeds before expenses to the selling stockholders. These amounts are shown assuming</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6" w:name="page187"/>
    <w:bookmarkEnd w:id="186"/>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519"/>
        <w:spacing w:after="0" w:line="248" w:lineRule="auto"/>
        <w:rPr>
          <w:sz w:val="20"/>
          <w:szCs w:val="20"/>
          <w:color w:val="auto"/>
        </w:rPr>
      </w:pPr>
      <w:r>
        <w:rPr>
          <w:rFonts w:ascii="Arial" w:cs="Arial" w:eastAsia="Arial" w:hAnsi="Arial"/>
          <w:sz w:val="15"/>
          <w:szCs w:val="15"/>
          <w:color w:val="auto"/>
        </w:rPr>
        <w:t>both no exercise and full exercise of the underwriters’ option to purchase up to an additional 1,275,000 shares of common stock from the selling stockholders.</w:t>
      </w:r>
    </w:p>
    <w:p>
      <w:pPr>
        <w:spacing w:after="0" w:line="9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40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
        </w:trPr>
        <w:tc>
          <w:tcPr>
            <w:tcW w:w="3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8"/>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Per</w:t>
            </w:r>
          </w:p>
        </w:tc>
        <w:tc>
          <w:tcPr>
            <w:tcW w:w="8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No</w:t>
            </w:r>
          </w:p>
        </w:tc>
        <w:tc>
          <w:tcPr>
            <w:tcW w:w="80" w:type="dxa"/>
            <w:vAlign w:val="bottom"/>
          </w:tcPr>
          <w:p>
            <w:pPr>
              <w:spacing w:after="0"/>
              <w:rPr>
                <w:sz w:val="12"/>
                <w:szCs w:val="12"/>
                <w:color w:val="auto"/>
              </w:rPr>
            </w:pPr>
          </w:p>
        </w:tc>
        <w:tc>
          <w:tcPr>
            <w:tcW w:w="920" w:type="dxa"/>
            <w:vAlign w:val="bottom"/>
          </w:tcPr>
          <w:p>
            <w:pPr>
              <w:jc w:val="right"/>
              <w:ind w:right="353"/>
              <w:spacing w:after="0"/>
              <w:rPr>
                <w:sz w:val="20"/>
                <w:szCs w:val="20"/>
                <w:color w:val="auto"/>
              </w:rPr>
            </w:pPr>
            <w:r>
              <w:rPr>
                <w:rFonts w:ascii="Arial" w:cs="Arial" w:eastAsia="Arial" w:hAnsi="Arial"/>
                <w:sz w:val="12"/>
                <w:szCs w:val="12"/>
                <w:b w:val="1"/>
                <w:bCs w:val="1"/>
                <w:color w:val="auto"/>
              </w:rPr>
              <w:t>Full</w:t>
            </w:r>
          </w:p>
        </w:tc>
      </w:tr>
      <w:tr>
        <w:trPr>
          <w:trHeight w:val="150"/>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3"/>
              </w:rPr>
              <w:t>Share</w:t>
            </w:r>
          </w:p>
        </w:tc>
        <w:tc>
          <w:tcPr>
            <w:tcW w:w="8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0"/>
              </w:rPr>
              <w:t>Exercise</w:t>
            </w:r>
          </w:p>
        </w:tc>
        <w:tc>
          <w:tcPr>
            <w:tcW w:w="80" w:type="dxa"/>
            <w:vAlign w:val="bottom"/>
          </w:tcPr>
          <w:p>
            <w:pPr>
              <w:spacing w:after="0"/>
              <w:rPr>
                <w:sz w:val="13"/>
                <w:szCs w:val="13"/>
                <w:color w:val="auto"/>
              </w:rPr>
            </w:pPr>
          </w:p>
        </w:tc>
        <w:tc>
          <w:tcPr>
            <w:tcW w:w="920" w:type="dxa"/>
            <w:vAlign w:val="bottom"/>
          </w:tcPr>
          <w:p>
            <w:pPr>
              <w:jc w:val="right"/>
              <w:ind w:right="233"/>
              <w:spacing w:after="0"/>
              <w:rPr>
                <w:sz w:val="20"/>
                <w:szCs w:val="20"/>
                <w:color w:val="auto"/>
              </w:rPr>
            </w:pPr>
            <w:r>
              <w:rPr>
                <w:rFonts w:ascii="Arial" w:cs="Arial" w:eastAsia="Arial" w:hAnsi="Arial"/>
                <w:sz w:val="12"/>
                <w:szCs w:val="12"/>
                <w:b w:val="1"/>
                <w:bCs w:val="1"/>
                <w:color w:val="auto"/>
              </w:rPr>
              <w:t>Exercise</w:t>
            </w:r>
          </w:p>
        </w:tc>
      </w:tr>
      <w:tr>
        <w:trPr>
          <w:trHeight w:val="21"/>
        </w:trPr>
        <w:tc>
          <w:tcPr>
            <w:tcW w:w="3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276,250,000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317,687,500</w:t>
            </w:r>
          </w:p>
        </w:tc>
      </w:tr>
      <w:tr>
        <w:trPr>
          <w:trHeight w:val="187"/>
        </w:trPr>
        <w:tc>
          <w:tcPr>
            <w:tcW w:w="3860" w:type="dxa"/>
            <w:vAlign w:val="bottom"/>
          </w:tcPr>
          <w:p>
            <w:pPr>
              <w:spacing w:after="0"/>
              <w:rPr>
                <w:sz w:val="20"/>
                <w:szCs w:val="20"/>
                <w:color w:val="auto"/>
              </w:rPr>
            </w:pPr>
            <w:r>
              <w:rPr>
                <w:rFonts w:ascii="Arial" w:cs="Arial" w:eastAsia="Arial" w:hAnsi="Arial"/>
                <w:sz w:val="15"/>
                <w:szCs w:val="15"/>
                <w:color w:val="auto"/>
                <w:w w:val="99"/>
              </w:rPr>
              <w:t>Underwriting discounts and commissions to be paid by the</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3860" w:type="dxa"/>
            <w:vAlign w:val="bottom"/>
          </w:tcPr>
          <w:p>
            <w:pPr>
              <w:ind w:left="160"/>
              <w:spacing w:after="0"/>
              <w:rPr>
                <w:sz w:val="20"/>
                <w:szCs w:val="20"/>
                <w:color w:val="auto"/>
              </w:rPr>
            </w:pPr>
            <w:r>
              <w:rPr>
                <w:rFonts w:ascii="Arial" w:cs="Arial" w:eastAsia="Arial" w:hAnsi="Arial"/>
                <w:sz w:val="15"/>
                <w:szCs w:val="15"/>
                <w:color w:val="auto"/>
              </w:rPr>
              <w:t>selling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1.21875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10,359,375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w w:val="93"/>
              </w:rPr>
              <w:t>11,913,281.25</w:t>
            </w:r>
          </w:p>
        </w:tc>
      </w:tr>
      <w:tr>
        <w:trPr>
          <w:trHeight w:val="214"/>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the selling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31.28125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265,890,625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305,774,218.75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-515620</wp:posOffset>
            </wp:positionV>
            <wp:extent cx="11176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-515620</wp:posOffset>
            </wp:positionV>
            <wp:extent cx="11176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-515620</wp:posOffset>
            </wp:positionV>
            <wp:extent cx="48895"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90"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The estimated offering expenses payable by us, exclusive of the underwriting discounts and commissions, are approximately $0.7 million. We have agreed to reimburse the underwriters for expense relating to clearance of this offering with the Financial Industry Regulatory Authority, Inc. (“FINRA”) up to $45,000. The underwriters have also agreed to reimburse us for certain expenses incurred by us with respect to this offering.</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Listing</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common stock is listed on Nasdaq under the trading symbol “SNCY.”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28"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We, the Apollo Stockholder and all of our directors and executive officers have agreed that, for a period of 60 days after the date of this prospectus, we and they will not, without the prior written consent of Barclays Capital Inc. and Morgan Stanley &amp; Co. LLC on behalf of the underwriters, dispose of any shares of common stock or any securities convertible into or exchangeable for our common stock, subject to certain exceptions.</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lock-up agreement applicable to the Company is subject to certain specified exceptions, including:</w:t>
      </w:r>
    </w:p>
    <w:p>
      <w:pPr>
        <w:spacing w:after="0" w:line="16" w:lineRule="exact"/>
        <w:rPr>
          <w:sz w:val="20"/>
          <w:szCs w:val="20"/>
          <w:color w:val="auto"/>
        </w:rPr>
      </w:pPr>
    </w:p>
    <w:p>
      <w:pPr>
        <w:ind w:left="1160" w:right="1179" w:firstLine="4"/>
        <w:spacing w:after="0" w:line="245" w:lineRule="auto"/>
        <w:tabs>
          <w:tab w:leader="none" w:pos="1347" w:val="left"/>
        </w:tabs>
        <w:numPr>
          <w:ilvl w:val="0"/>
          <w:numId w:val="88"/>
        </w:numPr>
        <w:rPr>
          <w:rFonts w:ascii="Arial" w:cs="Arial" w:eastAsia="Arial" w:hAnsi="Arial"/>
          <w:sz w:val="14"/>
          <w:szCs w:val="14"/>
          <w:color w:val="auto"/>
        </w:rPr>
      </w:pPr>
      <w:r>
        <w:rPr>
          <w:rFonts w:ascii="Arial" w:cs="Arial" w:eastAsia="Arial" w:hAnsi="Arial"/>
          <w:sz w:val="14"/>
          <w:szCs w:val="14"/>
          <w:color w:val="auto"/>
        </w:rPr>
        <w:t>any issuance of common stock, options to purchase shares of common stock, restricted stock units and other equity incentive compensation pursuant to equity plans or similar plans described in this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this prospectus,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w:t>
      </w:r>
    </w:p>
    <w:p>
      <w:pPr>
        <w:spacing w:after="0" w:line="4" w:lineRule="exact"/>
        <w:rPr>
          <w:rFonts w:ascii="Arial" w:cs="Arial" w:eastAsia="Arial" w:hAnsi="Arial"/>
          <w:sz w:val="14"/>
          <w:szCs w:val="14"/>
          <w:color w:val="auto"/>
        </w:rPr>
      </w:pPr>
    </w:p>
    <w:p>
      <w:pPr>
        <w:ind w:left="1160" w:right="1319" w:firstLine="4"/>
        <w:spacing w:after="0" w:line="284" w:lineRule="auto"/>
        <w:tabs>
          <w:tab w:leader="none" w:pos="1434" w:val="left"/>
        </w:tabs>
        <w:numPr>
          <w:ilvl w:val="0"/>
          <w:numId w:val="89"/>
        </w:numPr>
        <w:rPr>
          <w:rFonts w:ascii="Arial" w:cs="Arial" w:eastAsia="Arial" w:hAnsi="Arial"/>
          <w:sz w:val="13"/>
          <w:szCs w:val="13"/>
          <w:color w:val="auto"/>
        </w:rPr>
      </w:pPr>
      <w:r>
        <w:rPr>
          <w:rFonts w:ascii="Arial" w:cs="Arial" w:eastAsia="Arial" w:hAnsi="Arial"/>
          <w:sz w:val="13"/>
          <w:szCs w:val="13"/>
          <w:color w:val="auto"/>
        </w:rPr>
        <w:t>during the restricted period shall not exceed 5% of the total number of shares of common stock issued and outstanding on the closing date of this offering and provided further that, in the case of any issuance pursuant to (iii), the transferee or distributee agrees in writing to be bound by the lock-up restrictions.</w:t>
      </w:r>
    </w:p>
    <w:p>
      <w:pPr>
        <w:spacing w:after="0" w:line="73" w:lineRule="exact"/>
        <w:rPr>
          <w:sz w:val="20"/>
          <w:szCs w:val="20"/>
          <w:color w:val="auto"/>
        </w:rPr>
      </w:pPr>
    </w:p>
    <w:p>
      <w:pPr>
        <w:ind w:left="1160" w:right="1239" w:firstLine="293"/>
        <w:spacing w:after="0" w:line="231" w:lineRule="auto"/>
        <w:rPr>
          <w:sz w:val="20"/>
          <w:szCs w:val="20"/>
          <w:color w:val="auto"/>
        </w:rPr>
      </w:pPr>
      <w:r>
        <w:rPr>
          <w:rFonts w:ascii="Arial" w:cs="Arial" w:eastAsia="Arial" w:hAnsi="Arial"/>
          <w:sz w:val="15"/>
          <w:szCs w:val="15"/>
          <w:color w:val="auto"/>
        </w:rPr>
        <w:t>The lock-up agreements applicable to the Apollo Stockholder and all of our directors and executive officers are subject to specified exceptions, including: (i) bona fide gifts; (ii) transfers to any trust for the direct or indirect benefit of the lock-up party or the immediate family of the lockup party; (iii) 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in this prospectus, and the receipt by the lock-up signatory from the Company of shares of common stock upon such exercise; (C) transfers to the Company upon the “net” or “cashless” exercise of</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7" w:name="page188"/>
    <w:bookmarkEnd w:id="187"/>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179"/>
        <w:spacing w:after="0" w:line="248" w:lineRule="auto"/>
        <w:rPr>
          <w:sz w:val="20"/>
          <w:szCs w:val="20"/>
          <w:color w:val="auto"/>
        </w:rPr>
      </w:pPr>
      <w:r>
        <w:rPr>
          <w:rFonts w:ascii="Arial" w:cs="Arial" w:eastAsia="Arial" w:hAnsi="Arial"/>
          <w:sz w:val="14"/>
          <w:szCs w:val="14"/>
          <w:color w:val="auto"/>
        </w:rPr>
        <w:t>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in the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this prospectus;</w:t>
      </w:r>
    </w:p>
    <w:p>
      <w:pPr>
        <w:spacing w:after="0" w:line="3" w:lineRule="exact"/>
        <w:rPr>
          <w:sz w:val="20"/>
          <w:szCs w:val="20"/>
          <w:color w:val="auto"/>
        </w:rPr>
      </w:pPr>
    </w:p>
    <w:p>
      <w:pPr>
        <w:ind w:left="1160" w:right="1199" w:firstLine="4"/>
        <w:spacing w:after="0" w:line="245" w:lineRule="auto"/>
        <w:tabs>
          <w:tab w:leader="none" w:pos="151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or transfers pursuant to an existing 10b5-1 trading plan, provided that no such transfers shall be made prior to the closing date of the offering; (xi) if the holder is a corporation, partnership or limited liability company, (A) distributions to partners, limited liability company members, stockholders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Barclays Capital Inc. and Morgan Stanley &amp; Co. LLC, subject to certain restrictions; and (xiv) transfers to the lock-up party’s employer or any affiliate of the lock-up party’s employer as compensation in his or her capacity as a member of the Company’s board of directors; provided that, in the case of any transfer or distribution pursuant to</w:t>
      </w:r>
    </w:p>
    <w:p>
      <w:pPr>
        <w:spacing w:after="0" w:line="7" w:lineRule="exact"/>
        <w:rPr>
          <w:rFonts w:ascii="Arial" w:cs="Arial" w:eastAsia="Arial" w:hAnsi="Arial"/>
          <w:sz w:val="14"/>
          <w:szCs w:val="14"/>
          <w:color w:val="auto"/>
        </w:rPr>
      </w:pPr>
    </w:p>
    <w:p>
      <w:pPr>
        <w:ind w:left="1160" w:right="1239" w:firstLine="4"/>
        <w:spacing w:after="0" w:line="236" w:lineRule="auto"/>
        <w:tabs>
          <w:tab w:leader="none" w:pos="1347"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through (v), (vii), (xi) and (xiv), the transferee or distributee agrees in writing to be bound by the lockup restrictions.</w:t>
      </w:r>
    </w:p>
    <w:p>
      <w:pPr>
        <w:spacing w:after="0" w:line="88" w:lineRule="exact"/>
        <w:rPr>
          <w:sz w:val="20"/>
          <w:szCs w:val="20"/>
          <w:color w:val="auto"/>
        </w:rPr>
      </w:pPr>
    </w:p>
    <w:p>
      <w:pPr>
        <w:jc w:val="both"/>
        <w:ind w:left="1160" w:right="1179" w:firstLine="293"/>
        <w:spacing w:after="0" w:line="239" w:lineRule="auto"/>
        <w:rPr>
          <w:sz w:val="20"/>
          <w:szCs w:val="20"/>
          <w:color w:val="auto"/>
        </w:rPr>
      </w:pPr>
      <w:r>
        <w:rPr>
          <w:rFonts w:ascii="Arial" w:cs="Arial" w:eastAsia="Arial" w:hAnsi="Arial"/>
          <w:sz w:val="15"/>
          <w:szCs w:val="15"/>
          <w:color w:val="auto"/>
        </w:rPr>
        <w:t>Barclays Capital Inc. and Morgan Stanley &amp; Co. LLC, in their sole discretion, may release our common stock and other securities subject to the lock-up agreements described above in whole or in part at any time, subject to applicable notice requirements.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Price Stabilization, Short Positions and Penalty Bids</w:t>
      </w:r>
    </w:p>
    <w:p>
      <w:pPr>
        <w:spacing w:after="0" w:line="12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The underwriters can close out a covered short sale by exercising their option or purchasing shares in the open market. In determining the source of shares to close out a covered short sale, the underwriters will consider, among other things, the open market price of shares compared to the price available under their option. The underwriters may also sell shares in excess of their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As an additional means of facilitating this offering, the underwriters may bid for, and purchase, shares of our common stock in the open market to stabilize the price of our common stock. These activities may raise or maintain the market price of our common stock above independent market levels or prevent or retard a decline in the market price of our common stock. The underwriters are not required to engage in these activities and may end any of these activities at any time. We have been advised by the underwriters that, prior to purchasing the common stock being offered pursuant to this prospectus, on October 14, 2021, one of the underwriters purchased, on behalf of the syndicate, 40 shares of our common stock at a price of $32.00 per share in stabilizing transactions.</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Electronic Distribution</w:t>
      </w:r>
    </w:p>
    <w:p>
      <w:pPr>
        <w:spacing w:after="0" w:line="128" w:lineRule="exact"/>
        <w:rPr>
          <w:sz w:val="20"/>
          <w:szCs w:val="20"/>
          <w:color w:val="auto"/>
        </w:rPr>
      </w:pPr>
    </w:p>
    <w:p>
      <w:pPr>
        <w:ind w:left="1160" w:right="1239" w:firstLine="293"/>
        <w:spacing w:after="0" w:line="283" w:lineRule="auto"/>
        <w:rPr>
          <w:sz w:val="20"/>
          <w:szCs w:val="20"/>
          <w:color w:val="auto"/>
        </w:rPr>
      </w:pPr>
      <w:r>
        <w:rPr>
          <w:rFonts w:ascii="Arial" w:cs="Arial" w:eastAsia="Arial" w:hAnsi="Arial"/>
          <w:sz w:val="14"/>
          <w:szCs w:val="14"/>
          <w:color w:val="auto"/>
        </w:rPr>
        <w:t>A prospectus in electronic format may be made available on websites maintained by one or more underwriters, or selling group members, if any, participating in this offering. The representatives may agree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8" w:name="page189"/>
    <w:bookmarkEnd w:id="188"/>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254" w:lineRule="auto"/>
        <w:rPr>
          <w:sz w:val="20"/>
          <w:szCs w:val="20"/>
          <w:color w:val="auto"/>
        </w:rPr>
      </w:pPr>
      <w:r>
        <w:rPr>
          <w:rFonts w:ascii="Arial" w:cs="Arial" w:eastAsia="Arial" w:hAnsi="Arial"/>
          <w:sz w:val="15"/>
          <w:szCs w:val="15"/>
          <w:color w:val="auto"/>
        </w:rPr>
        <w:t>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Other Relationships</w:t>
      </w:r>
    </w:p>
    <w:p>
      <w:pPr>
        <w:spacing w:after="0" w:line="11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Apollo, for which they received or will receive customary fees and expenses. Barclays Bank PLC, the administrative agent, the collateral agent, a lender and a joint lead arranger under the Credit Facilities, is an affiliate of Barclays Capital Inc., one of the underwriters in this offering. In addition, affiliates of Morgan Stanley &amp; Co. LLC are lenders and joint lead arrangers under the Credit Facilities.</w:t>
      </w:r>
    </w:p>
    <w:p>
      <w:pPr>
        <w:spacing w:after="0" w:line="97"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Conflict of Interest</w:t>
      </w:r>
    </w:p>
    <w:p>
      <w:pPr>
        <w:spacing w:after="0" w:line="12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Apollo Global Securities, LLC, an affiliate of Apollo, is an underwriter in this offering and will receive a portion of the underwriting discounts and commissions in connection with this offering. Affiliates of Apollo beneficially own in excess of 10% of our issued and outstanding common stock. As a result, 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Selling Restrictions</w:t>
      </w:r>
    </w:p>
    <w:p>
      <w:pPr>
        <w:spacing w:after="0" w:line="11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24"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In relation to each EEA Member State (each a “Relevant Member State”), no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9" w:name="page190"/>
    <w:bookmarkEnd w:id="189"/>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379"/>
        <w:spacing w:after="0" w:line="323" w:lineRule="auto"/>
        <w:rPr>
          <w:sz w:val="20"/>
          <w:szCs w:val="20"/>
          <w:color w:val="auto"/>
        </w:rPr>
      </w:pPr>
      <w:r>
        <w:rPr>
          <w:rFonts w:ascii="Arial" w:cs="Arial" w:eastAsia="Arial" w:hAnsi="Arial"/>
          <w:sz w:val="13"/>
          <w:szCs w:val="13"/>
          <w:color w:val="auto"/>
        </w:rPr>
        <w:t>the competent authority in that Relevant Member State, all in accordance with the Prospectus Regulation, except that the shares may be offered to the public in that Relevant Member State at any time:</w:t>
      </w:r>
    </w:p>
    <w:p>
      <w:pPr>
        <w:spacing w:after="0" w:line="37" w:lineRule="exact"/>
        <w:rPr>
          <w:sz w:val="20"/>
          <w:szCs w:val="20"/>
          <w:color w:val="auto"/>
        </w:rPr>
      </w:pPr>
    </w:p>
    <w:p>
      <w:pPr>
        <w:ind w:left="1760" w:right="1639" w:hanging="303"/>
        <w:spacing w:after="0" w:line="264" w:lineRule="auto"/>
        <w:tabs>
          <w:tab w:leader="none" w:pos="17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Prospectus Regulation;</w:t>
      </w:r>
    </w:p>
    <w:p>
      <w:pPr>
        <w:spacing w:after="0" w:line="81" w:lineRule="exact"/>
        <w:rPr>
          <w:rFonts w:ascii="Arial" w:cs="Arial" w:eastAsia="Arial" w:hAnsi="Arial"/>
          <w:sz w:val="15"/>
          <w:szCs w:val="15"/>
          <w:color w:val="auto"/>
        </w:rPr>
      </w:pPr>
    </w:p>
    <w:p>
      <w:pPr>
        <w:ind w:left="1760" w:right="1179" w:hanging="303"/>
        <w:spacing w:after="0" w:line="254" w:lineRule="auto"/>
        <w:tabs>
          <w:tab w:leader="none" w:pos="17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Prospectus Regulation) subject to obtaining the prior consent of the representatives for any such offer; or</w:t>
      </w:r>
    </w:p>
    <w:p>
      <w:pPr>
        <w:spacing w:after="0" w:line="100" w:lineRule="exact"/>
        <w:rPr>
          <w:rFonts w:ascii="Arial" w:cs="Arial" w:eastAsia="Arial" w:hAnsi="Arial"/>
          <w:sz w:val="15"/>
          <w:szCs w:val="15"/>
          <w:color w:val="auto"/>
        </w:rPr>
      </w:pPr>
    </w:p>
    <w:p>
      <w:pPr>
        <w:ind w:left="1760" w:hanging="303"/>
        <w:spacing w:after="0"/>
        <w:tabs>
          <w:tab w:leader="none" w:pos="17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13" w:lineRule="exact"/>
        <w:rPr>
          <w:sz w:val="20"/>
          <w:szCs w:val="20"/>
          <w:color w:val="auto"/>
        </w:rPr>
      </w:pPr>
    </w:p>
    <w:p>
      <w:pPr>
        <w:jc w:val="both"/>
        <w:ind w:left="1160" w:right="1599"/>
        <w:spacing w:after="0" w:line="239" w:lineRule="auto"/>
        <w:rPr>
          <w:sz w:val="20"/>
          <w:szCs w:val="20"/>
          <w:color w:val="auto"/>
        </w:rPr>
      </w:pPr>
      <w:r>
        <w:rPr>
          <w:rFonts w:ascii="Arial" w:cs="Arial" w:eastAsia="Arial" w:hAnsi="Arial"/>
          <w:sz w:val="15"/>
          <w:szCs w:val="15"/>
          <w:color w:val="auto"/>
        </w:rPr>
        <w:t>provided that no such offer of shares shall require the Company and or any representative to publish a prospectus pursuant to Article 3 of the Prospectus Regulation or supplement a prospectus pursuant to Article 23 of the Prospectus Regulation.</w:t>
      </w:r>
    </w:p>
    <w:p>
      <w:pPr>
        <w:spacing w:after="0" w:line="100" w:lineRule="exact"/>
        <w:rPr>
          <w:sz w:val="20"/>
          <w:szCs w:val="20"/>
          <w:color w:val="auto"/>
        </w:rPr>
      </w:pPr>
    </w:p>
    <w:p>
      <w:pPr>
        <w:ind w:left="1160" w:right="1419" w:firstLine="293"/>
        <w:spacing w:after="0" w:line="284" w:lineRule="auto"/>
        <w:rPr>
          <w:sz w:val="20"/>
          <w:szCs w:val="20"/>
          <w:color w:val="auto"/>
        </w:rPr>
      </w:pPr>
      <w:r>
        <w:rPr>
          <w:rFonts w:ascii="Arial" w:cs="Arial" w:eastAsia="Arial" w:hAnsi="Arial"/>
          <w:sz w:val="13"/>
          <w:szCs w:val="13"/>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72" w:lineRule="exact"/>
        <w:rPr>
          <w:sz w:val="20"/>
          <w:szCs w:val="20"/>
          <w:color w:val="auto"/>
        </w:rPr>
      </w:pPr>
    </w:p>
    <w:p>
      <w:pPr>
        <w:ind w:left="1160" w:right="1299" w:firstLine="293"/>
        <w:spacing w:after="0" w:line="236" w:lineRule="auto"/>
        <w:rPr>
          <w:sz w:val="20"/>
          <w:szCs w:val="20"/>
          <w:color w:val="auto"/>
        </w:rPr>
      </w:pPr>
      <w:r>
        <w:rPr>
          <w:rFonts w:ascii="Arial" w:cs="Arial" w:eastAsia="Arial" w:hAnsi="Arial"/>
          <w:sz w:val="15"/>
          <w:szCs w:val="15"/>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 it is a qualified investor within the meaning of the Prospectus Regulation.</w:t>
      </w:r>
    </w:p>
    <w:p>
      <w:pPr>
        <w:spacing w:after="0" w:line="91"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the offering.</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United Kingdom</w:t>
      </w:r>
    </w:p>
    <w:p>
      <w:pPr>
        <w:spacing w:after="0" w:line="12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w:t>
      </w:r>
    </w:p>
    <w:p>
      <w:pPr>
        <w:spacing w:after="0" w:line="1" w:lineRule="exact"/>
        <w:rPr>
          <w:sz w:val="20"/>
          <w:szCs w:val="20"/>
          <w:color w:val="auto"/>
        </w:rPr>
      </w:pPr>
    </w:p>
    <w:p>
      <w:pPr>
        <w:ind w:left="1160" w:right="1279" w:firstLine="4"/>
        <w:spacing w:after="0" w:line="248" w:lineRule="auto"/>
        <w:tabs>
          <w:tab w:leader="none" w:pos="1434" w:val="left"/>
        </w:tabs>
        <w:numPr>
          <w:ilvl w:val="0"/>
          <w:numId w:val="93"/>
        </w:numPr>
        <w:rPr>
          <w:rFonts w:ascii="Arial" w:cs="Arial" w:eastAsia="Arial" w:hAnsi="Arial"/>
          <w:sz w:val="14"/>
          <w:szCs w:val="14"/>
          <w:color w:val="auto"/>
        </w:rPr>
      </w:pPr>
      <w:r>
        <w:rPr>
          <w:rFonts w:ascii="Arial" w:cs="Arial" w:eastAsia="Arial" w:hAnsi="Arial"/>
          <w:sz w:val="14"/>
          <w:szCs w:val="14"/>
          <w:color w:val="auto"/>
        </w:rPr>
        <w:t>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96"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91" w:lineRule="exact"/>
        <w:rPr>
          <w:sz w:val="20"/>
          <w:szCs w:val="20"/>
          <w:color w:val="auto"/>
        </w:rPr>
      </w:pPr>
    </w:p>
    <w:p>
      <w:pPr>
        <w:ind w:left="1760" w:right="1379" w:hanging="303"/>
        <w:spacing w:after="0" w:line="264" w:lineRule="auto"/>
        <w:tabs>
          <w:tab w:leader="none" w:pos="17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92" w:lineRule="exact"/>
        <w:rPr>
          <w:rFonts w:ascii="Arial" w:cs="Arial" w:eastAsia="Arial" w:hAnsi="Arial"/>
          <w:sz w:val="15"/>
          <w:szCs w:val="15"/>
          <w:color w:val="auto"/>
        </w:rPr>
      </w:pPr>
    </w:p>
    <w:p>
      <w:pPr>
        <w:ind w:left="1760" w:right="1179" w:hanging="303"/>
        <w:spacing w:after="0" w:line="254" w:lineRule="auto"/>
        <w:tabs>
          <w:tab w:leader="none" w:pos="17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89" w:lineRule="exact"/>
        <w:rPr>
          <w:rFonts w:ascii="Arial" w:cs="Arial" w:eastAsia="Arial" w:hAnsi="Arial"/>
          <w:sz w:val="15"/>
          <w:szCs w:val="15"/>
          <w:color w:val="auto"/>
        </w:rPr>
      </w:pPr>
    </w:p>
    <w:p>
      <w:pPr>
        <w:ind w:left="1760" w:hanging="303"/>
        <w:spacing w:after="0"/>
        <w:tabs>
          <w:tab w:leader="none" w:pos="17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0" w:name="page191"/>
    <w:bookmarkEnd w:id="190"/>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239"/>
        <w:spacing w:after="0" w:line="247" w:lineRule="auto"/>
        <w:rPr>
          <w:sz w:val="20"/>
          <w:szCs w:val="20"/>
          <w:color w:val="auto"/>
        </w:rPr>
      </w:pPr>
      <w:r>
        <w:rPr>
          <w:rFonts w:ascii="Arial" w:cs="Arial" w:eastAsia="Arial" w:hAnsi="Arial"/>
          <w:sz w:val="15"/>
          <w:szCs w:val="15"/>
          <w:color w:val="auto"/>
        </w:rPr>
        <w:t>provided that no such offer of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6"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Each person in the UK who acquires any shares in hereby or to whom any offer is made will be deemed to have represented, acknowledged and agreed to and with the Company, the underwriters and their affiliates that it meets the criteria outlined in this section.</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Canada</w:t>
      </w:r>
    </w:p>
    <w:p>
      <w:pPr>
        <w:spacing w:after="0" w:line="124"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Exemptions </w:t>
      </w:r>
      <w:r>
        <w:rPr>
          <w:rFonts w:ascii="Arial" w:cs="Arial" w:eastAsia="Arial" w:hAnsi="Arial"/>
          <w:sz w:val="13"/>
          <w:szCs w:val="13"/>
          <w:color w:val="auto"/>
        </w:rPr>
        <w:t>or subsection 73.3(1) of the</w:t>
      </w:r>
      <w:r>
        <w:rPr>
          <w:rFonts w:ascii="Arial" w:cs="Arial" w:eastAsia="Arial" w:hAnsi="Arial"/>
          <w:sz w:val="13"/>
          <w:szCs w:val="13"/>
          <w:i w:val="1"/>
          <w:iCs w:val="1"/>
          <w:color w:val="auto"/>
        </w:rPr>
        <w:t xml:space="preserve"> Securities Act </w:t>
      </w:r>
      <w:r>
        <w:rPr>
          <w:rFonts w:ascii="Arial" w:cs="Arial" w:eastAsia="Arial" w:hAnsi="Arial"/>
          <w:sz w:val="13"/>
          <w:szCs w:val="13"/>
          <w:color w:val="auto"/>
        </w:rPr>
        <w:t>(Ontario), and are permitted clients, as defined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National Instrument 31-103 </w:t>
      </w:r>
      <w:r>
        <w:rPr>
          <w:rFonts w:ascii="Arial" w:cs="Arial" w:eastAsia="Arial" w:hAnsi="Arial"/>
          <w:sz w:val="13"/>
          <w:szCs w:val="13"/>
          <w:i w:val="1"/>
          <w:iCs w:val="1"/>
          <w:color w:val="auto"/>
        </w:rPr>
        <w:t>Registration Requirements, Exemptions and Ongoing Registrant Obligations</w:t>
      </w:r>
      <w:r>
        <w:rPr>
          <w:rFonts w:ascii="Arial" w:cs="Arial" w:eastAsia="Arial" w:hAnsi="Arial"/>
          <w:sz w:val="13"/>
          <w:szCs w:val="13"/>
          <w:color w:val="auto"/>
        </w:rPr>
        <w:t>. Any resale of the shares of Class A common stock must be made in accordance with an exemption from, or in a transaction not subject to, the prospectus requirements of applicable securities laws.</w:t>
      </w:r>
    </w:p>
    <w:p>
      <w:pPr>
        <w:spacing w:after="0" w:line="77"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2" w:lineRule="exact"/>
        <w:rPr>
          <w:sz w:val="20"/>
          <w:szCs w:val="20"/>
          <w:color w:val="auto"/>
        </w:rPr>
      </w:pPr>
    </w:p>
    <w:p>
      <w:pPr>
        <w:ind w:left="1160" w:right="1639" w:firstLine="293"/>
        <w:spacing w:after="0" w:line="254" w:lineRule="auto"/>
        <w:rPr>
          <w:sz w:val="20"/>
          <w:szCs w:val="20"/>
          <w:color w:val="auto"/>
        </w:rPr>
      </w:pPr>
      <w:r>
        <w:rPr>
          <w:rFonts w:ascii="Arial" w:cs="Arial" w:eastAsia="Arial" w:hAnsi="Arial"/>
          <w:sz w:val="15"/>
          <w:szCs w:val="15"/>
          <w:color w:val="auto"/>
        </w:rPr>
        <w:t xml:space="preserve">Pursuant to section 3A.3 of National Instrument 33-105 </w:t>
      </w:r>
      <w:r>
        <w:rPr>
          <w:rFonts w:ascii="Arial" w:cs="Arial" w:eastAsia="Arial" w:hAnsi="Arial"/>
          <w:sz w:val="15"/>
          <w:szCs w:val="15"/>
          <w:i w:val="1"/>
          <w:iCs w:val="1"/>
          <w:color w:val="auto"/>
        </w:rPr>
        <w:t>Underwriting Conflicts</w:t>
      </w:r>
      <w:r>
        <w:rPr>
          <w:rFonts w:ascii="Arial" w:cs="Arial" w:eastAsia="Arial" w:hAnsi="Arial"/>
          <w:sz w:val="15"/>
          <w:szCs w:val="15"/>
          <w:color w:val="auto"/>
        </w:rPr>
        <w:t xml:space="preserve"> (NI 33-105), the underwriters are not required to comply with the disclosure requirements of NI 33-105 regarding underwriter conflicts of interest in connection with this offering.</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Hong Kong</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Shares of our Class A common stock may not be offered or sold by means of any document other than</w:t>
      </w:r>
    </w:p>
    <w:p>
      <w:pPr>
        <w:spacing w:after="0" w:line="25" w:lineRule="exact"/>
        <w:rPr>
          <w:sz w:val="20"/>
          <w:szCs w:val="20"/>
          <w:color w:val="auto"/>
        </w:rPr>
      </w:pPr>
    </w:p>
    <w:p>
      <w:pPr>
        <w:ind w:left="1160" w:right="1219" w:firstLine="4"/>
        <w:spacing w:after="0" w:line="245" w:lineRule="auto"/>
        <w:tabs>
          <w:tab w:leader="none" w:pos="1347"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Singapore</w:t>
      </w:r>
    </w:p>
    <w:p>
      <w:pPr>
        <w:spacing w:after="0" w:line="124"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1" w:name="page192"/>
    <w:bookmarkEnd w:id="191"/>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1439"/>
        <w:spacing w:after="0" w:line="264" w:lineRule="auto"/>
        <w:rPr>
          <w:sz w:val="20"/>
          <w:szCs w:val="20"/>
          <w:color w:val="auto"/>
        </w:rPr>
      </w:pPr>
      <w:r>
        <w:rPr>
          <w:rFonts w:ascii="Arial" w:cs="Arial" w:eastAsia="Arial" w:hAnsi="Arial"/>
          <w:sz w:val="15"/>
          <w:szCs w:val="15"/>
          <w:color w:val="auto"/>
        </w:rPr>
        <w:t>with the conditions specified in Section 275 of the SFA, or (iii) otherwise pursuant to, and in accordance with the conditions of, any other applicable provision of the SFA.</w:t>
      </w:r>
    </w:p>
    <w:p>
      <w:pPr>
        <w:spacing w:after="0" w:line="38"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5"/>
          <w:szCs w:val="15"/>
          <w:color w:val="auto"/>
        </w:rPr>
        <w:t>Where shares of our common stock are subscribed or purchased under Section 275 by a relevant person which is:</w:t>
      </w:r>
    </w:p>
    <w:p>
      <w:pPr>
        <w:spacing w:after="0" w:line="93" w:lineRule="exact"/>
        <w:rPr>
          <w:sz w:val="20"/>
          <w:szCs w:val="20"/>
          <w:color w:val="auto"/>
        </w:rPr>
      </w:pPr>
    </w:p>
    <w:p>
      <w:pPr>
        <w:ind w:left="1760" w:right="1459" w:hanging="303"/>
        <w:spacing w:after="0" w:line="254" w:lineRule="auto"/>
        <w:tabs>
          <w:tab w:leader="none" w:pos="17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the sole business of which is to hold investments and the entire share capital of which is owned by one or more individuals, each of whom is an accredited investor; or</w:t>
      </w:r>
    </w:p>
    <w:p>
      <w:pPr>
        <w:spacing w:after="0" w:line="100" w:lineRule="exact"/>
        <w:rPr>
          <w:rFonts w:ascii="Arial" w:cs="Arial" w:eastAsia="Arial" w:hAnsi="Arial"/>
          <w:sz w:val="15"/>
          <w:szCs w:val="15"/>
          <w:color w:val="auto"/>
        </w:rPr>
      </w:pPr>
    </w:p>
    <w:p>
      <w:pPr>
        <w:ind w:left="1760" w:right="1299" w:hanging="303"/>
        <w:spacing w:after="0" w:line="264" w:lineRule="auto"/>
        <w:tabs>
          <w:tab w:leader="none" w:pos="17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is an accredited investor,</w:t>
      </w:r>
    </w:p>
    <w:p>
      <w:pPr>
        <w:spacing w:after="0" w:line="38" w:lineRule="exact"/>
        <w:rPr>
          <w:sz w:val="20"/>
          <w:szCs w:val="20"/>
          <w:color w:val="auto"/>
        </w:rPr>
      </w:pPr>
    </w:p>
    <w:p>
      <w:pPr>
        <w:ind w:left="1160" w:right="1339"/>
        <w:spacing w:after="0" w:line="251" w:lineRule="auto"/>
        <w:rPr>
          <w:sz w:val="20"/>
          <w:szCs w:val="20"/>
          <w:color w:val="auto"/>
        </w:rPr>
      </w:pPr>
      <w:r>
        <w:rPr>
          <w:rFonts w:ascii="Arial" w:cs="Arial" w:eastAsia="Arial" w:hAnsi="Arial"/>
          <w:sz w:val="15"/>
          <w:szCs w:val="15"/>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w:t>
      </w:r>
    </w:p>
    <w:p>
      <w:pPr>
        <w:spacing w:after="0" w:line="102" w:lineRule="exact"/>
        <w:rPr>
          <w:sz w:val="20"/>
          <w:szCs w:val="20"/>
          <w:color w:val="auto"/>
        </w:rPr>
      </w:pPr>
    </w:p>
    <w:p>
      <w:pPr>
        <w:ind w:left="1760" w:right="1339" w:hanging="303"/>
        <w:spacing w:after="0" w:line="264" w:lineRule="auto"/>
        <w:tabs>
          <w:tab w:leader="none" w:pos="17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pursuant to Section 275(1A), and in accordance with the conditions, specified in Section 275 of the SFA;</w:t>
      </w:r>
    </w:p>
    <w:p>
      <w:pPr>
        <w:spacing w:after="0" w:line="92" w:lineRule="exact"/>
        <w:rPr>
          <w:rFonts w:ascii="Arial" w:cs="Arial" w:eastAsia="Arial" w:hAnsi="Arial"/>
          <w:sz w:val="15"/>
          <w:szCs w:val="15"/>
          <w:color w:val="auto"/>
        </w:rPr>
      </w:pPr>
    </w:p>
    <w:p>
      <w:pPr>
        <w:ind w:left="1760" w:hanging="303"/>
        <w:spacing w:after="0"/>
        <w:tabs>
          <w:tab w:leader="none" w:pos="17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where no consideration is given for the transfer; or</w:t>
      </w:r>
    </w:p>
    <w:p>
      <w:pPr>
        <w:spacing w:after="0" w:line="113" w:lineRule="exact"/>
        <w:rPr>
          <w:rFonts w:ascii="Arial" w:cs="Arial" w:eastAsia="Arial" w:hAnsi="Arial"/>
          <w:sz w:val="15"/>
          <w:szCs w:val="15"/>
          <w:color w:val="auto"/>
        </w:rPr>
      </w:pPr>
    </w:p>
    <w:p>
      <w:pPr>
        <w:ind w:left="1760" w:hanging="303"/>
        <w:spacing w:after="0"/>
        <w:tabs>
          <w:tab w:leader="none" w:pos="17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80"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Japan</w:t>
      </w:r>
    </w:p>
    <w:p>
      <w:pPr>
        <w:spacing w:after="0" w:line="80" w:lineRule="exact"/>
        <w:rPr>
          <w:sz w:val="20"/>
          <w:szCs w:val="20"/>
          <w:color w:val="auto"/>
        </w:rPr>
      </w:pPr>
    </w:p>
    <w:p>
      <w:pPr>
        <w:jc w:val="both"/>
        <w:ind w:left="1160" w:right="1379" w:firstLine="293"/>
        <w:spacing w:after="0" w:line="254" w:lineRule="auto"/>
        <w:rPr>
          <w:sz w:val="20"/>
          <w:szCs w:val="20"/>
          <w:color w:val="auto"/>
        </w:rPr>
      </w:pPr>
      <w:r>
        <w:rPr>
          <w:rFonts w:ascii="Arial" w:cs="Arial" w:eastAsia="Arial" w:hAnsi="Arial"/>
          <w:sz w:val="15"/>
          <w:szCs w:val="15"/>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46"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5"/>
          <w:szCs w:val="15"/>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For Qualified Institutional Investors (“QII”)</w:t>
      </w:r>
    </w:p>
    <w:p>
      <w:pPr>
        <w:spacing w:after="0" w:line="8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For Non-QII Investors</w:t>
      </w:r>
    </w:p>
    <w:p>
      <w:pPr>
        <w:spacing w:after="0" w:line="80"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2" w:name="page193"/>
    <w:bookmarkEnd w:id="192"/>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LEGAL MATTERS</w:t>
      </w:r>
    </w:p>
    <w:p>
      <w:pPr>
        <w:spacing w:after="0" w:line="117"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color w:val="auto"/>
        </w:rPr>
        <w:t>The validity of the shares of common stock offered hereby will be passed upon for us by Paul, Weiss, Rifkind, Wharton &amp; Garrison LLP, New York, New York. The validity of the shares of common stock offered hereby will be passed upon for the underwriters by Davis Polk &amp; Wardwell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3" w:name="page194"/>
    <w:bookmarkEnd w:id="193"/>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17"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 xml:space="preserve">The consolidated financial statements of Sun Country Airlines Holdings, Inc. as of December 31, 2020 and 2019, for the years ended December 31, 2020 and 2019 and for the periods from January 1, 2018 to April 10, 2018 and April 11, 2018 to December 31, 2018 have been included herein in reliance upon the report of KPMG LLP, independent registered public accounting firm, appearing elsewhere herein, and upon the authority of said firm as experts in accounting and auditing. The audit report covering the December 31, 2020 consolidated financial statements refers to the Company’s change in its method of accounting for revenue recognition and leases as of January 1, 2019 due to the adoption of Accounting Standards Update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and Accounting Standards Update 2016-02,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4" w:name="page195"/>
    <w:bookmarkEnd w:id="194"/>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17" w:lineRule="exact"/>
        <w:rPr>
          <w:sz w:val="20"/>
          <w:szCs w:val="20"/>
          <w:color w:val="auto"/>
        </w:rPr>
      </w:pPr>
    </w:p>
    <w:p>
      <w:pPr>
        <w:ind w:left="1160" w:right="1279" w:firstLine="293"/>
        <w:spacing w:after="0" w:line="266" w:lineRule="auto"/>
        <w:rPr>
          <w:sz w:val="20"/>
          <w:szCs w:val="20"/>
          <w:color w:val="auto"/>
        </w:rPr>
      </w:pPr>
      <w:r>
        <w:rPr>
          <w:rFonts w:ascii="Arial" w:cs="Arial" w:eastAsia="Arial" w:hAnsi="Arial"/>
          <w:sz w:val="14"/>
          <w:szCs w:val="14"/>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the exhibit.</w:t>
      </w:r>
    </w:p>
    <w:p>
      <w:pPr>
        <w:spacing w:after="0" w:line="94" w:lineRule="exact"/>
        <w:rPr>
          <w:sz w:val="20"/>
          <w:szCs w:val="20"/>
          <w:color w:val="auto"/>
        </w:rPr>
      </w:pPr>
    </w:p>
    <w:p>
      <w:pPr>
        <w:ind w:left="1160" w:right="1379" w:firstLine="293"/>
        <w:spacing w:after="0" w:line="254" w:lineRule="auto"/>
        <w:rPr>
          <w:sz w:val="20"/>
          <w:szCs w:val="20"/>
          <w:color w:val="auto"/>
        </w:rPr>
      </w:pPr>
      <w:r>
        <w:rPr>
          <w:rFonts w:ascii="Arial" w:cs="Arial" w:eastAsia="Arial" w:hAnsi="Arial"/>
          <w:sz w:val="15"/>
          <w:szCs w:val="15"/>
          <w:color w:val="auto"/>
        </w:rPr>
        <w:t>The SEC maintains an Internet site that contains reports, proxy and information statements and other information regarding registrants that file electronically with the SEC. The SEC’s website address is www.sec.gov.</w:t>
      </w:r>
    </w:p>
    <w:p>
      <w:pPr>
        <w:spacing w:after="0" w:line="101"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We are subject to the reporting and information requirements of the Exchange Act and, as a result, are required to file annual, quarterly and current reports, proxy statements and other information with the SEC. We make these filings available on our website (www.ir.suncountry.com). Our website and the information contained on, or that can be accessed through, our website will not be deemed to be incorporated by reference in, and are not considered part of, this prospectus.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5" w:name="page196"/>
    <w:bookmarkEnd w:id="195"/>
    <w:p>
      <w:pPr>
        <w:ind w:left="14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b w:val="1"/>
                <w:bCs w:val="1"/>
                <w:color w:val="auto"/>
                <w:w w:val="82"/>
              </w:rPr>
              <w:t>PAGE</w:t>
            </w:r>
          </w:p>
        </w:tc>
      </w:tr>
      <w:tr>
        <w:trPr>
          <w:trHeight w:val="21"/>
        </w:trPr>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80"/>
        </w:trPr>
        <w:tc>
          <w:tcPr>
            <w:tcW w:w="3600" w:type="dxa"/>
            <w:vAlign w:val="bottom"/>
            <w:tcBorders>
              <w:bottom w:val="single" w:sz="8" w:color="0000EE"/>
              <w:right w:val="single" w:sz="8" w:color="CCEEFF"/>
            </w:tcBorders>
            <w:gridSpan w:val="8"/>
            <w:shd w:val="clear" w:color="auto" w:fill="CCEEFF"/>
          </w:tcPr>
          <w:p>
            <w:pPr>
              <w:spacing w:after="0" w:line="167" w:lineRule="exact"/>
              <w:rPr>
                <w:rFonts w:ascii="Arial" w:cs="Arial" w:eastAsia="Arial" w:hAnsi="Arial"/>
                <w:sz w:val="15"/>
                <w:szCs w:val="15"/>
                <w:color w:val="0000EE"/>
                <w:w w:val="92"/>
              </w:rPr>
            </w:pPr>
            <w:hyperlink w:anchor="page196">
              <w:r>
                <w:rPr>
                  <w:rFonts w:ascii="Arial" w:cs="Arial" w:eastAsia="Arial" w:hAnsi="Arial"/>
                  <w:sz w:val="15"/>
                  <w:szCs w:val="15"/>
                  <w:color w:val="0000EE"/>
                  <w:w w:val="92"/>
                </w:rPr>
                <w:t>Report of Independent Registered Public Accounting Firm</w:t>
              </w:r>
            </w:hyperlink>
          </w:p>
        </w:tc>
        <w:tc>
          <w:tcPr>
            <w:tcW w:w="2780" w:type="dxa"/>
            <w:vAlign w:val="bottom"/>
            <w:tcBorders>
              <w:bottom w:val="single" w:sz="8" w:color="CCEEFF"/>
              <w:right w:val="single" w:sz="8" w:color="CCEEFF"/>
            </w:tcBorders>
            <w:gridSpan w:val="9"/>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0000EE"/>
            </w:tcBorders>
            <w:shd w:val="clear" w:color="auto" w:fill="CCEEFF"/>
          </w:tcPr>
          <w:p>
            <w:pPr>
              <w:jc w:val="right"/>
              <w:spacing w:after="0" w:line="167" w:lineRule="exact"/>
              <w:rPr>
                <w:rFonts w:ascii="Arial" w:cs="Arial" w:eastAsia="Arial" w:hAnsi="Arial"/>
                <w:sz w:val="15"/>
                <w:szCs w:val="15"/>
                <w:color w:val="0000EE"/>
                <w:w w:val="88"/>
              </w:rPr>
            </w:pPr>
            <w:hyperlink w:anchor="page196">
              <w:r>
                <w:rPr>
                  <w:rFonts w:ascii="Arial" w:cs="Arial" w:eastAsia="Arial" w:hAnsi="Arial"/>
                  <w:sz w:val="15"/>
                  <w:szCs w:val="15"/>
                  <w:color w:val="0000EE"/>
                  <w:w w:val="88"/>
                </w:rPr>
                <w:t>F-2</w:t>
              </w:r>
            </w:hyperlink>
          </w:p>
        </w:tc>
      </w:tr>
      <w:tr>
        <w:trPr>
          <w:trHeight w:val="209"/>
        </w:trPr>
        <w:tc>
          <w:tcPr>
            <w:tcW w:w="6380" w:type="dxa"/>
            <w:vAlign w:val="bottom"/>
            <w:gridSpan w:val="17"/>
          </w:tcPr>
          <w:p>
            <w:pPr>
              <w:spacing w:after="0"/>
              <w:rPr>
                <w:sz w:val="20"/>
                <w:szCs w:val="20"/>
                <w:color w:val="auto"/>
              </w:rPr>
            </w:pPr>
            <w:r>
              <w:rPr>
                <w:rFonts w:ascii="Arial" w:cs="Arial" w:eastAsia="Arial" w:hAnsi="Arial"/>
                <w:sz w:val="15"/>
                <w:szCs w:val="15"/>
                <w:color w:val="auto"/>
              </w:rPr>
              <w:t>Audited Consolidated Financial Statements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7"/>
        </w:trPr>
        <w:tc>
          <w:tcPr>
            <w:tcW w:w="6380" w:type="dxa"/>
            <w:vAlign w:val="bottom"/>
            <w:tcBorders>
              <w:right w:val="single" w:sz="8" w:color="CCEEFF"/>
            </w:tcBorders>
            <w:gridSpan w:val="17"/>
            <w:shd w:val="clear" w:color="auto" w:fill="CCEEFF"/>
          </w:tcPr>
          <w:p>
            <w:pPr>
              <w:ind w:left="160"/>
              <w:spacing w:after="0"/>
              <w:rPr>
                <w:rFonts w:ascii="Arial" w:cs="Arial" w:eastAsia="Arial" w:hAnsi="Arial"/>
                <w:sz w:val="15"/>
                <w:szCs w:val="15"/>
                <w:color w:val="0000EE"/>
              </w:rPr>
            </w:pPr>
            <w:hyperlink w:anchor="page197">
              <w:r>
                <w:rPr>
                  <w:rFonts w:ascii="Arial" w:cs="Arial" w:eastAsia="Arial" w:hAnsi="Arial"/>
                  <w:sz w:val="15"/>
                  <w:szCs w:val="15"/>
                  <w:color w:val="0000EE"/>
                </w:rPr>
                <w:t>Consolidated Balance Sheets as of December 31, 2020 and 2019</w:t>
              </w:r>
            </w:hyperlink>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rFonts w:ascii="Arial" w:cs="Arial" w:eastAsia="Arial" w:hAnsi="Arial"/>
                <w:sz w:val="15"/>
                <w:szCs w:val="15"/>
                <w:color w:val="0000EE"/>
                <w:w w:val="88"/>
              </w:rPr>
            </w:pPr>
            <w:hyperlink w:anchor="page197">
              <w:r>
                <w:rPr>
                  <w:rFonts w:ascii="Arial" w:cs="Arial" w:eastAsia="Arial" w:hAnsi="Arial"/>
                  <w:sz w:val="15"/>
                  <w:szCs w:val="15"/>
                  <w:color w:val="0000EE"/>
                  <w:w w:val="88"/>
                </w:rPr>
                <w:t>F-3</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176"/>
        </w:trPr>
        <w:tc>
          <w:tcPr>
            <w:tcW w:w="6380" w:type="dxa"/>
            <w:vAlign w:val="bottom"/>
            <w:gridSpan w:val="17"/>
          </w:tcPr>
          <w:p>
            <w:pPr>
              <w:ind w:left="160"/>
              <w:spacing w:after="0"/>
              <w:rPr>
                <w:rFonts w:ascii="Arial" w:cs="Arial" w:eastAsia="Arial" w:hAnsi="Arial"/>
                <w:sz w:val="15"/>
                <w:szCs w:val="15"/>
                <w:color w:val="0000EE"/>
                <w:w w:val="95"/>
              </w:rPr>
            </w:pPr>
            <w:hyperlink w:anchor="page199">
              <w:r>
                <w:rPr>
                  <w:rFonts w:ascii="Arial" w:cs="Arial" w:eastAsia="Arial" w:hAnsi="Arial"/>
                  <w:sz w:val="15"/>
                  <w:szCs w:val="15"/>
                  <w:color w:val="0000EE"/>
                  <w:w w:val="95"/>
                </w:rPr>
                <w:t>Consolidated Statements of Operations for the years ended December 31, 2020 and 2019 and for</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20" w:type="dxa"/>
            <w:vAlign w:val="bottom"/>
            <w:tcBorders>
              <w:top w:val="single" w:sz="8" w:color="0000EE"/>
            </w:tcBorders>
            <w:gridSpan w:val="11"/>
          </w:tcPr>
          <w:p>
            <w:pPr>
              <w:spacing w:after="0" w:line="156" w:lineRule="exact"/>
              <w:rPr>
                <w:rFonts w:ascii="Arial" w:cs="Arial" w:eastAsia="Arial" w:hAnsi="Arial"/>
                <w:sz w:val="15"/>
                <w:szCs w:val="15"/>
                <w:color w:val="0000EE"/>
                <w:w w:val="94"/>
              </w:rPr>
            </w:pPr>
            <w:hyperlink w:anchor="page199">
              <w:r>
                <w:rPr>
                  <w:rFonts w:ascii="Arial" w:cs="Arial" w:eastAsia="Arial" w:hAnsi="Arial"/>
                  <w:sz w:val="15"/>
                  <w:szCs w:val="15"/>
                  <w:color w:val="0000EE"/>
                  <w:w w:val="94"/>
                </w:rPr>
                <w:t>the periods from January 1, 2018 to April 10, 2018 and April 11, 2018 to December 31, 2018</w:t>
              </w:r>
            </w:hyperlink>
          </w:p>
        </w:tc>
        <w:tc>
          <w:tcPr>
            <w:tcW w:w="2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line="156" w:lineRule="exact"/>
              <w:rPr>
                <w:rFonts w:ascii="Arial" w:cs="Arial" w:eastAsia="Arial" w:hAnsi="Arial"/>
                <w:sz w:val="15"/>
                <w:szCs w:val="15"/>
                <w:color w:val="0000EE"/>
                <w:w w:val="88"/>
              </w:rPr>
            </w:pPr>
            <w:hyperlink w:anchor="page199">
              <w:r>
                <w:rPr>
                  <w:rFonts w:ascii="Arial" w:cs="Arial" w:eastAsia="Arial" w:hAnsi="Arial"/>
                  <w:sz w:val="15"/>
                  <w:szCs w:val="15"/>
                  <w:color w:val="0000EE"/>
                  <w:w w:val="88"/>
                </w:rPr>
                <w:t>F-5</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76"/>
        </w:trPr>
        <w:tc>
          <w:tcPr>
            <w:tcW w:w="6380" w:type="dxa"/>
            <w:vAlign w:val="bottom"/>
            <w:tcBorders>
              <w:right w:val="single" w:sz="8" w:color="CCEEFF"/>
            </w:tcBorders>
            <w:gridSpan w:val="17"/>
            <w:shd w:val="clear" w:color="auto" w:fill="CCEEFF"/>
          </w:tcPr>
          <w:p>
            <w:pPr>
              <w:ind w:left="160"/>
              <w:spacing w:after="0"/>
              <w:rPr>
                <w:rFonts w:ascii="Arial" w:cs="Arial" w:eastAsia="Arial" w:hAnsi="Arial"/>
                <w:sz w:val="15"/>
                <w:szCs w:val="15"/>
                <w:color w:val="0000EE"/>
                <w:w w:val="97"/>
              </w:rPr>
            </w:pPr>
            <w:hyperlink w:anchor="page200">
              <w:r>
                <w:rPr>
                  <w:rFonts w:ascii="Arial" w:cs="Arial" w:eastAsia="Arial" w:hAnsi="Arial"/>
                  <w:sz w:val="15"/>
                  <w:szCs w:val="15"/>
                  <w:color w:val="0000EE"/>
                  <w:w w:val="97"/>
                </w:rPr>
                <w:t>Consolidated Statements of Changes in Stockholders’ Equity for the years ended December 31,</w:t>
              </w:r>
            </w:hyperlink>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56"/>
        </w:trPr>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940" w:type="dxa"/>
            <w:vAlign w:val="bottom"/>
            <w:tcBorders>
              <w:bottom w:val="single" w:sz="8" w:color="0000EE"/>
            </w:tcBorders>
            <w:gridSpan w:val="14"/>
            <w:shd w:val="clear" w:color="auto" w:fill="CCEEFF"/>
          </w:tcPr>
          <w:p>
            <w:pPr>
              <w:spacing w:after="0" w:line="156" w:lineRule="exact"/>
              <w:rPr>
                <w:rFonts w:ascii="Arial" w:cs="Arial" w:eastAsia="Arial" w:hAnsi="Arial"/>
                <w:sz w:val="15"/>
                <w:szCs w:val="15"/>
                <w:color w:val="0000EE"/>
                <w:w w:val="93"/>
              </w:rPr>
            </w:pPr>
            <w:hyperlink w:anchor="page200">
              <w:r>
                <w:rPr>
                  <w:rFonts w:ascii="Arial" w:cs="Arial" w:eastAsia="Arial" w:hAnsi="Arial"/>
                  <w:sz w:val="15"/>
                  <w:szCs w:val="15"/>
                  <w:color w:val="0000EE"/>
                  <w:w w:val="93"/>
                </w:rPr>
                <w:t>2020 and 2019 and for the periods from January 1, 2018 to April 10, 2018 and April 11, 2018 to</w:t>
              </w:r>
            </w:hyperlink>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0000EE"/>
            </w:tcBorders>
            <w:gridSpan w:val="3"/>
            <w:shd w:val="clear" w:color="auto" w:fill="CCEEFF"/>
          </w:tcPr>
          <w:p>
            <w:pPr>
              <w:spacing w:after="0" w:line="156" w:lineRule="exact"/>
              <w:rPr>
                <w:rFonts w:ascii="Arial" w:cs="Arial" w:eastAsia="Arial" w:hAnsi="Arial"/>
                <w:sz w:val="15"/>
                <w:szCs w:val="15"/>
                <w:color w:val="0000EE"/>
                <w:w w:val="89"/>
              </w:rPr>
            </w:pPr>
            <w:hyperlink w:anchor="page200">
              <w:r>
                <w:rPr>
                  <w:rFonts w:ascii="Arial" w:cs="Arial" w:eastAsia="Arial" w:hAnsi="Arial"/>
                  <w:sz w:val="15"/>
                  <w:szCs w:val="15"/>
                  <w:color w:val="0000EE"/>
                  <w:w w:val="89"/>
                </w:rPr>
                <w:t>December 31, 2018</w:t>
              </w:r>
            </w:hyperlink>
          </w:p>
        </w:tc>
        <w:tc>
          <w:tcPr>
            <w:tcW w:w="4880" w:type="dxa"/>
            <w:vAlign w:val="bottom"/>
            <w:tcBorders>
              <w:bottom w:val="single" w:sz="8" w:color="CCEEFF"/>
              <w:right w:val="single" w:sz="8" w:color="CCEEFF"/>
            </w:tcBorders>
            <w:gridSpan w:val="12"/>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0000EE"/>
            </w:tcBorders>
            <w:shd w:val="clear" w:color="auto" w:fill="CCEEFF"/>
          </w:tcPr>
          <w:p>
            <w:pPr>
              <w:jc w:val="right"/>
              <w:spacing w:after="0" w:line="156" w:lineRule="exact"/>
              <w:rPr>
                <w:rFonts w:ascii="Arial" w:cs="Arial" w:eastAsia="Arial" w:hAnsi="Arial"/>
                <w:sz w:val="15"/>
                <w:szCs w:val="15"/>
                <w:color w:val="0000EE"/>
                <w:w w:val="88"/>
              </w:rPr>
            </w:pPr>
            <w:hyperlink w:anchor="page200">
              <w:r>
                <w:rPr>
                  <w:rFonts w:ascii="Arial" w:cs="Arial" w:eastAsia="Arial" w:hAnsi="Arial"/>
                  <w:sz w:val="15"/>
                  <w:szCs w:val="15"/>
                  <w:color w:val="0000EE"/>
                  <w:w w:val="88"/>
                </w:rPr>
                <w:t>F-6</w:t>
              </w:r>
            </w:hyperlink>
          </w:p>
        </w:tc>
      </w:tr>
      <w:tr>
        <w:trPr>
          <w:trHeight w:val="176"/>
        </w:trPr>
        <w:tc>
          <w:tcPr>
            <w:tcW w:w="6380" w:type="dxa"/>
            <w:vAlign w:val="bottom"/>
            <w:gridSpan w:val="17"/>
          </w:tcPr>
          <w:p>
            <w:pPr>
              <w:ind w:left="160"/>
              <w:spacing w:after="0"/>
              <w:rPr>
                <w:rFonts w:ascii="Arial" w:cs="Arial" w:eastAsia="Arial" w:hAnsi="Arial"/>
                <w:sz w:val="15"/>
                <w:szCs w:val="15"/>
                <w:color w:val="0000EE"/>
                <w:w w:val="94"/>
              </w:rPr>
            </w:pPr>
            <w:hyperlink w:anchor="page201">
              <w:r>
                <w:rPr>
                  <w:rFonts w:ascii="Arial" w:cs="Arial" w:eastAsia="Arial" w:hAnsi="Arial"/>
                  <w:sz w:val="15"/>
                  <w:szCs w:val="15"/>
                  <w:color w:val="0000EE"/>
                  <w:w w:val="94"/>
                </w:rPr>
                <w:t>Consolidated Statements of Cash Flows for the years ended December 31, 2020 and 2019 and for</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60" w:type="dxa"/>
            <w:vAlign w:val="bottom"/>
            <w:tcBorders>
              <w:top w:val="single" w:sz="8" w:color="0000EE"/>
            </w:tcBorders>
            <w:gridSpan w:val="12"/>
          </w:tcPr>
          <w:p>
            <w:pPr>
              <w:spacing w:after="0" w:line="156" w:lineRule="exact"/>
              <w:rPr>
                <w:rFonts w:ascii="Arial" w:cs="Arial" w:eastAsia="Arial" w:hAnsi="Arial"/>
                <w:sz w:val="15"/>
                <w:szCs w:val="15"/>
                <w:color w:val="0000EE"/>
                <w:w w:val="95"/>
              </w:rPr>
            </w:pPr>
            <w:hyperlink w:anchor="page201">
              <w:r>
                <w:rPr>
                  <w:rFonts w:ascii="Arial" w:cs="Arial" w:eastAsia="Arial" w:hAnsi="Arial"/>
                  <w:sz w:val="15"/>
                  <w:szCs w:val="15"/>
                  <w:color w:val="0000EE"/>
                  <w:w w:val="95"/>
                </w:rPr>
                <w:t>the periods from January 1, 2018 to April 10, 2018 and April 11, 2018 to December 31, 2018</w:t>
              </w:r>
            </w:hyperlink>
          </w:p>
        </w:tc>
        <w:tc>
          <w:tcPr>
            <w:tcW w:w="2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line="156" w:lineRule="exact"/>
              <w:rPr>
                <w:rFonts w:ascii="Arial" w:cs="Arial" w:eastAsia="Arial" w:hAnsi="Arial"/>
                <w:sz w:val="15"/>
                <w:szCs w:val="15"/>
                <w:color w:val="0000EE"/>
                <w:w w:val="88"/>
              </w:rPr>
            </w:pPr>
            <w:hyperlink w:anchor="page201">
              <w:r>
                <w:rPr>
                  <w:rFonts w:ascii="Arial" w:cs="Arial" w:eastAsia="Arial" w:hAnsi="Arial"/>
                  <w:sz w:val="15"/>
                  <w:szCs w:val="15"/>
                  <w:color w:val="0000EE"/>
                  <w:w w:val="88"/>
                </w:rPr>
                <w:t>F-7</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87"/>
        </w:trPr>
        <w:tc>
          <w:tcPr>
            <w:tcW w:w="6380" w:type="dxa"/>
            <w:vAlign w:val="bottom"/>
            <w:tcBorders>
              <w:right w:val="single" w:sz="8" w:color="CCEEFF"/>
            </w:tcBorders>
            <w:gridSpan w:val="17"/>
            <w:shd w:val="clear" w:color="auto" w:fill="CCEEFF"/>
          </w:tcPr>
          <w:p>
            <w:pPr>
              <w:ind w:left="160"/>
              <w:spacing w:after="0"/>
              <w:rPr>
                <w:rFonts w:ascii="Arial" w:cs="Arial" w:eastAsia="Arial" w:hAnsi="Arial"/>
                <w:sz w:val="15"/>
                <w:szCs w:val="15"/>
                <w:color w:val="0000EE"/>
              </w:rPr>
            </w:pPr>
            <w:hyperlink w:anchor="page203">
              <w:r>
                <w:rPr>
                  <w:rFonts w:ascii="Arial" w:cs="Arial" w:eastAsia="Arial" w:hAnsi="Arial"/>
                  <w:sz w:val="15"/>
                  <w:szCs w:val="15"/>
                  <w:color w:val="0000EE"/>
                </w:rPr>
                <w:t>Notes to Consolidated Financial Statements</w:t>
              </w:r>
            </w:hyperlink>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rFonts w:ascii="Arial" w:cs="Arial" w:eastAsia="Arial" w:hAnsi="Arial"/>
                <w:sz w:val="15"/>
                <w:szCs w:val="15"/>
                <w:color w:val="0000EE"/>
                <w:w w:val="88"/>
              </w:rPr>
            </w:pPr>
            <w:hyperlink w:anchor="page203">
              <w:r>
                <w:rPr>
                  <w:rFonts w:ascii="Arial" w:cs="Arial" w:eastAsia="Arial" w:hAnsi="Arial"/>
                  <w:sz w:val="15"/>
                  <w:szCs w:val="15"/>
                  <w:color w:val="0000EE"/>
                  <w:w w:val="88"/>
                </w:rPr>
                <w:t>F-9</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76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308"/>
        </w:trPr>
        <w:tc>
          <w:tcPr>
            <w:tcW w:w="6380" w:type="dxa"/>
            <w:vAlign w:val="bottom"/>
            <w:gridSpan w:val="17"/>
          </w:tcPr>
          <w:p>
            <w:pPr>
              <w:spacing w:after="0"/>
              <w:rPr>
                <w:sz w:val="20"/>
                <w:szCs w:val="20"/>
                <w:color w:val="auto"/>
              </w:rPr>
            </w:pPr>
            <w:r>
              <w:rPr>
                <w:rFonts w:ascii="Arial" w:cs="Arial" w:eastAsia="Arial" w:hAnsi="Arial"/>
                <w:sz w:val="15"/>
                <w:szCs w:val="15"/>
                <w:color w:val="auto"/>
              </w:rPr>
              <w:t>Unaudited Condensed Consolidated Financial Statements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6380" w:type="dxa"/>
            <w:vAlign w:val="bottom"/>
            <w:tcBorders>
              <w:right w:val="single" w:sz="8" w:color="CCEEFF"/>
            </w:tcBorders>
            <w:gridSpan w:val="17"/>
            <w:shd w:val="clear" w:color="auto" w:fill="CCEEFF"/>
          </w:tcPr>
          <w:p>
            <w:pPr>
              <w:ind w:left="160"/>
              <w:spacing w:after="0"/>
              <w:rPr>
                <w:rFonts w:ascii="Arial" w:cs="Arial" w:eastAsia="Arial" w:hAnsi="Arial"/>
                <w:sz w:val="15"/>
                <w:szCs w:val="15"/>
                <w:color w:val="0000EE"/>
              </w:rPr>
            </w:pPr>
            <w:hyperlink w:anchor="page242">
              <w:r>
                <w:rPr>
                  <w:rFonts w:ascii="Arial" w:cs="Arial" w:eastAsia="Arial" w:hAnsi="Arial"/>
                  <w:sz w:val="15"/>
                  <w:szCs w:val="15"/>
                  <w:color w:val="0000EE"/>
                </w:rPr>
                <w:t>Condensed Consolidated Balance Sheets as of June 30, 2021 and December 31, 2020</w:t>
              </w:r>
            </w:hyperlink>
          </w:p>
        </w:tc>
        <w:tc>
          <w:tcPr>
            <w:tcW w:w="300" w:type="dxa"/>
            <w:vAlign w:val="bottom"/>
            <w:gridSpan w:val="2"/>
            <w:shd w:val="clear" w:color="auto" w:fill="CCEEFF"/>
          </w:tcPr>
          <w:p>
            <w:pPr>
              <w:jc w:val="right"/>
              <w:spacing w:after="0"/>
              <w:rPr>
                <w:rFonts w:ascii="Arial" w:cs="Arial" w:eastAsia="Arial" w:hAnsi="Arial"/>
                <w:sz w:val="15"/>
                <w:szCs w:val="15"/>
                <w:color w:val="0000EE"/>
                <w:w w:val="90"/>
              </w:rPr>
            </w:pPr>
            <w:hyperlink w:anchor="page242">
              <w:r>
                <w:rPr>
                  <w:rFonts w:ascii="Arial" w:cs="Arial" w:eastAsia="Arial" w:hAnsi="Arial"/>
                  <w:sz w:val="15"/>
                  <w:szCs w:val="15"/>
                  <w:color w:val="0000EE"/>
                  <w:w w:val="90"/>
                </w:rPr>
                <w:t>F-48</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176"/>
        </w:trPr>
        <w:tc>
          <w:tcPr>
            <w:tcW w:w="6380" w:type="dxa"/>
            <w:vAlign w:val="bottom"/>
            <w:gridSpan w:val="17"/>
          </w:tcPr>
          <w:p>
            <w:pPr>
              <w:ind w:left="160"/>
              <w:spacing w:after="0"/>
              <w:rPr>
                <w:rFonts w:ascii="Arial" w:cs="Arial" w:eastAsia="Arial" w:hAnsi="Arial"/>
                <w:sz w:val="15"/>
                <w:szCs w:val="15"/>
                <w:color w:val="0000EE"/>
                <w:w w:val="96"/>
              </w:rPr>
            </w:pPr>
            <w:hyperlink w:anchor="page244">
              <w:r>
                <w:rPr>
                  <w:rFonts w:ascii="Arial" w:cs="Arial" w:eastAsia="Arial" w:hAnsi="Arial"/>
                  <w:sz w:val="15"/>
                  <w:szCs w:val="15"/>
                  <w:color w:val="0000EE"/>
                  <w:w w:val="96"/>
                </w:rPr>
                <w:t>Condensed Consolidated Statements of Operations for the three and six months ended June 30,</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680" w:type="dxa"/>
            <w:vAlign w:val="bottom"/>
            <w:tcBorders>
              <w:top w:val="single" w:sz="8" w:color="0000EE"/>
            </w:tcBorders>
            <w:gridSpan w:val="9"/>
          </w:tcPr>
          <w:p>
            <w:pPr>
              <w:spacing w:after="0" w:line="156" w:lineRule="exact"/>
              <w:rPr>
                <w:rFonts w:ascii="Arial" w:cs="Arial" w:eastAsia="Arial" w:hAnsi="Arial"/>
                <w:sz w:val="15"/>
                <w:szCs w:val="15"/>
                <w:color w:val="0000EE"/>
              </w:rPr>
            </w:pPr>
            <w:hyperlink w:anchor="page244">
              <w:r>
                <w:rPr>
                  <w:rFonts w:ascii="Arial" w:cs="Arial" w:eastAsia="Arial" w:hAnsi="Arial"/>
                  <w:sz w:val="15"/>
                  <w:szCs w:val="15"/>
                  <w:color w:val="0000EE"/>
                </w:rPr>
                <w:t>2021 and 2020</w:t>
              </w:r>
            </w:hyperlink>
          </w:p>
        </w:tc>
        <w:tc>
          <w:tcPr>
            <w:tcW w:w="400" w:type="dxa"/>
            <w:vAlign w:val="bottom"/>
            <w:gridSpan w:val="6"/>
          </w:tcPr>
          <w:p>
            <w:pPr>
              <w:spacing w:after="0"/>
              <w:rPr>
                <w:sz w:val="13"/>
                <w:szCs w:val="13"/>
                <w:color w:val="auto"/>
              </w:rPr>
            </w:pPr>
          </w:p>
        </w:tc>
        <w:tc>
          <w:tcPr>
            <w:tcW w:w="300" w:type="dxa"/>
            <w:vAlign w:val="bottom"/>
            <w:gridSpan w:val="2"/>
          </w:tcPr>
          <w:p>
            <w:pPr>
              <w:jc w:val="right"/>
              <w:spacing w:after="0" w:line="156" w:lineRule="exact"/>
              <w:rPr>
                <w:rFonts w:ascii="Arial" w:cs="Arial" w:eastAsia="Arial" w:hAnsi="Arial"/>
                <w:sz w:val="15"/>
                <w:szCs w:val="15"/>
                <w:color w:val="0000EE"/>
                <w:w w:val="90"/>
              </w:rPr>
            </w:pPr>
            <w:hyperlink w:anchor="page244">
              <w:r>
                <w:rPr>
                  <w:rFonts w:ascii="Arial" w:cs="Arial" w:eastAsia="Arial" w:hAnsi="Arial"/>
                  <w:sz w:val="15"/>
                  <w:szCs w:val="15"/>
                  <w:color w:val="0000EE"/>
                  <w:w w:val="90"/>
                </w:rPr>
                <w:t>F-50</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76"/>
        </w:trPr>
        <w:tc>
          <w:tcPr>
            <w:tcW w:w="6380" w:type="dxa"/>
            <w:vAlign w:val="bottom"/>
            <w:tcBorders>
              <w:right w:val="single" w:sz="8" w:color="CCEEFF"/>
            </w:tcBorders>
            <w:gridSpan w:val="17"/>
            <w:shd w:val="clear" w:color="auto" w:fill="CCEEFF"/>
          </w:tcPr>
          <w:p>
            <w:pPr>
              <w:ind w:left="160"/>
              <w:spacing w:after="0"/>
              <w:rPr>
                <w:rFonts w:ascii="Arial" w:cs="Arial" w:eastAsia="Arial" w:hAnsi="Arial"/>
                <w:sz w:val="15"/>
                <w:szCs w:val="15"/>
                <w:color w:val="0000EE"/>
                <w:w w:val="94"/>
              </w:rPr>
            </w:pPr>
            <w:hyperlink w:anchor="page245">
              <w:r>
                <w:rPr>
                  <w:rFonts w:ascii="Arial" w:cs="Arial" w:eastAsia="Arial" w:hAnsi="Arial"/>
                  <w:sz w:val="15"/>
                  <w:szCs w:val="15"/>
                  <w:color w:val="0000EE"/>
                  <w:w w:val="94"/>
                </w:rPr>
                <w:t>Condensed Consolidated Statements of Changes in Stockholders’ Equity for the six months ended</w:t>
              </w:r>
            </w:hyperlink>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80"/>
        </w:trPr>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tcBorders>
            <w:shd w:val="clear" w:color="auto" w:fill="CCEEFF"/>
          </w:tcPr>
          <w:p>
            <w:pPr>
              <w:spacing w:after="0"/>
              <w:rPr>
                <w:sz w:val="15"/>
                <w:szCs w:val="15"/>
                <w:color w:val="auto"/>
              </w:rPr>
            </w:pPr>
          </w:p>
        </w:tc>
        <w:tc>
          <w:tcPr>
            <w:tcW w:w="1460" w:type="dxa"/>
            <w:vAlign w:val="bottom"/>
            <w:tcBorders>
              <w:top w:val="single" w:sz="8" w:color="0000EE"/>
              <w:bottom w:val="single" w:sz="8" w:color="0000EE"/>
            </w:tcBorders>
            <w:gridSpan w:val="4"/>
            <w:shd w:val="clear" w:color="auto" w:fill="CCEEFF"/>
          </w:tcPr>
          <w:p>
            <w:pPr>
              <w:spacing w:after="0" w:line="156" w:lineRule="exact"/>
              <w:rPr>
                <w:rFonts w:ascii="Arial" w:cs="Arial" w:eastAsia="Arial" w:hAnsi="Arial"/>
                <w:sz w:val="15"/>
                <w:szCs w:val="15"/>
                <w:color w:val="0000EE"/>
                <w:w w:val="88"/>
              </w:rPr>
            </w:pPr>
            <w:hyperlink w:anchor="page245">
              <w:r>
                <w:rPr>
                  <w:rFonts w:ascii="Arial" w:cs="Arial" w:eastAsia="Arial" w:hAnsi="Arial"/>
                  <w:sz w:val="15"/>
                  <w:szCs w:val="15"/>
                  <w:color w:val="0000EE"/>
                  <w:w w:val="88"/>
                </w:rPr>
                <w:t>June 30, 2021 and 2020</w:t>
              </w:r>
            </w:hyperlink>
          </w:p>
        </w:tc>
        <w:tc>
          <w:tcPr>
            <w:tcW w:w="4420" w:type="dxa"/>
            <w:vAlign w:val="bottom"/>
            <w:tcBorders>
              <w:top w:val="single" w:sz="8" w:color="0000EE"/>
              <w:bottom w:val="single" w:sz="8" w:color="CCEEFF"/>
            </w:tcBorders>
            <w:gridSpan w:val="9"/>
            <w:shd w:val="clear" w:color="auto" w:fill="CCEEFF"/>
          </w:tcPr>
          <w:p>
            <w:pPr>
              <w:spacing w:after="0"/>
              <w:rPr>
                <w:sz w:val="15"/>
                <w:szCs w:val="15"/>
                <w:color w:val="auto"/>
              </w:rPr>
            </w:pPr>
          </w:p>
        </w:tc>
        <w:tc>
          <w:tcPr>
            <w:tcW w:w="20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300" w:type="dxa"/>
            <w:vAlign w:val="bottom"/>
            <w:tcBorders>
              <w:top w:val="single" w:sz="8" w:color="CCEEFF"/>
              <w:bottom w:val="single" w:sz="8" w:color="0000EE"/>
            </w:tcBorders>
            <w:gridSpan w:val="2"/>
            <w:shd w:val="clear" w:color="auto" w:fill="CCEEFF"/>
          </w:tcPr>
          <w:p>
            <w:pPr>
              <w:jc w:val="right"/>
              <w:spacing w:after="0" w:line="156" w:lineRule="exact"/>
              <w:rPr>
                <w:rFonts w:ascii="Arial" w:cs="Arial" w:eastAsia="Arial" w:hAnsi="Arial"/>
                <w:sz w:val="15"/>
                <w:szCs w:val="15"/>
                <w:color w:val="0000EE"/>
                <w:w w:val="90"/>
              </w:rPr>
            </w:pPr>
            <w:hyperlink w:anchor="page245">
              <w:r>
                <w:rPr>
                  <w:rFonts w:ascii="Arial" w:cs="Arial" w:eastAsia="Arial" w:hAnsi="Arial"/>
                  <w:sz w:val="15"/>
                  <w:szCs w:val="15"/>
                  <w:color w:val="0000EE"/>
                  <w:w w:val="90"/>
                </w:rPr>
                <w:t>F-51</w:t>
              </w:r>
            </w:hyperlink>
          </w:p>
        </w:tc>
      </w:tr>
      <w:tr>
        <w:trPr>
          <w:trHeight w:val="176"/>
        </w:trPr>
        <w:tc>
          <w:tcPr>
            <w:tcW w:w="6380" w:type="dxa"/>
            <w:vAlign w:val="bottom"/>
            <w:gridSpan w:val="17"/>
          </w:tcPr>
          <w:p>
            <w:pPr>
              <w:ind w:left="160"/>
              <w:spacing w:after="0"/>
              <w:rPr>
                <w:rFonts w:ascii="Arial" w:cs="Arial" w:eastAsia="Arial" w:hAnsi="Arial"/>
                <w:sz w:val="15"/>
                <w:szCs w:val="15"/>
                <w:color w:val="0000EE"/>
                <w:w w:val="95"/>
              </w:rPr>
            </w:pPr>
            <w:hyperlink w:anchor="page246">
              <w:r>
                <w:rPr>
                  <w:rFonts w:ascii="Arial" w:cs="Arial" w:eastAsia="Arial" w:hAnsi="Arial"/>
                  <w:sz w:val="15"/>
                  <w:szCs w:val="15"/>
                  <w:color w:val="0000EE"/>
                  <w:w w:val="95"/>
                </w:rPr>
                <w:t>Condensed Consolidated Statements of Cash Flows for the six months ended June 30, 2021 and</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440" w:type="dxa"/>
            <w:vAlign w:val="bottom"/>
            <w:tcBorders>
              <w:top w:val="single" w:sz="8" w:color="0000EE"/>
            </w:tcBorders>
            <w:gridSpan w:val="2"/>
          </w:tcPr>
          <w:p>
            <w:pPr>
              <w:ind w:left="140"/>
              <w:spacing w:after="0" w:line="156" w:lineRule="exact"/>
              <w:rPr>
                <w:rFonts w:ascii="Arial" w:cs="Arial" w:eastAsia="Arial" w:hAnsi="Arial"/>
                <w:sz w:val="15"/>
                <w:szCs w:val="15"/>
                <w:color w:val="0000EE"/>
                <w:w w:val="83"/>
              </w:rPr>
            </w:pPr>
            <w:hyperlink w:anchor="page246">
              <w:r>
                <w:rPr>
                  <w:rFonts w:ascii="Arial" w:cs="Arial" w:eastAsia="Arial" w:hAnsi="Arial"/>
                  <w:sz w:val="15"/>
                  <w:szCs w:val="15"/>
                  <w:color w:val="0000EE"/>
                  <w:w w:val="83"/>
                </w:rPr>
                <w:t>2020</w:t>
              </w:r>
            </w:hyperlink>
          </w:p>
        </w:tc>
        <w:tc>
          <w:tcPr>
            <w:tcW w:w="6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08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128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spacing w:after="0" w:line="156" w:lineRule="exact"/>
              <w:rPr>
                <w:rFonts w:ascii="Arial" w:cs="Arial" w:eastAsia="Arial" w:hAnsi="Arial"/>
                <w:sz w:val="15"/>
                <w:szCs w:val="15"/>
                <w:color w:val="0000EE"/>
                <w:w w:val="90"/>
              </w:rPr>
            </w:pPr>
            <w:hyperlink w:anchor="page246">
              <w:r>
                <w:rPr>
                  <w:rFonts w:ascii="Arial" w:cs="Arial" w:eastAsia="Arial" w:hAnsi="Arial"/>
                  <w:sz w:val="15"/>
                  <w:szCs w:val="15"/>
                  <w:color w:val="0000EE"/>
                  <w:w w:val="90"/>
                </w:rPr>
                <w:t>F-52</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87"/>
        </w:trPr>
        <w:tc>
          <w:tcPr>
            <w:tcW w:w="6380" w:type="dxa"/>
            <w:vAlign w:val="bottom"/>
            <w:tcBorders>
              <w:right w:val="single" w:sz="8" w:color="CCEEFF"/>
            </w:tcBorders>
            <w:gridSpan w:val="17"/>
            <w:shd w:val="clear" w:color="auto" w:fill="CCEEFF"/>
          </w:tcPr>
          <w:p>
            <w:pPr>
              <w:ind w:left="160"/>
              <w:spacing w:after="0"/>
              <w:rPr>
                <w:rFonts w:ascii="Arial" w:cs="Arial" w:eastAsia="Arial" w:hAnsi="Arial"/>
                <w:sz w:val="15"/>
                <w:szCs w:val="15"/>
                <w:color w:val="0000EE"/>
              </w:rPr>
            </w:pPr>
            <w:hyperlink w:anchor="page248">
              <w:r>
                <w:rPr>
                  <w:rFonts w:ascii="Arial" w:cs="Arial" w:eastAsia="Arial" w:hAnsi="Arial"/>
                  <w:sz w:val="15"/>
                  <w:szCs w:val="15"/>
                  <w:color w:val="0000EE"/>
                </w:rPr>
                <w:t>Notes to Condensed Consolidated Financial Statements</w:t>
              </w:r>
            </w:hyperlink>
          </w:p>
        </w:tc>
        <w:tc>
          <w:tcPr>
            <w:tcW w:w="300" w:type="dxa"/>
            <w:vAlign w:val="bottom"/>
            <w:gridSpan w:val="2"/>
            <w:shd w:val="clear" w:color="auto" w:fill="CCEEFF"/>
          </w:tcPr>
          <w:p>
            <w:pPr>
              <w:jc w:val="right"/>
              <w:spacing w:after="0"/>
              <w:rPr>
                <w:rFonts w:ascii="Arial" w:cs="Arial" w:eastAsia="Arial" w:hAnsi="Arial"/>
                <w:sz w:val="15"/>
                <w:szCs w:val="15"/>
                <w:color w:val="0000EE"/>
                <w:w w:val="90"/>
              </w:rPr>
            </w:pPr>
            <w:hyperlink w:anchor="page248">
              <w:r>
                <w:rPr>
                  <w:rFonts w:ascii="Arial" w:cs="Arial" w:eastAsia="Arial" w:hAnsi="Arial"/>
                  <w:sz w:val="15"/>
                  <w:szCs w:val="15"/>
                  <w:color w:val="0000EE"/>
                  <w:w w:val="90"/>
                </w:rPr>
                <w:t>F-54</w:t>
              </w:r>
            </w:hyperlink>
          </w:p>
        </w:tc>
      </w:tr>
      <w:tr>
        <w:trPr>
          <w:trHeight w:val="22"/>
        </w:trPr>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60" w:type="dxa"/>
            <w:vAlign w:val="bottom"/>
            <w:tcBorders>
              <w:right w:val="single" w:sz="8" w:color="CCEEFF"/>
            </w:tcBorders>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-2636520</wp:posOffset>
            </wp:positionV>
            <wp:extent cx="4039235"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0392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6" w:name="page197"/>
    <w:bookmarkEnd w:id="196"/>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Stockholders and Board of Directors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Sun Country Airlines Holdings, Inc.:</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Opinion on the Consolidated Financial Statements</w:t>
      </w:r>
    </w:p>
    <w:p>
      <w:pPr>
        <w:spacing w:after="0" w:line="124"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We have audited the accompanying consolidated balance sheets of Sun Country Airlines Holdings, Inc. and subsidiaries (the Company) as of December 31, 2020 and 2019, the related consolidated statements of operations, changes in stockholders’ equity, and cash flows for the years ended December 31, 2020 and 2019, and for the periods from January 1, 2018 to April 10, 2018 and April 11, 2018 to December 31, 2018,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the years ended December 31, 2020 and 2019, and for the periods from January 1, 2018 to April 10, 2018 and April 11, 2018 to December 31, 2018, in conformity with U.S. generally accepted accounting principles.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Change in Accounting Principle</w:t>
      </w:r>
    </w:p>
    <w:p>
      <w:pPr>
        <w:spacing w:after="0" w:line="124"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 xml:space="preserve">As discussed in Note 2 to the consolidated financial statements, the Company has changed its method of accounting for revenue recognition and leases as of January 1, 2019 due to the adoption of Accounting Standards Update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and Accounting Standards Update 2016-02</w:t>
      </w:r>
      <w:r>
        <w:rPr>
          <w:rFonts w:ascii="Arial" w:cs="Arial" w:eastAsia="Arial" w:hAnsi="Arial"/>
          <w:sz w:val="15"/>
          <w:szCs w:val="15"/>
          <w:i w:val="1"/>
          <w:iCs w:val="1"/>
          <w:color w:val="auto"/>
        </w:rPr>
        <w:t>, Leases.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Basis for Opinion</w:t>
      </w:r>
    </w:p>
    <w:p>
      <w:pPr>
        <w:spacing w:after="0" w:line="113" w:lineRule="exact"/>
        <w:rPr>
          <w:sz w:val="20"/>
          <w:szCs w:val="20"/>
          <w:color w:val="auto"/>
        </w:rPr>
      </w:pPr>
    </w:p>
    <w:p>
      <w:pPr>
        <w:ind w:left="1160" w:right="1399" w:firstLine="293"/>
        <w:spacing w:after="0" w:line="269"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 KPMG LLP</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We have served as the Company’s auditor since 2018.</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Minneapolis, Minnesota</w:t>
      </w:r>
    </w:p>
    <w:p>
      <w:pPr>
        <w:spacing w:after="0" w:line="14" w:lineRule="exact"/>
        <w:rPr>
          <w:sz w:val="20"/>
          <w:szCs w:val="20"/>
          <w:color w:val="auto"/>
        </w:rPr>
      </w:pPr>
    </w:p>
    <w:p>
      <w:pPr>
        <w:ind w:left="1160" w:right="1299"/>
        <w:spacing w:after="0" w:line="249" w:lineRule="auto"/>
        <w:rPr>
          <w:sz w:val="20"/>
          <w:szCs w:val="20"/>
          <w:color w:val="auto"/>
        </w:rPr>
      </w:pPr>
      <w:r>
        <w:rPr>
          <w:rFonts w:ascii="Arial" w:cs="Arial" w:eastAsia="Arial" w:hAnsi="Arial"/>
          <w:sz w:val="15"/>
          <w:szCs w:val="15"/>
          <w:color w:val="auto"/>
        </w:rPr>
        <w:t>February 23, 2021, except for the third and fourth paragraphs of Note 20—Subsequent Events, as to which the date is March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7" w:name="page198"/>
    <w:bookmarkEnd w:id="197"/>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7"/>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62,028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51,006</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8,335</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13,472</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5,624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5,694</w:t>
            </w:r>
          </w:p>
        </w:tc>
        <w:tc>
          <w:tcPr>
            <w:tcW w:w="60" w:type="dxa"/>
            <w:vAlign w:val="bottom"/>
          </w:tcPr>
          <w:p>
            <w:pPr>
              <w:spacing w:after="0"/>
              <w:rPr>
                <w:sz w:val="18"/>
                <w:szCs w:val="18"/>
                <w:color w:val="auto"/>
              </w:rPr>
            </w:pPr>
          </w:p>
        </w:tc>
      </w:tr>
      <w:tr>
        <w:trPr>
          <w:trHeight w:val="187"/>
        </w:trPr>
        <w:tc>
          <w:tcPr>
            <w:tcW w:w="5160" w:type="dxa"/>
            <w:vAlign w:val="bottom"/>
          </w:tcPr>
          <w:p>
            <w:pPr>
              <w:ind w:left="160"/>
              <w:spacing w:after="0"/>
              <w:rPr>
                <w:sz w:val="20"/>
                <w:szCs w:val="20"/>
                <w:color w:val="auto"/>
              </w:rPr>
            </w:pPr>
            <w:r>
              <w:rPr>
                <w:rFonts w:ascii="Arial" w:cs="Arial" w:eastAsia="Arial" w:hAnsi="Arial"/>
                <w:sz w:val="15"/>
                <w:szCs w:val="15"/>
                <w:color w:val="auto"/>
                <w:w w:val="96"/>
              </w:rPr>
              <w:t>Accounts Receivable, net of an allowance for credit losses of $224 and $630,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5160" w:type="dxa"/>
            <w:vAlign w:val="bottom"/>
          </w:tcPr>
          <w:p>
            <w:pPr>
              <w:ind w:left="300"/>
              <w:spacing w:after="0"/>
              <w:rPr>
                <w:sz w:val="20"/>
                <w:szCs w:val="20"/>
                <w:color w:val="auto"/>
              </w:rPr>
            </w:pPr>
            <w:r>
              <w:rPr>
                <w:rFonts w:ascii="Arial" w:cs="Arial" w:eastAsia="Arial" w:hAnsi="Arial"/>
                <w:sz w:val="15"/>
                <w:szCs w:val="15"/>
                <w:color w:val="auto"/>
              </w:rPr>
              <w:t>respectively</w:t>
            </w:r>
          </w:p>
        </w:tc>
        <w:tc>
          <w:tcPr>
            <w:tcW w:w="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28,690</w:t>
            </w:r>
          </w:p>
        </w:tc>
        <w:tc>
          <w:tcPr>
            <w:tcW w:w="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22,408</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Short-term Lessor Maintenance Deposits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3,101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w w:val="99"/>
              </w:rPr>
              <w:t>Inventory, net of a reserve for obsolescence of $996 and $550, respectively</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5,407</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5,273</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Prepaid Expenses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8,002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7,717</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Derivative Assets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2,233</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Assets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5,553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2,752</w:t>
            </w:r>
          </w:p>
        </w:tc>
        <w:tc>
          <w:tcPr>
            <w:tcW w:w="6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16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126,740</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112,525</w:t>
            </w: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Property &amp; Equipment,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Aircraft and Flight Equipment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331,685</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142,100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Leasehold Improvements and Ground Equipment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13,526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12,701</w:t>
            </w:r>
          </w:p>
        </w:tc>
        <w:tc>
          <w:tcPr>
            <w:tcW w:w="60" w:type="dxa"/>
            <w:vAlign w:val="bottom"/>
          </w:tcPr>
          <w:p>
            <w:pPr>
              <w:spacing w:after="0"/>
              <w:rPr>
                <w:sz w:val="18"/>
                <w:szCs w:val="18"/>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Computer Hardware and Software</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7,845</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8,702</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117,833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201,026</w:t>
            </w:r>
          </w:p>
        </w:tc>
        <w:tc>
          <w:tcPr>
            <w:tcW w:w="60" w:type="dxa"/>
            <w:vAlign w:val="bottom"/>
          </w:tcPr>
          <w:p>
            <w:pPr>
              <w:spacing w:after="0"/>
              <w:rPr>
                <w:sz w:val="19"/>
                <w:szCs w:val="19"/>
                <w:color w:val="auto"/>
              </w:rPr>
            </w:pPr>
          </w:p>
        </w:tc>
      </w:tr>
      <w:tr>
        <w:trPr>
          <w:trHeight w:val="225"/>
        </w:trPr>
        <w:tc>
          <w:tcPr>
            <w:tcW w:w="5160" w:type="dxa"/>
            <w:vAlign w:val="bottom"/>
          </w:tcPr>
          <w:p>
            <w:pPr>
              <w:ind w:left="160"/>
              <w:spacing w:after="0"/>
              <w:rPr>
                <w:sz w:val="20"/>
                <w:szCs w:val="20"/>
                <w:color w:val="auto"/>
              </w:rPr>
            </w:pPr>
            <w:r>
              <w:rPr>
                <w:rFonts w:ascii="Arial" w:cs="Arial" w:eastAsia="Arial" w:hAnsi="Arial"/>
                <w:sz w:val="15"/>
                <w:szCs w:val="15"/>
                <w:color w:val="auto"/>
              </w:rPr>
              <w:t>Rotable Parts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8,691</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8,276</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Property &amp; Equipment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479,580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372,805</w:t>
            </w:r>
          </w:p>
        </w:tc>
        <w:tc>
          <w:tcPr>
            <w:tcW w:w="60" w:type="dxa"/>
            <w:vAlign w:val="bottom"/>
          </w:tcPr>
          <w:p>
            <w:pPr>
              <w:spacing w:after="0"/>
              <w:rPr>
                <w:sz w:val="18"/>
                <w:szCs w:val="18"/>
                <w:color w:val="auto"/>
              </w:rPr>
            </w:pPr>
          </w:p>
        </w:tc>
      </w:tr>
      <w:tr>
        <w:trPr>
          <w:trHeight w:val="225"/>
        </w:trPr>
        <w:tc>
          <w:tcPr>
            <w:tcW w:w="5160" w:type="dxa"/>
            <w:vAlign w:val="bottom"/>
          </w:tcPr>
          <w:p>
            <w:pPr>
              <w:ind w:left="160"/>
              <w:spacing w:after="0"/>
              <w:rPr>
                <w:sz w:val="20"/>
                <w:szCs w:val="20"/>
                <w:color w:val="auto"/>
              </w:rPr>
            </w:pPr>
            <w:r>
              <w:rPr>
                <w:rFonts w:ascii="Arial" w:cs="Arial" w:eastAsia="Arial" w:hAnsi="Arial"/>
                <w:sz w:val="15"/>
                <w:szCs w:val="15"/>
                <w:color w:val="auto"/>
              </w:rPr>
              <w:t>Accumulated Depreciation &amp; Amortization</w:t>
            </w: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(65,065)</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(27,728)</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Property &amp; Equipment, net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414,515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345,077</w:t>
            </w:r>
          </w:p>
        </w:tc>
        <w:tc>
          <w:tcPr>
            <w:tcW w:w="60" w:type="dxa"/>
            <w:vAlign w:val="bottom"/>
          </w:tcPr>
          <w:p>
            <w:pPr>
              <w:spacing w:after="0"/>
              <w:rPr>
                <w:sz w:val="18"/>
                <w:szCs w:val="18"/>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222,223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Other Intangible Assets, net</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93,110</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97,110</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Right-of-use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121,269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147,148</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10,253</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17,970</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Long-term Lessor Maintenance Deposits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22,584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28,266</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Deferred Tax Asset</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36,216</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35,428</w:t>
            </w:r>
          </w:p>
        </w:tc>
      </w:tr>
      <w:tr>
        <w:trPr>
          <w:trHeight w:val="225"/>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6,357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2,129</w:t>
            </w:r>
          </w:p>
        </w:tc>
        <w:tc>
          <w:tcPr>
            <w:tcW w:w="60" w:type="dxa"/>
            <w:vAlign w:val="bottom"/>
          </w:tcPr>
          <w:p>
            <w:pPr>
              <w:spacing w:after="0"/>
              <w:rPr>
                <w:sz w:val="19"/>
                <w:szCs w:val="19"/>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5160" w:type="dxa"/>
            <w:vAlign w:val="bottom"/>
          </w:tcPr>
          <w:p>
            <w:pPr>
              <w:ind w:left="300"/>
              <w:spacing w:after="0"/>
              <w:rPr>
                <w:sz w:val="20"/>
                <w:szCs w:val="20"/>
                <w:color w:val="auto"/>
              </w:rPr>
            </w:pPr>
            <w:r>
              <w:rPr>
                <w:rFonts w:ascii="Arial" w:cs="Arial" w:eastAsia="Arial" w:hAnsi="Arial"/>
                <w:sz w:val="15"/>
                <w:szCs w:val="15"/>
                <w:color w:val="auto"/>
              </w:rPr>
              <w:t>Total Other Assets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512,012</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550,274</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3"/>
              </w:rPr>
              <w:t>1,053,267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1,007,876</w:t>
            </w:r>
          </w:p>
        </w:tc>
        <w:tc>
          <w:tcPr>
            <w:tcW w:w="60" w:type="dxa"/>
            <w:vAlign w:val="bottom"/>
          </w:tcPr>
          <w:p>
            <w:pPr>
              <w:spacing w:after="0"/>
              <w:rPr>
                <w:sz w:val="21"/>
                <w:szCs w:val="2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3816350"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-1604010</wp:posOffset>
            </wp:positionV>
            <wp:extent cx="3816350"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-1896745</wp:posOffset>
            </wp:positionV>
            <wp:extent cx="3816350"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-4443095</wp:posOffset>
            </wp:positionV>
            <wp:extent cx="380936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8" w:name="page199"/>
    <w:bookmarkEnd w:id="198"/>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900"/>
        <w:spacing w:after="0"/>
        <w:rPr>
          <w:sz w:val="20"/>
          <w:szCs w:val="20"/>
          <w:color w:val="auto"/>
        </w:rPr>
      </w:pPr>
      <w:r>
        <w:rPr>
          <w:rFonts w:ascii="Arial" w:cs="Arial" w:eastAsia="Arial" w:hAnsi="Arial"/>
          <w:sz w:val="15"/>
          <w:szCs w:val="15"/>
          <w:b w:val="1"/>
          <w:bCs w:val="1"/>
          <w:color w:val="auto"/>
        </w:rPr>
        <w:t>CONSOLIDATED BALANCE SHEETS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7"/>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Accrued Salaries, Wages, and Benefits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16,368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16,621</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5,883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101,075</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116,660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Derivative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1,174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9,281</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10,421</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7,016</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14,092</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34,492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Current Maturities of Long-term Debt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26,118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13,197</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5"/>
        </w:trPr>
        <w:tc>
          <w:tcPr>
            <w:tcW w:w="516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253,743</w:t>
            </w: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353,551</w:t>
            </w: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Long-term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28,128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37,409</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95,710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15,053</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8,800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112,707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141,879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256,345</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73,720</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Long-term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7,764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1"/>
        </w:trPr>
        <w:tc>
          <w:tcPr>
            <w:tcW w:w="5160" w:type="dxa"/>
            <w:vAlign w:val="bottom"/>
          </w:tcPr>
          <w:p>
            <w:pPr>
              <w:ind w:left="300"/>
              <w:spacing w:after="0"/>
              <w:rPr>
                <w:sz w:val="20"/>
                <w:szCs w:val="20"/>
                <w:color w:val="auto"/>
              </w:rPr>
            </w:pPr>
            <w:r>
              <w:rPr>
                <w:rFonts w:ascii="Arial" w:cs="Arial" w:eastAsia="Arial" w:hAnsi="Arial"/>
                <w:sz w:val="15"/>
                <w:szCs w:val="15"/>
                <w:color w:val="auto"/>
              </w:rPr>
              <w:t>Total Long-term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515,707</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370,601</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769,450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724,152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Commitments and Contingencies (Note 17)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Common Stock</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239,162</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239,141</w:t>
            </w:r>
          </w:p>
        </w:tc>
      </w:tr>
      <w:tr>
        <w:trPr>
          <w:trHeight w:val="187"/>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w w:val="97"/>
              </w:rPr>
              <w:t>At December 31, 2020, common stock $0.01 par value, 94,443,000 shares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authorized, 46,839,659 issued. At December 31, 2019, common stock</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w w:val="98"/>
              </w:rPr>
              <w:t>with no par value, 94,443,000 shares authorized, 6,800,065 issued, and</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w w:val="98"/>
              </w:rPr>
              <w:t>warrants to acquire common stock at an exercise price of approximately</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7"/>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$0.0005 of 40,005,885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Loans to Stockholders</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(3,500)</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(3,500)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Additional Paid In Capital</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9,831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5160" w:type="dxa"/>
            <w:vAlign w:val="bottom"/>
          </w:tcPr>
          <w:p>
            <w:pPr>
              <w:ind w:left="160"/>
              <w:spacing w:after="0"/>
              <w:rPr>
                <w:sz w:val="20"/>
                <w:szCs w:val="20"/>
                <w:color w:val="auto"/>
              </w:rPr>
            </w:pPr>
            <w:r>
              <w:rPr>
                <w:rFonts w:ascii="Arial" w:cs="Arial" w:eastAsia="Arial" w:hAnsi="Arial"/>
                <w:sz w:val="15"/>
                <w:szCs w:val="15"/>
                <w:color w:val="auto"/>
              </w:rPr>
              <w:t>Retained Earnings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38,324</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42,228</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Stockholders’ Equity</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283,817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283,724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5"/>
                <w:szCs w:val="15"/>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w w:val="83"/>
              </w:rPr>
              <w:t>1,053,267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w w:val="83"/>
              </w:rPr>
              <w:t>1,007,876</w:t>
            </w:r>
          </w:p>
        </w:tc>
        <w:tc>
          <w:tcPr>
            <w:tcW w:w="4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-320040</wp:posOffset>
            </wp:positionV>
            <wp:extent cx="3816350"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3816350"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-4799330</wp:posOffset>
            </wp:positionV>
            <wp:extent cx="380936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9" w:name="page200"/>
    <w:bookmarkEnd w:id="199"/>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29" w:lineRule="exact"/>
        <w:rPr>
          <w:sz w:val="20"/>
          <w:szCs w:val="20"/>
          <w:color w:val="auto"/>
        </w:rPr>
      </w:pPr>
    </w:p>
    <w:tbl>
      <w:tblPr>
        <w:tblLayout w:type="fixed"/>
        <w:tblInd w:w="1160" w:type="dxa"/>
        <w:tblCellMar>
          <w:top w:w="0" w:type="dxa"/>
          <w:left w:w="0" w:type="dxa"/>
          <w:bottom w:w="0" w:type="dxa"/>
          <w:right w:w="0" w:type="dxa"/>
        </w:tblCellMar>
      </w:tblPr>
      <w:tr>
        <w:trPr>
          <w:trHeight w:val="155"/>
        </w:trPr>
        <w:tc>
          <w:tcPr>
            <w:tcW w:w="28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5"/>
            <w:vMerge w:val="restart"/>
          </w:tcPr>
          <w:p>
            <w:pPr>
              <w:jc w:val="right"/>
              <w:ind w:right="380"/>
              <w:spacing w:after="0"/>
              <w:rPr>
                <w:sz w:val="20"/>
                <w:szCs w:val="20"/>
                <w:color w:val="auto"/>
              </w:rPr>
            </w:pPr>
            <w:r>
              <w:rPr>
                <w:rFonts w:ascii="Arial" w:cs="Arial" w:eastAsia="Arial" w:hAnsi="Arial"/>
                <w:sz w:val="12"/>
                <w:szCs w:val="12"/>
                <w:b w:val="1"/>
                <w:bCs w:val="1"/>
                <w:color w:val="auto"/>
                <w:w w:val="92"/>
              </w:rPr>
              <w:t>Year Ended December 31,</w:t>
            </w:r>
          </w:p>
        </w:tc>
        <w:tc>
          <w:tcPr>
            <w:tcW w:w="100" w:type="dxa"/>
            <w:vAlign w:val="bottom"/>
          </w:tcPr>
          <w:p>
            <w:pPr>
              <w:spacing w:after="0"/>
              <w:rPr>
                <w:sz w:val="12"/>
                <w:szCs w:val="12"/>
                <w:color w:val="auto"/>
              </w:rPr>
            </w:pPr>
          </w:p>
        </w:tc>
        <w:tc>
          <w:tcPr>
            <w:tcW w:w="940" w:type="dxa"/>
            <w:vAlign w:val="bottom"/>
            <w:tcBorders>
              <w:right w:val="single" w:sz="8" w:color="auto"/>
            </w:tcBorders>
            <w:gridSpan w:val="4"/>
          </w:tcPr>
          <w:p>
            <w:pPr>
              <w:spacing w:after="0"/>
              <w:rPr>
                <w:sz w:val="20"/>
                <w:szCs w:val="20"/>
                <w:color w:val="auto"/>
              </w:rPr>
            </w:pPr>
            <w:r>
              <w:rPr>
                <w:rFonts w:ascii="Arial" w:cs="Arial" w:eastAsia="Arial" w:hAnsi="Arial"/>
                <w:sz w:val="12"/>
                <w:szCs w:val="12"/>
                <w:b w:val="1"/>
                <w:bCs w:val="1"/>
                <w:color w:val="auto"/>
              </w:rPr>
              <w:t>For the Period</w:t>
            </w:r>
          </w:p>
        </w:tc>
        <w:tc>
          <w:tcPr>
            <w:tcW w:w="120" w:type="dxa"/>
            <w:vAlign w:val="bottom"/>
          </w:tcPr>
          <w:p>
            <w:pPr>
              <w:spacing w:after="0"/>
              <w:rPr>
                <w:sz w:val="12"/>
                <w:szCs w:val="12"/>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63"/>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1040" w:type="dxa"/>
            <w:vAlign w:val="bottom"/>
            <w:tcBorders>
              <w:right w:val="single" w:sz="8" w:color="auto"/>
            </w:tcBorders>
            <w:gridSpan w:val="5"/>
            <w:vMerge w:val="restart"/>
          </w:tcPr>
          <w:p>
            <w:pPr>
              <w:ind w:left="60"/>
              <w:spacing w:after="0" w:line="132" w:lineRule="exact"/>
              <w:rPr>
                <w:sz w:val="20"/>
                <w:szCs w:val="20"/>
                <w:color w:val="auto"/>
              </w:rPr>
            </w:pPr>
            <w:r>
              <w:rPr>
                <w:rFonts w:ascii="Arial" w:cs="Arial" w:eastAsia="Arial" w:hAnsi="Arial"/>
                <w:sz w:val="12"/>
                <w:szCs w:val="12"/>
                <w:b w:val="1"/>
                <w:bCs w:val="1"/>
                <w:color w:val="auto"/>
              </w:rPr>
              <w:t>April 11, 2018 to</w:t>
            </w:r>
          </w:p>
        </w:tc>
        <w:tc>
          <w:tcPr>
            <w:tcW w:w="120" w:type="dxa"/>
            <w:vAlign w:val="bottom"/>
          </w:tcPr>
          <w:p>
            <w:pPr>
              <w:spacing w:after="0"/>
              <w:rPr>
                <w:sz w:val="5"/>
                <w:szCs w:val="5"/>
                <w:color w:val="auto"/>
              </w:rPr>
            </w:pPr>
          </w:p>
        </w:tc>
        <w:tc>
          <w:tcPr>
            <w:tcW w:w="860" w:type="dxa"/>
            <w:vAlign w:val="bottom"/>
            <w:gridSpan w:val="3"/>
            <w:vMerge w:val="restart"/>
          </w:tcPr>
          <w:p>
            <w:pPr>
              <w:jc w:val="center"/>
              <w:ind w:right="20"/>
              <w:spacing w:after="0" w:line="132" w:lineRule="exact"/>
              <w:rPr>
                <w:sz w:val="20"/>
                <w:szCs w:val="20"/>
                <w:color w:val="auto"/>
              </w:rPr>
            </w:pPr>
            <w:r>
              <w:rPr>
                <w:rFonts w:ascii="Arial" w:cs="Arial" w:eastAsia="Arial" w:hAnsi="Arial"/>
                <w:sz w:val="12"/>
                <w:szCs w:val="12"/>
                <w:b w:val="1"/>
                <w:bCs w:val="1"/>
                <w:color w:val="auto"/>
                <w:w w:val="80"/>
              </w:rPr>
              <w:t>January 1, 2018 to</w:t>
            </w:r>
          </w:p>
        </w:tc>
        <w:tc>
          <w:tcPr>
            <w:tcW w:w="0" w:type="dxa"/>
            <w:vAlign w:val="bottom"/>
          </w:tcPr>
          <w:p>
            <w:pPr>
              <w:spacing w:after="0"/>
              <w:rPr>
                <w:sz w:val="1"/>
                <w:szCs w:val="1"/>
                <w:color w:val="auto"/>
              </w:rPr>
            </w:pPr>
          </w:p>
        </w:tc>
      </w:tr>
      <w:tr>
        <w:trPr>
          <w:trHeight w:val="48"/>
        </w:trPr>
        <w:tc>
          <w:tcPr>
            <w:tcW w:w="28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right w:val="single" w:sz="8" w:color="auto"/>
            </w:tcBorders>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8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w w:val="83"/>
              </w:rPr>
              <w:t>December 31, 2018</w:t>
            </w:r>
          </w:p>
        </w:tc>
        <w:tc>
          <w:tcPr>
            <w:tcW w:w="100" w:type="dxa"/>
            <w:vAlign w:val="bottom"/>
            <w:tcBorders>
              <w:bottom w:val="single" w:sz="8" w:color="CCEEFF"/>
              <w:right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183"/>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359,232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688,833</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335,824</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172,897</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5,445</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12,551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49,107</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24,555</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401,486</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701,384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384,931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197,452</w:t>
            </w:r>
          </w:p>
        </w:tc>
        <w:tc>
          <w:tcPr>
            <w:tcW w:w="0" w:type="dxa"/>
            <w:vAlign w:val="bottom"/>
          </w:tcPr>
          <w:p>
            <w:pPr>
              <w:spacing w:after="0"/>
              <w:rPr>
                <w:sz w:val="1"/>
                <w:szCs w:val="1"/>
                <w:color w:val="auto"/>
              </w:rPr>
            </w:pPr>
          </w:p>
        </w:tc>
      </w:tr>
      <w:tr>
        <w:trPr>
          <w:trHeight w:val="266"/>
        </w:trPr>
        <w:tc>
          <w:tcPr>
            <w:tcW w:w="28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right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83,392</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165,666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119,553</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45,790</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141,641</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140,739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90,263</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36,964</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30,989</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49,908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36,831</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28,329</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27,416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35,286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15,491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9,508</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16,570</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35,388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17,180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10,854</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48,086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34,877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20,596</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41,719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23,828</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8,619</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31,256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44,400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25,977</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10,481</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(64,563)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7,092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(6,706)</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48,718</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68,187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40,877</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17,994</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384,101</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623,262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377,699</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171,336</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17,385</w:t>
            </w:r>
          </w:p>
        </w:tc>
        <w:tc>
          <w:tcPr>
            <w:tcW w:w="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78,122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7,232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26,116</w:t>
            </w:r>
          </w:p>
        </w:tc>
        <w:tc>
          <w:tcPr>
            <w:tcW w:w="0" w:type="dxa"/>
            <w:vAlign w:val="bottom"/>
          </w:tcPr>
          <w:p>
            <w:pPr>
              <w:spacing w:after="0"/>
              <w:rPr>
                <w:sz w:val="1"/>
                <w:szCs w:val="1"/>
                <w:color w:val="auto"/>
              </w:rPr>
            </w:pPr>
          </w:p>
        </w:tc>
      </w:tr>
      <w:tr>
        <w:trPr>
          <w:trHeight w:val="266"/>
        </w:trPr>
        <w:tc>
          <w:tcPr>
            <w:tcW w:w="28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right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377</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(22,073)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(17,170)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(1,729)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(1,636)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(22,067)</w:t>
            </w: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(17,962)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(7,438)</w:t>
            </w: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5"/>
                <w:szCs w:val="15"/>
                <w:color w:val="auto"/>
              </w:rPr>
              <w:t>Income / (Loss) before Income Tax</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60,160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Expense / (Benefit)</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5"/>
                <w:szCs w:val="15"/>
                <w:color w:val="auto"/>
              </w:rPr>
              <w:t>Net Income /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 (Loss) per share to common</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stockholders:</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0.99</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Shares used for computation: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46,773,038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47,909,413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 Forma Income Tax Expense</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6,036</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20"/>
                <w:szCs w:val="20"/>
                <w:color w:val="auto"/>
              </w:rPr>
            </w:pPr>
            <w:r>
              <w:rPr>
                <w:rFonts w:ascii="Arial" w:cs="Arial" w:eastAsia="Arial" w:hAnsi="Arial"/>
                <w:sz w:val="15"/>
                <w:szCs w:val="15"/>
                <w:color w:val="auto"/>
              </w:rPr>
              <w:t>Pro Forma Net Income</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19,874</w:t>
            </w: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 Forma Net Income per share–Basic</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and diluted</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20"/>
                <w:szCs w:val="20"/>
                <w:color w:val="auto"/>
              </w:rPr>
            </w:pPr>
            <w:r>
              <w:rPr>
                <w:rFonts w:ascii="Arial" w:cs="Arial" w:eastAsia="Arial" w:hAnsi="Arial"/>
                <w:sz w:val="15"/>
                <w:szCs w:val="15"/>
                <w:color w:val="auto"/>
              </w:rPr>
              <w:t>Pro Forma shares used for computation–</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-1896745</wp:posOffset>
            </wp:positionV>
            <wp:extent cx="3492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-2036445</wp:posOffset>
            </wp:positionV>
            <wp:extent cx="3492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-2036445</wp:posOffset>
            </wp:positionV>
            <wp:extent cx="20256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-2036445</wp:posOffset>
            </wp:positionV>
            <wp:extent cx="17462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-2036445</wp:posOffset>
            </wp:positionV>
            <wp:extent cx="2378710"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-2294890</wp:posOffset>
            </wp:positionV>
            <wp:extent cx="3492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-2294890</wp:posOffset>
            </wp:positionV>
            <wp:extent cx="20256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-2294890</wp:posOffset>
            </wp:positionV>
            <wp:extent cx="17462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-2294890</wp:posOffset>
            </wp:positionV>
            <wp:extent cx="237871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-2846070</wp:posOffset>
            </wp:positionV>
            <wp:extent cx="3492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-2846070</wp:posOffset>
            </wp:positionV>
            <wp:extent cx="202565"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-2846070</wp:posOffset>
            </wp:positionV>
            <wp:extent cx="174625"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-2846070</wp:posOffset>
            </wp:positionV>
            <wp:extent cx="2378710"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-2985135</wp:posOffset>
            </wp:positionV>
            <wp:extent cx="3492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-3124835</wp:posOffset>
            </wp:positionV>
            <wp:extent cx="3492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-3124835</wp:posOffset>
            </wp:positionV>
            <wp:extent cx="20256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-3124835</wp:posOffset>
            </wp:positionV>
            <wp:extent cx="17462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-3124835</wp:posOffset>
            </wp:positionV>
            <wp:extent cx="2378710"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-4505960</wp:posOffset>
            </wp:positionV>
            <wp:extent cx="3492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-4645660</wp:posOffset>
            </wp:positionV>
            <wp:extent cx="3492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-4645660</wp:posOffset>
            </wp:positionV>
            <wp:extent cx="20256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-4645660</wp:posOffset>
            </wp:positionV>
            <wp:extent cx="17462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-4645660</wp:posOffset>
            </wp:positionV>
            <wp:extent cx="2378710"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-5140960</wp:posOffset>
            </wp:positionV>
            <wp:extent cx="365569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65569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0" w:name="page201"/>
    <w:bookmarkEnd w:id="200"/>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80" w:type="dxa"/>
            <w:vAlign w:val="bottom"/>
          </w:tcPr>
          <w:p>
            <w:pPr>
              <w:ind w:left="20"/>
              <w:spacing w:after="0"/>
              <w:rPr>
                <w:sz w:val="20"/>
                <w:szCs w:val="20"/>
                <w:color w:val="auto"/>
              </w:rPr>
            </w:pPr>
            <w:r>
              <w:rPr>
                <w:rFonts w:ascii="Arial" w:cs="Arial" w:eastAsia="Arial" w:hAnsi="Arial"/>
                <w:sz w:val="12"/>
                <w:szCs w:val="12"/>
                <w:b w:val="1"/>
                <w:bCs w:val="1"/>
                <w:color w:val="auto"/>
              </w:rPr>
              <w:t>Year Ended December 31, 2018</w:t>
            </w:r>
          </w:p>
        </w:tc>
      </w:tr>
      <w:tr>
        <w:trPr>
          <w:trHeight w:val="21"/>
        </w:trPr>
        <w:tc>
          <w:tcPr>
            <w:tcW w:w="4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57"/>
        </w:trPr>
        <w:tc>
          <w:tcPr>
            <w:tcW w:w="4040" w:type="dxa"/>
            <w:vAlign w:val="bottom"/>
          </w:tcPr>
          <w:p>
            <w:pPr>
              <w:spacing w:after="0"/>
              <w:rPr>
                <w:sz w:val="20"/>
                <w:szCs w:val="20"/>
                <w:color w:val="auto"/>
              </w:rPr>
            </w:pPr>
            <w:r>
              <w:rPr>
                <w:rFonts w:ascii="Arial" w:cs="Arial" w:eastAsia="Arial" w:hAnsi="Arial"/>
                <w:sz w:val="12"/>
                <w:szCs w:val="12"/>
                <w:b w:val="1"/>
                <w:bCs w:val="1"/>
                <w:color w:val="auto"/>
              </w:rPr>
              <w:t>Predecessor</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w w:val="79"/>
              </w:rPr>
              <w:t>Shares</w:t>
            </w:r>
          </w:p>
        </w:tc>
        <w:tc>
          <w:tcPr>
            <w:tcW w:w="2080" w:type="dxa"/>
            <w:vAlign w:val="bottom"/>
          </w:tcPr>
          <w:p>
            <w:pPr>
              <w:ind w:left="520"/>
              <w:spacing w:after="0"/>
              <w:rPr>
                <w:sz w:val="20"/>
                <w:szCs w:val="20"/>
                <w:color w:val="auto"/>
              </w:rPr>
            </w:pPr>
            <w:r>
              <w:rPr>
                <w:rFonts w:ascii="Arial" w:cs="Arial" w:eastAsia="Arial" w:hAnsi="Arial"/>
                <w:sz w:val="12"/>
                <w:szCs w:val="12"/>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13335</wp:posOffset>
            </wp:positionV>
            <wp:extent cx="73977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13335</wp:posOffset>
            </wp:positionV>
            <wp:extent cx="111760"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13335</wp:posOffset>
            </wp:positionV>
            <wp:extent cx="111760"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2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January 1, 2018</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100,000,000</w:t>
            </w:r>
          </w:p>
        </w:tc>
        <w:tc>
          <w:tcPr>
            <w:tcW w:w="1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$ 34,422</w:t>
            </w:r>
          </w:p>
        </w:tc>
        <w:tc>
          <w:tcPr>
            <w:tcW w:w="1160" w:type="dxa"/>
            <w:vAlign w:val="bottom"/>
            <w:tcBorders>
              <w:top w:val="single" w:sz="8" w:color="CCEEFF"/>
            </w:tcBorders>
            <w:shd w:val="clear" w:color="auto" w:fill="CCEEFF"/>
          </w:tcPr>
          <w:p>
            <w:pPr>
              <w:spacing w:after="0"/>
              <w:rPr>
                <w:sz w:val="19"/>
                <w:szCs w:val="19"/>
                <w:color w:val="auto"/>
              </w:rPr>
            </w:pPr>
          </w:p>
        </w:tc>
      </w:tr>
      <w:tr>
        <w:trPr>
          <w:trHeight w:val="209"/>
        </w:trPr>
        <w:tc>
          <w:tcPr>
            <w:tcW w:w="4060" w:type="dxa"/>
            <w:vAlign w:val="bottom"/>
            <w:gridSpan w:val="3"/>
          </w:tcPr>
          <w:p>
            <w:pPr>
              <w:ind w:left="160"/>
              <w:spacing w:after="0"/>
              <w:rPr>
                <w:sz w:val="20"/>
                <w:szCs w:val="20"/>
                <w:color w:val="auto"/>
              </w:rPr>
            </w:pPr>
            <w:r>
              <w:rPr>
                <w:rFonts w:ascii="Arial" w:cs="Arial" w:eastAsia="Arial" w:hAnsi="Arial"/>
                <w:sz w:val="15"/>
                <w:szCs w:val="15"/>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25,910</w:t>
            </w:r>
          </w:p>
        </w:tc>
        <w:tc>
          <w:tcPr>
            <w:tcW w:w="1160" w:type="dxa"/>
            <w:vAlign w:val="bottom"/>
          </w:tcPr>
          <w:p>
            <w:pPr>
              <w:spacing w:after="0"/>
              <w:rPr>
                <w:sz w:val="18"/>
                <w:szCs w:val="18"/>
                <w:color w:val="auto"/>
              </w:rPr>
            </w:pPr>
          </w:p>
        </w:tc>
      </w:tr>
      <w:tr>
        <w:trPr>
          <w:trHeight w:val="214"/>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Distributions to Stockholder</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5"/>
                <w:szCs w:val="15"/>
                <w:color w:val="auto"/>
              </w:rPr>
              <w:t>(10,549)</w:t>
            </w:r>
          </w:p>
        </w:tc>
      </w:tr>
      <w:tr>
        <w:trPr>
          <w:trHeight w:val="216"/>
        </w:trPr>
        <w:tc>
          <w:tcPr>
            <w:tcW w:w="4060" w:type="dxa"/>
            <w:vAlign w:val="bottom"/>
            <w:tcBorders>
              <w:top w:val="single" w:sz="8" w:color="CCEEFF"/>
            </w:tcBorders>
            <w:gridSpan w:val="3"/>
          </w:tcPr>
          <w:p>
            <w:pPr>
              <w:spacing w:after="0"/>
              <w:rPr>
                <w:sz w:val="20"/>
                <w:szCs w:val="20"/>
                <w:color w:val="auto"/>
              </w:rPr>
            </w:pPr>
            <w:r>
              <w:rPr>
                <w:rFonts w:ascii="Arial" w:cs="Arial" w:eastAsia="Arial" w:hAnsi="Arial"/>
                <w:sz w:val="15"/>
                <w:szCs w:val="15"/>
                <w:color w:val="auto"/>
              </w:rPr>
              <w:t>April 10, 2018</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6"/>
              </w:rPr>
              <w:t>100,000,000</w:t>
            </w: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$ 49,783</w:t>
            </w:r>
          </w:p>
        </w:tc>
        <w:tc>
          <w:tcPr>
            <w:tcW w:w="1160" w:type="dxa"/>
            <w:vAlign w:val="bottom"/>
            <w:tcBorders>
              <w:top w:val="single" w:sz="8" w:color="CCEEFF"/>
            </w:tcBorders>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Successor</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80" w:type="dxa"/>
            <w:vAlign w:val="bottom"/>
            <w:tcBorders>
              <w:top w:val="single" w:sz="8" w:color="auto"/>
            </w:tcBorders>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ind w:right="230"/>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Loans to</w:t>
            </w:r>
          </w:p>
        </w:tc>
        <w:tc>
          <w:tcPr>
            <w:tcW w:w="4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49"/>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70"/>
              <w:spacing w:after="0"/>
              <w:rPr>
                <w:sz w:val="20"/>
                <w:szCs w:val="20"/>
                <w:color w:val="auto"/>
              </w:rPr>
            </w:pPr>
            <w:r>
              <w:rPr>
                <w:rFonts w:ascii="Arial" w:cs="Arial" w:eastAsia="Arial" w:hAnsi="Arial"/>
                <w:sz w:val="12"/>
                <w:szCs w:val="12"/>
                <w:b w:val="1"/>
                <w:bCs w:val="1"/>
                <w:color w:val="auto"/>
                <w:w w:val="77"/>
              </w:rPr>
              <w:t>Contribution</w:t>
            </w:r>
          </w:p>
        </w:tc>
        <w:tc>
          <w:tcPr>
            <w:tcW w:w="760" w:type="dxa"/>
            <w:vAlign w:val="bottom"/>
            <w:gridSpan w:val="3"/>
          </w:tcPr>
          <w:p>
            <w:pPr>
              <w:jc w:val="right"/>
              <w:ind w:right="67"/>
              <w:spacing w:after="0"/>
              <w:rPr>
                <w:sz w:val="20"/>
                <w:szCs w:val="20"/>
                <w:color w:val="auto"/>
              </w:rPr>
            </w:pPr>
            <w:r>
              <w:rPr>
                <w:rFonts w:ascii="Arial" w:cs="Arial" w:eastAsia="Arial" w:hAnsi="Arial"/>
                <w:sz w:val="12"/>
                <w:szCs w:val="12"/>
                <w:b w:val="1"/>
                <w:bCs w:val="1"/>
                <w:color w:val="auto"/>
                <w:w w:val="78"/>
              </w:rPr>
              <w:t>Stockholders</w:t>
            </w:r>
          </w:p>
        </w:tc>
        <w:tc>
          <w:tcPr>
            <w:tcW w:w="420" w:type="dxa"/>
            <w:vAlign w:val="bottom"/>
          </w:tcPr>
          <w:p>
            <w:pPr>
              <w:jc w:val="right"/>
              <w:ind w:right="70"/>
              <w:spacing w:after="0"/>
              <w:rPr>
                <w:sz w:val="20"/>
                <w:szCs w:val="20"/>
                <w:color w:val="auto"/>
              </w:rPr>
            </w:pPr>
            <w:r>
              <w:rPr>
                <w:rFonts w:ascii="Arial" w:cs="Arial" w:eastAsia="Arial" w:hAnsi="Arial"/>
                <w:sz w:val="12"/>
                <w:szCs w:val="12"/>
                <w:b w:val="1"/>
                <w:bCs w:val="1"/>
                <w:color w:val="auto"/>
                <w:w w:val="90"/>
              </w:rPr>
              <w:t>APIC</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Capital Purchase on April 11,</w:t>
            </w: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2018–Warrants</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40,005,885</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w w:val="83"/>
              </w:rPr>
              <w:t>$165,711</w:t>
            </w:r>
          </w:p>
        </w:tc>
        <w:tc>
          <w:tcPr>
            <w:tcW w:w="16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 —</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165,711</w:t>
            </w:r>
          </w:p>
        </w:tc>
        <w:tc>
          <w:tcPr>
            <w:tcW w:w="60" w:type="dxa"/>
            <w:vAlign w:val="bottom"/>
          </w:tcPr>
          <w:p>
            <w:pPr>
              <w:spacing w:after="0"/>
              <w:rPr>
                <w:sz w:val="17"/>
                <w:szCs w:val="17"/>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Capital Purchase on April 11,</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2018–Shares</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w w:val="83"/>
              </w:rPr>
              <w:t>5,326,755</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22,064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22,064</w:t>
            </w:r>
          </w:p>
        </w:tc>
        <w:tc>
          <w:tcPr>
            <w:tcW w:w="60" w:type="dxa"/>
            <w:vAlign w:val="bottom"/>
          </w:tcPr>
          <w:p>
            <w:pPr>
              <w:spacing w:after="0"/>
              <w:rPr>
                <w:sz w:val="16"/>
                <w:szCs w:val="16"/>
                <w:color w:val="auto"/>
              </w:rPr>
            </w:pPr>
          </w:p>
        </w:tc>
      </w:tr>
      <w:tr>
        <w:trPr>
          <w:trHeight w:val="193"/>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Additional Capital</w:t>
            </w:r>
          </w:p>
        </w:tc>
        <w:tc>
          <w:tcPr>
            <w:tcW w:w="7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Contribution</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43,866</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43,866</w:t>
            </w:r>
          </w:p>
        </w:tc>
        <w:tc>
          <w:tcPr>
            <w:tcW w:w="60" w:type="dxa"/>
            <w:vAlign w:val="bottom"/>
          </w:tcPr>
          <w:p>
            <w:pPr>
              <w:spacing w:after="0"/>
              <w:rPr>
                <w:sz w:val="17"/>
                <w:szCs w:val="17"/>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Stockholders Capital</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Contribution</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w w:val="83"/>
              </w:rPr>
              <w:t>1,416,645</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7,500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07"/>
              <w:spacing w:after="0"/>
              <w:rPr>
                <w:sz w:val="20"/>
                <w:szCs w:val="20"/>
                <w:color w:val="auto"/>
              </w:rPr>
            </w:pPr>
            <w:r>
              <w:rPr>
                <w:rFonts w:ascii="Arial" w:cs="Arial" w:eastAsia="Arial" w:hAnsi="Arial"/>
                <w:sz w:val="15"/>
                <w:szCs w:val="15"/>
                <w:color w:val="auto"/>
                <w:w w:val="84"/>
              </w:rPr>
              <w:t>(3,500)</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4,000</w:t>
            </w:r>
          </w:p>
        </w:tc>
        <w:tc>
          <w:tcPr>
            <w:tcW w:w="60" w:type="dxa"/>
            <w:vAlign w:val="bottom"/>
          </w:tcPr>
          <w:p>
            <w:pPr>
              <w:spacing w:after="0"/>
              <w:rPr>
                <w:sz w:val="16"/>
                <w:szCs w:val="16"/>
                <w:color w:val="auto"/>
              </w:rPr>
            </w:pPr>
          </w:p>
        </w:tc>
      </w:tr>
      <w:tr>
        <w:trPr>
          <w:trHeight w:val="214"/>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85"/>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60" w:type="dxa"/>
            <w:vAlign w:val="bottom"/>
          </w:tcPr>
          <w:p>
            <w:pPr>
              <w:spacing w:after="0"/>
              <w:rPr>
                <w:sz w:val="18"/>
                <w:szCs w:val="18"/>
                <w:color w:val="auto"/>
              </w:rPr>
            </w:pPr>
          </w:p>
        </w:tc>
      </w:tr>
      <w:tr>
        <w:trPr>
          <w:trHeight w:val="214"/>
        </w:trPr>
        <w:tc>
          <w:tcPr>
            <w:tcW w:w="2120" w:type="dxa"/>
            <w:vAlign w:val="bottom"/>
            <w:gridSpan w:val="2"/>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373</w:t>
            </w:r>
          </w:p>
        </w:tc>
        <w:tc>
          <w:tcPr>
            <w:tcW w:w="120" w:type="dxa"/>
            <w:vAlign w:val="bottom"/>
          </w:tcPr>
          <w:p>
            <w:pPr>
              <w:spacing w:after="0"/>
              <w:rPr>
                <w:sz w:val="18"/>
                <w:szCs w:val="18"/>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373</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40,005,885</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w w:val="83"/>
              </w:rPr>
              <w:t>6,743,400</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w w:val="83"/>
              </w:rPr>
              <w:t>$239,141</w:t>
            </w:r>
          </w:p>
        </w:tc>
        <w:tc>
          <w:tcPr>
            <w:tcW w:w="760" w:type="dxa"/>
            <w:vAlign w:val="bottom"/>
            <w:tcBorders>
              <w:left w:val="single" w:sz="8" w:color="CCEEFF"/>
              <w:right w:val="single" w:sz="8" w:color="CCEEFF"/>
            </w:tcBorders>
            <w:gridSpan w:val="3"/>
            <w:shd w:val="clear" w:color="auto" w:fill="CCEEFF"/>
          </w:tcPr>
          <w:p>
            <w:pPr>
              <w:jc w:val="right"/>
              <w:ind w:right="107"/>
              <w:spacing w:after="0"/>
              <w:rPr>
                <w:sz w:val="20"/>
                <w:szCs w:val="20"/>
                <w:color w:val="auto"/>
              </w:rPr>
            </w:pPr>
            <w:r>
              <w:rPr>
                <w:rFonts w:ascii="Arial" w:cs="Arial" w:eastAsia="Arial" w:hAnsi="Arial"/>
                <w:sz w:val="15"/>
                <w:szCs w:val="15"/>
                <w:color w:val="auto"/>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w w:val="83"/>
              </w:rPr>
              <w:t>$373</w:t>
            </w:r>
          </w:p>
        </w:tc>
        <w:tc>
          <w:tcPr>
            <w:tcW w:w="560" w:type="dxa"/>
            <w:vAlign w:val="bottom"/>
            <w:tcBorders>
              <w:left w:val="single" w:sz="8" w:color="CCEEFF"/>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96"/>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235,647</w:t>
            </w:r>
          </w:p>
        </w:tc>
        <w:tc>
          <w:tcPr>
            <w:tcW w:w="60" w:type="dxa"/>
            <w:vAlign w:val="bottom"/>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6"/>
                <w:szCs w:val="6"/>
                <w:b w:val="1"/>
                <w:bCs w:val="1"/>
                <w:color w:val="auto"/>
                <w:w w:val="74"/>
              </w:rPr>
              <w:t>2019</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ind w:right="270"/>
              <w:spacing w:after="0"/>
              <w:rPr>
                <w:sz w:val="20"/>
                <w:szCs w:val="20"/>
                <w:color w:val="auto"/>
              </w:rPr>
            </w:pPr>
            <w:r>
              <w:rPr>
                <w:rFonts w:ascii="Arial" w:cs="Arial" w:eastAsia="Arial" w:hAnsi="Arial"/>
                <w:sz w:val="12"/>
                <w:szCs w:val="12"/>
                <w:b w:val="1"/>
                <w:bCs w:val="1"/>
                <w:color w:val="auto"/>
                <w:w w:val="89"/>
              </w:rPr>
              <w:t>Capital</w:t>
            </w:r>
          </w:p>
        </w:tc>
        <w:tc>
          <w:tcPr>
            <w:tcW w:w="760" w:type="dxa"/>
            <w:vAlign w:val="bottom"/>
            <w:gridSpan w:val="3"/>
          </w:tcPr>
          <w:p>
            <w:pPr>
              <w:jc w:val="right"/>
              <w:ind w:right="267"/>
              <w:spacing w:after="0"/>
              <w:rPr>
                <w:sz w:val="20"/>
                <w:szCs w:val="20"/>
                <w:color w:val="auto"/>
              </w:rPr>
            </w:pPr>
            <w:r>
              <w:rPr>
                <w:rFonts w:ascii="Arial" w:cs="Arial" w:eastAsia="Arial" w:hAnsi="Arial"/>
                <w:sz w:val="12"/>
                <w:szCs w:val="12"/>
                <w:b w:val="1"/>
                <w:bCs w:val="1"/>
                <w:color w:val="auto"/>
                <w:w w:val="79"/>
              </w:rPr>
              <w:t>Loans to</w:t>
            </w:r>
          </w:p>
        </w:tc>
        <w:tc>
          <w:tcPr>
            <w:tcW w:w="4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69"/>
              <w:spacing w:after="0"/>
              <w:rPr>
                <w:sz w:val="20"/>
                <w:szCs w:val="20"/>
                <w:color w:val="auto"/>
              </w:rPr>
            </w:pPr>
            <w:r>
              <w:rPr>
                <w:rFonts w:ascii="Arial" w:cs="Arial" w:eastAsia="Arial" w:hAnsi="Arial"/>
                <w:sz w:val="12"/>
                <w:szCs w:val="12"/>
                <w:b w:val="1"/>
                <w:bCs w:val="1"/>
                <w:color w:val="auto"/>
                <w:w w:val="99"/>
              </w:rPr>
              <w:t>Shares</w:t>
            </w:r>
          </w:p>
        </w:tc>
        <w:tc>
          <w:tcPr>
            <w:tcW w:w="720" w:type="dxa"/>
            <w:vAlign w:val="bottom"/>
          </w:tcPr>
          <w:p>
            <w:pPr>
              <w:jc w:val="right"/>
              <w:ind w:right="130"/>
              <w:spacing w:after="0"/>
              <w:rPr>
                <w:sz w:val="20"/>
                <w:szCs w:val="20"/>
                <w:color w:val="auto"/>
              </w:rPr>
            </w:pPr>
            <w:r>
              <w:rPr>
                <w:rFonts w:ascii="Arial" w:cs="Arial" w:eastAsia="Arial" w:hAnsi="Arial"/>
                <w:sz w:val="11"/>
                <w:szCs w:val="11"/>
                <w:b w:val="1"/>
                <w:bCs w:val="1"/>
                <w:color w:val="auto"/>
                <w:w w:val="75"/>
              </w:rPr>
              <w:t>Contribution</w:t>
            </w:r>
          </w:p>
        </w:tc>
        <w:tc>
          <w:tcPr>
            <w:tcW w:w="760" w:type="dxa"/>
            <w:vAlign w:val="bottom"/>
            <w:gridSpan w:val="3"/>
          </w:tcPr>
          <w:p>
            <w:pPr>
              <w:jc w:val="right"/>
              <w:ind w:right="147"/>
              <w:spacing w:after="0"/>
              <w:rPr>
                <w:sz w:val="20"/>
                <w:szCs w:val="20"/>
                <w:color w:val="auto"/>
              </w:rPr>
            </w:pPr>
            <w:r>
              <w:rPr>
                <w:rFonts w:ascii="Arial" w:cs="Arial" w:eastAsia="Arial" w:hAnsi="Arial"/>
                <w:sz w:val="11"/>
                <w:szCs w:val="11"/>
                <w:b w:val="1"/>
                <w:bCs w:val="1"/>
                <w:color w:val="auto"/>
                <w:w w:val="74"/>
              </w:rPr>
              <w:t>Stockholders</w:t>
            </w:r>
          </w:p>
        </w:tc>
        <w:tc>
          <w:tcPr>
            <w:tcW w:w="420" w:type="dxa"/>
            <w:vAlign w:val="bottom"/>
          </w:tcPr>
          <w:p>
            <w:pPr>
              <w:jc w:val="right"/>
              <w:ind w:right="110"/>
              <w:spacing w:after="0"/>
              <w:rPr>
                <w:sz w:val="20"/>
                <w:szCs w:val="20"/>
                <w:color w:val="auto"/>
              </w:rPr>
            </w:pPr>
            <w:r>
              <w:rPr>
                <w:rFonts w:ascii="Arial" w:cs="Arial" w:eastAsia="Arial" w:hAnsi="Arial"/>
                <w:sz w:val="12"/>
                <w:szCs w:val="12"/>
                <w:b w:val="1"/>
                <w:bCs w:val="1"/>
                <w:color w:val="auto"/>
                <w:w w:val="76"/>
              </w:rPr>
              <w:t>APIC</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2"/>
              </w:rPr>
              <w:t>40,005,885</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w w:val="80"/>
              </w:rPr>
              <w:t>6,743,400</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w w:val="73"/>
              </w:rPr>
              <w:t>$239,141</w:t>
            </w:r>
          </w:p>
        </w:tc>
        <w:tc>
          <w:tcPr>
            <w:tcW w:w="760" w:type="dxa"/>
            <w:vAlign w:val="bottom"/>
            <w:tcBorders>
              <w:left w:val="single" w:sz="8" w:color="CCEEFF"/>
              <w:right w:val="single" w:sz="8" w:color="CCEEFF"/>
            </w:tcBorders>
            <w:gridSpan w:val="3"/>
            <w:shd w:val="clear" w:color="auto" w:fill="CCEEFF"/>
          </w:tcPr>
          <w:p>
            <w:pPr>
              <w:jc w:val="right"/>
              <w:ind w:right="187"/>
              <w:spacing w:after="0"/>
              <w:rPr>
                <w:sz w:val="20"/>
                <w:szCs w:val="20"/>
                <w:color w:val="auto"/>
              </w:rPr>
            </w:pPr>
            <w:r>
              <w:rPr>
                <w:rFonts w:ascii="Arial" w:cs="Arial" w:eastAsia="Arial" w:hAnsi="Arial"/>
                <w:sz w:val="15"/>
                <w:szCs w:val="15"/>
                <w:color w:val="auto"/>
                <w:w w:val="85"/>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1"/>
              </w:rPr>
              <w:t>$  373</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235,647</w:t>
            </w:r>
          </w:p>
        </w:tc>
        <w:tc>
          <w:tcPr>
            <w:tcW w:w="60" w:type="dxa"/>
            <w:vAlign w:val="bottom"/>
          </w:tcPr>
          <w:p>
            <w:pPr>
              <w:spacing w:after="0"/>
              <w:rPr>
                <w:sz w:val="17"/>
                <w:szCs w:val="17"/>
                <w:color w:val="auto"/>
              </w:rPr>
            </w:pPr>
          </w:p>
        </w:tc>
      </w:tr>
      <w:tr>
        <w:trPr>
          <w:trHeight w:val="184"/>
        </w:trPr>
        <w:tc>
          <w:tcPr>
            <w:tcW w:w="212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Cumulative Effect of New</w:t>
            </w: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Revenue Standard</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(3,477)</w:t>
            </w:r>
          </w:p>
        </w:tc>
        <w:tc>
          <w:tcPr>
            <w:tcW w:w="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(3,477)</w:t>
            </w:r>
          </w:p>
        </w:tc>
      </w:tr>
      <w:tr>
        <w:trPr>
          <w:trHeight w:val="193"/>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Shares Granted to</w:t>
            </w:r>
          </w:p>
        </w:tc>
        <w:tc>
          <w:tcPr>
            <w:tcW w:w="7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Stockholders</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rPr>
              <w:t>56,665</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r>
      <w:tr>
        <w:trPr>
          <w:trHeight w:val="209"/>
        </w:trPr>
        <w:tc>
          <w:tcPr>
            <w:tcW w:w="212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7"/>
              <w:spacing w:after="0"/>
              <w:rPr>
                <w:sz w:val="20"/>
                <w:szCs w:val="20"/>
                <w:color w:val="auto"/>
              </w:rPr>
            </w:pPr>
            <w:r>
              <w:rPr>
                <w:rFonts w:ascii="Arial" w:cs="Arial" w:eastAsia="Arial" w:hAnsi="Arial"/>
                <w:sz w:val="15"/>
                <w:szCs w:val="15"/>
                <w:color w:val="auto"/>
                <w:w w:val="95"/>
              </w:rPr>
              <w:t>46,072</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46,072</w:t>
            </w:r>
          </w:p>
        </w:tc>
        <w:tc>
          <w:tcPr>
            <w:tcW w:w="60" w:type="dxa"/>
            <w:vAlign w:val="bottom"/>
          </w:tcPr>
          <w:p>
            <w:pPr>
              <w:spacing w:after="0"/>
              <w:rPr>
                <w:sz w:val="18"/>
                <w:szCs w:val="18"/>
                <w:color w:val="auto"/>
              </w:rPr>
            </w:pPr>
          </w:p>
        </w:tc>
      </w:tr>
      <w:tr>
        <w:trPr>
          <w:trHeight w:val="209"/>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Amazon Warrants</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w w:val="74"/>
              </w:rPr>
              <w:t>3,594</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3,594</w:t>
            </w:r>
          </w:p>
        </w:tc>
        <w:tc>
          <w:tcPr>
            <w:tcW w:w="60" w:type="dxa"/>
            <w:vAlign w:val="bottom"/>
          </w:tcPr>
          <w:p>
            <w:pPr>
              <w:spacing w:after="0"/>
              <w:rPr>
                <w:sz w:val="18"/>
                <w:szCs w:val="18"/>
                <w:color w:val="auto"/>
              </w:rPr>
            </w:pPr>
          </w:p>
        </w:tc>
      </w:tr>
      <w:tr>
        <w:trPr>
          <w:trHeight w:val="214"/>
        </w:trPr>
        <w:tc>
          <w:tcPr>
            <w:tcW w:w="2120" w:type="dxa"/>
            <w:vAlign w:val="bottom"/>
            <w:gridSpan w:val="2"/>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w w:val="74"/>
              </w:rPr>
              <w:t>1,888</w:t>
            </w:r>
          </w:p>
        </w:tc>
        <w:tc>
          <w:tcPr>
            <w:tcW w:w="120" w:type="dxa"/>
            <w:vAlign w:val="bottom"/>
          </w:tcPr>
          <w:p>
            <w:pPr>
              <w:spacing w:after="0"/>
              <w:rPr>
                <w:sz w:val="18"/>
                <w:szCs w:val="18"/>
                <w:color w:val="auto"/>
              </w:rPr>
            </w:pPr>
          </w:p>
        </w:tc>
        <w:tc>
          <w:tcPr>
            <w:tcW w:w="4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1,888</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2"/>
              </w:rPr>
              <w:t>40,005,885</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w w:val="80"/>
              </w:rPr>
              <w:t>6,800,065</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w w:val="73"/>
              </w:rPr>
              <w:t>$239,141</w:t>
            </w:r>
          </w:p>
        </w:tc>
        <w:tc>
          <w:tcPr>
            <w:tcW w:w="760" w:type="dxa"/>
            <w:vAlign w:val="bottom"/>
            <w:tcBorders>
              <w:left w:val="single" w:sz="8" w:color="CCEEFF"/>
              <w:right w:val="single" w:sz="8" w:color="CCEEFF"/>
            </w:tcBorders>
            <w:gridSpan w:val="3"/>
            <w:shd w:val="clear" w:color="auto" w:fill="CCEEFF"/>
          </w:tcPr>
          <w:p>
            <w:pPr>
              <w:jc w:val="right"/>
              <w:ind w:right="187"/>
              <w:spacing w:after="0"/>
              <w:rPr>
                <w:sz w:val="20"/>
                <w:szCs w:val="20"/>
                <w:color w:val="auto"/>
              </w:rPr>
            </w:pPr>
            <w:r>
              <w:rPr>
                <w:rFonts w:ascii="Arial" w:cs="Arial" w:eastAsia="Arial" w:hAnsi="Arial"/>
                <w:sz w:val="15"/>
                <w:szCs w:val="15"/>
                <w:color w:val="auto"/>
                <w:w w:val="85"/>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3"/>
                <w:szCs w:val="13"/>
                <w:color w:val="auto"/>
                <w:w w:val="70"/>
              </w:rPr>
              <w:t>$5,855</w:t>
            </w:r>
          </w:p>
        </w:tc>
        <w:tc>
          <w:tcPr>
            <w:tcW w:w="560" w:type="dxa"/>
            <w:vAlign w:val="bottom"/>
            <w:tcBorders>
              <w:left w:val="single" w:sz="8" w:color="CCEEFF"/>
              <w:right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81"/>
              </w:rPr>
              <w:t>$42,228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283,724</w:t>
            </w:r>
          </w:p>
        </w:tc>
        <w:tc>
          <w:tcPr>
            <w:tcW w:w="60" w:type="dxa"/>
            <w:vAlign w:val="bottom"/>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6"/>
                <w:szCs w:val="6"/>
                <w:b w:val="1"/>
                <w:bCs w:val="1"/>
                <w:color w:val="auto"/>
                <w:w w:val="74"/>
              </w:rPr>
              <w:t>2020</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ind w:right="210"/>
              <w:spacing w:after="0"/>
              <w:rPr>
                <w:sz w:val="20"/>
                <w:szCs w:val="20"/>
                <w:color w:val="auto"/>
              </w:rPr>
            </w:pPr>
            <w:r>
              <w:rPr>
                <w:rFonts w:ascii="Arial" w:cs="Arial" w:eastAsia="Arial" w:hAnsi="Arial"/>
                <w:sz w:val="12"/>
                <w:szCs w:val="12"/>
                <w:b w:val="1"/>
                <w:bCs w:val="1"/>
                <w:color w:val="auto"/>
              </w:rPr>
              <w:t>Capital</w:t>
            </w:r>
          </w:p>
        </w:tc>
        <w:tc>
          <w:tcPr>
            <w:tcW w:w="760" w:type="dxa"/>
            <w:vAlign w:val="bottom"/>
            <w:gridSpan w:val="3"/>
          </w:tcPr>
          <w:p>
            <w:pPr>
              <w:jc w:val="right"/>
              <w:ind w:right="207"/>
              <w:spacing w:after="0"/>
              <w:rPr>
                <w:sz w:val="20"/>
                <w:szCs w:val="20"/>
                <w:color w:val="auto"/>
              </w:rPr>
            </w:pPr>
            <w:r>
              <w:rPr>
                <w:rFonts w:ascii="Arial" w:cs="Arial" w:eastAsia="Arial" w:hAnsi="Arial"/>
                <w:sz w:val="12"/>
                <w:szCs w:val="12"/>
                <w:b w:val="1"/>
                <w:bCs w:val="1"/>
                <w:color w:val="auto"/>
                <w:w w:val="91"/>
              </w:rPr>
              <w:t>Loans to</w:t>
            </w:r>
          </w:p>
        </w:tc>
        <w:tc>
          <w:tcPr>
            <w:tcW w:w="4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09"/>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50"/>
              <w:spacing w:after="0"/>
              <w:rPr>
                <w:sz w:val="20"/>
                <w:szCs w:val="20"/>
                <w:color w:val="auto"/>
              </w:rPr>
            </w:pPr>
            <w:r>
              <w:rPr>
                <w:rFonts w:ascii="Arial" w:cs="Arial" w:eastAsia="Arial" w:hAnsi="Arial"/>
                <w:sz w:val="12"/>
                <w:szCs w:val="12"/>
                <w:b w:val="1"/>
                <w:bCs w:val="1"/>
                <w:color w:val="auto"/>
                <w:w w:val="80"/>
              </w:rPr>
              <w:t>Contribution</w:t>
            </w:r>
          </w:p>
        </w:tc>
        <w:tc>
          <w:tcPr>
            <w:tcW w:w="76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w w:val="76"/>
              </w:rPr>
              <w:t>Stockholders</w:t>
            </w:r>
          </w:p>
        </w:tc>
        <w:tc>
          <w:tcPr>
            <w:tcW w:w="420" w:type="dxa"/>
            <w:vAlign w:val="bottom"/>
          </w:tcPr>
          <w:p>
            <w:pPr>
              <w:jc w:val="right"/>
              <w:ind w:right="90"/>
              <w:spacing w:after="0"/>
              <w:rPr>
                <w:sz w:val="20"/>
                <w:szCs w:val="20"/>
                <w:color w:val="auto"/>
              </w:rPr>
            </w:pPr>
            <w:r>
              <w:rPr>
                <w:rFonts w:ascii="Arial" w:cs="Arial" w:eastAsia="Arial" w:hAnsi="Arial"/>
                <w:sz w:val="12"/>
                <w:szCs w:val="12"/>
                <w:b w:val="1"/>
                <w:bCs w:val="1"/>
                <w:color w:val="auto"/>
                <w:w w:val="83"/>
              </w:rPr>
              <w:t>APIC</w:t>
            </w:r>
          </w:p>
        </w:tc>
        <w:tc>
          <w:tcPr>
            <w:tcW w:w="560" w:type="dxa"/>
            <w:vAlign w:val="bottom"/>
            <w:gridSpan w:val="2"/>
          </w:tcPr>
          <w:p>
            <w:pPr>
              <w:jc w:val="right"/>
              <w:ind w:right="47"/>
              <w:spacing w:after="0"/>
              <w:rPr>
                <w:sz w:val="20"/>
                <w:szCs w:val="20"/>
                <w:color w:val="auto"/>
              </w:rPr>
            </w:pPr>
            <w:r>
              <w:rPr>
                <w:rFonts w:ascii="Arial" w:cs="Arial" w:eastAsia="Arial" w:hAnsi="Arial"/>
                <w:sz w:val="12"/>
                <w:szCs w:val="12"/>
                <w:b w:val="1"/>
                <w:bCs w:val="1"/>
                <w:color w:val="auto"/>
                <w:w w:val="81"/>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90"/>
              </w:rPr>
              <w:t>40,005,885</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w w:val="95"/>
              </w:rPr>
              <w:t>6,800,065</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w w:val="86"/>
              </w:rPr>
              <w:t>$239,141</w:t>
            </w:r>
          </w:p>
        </w:tc>
        <w:tc>
          <w:tcPr>
            <w:tcW w:w="760" w:type="dxa"/>
            <w:vAlign w:val="bottom"/>
            <w:tcBorders>
              <w:left w:val="single" w:sz="8" w:color="CCEEFF"/>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w w:val="96"/>
              </w:rPr>
              <w:t>$(3,500)</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4"/>
              </w:rPr>
              <w:t>$5,855</w:t>
            </w:r>
          </w:p>
        </w:tc>
        <w:tc>
          <w:tcPr>
            <w:tcW w:w="560" w:type="dxa"/>
            <w:vAlign w:val="bottom"/>
            <w:tcBorders>
              <w:left w:val="single" w:sz="8" w:color="CCEEFF"/>
              <w:right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84"/>
              </w:rPr>
              <w:t>$42,228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283,724</w:t>
            </w:r>
          </w:p>
        </w:tc>
        <w:tc>
          <w:tcPr>
            <w:tcW w:w="60" w:type="dxa"/>
            <w:vAlign w:val="bottom"/>
          </w:tcPr>
          <w:p>
            <w:pPr>
              <w:spacing w:after="0"/>
              <w:rPr>
                <w:sz w:val="17"/>
                <w:szCs w:val="17"/>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120" w:type="dxa"/>
            <w:vAlign w:val="bottom"/>
            <w:gridSpan w:val="2"/>
          </w:tcPr>
          <w:p>
            <w:pPr>
              <w:spacing w:after="0"/>
              <w:rPr>
                <w:sz w:val="20"/>
                <w:szCs w:val="20"/>
                <w:color w:val="auto"/>
              </w:rPr>
            </w:pPr>
            <w:r>
              <w:rPr>
                <w:rFonts w:ascii="Arial" w:cs="Arial" w:eastAsia="Arial" w:hAnsi="Arial"/>
                <w:sz w:val="15"/>
                <w:szCs w:val="15"/>
                <w:color w:val="auto"/>
              </w:rPr>
              <w:t>Exercise of Apollo Warrants</w:t>
            </w:r>
          </w:p>
        </w:tc>
        <w:tc>
          <w:tcPr>
            <w:tcW w:w="1540" w:type="dxa"/>
            <w:vAlign w:val="bottom"/>
            <w:gridSpan w:val="2"/>
          </w:tcPr>
          <w:p>
            <w:pPr>
              <w:jc w:val="right"/>
              <w:ind w:right="29"/>
              <w:spacing w:after="0"/>
              <w:rPr>
                <w:sz w:val="20"/>
                <w:szCs w:val="20"/>
                <w:color w:val="auto"/>
              </w:rPr>
            </w:pPr>
            <w:r>
              <w:rPr>
                <w:rFonts w:ascii="Arial" w:cs="Arial" w:eastAsia="Arial" w:hAnsi="Arial"/>
                <w:sz w:val="15"/>
                <w:szCs w:val="15"/>
                <w:color w:val="auto"/>
                <w:w w:val="86"/>
              </w:rPr>
              <w:t>(40,005,885) 40,005,885</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4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21</w:t>
            </w:r>
          </w:p>
        </w:tc>
        <w:tc>
          <w:tcPr>
            <w:tcW w:w="60" w:type="dxa"/>
            <w:vAlign w:val="bottom"/>
          </w:tcPr>
          <w:p>
            <w:pPr>
              <w:spacing w:after="0"/>
              <w:rPr>
                <w:sz w:val="15"/>
                <w:szCs w:val="15"/>
                <w:color w:val="auto"/>
              </w:rPr>
            </w:pPr>
          </w:p>
        </w:tc>
      </w:tr>
      <w:tr>
        <w:trPr>
          <w:trHeight w:val="187"/>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Income (Loss) .</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56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(3,904)</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(3,904)</w:t>
            </w:r>
          </w:p>
        </w:tc>
        <w:tc>
          <w:tcPr>
            <w:tcW w:w="60" w:type="dxa"/>
            <w:vAlign w:val="bottom"/>
          </w:tcPr>
          <w:p>
            <w:pPr>
              <w:spacing w:after="0"/>
              <w:rPr>
                <w:sz w:val="16"/>
                <w:szCs w:val="16"/>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Amazon Warrants .</w:t>
            </w: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
              <w:spacing w:after="0"/>
              <w:rPr>
                <w:sz w:val="20"/>
                <w:szCs w:val="20"/>
                <w:color w:val="auto"/>
              </w:rPr>
            </w:pPr>
            <w:r>
              <w:rPr>
                <w:rFonts w:ascii="Arial" w:cs="Arial" w:eastAsia="Arial" w:hAnsi="Arial"/>
                <w:sz w:val="15"/>
                <w:szCs w:val="15"/>
                <w:color w:val="auto"/>
                <w:w w:val="85"/>
              </w:rPr>
              <w:t>1,866</w:t>
            </w:r>
          </w:p>
        </w:tc>
        <w:tc>
          <w:tcPr>
            <w:tcW w:w="120" w:type="dxa"/>
            <w:vAlign w:val="bottom"/>
          </w:tcPr>
          <w:p>
            <w:pPr>
              <w:spacing w:after="0"/>
              <w:rPr>
                <w:sz w:val="16"/>
                <w:szCs w:val="16"/>
                <w:color w:val="auto"/>
              </w:rPr>
            </w:pPr>
          </w:p>
        </w:tc>
        <w:tc>
          <w:tcPr>
            <w:tcW w:w="4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1,866</w:t>
            </w:r>
          </w:p>
        </w:tc>
        <w:tc>
          <w:tcPr>
            <w:tcW w:w="60" w:type="dxa"/>
            <w:vAlign w:val="bottom"/>
          </w:tcPr>
          <w:p>
            <w:pPr>
              <w:spacing w:after="0"/>
              <w:rPr>
                <w:sz w:val="16"/>
                <w:szCs w:val="16"/>
                <w:color w:val="auto"/>
              </w:rPr>
            </w:pPr>
          </w:p>
        </w:tc>
      </w:tr>
      <w:tr>
        <w:trPr>
          <w:trHeight w:val="214"/>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33,709</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w w:val="85"/>
              </w:rPr>
              <w:t>2,110</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2,110</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left w:val="single" w:sz="8" w:color="CCEEFF"/>
              <w:righ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2120" w:type="dxa"/>
            <w:vAlign w:val="bottom"/>
            <w:gridSpan w:val="2"/>
          </w:tcPr>
          <w:p>
            <w:pPr>
              <w:spacing w:after="0"/>
              <w:rPr>
                <w:sz w:val="20"/>
                <w:szCs w:val="20"/>
                <w:color w:val="auto"/>
              </w:rPr>
            </w:pPr>
            <w:r>
              <w:rPr>
                <w:rFonts w:ascii="Arial" w:cs="Arial" w:eastAsia="Arial" w:hAnsi="Arial"/>
                <w:sz w:val="15"/>
                <w:szCs w:val="15"/>
                <w:color w:val="auto"/>
              </w:rPr>
              <w:t>December 31, 2020</w:t>
            </w: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9"/>
              <w:spacing w:after="0"/>
              <w:rPr>
                <w:sz w:val="20"/>
                <w:szCs w:val="20"/>
                <w:color w:val="auto"/>
              </w:rPr>
            </w:pPr>
            <w:r>
              <w:rPr>
                <w:rFonts w:ascii="Arial" w:cs="Arial" w:eastAsia="Arial" w:hAnsi="Arial"/>
                <w:sz w:val="15"/>
                <w:szCs w:val="15"/>
                <w:color w:val="auto"/>
                <w:w w:val="85"/>
              </w:rPr>
              <w:t>46,839,659</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w w:val="86"/>
              </w:rPr>
              <w:t>$239,162</w:t>
            </w:r>
          </w:p>
        </w:tc>
        <w:tc>
          <w:tcPr>
            <w:tcW w:w="760" w:type="dxa"/>
            <w:vAlign w:val="bottom"/>
            <w:gridSpan w:val="3"/>
          </w:tcPr>
          <w:p>
            <w:pPr>
              <w:jc w:val="right"/>
              <w:ind w:right="127"/>
              <w:spacing w:after="0"/>
              <w:rPr>
                <w:sz w:val="20"/>
                <w:szCs w:val="20"/>
                <w:color w:val="auto"/>
              </w:rPr>
            </w:pPr>
            <w:r>
              <w:rPr>
                <w:rFonts w:ascii="Arial" w:cs="Arial" w:eastAsia="Arial" w:hAnsi="Arial"/>
                <w:sz w:val="15"/>
                <w:szCs w:val="15"/>
                <w:color w:val="auto"/>
                <w:w w:val="96"/>
              </w:rPr>
              <w:t>$(3,500)</w:t>
            </w:r>
          </w:p>
        </w:tc>
        <w:tc>
          <w:tcPr>
            <w:tcW w:w="420" w:type="dxa"/>
            <w:vAlign w:val="bottom"/>
          </w:tcPr>
          <w:p>
            <w:pPr>
              <w:jc w:val="right"/>
              <w:ind w:right="10"/>
              <w:spacing w:after="0"/>
              <w:rPr>
                <w:sz w:val="20"/>
                <w:szCs w:val="20"/>
                <w:color w:val="auto"/>
              </w:rPr>
            </w:pPr>
            <w:r>
              <w:rPr>
                <w:rFonts w:ascii="Arial" w:cs="Arial" w:eastAsia="Arial" w:hAnsi="Arial"/>
                <w:sz w:val="14"/>
                <w:szCs w:val="14"/>
                <w:color w:val="auto"/>
                <w:w w:val="74"/>
              </w:rPr>
              <w:t>$9,831</w:t>
            </w:r>
          </w:p>
        </w:tc>
        <w:tc>
          <w:tcPr>
            <w:tcW w:w="560" w:type="dxa"/>
            <w:vAlign w:val="bottom"/>
            <w:gridSpan w:val="2"/>
          </w:tcPr>
          <w:p>
            <w:pPr>
              <w:jc w:val="right"/>
              <w:ind w:right="7"/>
              <w:spacing w:after="0"/>
              <w:rPr>
                <w:sz w:val="20"/>
                <w:szCs w:val="20"/>
                <w:color w:val="auto"/>
              </w:rPr>
            </w:pPr>
            <w:r>
              <w:rPr>
                <w:rFonts w:ascii="Arial" w:cs="Arial" w:eastAsia="Arial" w:hAnsi="Arial"/>
                <w:sz w:val="15"/>
                <w:szCs w:val="15"/>
                <w:color w:val="auto"/>
                <w:w w:val="84"/>
              </w:rPr>
              <w:t>$38,324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283,817</w:t>
            </w:r>
          </w:p>
        </w:tc>
        <w:tc>
          <w:tcPr>
            <w:tcW w:w="6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-3103880</wp:posOffset>
            </wp:positionV>
            <wp:extent cx="111760"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-3103880</wp:posOffset>
            </wp:positionV>
            <wp:extent cx="10477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-3103880</wp:posOffset>
            </wp:positionV>
            <wp:extent cx="139700"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-3103880</wp:posOffset>
            </wp:positionV>
            <wp:extent cx="160655"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-3103880</wp:posOffset>
            </wp:positionV>
            <wp:extent cx="97790"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-3103880</wp:posOffset>
            </wp:positionV>
            <wp:extent cx="1834515"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834515"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-4359910</wp:posOffset>
            </wp:positionV>
            <wp:extent cx="6985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-4359910</wp:posOffset>
            </wp:positionV>
            <wp:extent cx="69850"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-4359910</wp:posOffset>
            </wp:positionV>
            <wp:extent cx="69850"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-4359910</wp:posOffset>
            </wp:positionV>
            <wp:extent cx="69850"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-4359910</wp:posOffset>
            </wp:positionV>
            <wp:extent cx="6985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-4359910</wp:posOffset>
            </wp:positionV>
            <wp:extent cx="1827530"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827530" cy="698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-1443355</wp:posOffset>
            </wp:positionV>
            <wp:extent cx="6286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-1443355</wp:posOffset>
            </wp:positionV>
            <wp:extent cx="6286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-1443355</wp:posOffset>
            </wp:positionV>
            <wp:extent cx="125730"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-1443355</wp:posOffset>
            </wp:positionV>
            <wp:extent cx="14668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-1443355</wp:posOffset>
            </wp:positionV>
            <wp:extent cx="83820"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-1443355</wp:posOffset>
            </wp:positionV>
            <wp:extent cx="1814195"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814195" cy="698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-2489835</wp:posOffset>
            </wp:positionV>
            <wp:extent cx="55880"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-2489835</wp:posOffset>
            </wp:positionV>
            <wp:extent cx="55880"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-2489835</wp:posOffset>
            </wp:positionV>
            <wp:extent cx="55880"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-2489835</wp:posOffset>
            </wp:positionV>
            <wp:extent cx="55880"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-2489835</wp:posOffset>
            </wp:positionV>
            <wp:extent cx="55880"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-2489835</wp:posOffset>
            </wp:positionV>
            <wp:extent cx="1807210"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807210" cy="6985"/>
                    </a:xfrm>
                    <a:prstGeom prst="rect">
                      <a:avLst/>
                    </a:prstGeom>
                    <a:noFill/>
                  </pic:spPr>
                </pic:pic>
              </a:graphicData>
            </a:graphic>
          </wp:anchor>
        </w:drawing>
        <w:drawing>
          <wp:anchor simplePos="0" relativeHeight="251657728" behindDoc="1" locked="0" layoutInCell="0" allowOverlap="1">
            <wp:simplePos x="0" y="0"/>
            <wp:positionH relativeFrom="column">
              <wp:posOffset>4569460</wp:posOffset>
            </wp:positionH>
            <wp:positionV relativeFrom="paragraph">
              <wp:posOffset>-829310</wp:posOffset>
            </wp:positionV>
            <wp:extent cx="41910"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-829310</wp:posOffset>
            </wp:positionV>
            <wp:extent cx="41910"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-829310</wp:posOffset>
            </wp:positionV>
            <wp:extent cx="41910"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-829310</wp:posOffset>
            </wp:positionV>
            <wp:extent cx="41910"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-829310</wp:posOffset>
            </wp:positionV>
            <wp:extent cx="41910"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-829310</wp:posOffset>
            </wp:positionV>
            <wp:extent cx="1827530"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827530"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1" w:name="page202"/>
    <w:bookmarkEnd w:id="201"/>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46" w:lineRule="exact"/>
        <w:rPr>
          <w:sz w:val="20"/>
          <w:szCs w:val="20"/>
          <w:color w:val="auto"/>
        </w:rPr>
      </w:pPr>
    </w:p>
    <w:tbl>
      <w:tblPr>
        <w:tblLayout w:type="fixed"/>
        <w:tblInd w:w="1160" w:type="dxa"/>
        <w:tblCellMar>
          <w:top w:w="0" w:type="dxa"/>
          <w:left w:w="0" w:type="dxa"/>
          <w:bottom w:w="0" w:type="dxa"/>
          <w:right w:w="0" w:type="dxa"/>
        </w:tblCellMar>
      </w:tblPr>
      <w:tr>
        <w:trPr>
          <w:trHeight w:val="165"/>
        </w:trPr>
        <w:tc>
          <w:tcPr>
            <w:tcW w:w="3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Successor</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4"/>
              </w:rPr>
              <w:t>Year Ended December 31,</w:t>
            </w: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55"/>
        </w:trPr>
        <w:tc>
          <w:tcPr>
            <w:tcW w:w="31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right w:val="single" w:sz="8" w:color="auto"/>
            </w:tcBorders>
            <w:gridSpan w:val="4"/>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4"/>
                <w:szCs w:val="4"/>
                <w:color w:val="auto"/>
              </w:rPr>
            </w:pPr>
          </w:p>
        </w:tc>
        <w:tc>
          <w:tcPr>
            <w:tcW w:w="920" w:type="dxa"/>
            <w:vAlign w:val="bottom"/>
            <w:gridSpan w:val="3"/>
            <w:vMerge w:val="restart"/>
          </w:tcPr>
          <w:p>
            <w:pPr>
              <w:jc w:val="center"/>
              <w:ind w:right="40"/>
              <w:spacing w:after="0" w:line="114" w:lineRule="exact"/>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39"/>
        </w:trPr>
        <w:tc>
          <w:tcPr>
            <w:tcW w:w="3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Borders>
              <w:right w:val="single" w:sz="8" w:color="auto"/>
            </w:tcBorders>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1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4"/>
                <w:szCs w:val="14"/>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Income / (Loss)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 (3,904)</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$ 46,072</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   (367)</w:t>
            </w:r>
          </w:p>
        </w:tc>
        <w:tc>
          <w:tcPr>
            <w:tcW w:w="10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$ 25,910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5"/>
                <w:szCs w:val="15"/>
                <w:b w:val="1"/>
                <w:bCs w:val="1"/>
                <w:color w:val="auto"/>
                <w:w w:val="92"/>
              </w:rPr>
              <w:t>Adjustments to reconcile Net Income / (Loss) to</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160"/>
              <w:spacing w:after="0"/>
              <w:rPr>
                <w:sz w:val="20"/>
                <w:szCs w:val="20"/>
                <w:color w:val="auto"/>
              </w:rPr>
            </w:pPr>
            <w:r>
              <w:rPr>
                <w:rFonts w:ascii="Arial" w:cs="Arial" w:eastAsia="Arial" w:hAnsi="Arial"/>
                <w:sz w:val="15"/>
                <w:szCs w:val="15"/>
                <w:b w:val="1"/>
                <w:bCs w:val="1"/>
                <w:color w:val="auto"/>
              </w:rPr>
              <w:t>Cash from Operating Activities: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Depreciation and Amortization</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48,086</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Reduction in Operating Lease Right-of-use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180" w:type="dxa"/>
            <w:vAlign w:val="bottom"/>
          </w:tcPr>
          <w:p>
            <w:pPr>
              <w:ind w:left="300"/>
              <w:spacing w:after="0"/>
              <w:rPr>
                <w:sz w:val="20"/>
                <w:szCs w:val="20"/>
                <w:color w:val="auto"/>
              </w:rPr>
            </w:pPr>
            <w:r>
              <w:rPr>
                <w:rFonts w:ascii="Arial" w:cs="Arial" w:eastAsia="Arial" w:hAnsi="Arial"/>
                <w:sz w:val="15"/>
                <w:szCs w:val="15"/>
                <w:color w:val="auto"/>
              </w:rPr>
              <w:t>Assets</w:t>
            </w:r>
          </w:p>
        </w:tc>
        <w:tc>
          <w:tcPr>
            <w:tcW w:w="540" w:type="dxa"/>
            <w:vAlign w:val="bottom"/>
          </w:tcPr>
          <w:p>
            <w:pPr>
              <w:jc w:val="right"/>
              <w:spacing w:after="0"/>
              <w:rPr>
                <w:sz w:val="20"/>
                <w:szCs w:val="20"/>
                <w:color w:val="auto"/>
              </w:rPr>
            </w:pPr>
            <w:r>
              <w:rPr>
                <w:rFonts w:ascii="Arial" w:cs="Arial" w:eastAsia="Arial" w:hAnsi="Arial"/>
                <w:sz w:val="15"/>
                <w:szCs w:val="15"/>
                <w:color w:val="auto"/>
              </w:rPr>
              <w:t>25,880</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33,541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Loss on Asset Transactions, net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(811)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Unrealized Loss (Gain) on Fuel Derivatives</w:t>
            </w:r>
          </w:p>
        </w:tc>
        <w:tc>
          <w:tcPr>
            <w:tcW w:w="540" w:type="dxa"/>
            <w:vAlign w:val="bottom"/>
          </w:tcPr>
          <w:p>
            <w:pPr>
              <w:jc w:val="right"/>
              <w:spacing w:after="0"/>
              <w:rPr>
                <w:sz w:val="20"/>
                <w:szCs w:val="20"/>
                <w:color w:val="auto"/>
              </w:rPr>
            </w:pPr>
            <w:r>
              <w:rPr>
                <w:rFonts w:ascii="Arial" w:cs="Arial" w:eastAsia="Arial" w:hAnsi="Arial"/>
                <w:sz w:val="15"/>
                <w:szCs w:val="15"/>
                <w:color w:val="auto"/>
              </w:rPr>
              <w:t>12,206</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(10,791)</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12,006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Over-market Liabilities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(10,421)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(14,064)</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(17,275)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Deferred Income Taxes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(789)</w:t>
            </w:r>
          </w:p>
        </w:tc>
        <w:tc>
          <w:tcPr>
            <w:tcW w:w="540" w:type="dxa"/>
            <w:vAlign w:val="bottom"/>
          </w:tcPr>
          <w:p>
            <w:pPr>
              <w:jc w:val="right"/>
              <w:spacing w:after="0"/>
              <w:rPr>
                <w:sz w:val="20"/>
                <w:szCs w:val="20"/>
                <w:color w:val="auto"/>
              </w:rPr>
            </w:pPr>
            <w:r>
              <w:rPr>
                <w:rFonts w:ascii="Arial" w:cs="Arial" w:eastAsia="Arial" w:hAnsi="Arial"/>
                <w:sz w:val="15"/>
                <w:szCs w:val="15"/>
                <w:color w:val="auto"/>
              </w:rPr>
              <w:t>14,022</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147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Amazon Warrants Vested</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1,866</w:t>
            </w:r>
          </w:p>
        </w:tc>
        <w:tc>
          <w:tcPr>
            <w:tcW w:w="2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Stock-based Compensation Expense</w:t>
            </w:r>
          </w:p>
        </w:tc>
        <w:tc>
          <w:tcPr>
            <w:tcW w:w="540" w:type="dxa"/>
            <w:vAlign w:val="bottom"/>
          </w:tcPr>
          <w:p>
            <w:pPr>
              <w:jc w:val="right"/>
              <w:spacing w:after="0"/>
              <w:rPr>
                <w:sz w:val="20"/>
                <w:szCs w:val="20"/>
                <w:color w:val="auto"/>
              </w:rPr>
            </w:pPr>
            <w:r>
              <w:rPr>
                <w:rFonts w:ascii="Arial" w:cs="Arial" w:eastAsia="Arial" w:hAnsi="Arial"/>
                <w:sz w:val="15"/>
                <w:szCs w:val="15"/>
                <w:color w:val="auto"/>
              </w:rPr>
              <w:t>2,110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1,888</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373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Debt Issuance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252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5"/>
                <w:szCs w:val="15"/>
                <w:b w:val="1"/>
                <w:bCs w:val="1"/>
                <w:color w:val="auto"/>
                <w:w w:val="98"/>
              </w:rPr>
              <w:t>Changes in Operating Assets and Liabilities: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Receivable</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(6,282)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(11,353)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20,732</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8,148</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Due From Predecessor Parent</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(7,370)</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Inventory</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(614)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(869)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156</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Prepaid Expenses</w:t>
            </w:r>
          </w:p>
        </w:tc>
        <w:tc>
          <w:tcPr>
            <w:tcW w:w="540" w:type="dxa"/>
            <w:vAlign w:val="bottom"/>
          </w:tcPr>
          <w:p>
            <w:pPr>
              <w:jc w:val="right"/>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2,278</w:t>
            </w: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(6,171)</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(5,519)</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Lessor Maintenance Deposits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(9,415)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(17,466)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(14,193)</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(3,148)</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540" w:type="dxa"/>
            <w:vAlign w:val="bottom"/>
          </w:tcPr>
          <w:p>
            <w:pPr>
              <w:jc w:val="right"/>
              <w:spacing w:after="0"/>
              <w:rPr>
                <w:sz w:val="20"/>
                <w:szCs w:val="20"/>
                <w:color w:val="auto"/>
              </w:rPr>
            </w:pPr>
            <w:r>
              <w:rPr>
                <w:rFonts w:ascii="Arial" w:cs="Arial" w:eastAsia="Arial" w:hAnsi="Arial"/>
                <w:sz w:val="15"/>
                <w:szCs w:val="15"/>
                <w:color w:val="auto"/>
              </w:rPr>
              <w:t>1,290</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(1,179)</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133</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(1,151)</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(5,447)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(718)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Accounts Payable</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(7,174)</w:t>
            </w:r>
          </w:p>
        </w:tc>
        <w:tc>
          <w:tcPr>
            <w:tcW w:w="540" w:type="dxa"/>
            <w:vAlign w:val="bottom"/>
          </w:tcPr>
          <w:p>
            <w:pPr>
              <w:jc w:val="right"/>
              <w:spacing w:after="0"/>
              <w:rPr>
                <w:sz w:val="20"/>
                <w:szCs w:val="20"/>
                <w:color w:val="auto"/>
              </w:rPr>
            </w:pPr>
            <w:r>
              <w:rPr>
                <w:rFonts w:ascii="Arial" w:cs="Arial" w:eastAsia="Arial" w:hAnsi="Arial"/>
                <w:sz w:val="15"/>
                <w:szCs w:val="15"/>
                <w:color w:val="auto"/>
              </w:rPr>
              <w:t>9,037</w:t>
            </w: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(9,710)</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5"/>
                <w:szCs w:val="15"/>
                <w:color w:val="auto"/>
              </w:rPr>
              <w:t>21,690</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(7,845)</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(1,868)</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(15,584)</w:t>
            </w:r>
          </w:p>
        </w:tc>
        <w:tc>
          <w:tcPr>
            <w:tcW w:w="540" w:type="dxa"/>
            <w:vAlign w:val="bottom"/>
          </w:tcPr>
          <w:p>
            <w:pPr>
              <w:jc w:val="right"/>
              <w:spacing w:after="0"/>
              <w:rPr>
                <w:sz w:val="20"/>
                <w:szCs w:val="20"/>
                <w:color w:val="auto"/>
              </w:rPr>
            </w:pPr>
            <w:r>
              <w:rPr>
                <w:rFonts w:ascii="Arial" w:cs="Arial" w:eastAsia="Arial" w:hAnsi="Arial"/>
                <w:sz w:val="15"/>
                <w:szCs w:val="15"/>
                <w:color w:val="auto"/>
              </w:rPr>
              <w:t>11,309</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33,470</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(33,983)</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Loyalty Program Liabilities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(823)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(5,925)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(13,216)</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Reduction in Operating Lease Obligations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(28,352)</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(34,365)</w:t>
            </w:r>
          </w:p>
        </w:tc>
        <w:tc>
          <w:tcPr>
            <w:tcW w:w="22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3,635</w:t>
            </w: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(3,581)</w:t>
            </w:r>
          </w:p>
        </w:tc>
        <w:tc>
          <w:tcPr>
            <w:tcW w:w="100" w:type="dxa"/>
            <w:vAlign w:val="bottom"/>
            <w:tcBorders>
              <w:right w:val="single" w:sz="8" w:color="auto"/>
            </w:tcBorders>
            <w:shd w:val="clear" w:color="auto" w:fill="CCEEFF"/>
          </w:tcPr>
          <w:p>
            <w:pPr>
              <w:spacing w:after="0"/>
              <w:rPr>
                <w:sz w:val="20"/>
                <w:szCs w:val="20"/>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(3,585)</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80" w:type="dxa"/>
            <w:vAlign w:val="bottom"/>
          </w:tcPr>
          <w:p>
            <w:pPr>
              <w:ind w:left="300"/>
              <w:spacing w:after="0"/>
              <w:rPr>
                <w:sz w:val="20"/>
                <w:szCs w:val="20"/>
                <w:color w:val="auto"/>
              </w:rPr>
            </w:pPr>
            <w:r>
              <w:rPr>
                <w:rFonts w:ascii="Arial" w:cs="Arial" w:eastAsia="Arial" w:hAnsi="Arial"/>
                <w:sz w:val="15"/>
                <w:szCs w:val="15"/>
                <w:b w:val="1"/>
                <w:bCs w:val="1"/>
                <w:color w:val="auto"/>
                <w:w w:val="94"/>
              </w:rPr>
              <w:t>Net Cash Provided by Operating Activities</w:t>
            </w:r>
          </w:p>
        </w:tc>
        <w:tc>
          <w:tcPr>
            <w:tcW w:w="540" w:type="dxa"/>
            <w:vAlign w:val="bottom"/>
          </w:tcPr>
          <w:p>
            <w:pPr>
              <w:jc w:val="right"/>
              <w:spacing w:after="0"/>
              <w:rPr>
                <w:sz w:val="20"/>
                <w:szCs w:val="20"/>
                <w:color w:val="auto"/>
              </w:rPr>
            </w:pPr>
            <w:r>
              <w:rPr>
                <w:rFonts w:ascii="Arial" w:cs="Arial" w:eastAsia="Arial" w:hAnsi="Arial"/>
                <w:sz w:val="15"/>
                <w:szCs w:val="15"/>
                <w:color w:val="auto"/>
              </w:rPr>
              <w:t>374</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63,272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13,764</w:t>
            </w:r>
          </w:p>
        </w:tc>
        <w:tc>
          <w:tcPr>
            <w:tcW w:w="2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gridSpan w:val="2"/>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4,583</w:t>
            </w:r>
          </w:p>
        </w:tc>
        <w:tc>
          <w:tcPr>
            <w:tcW w:w="0" w:type="dxa"/>
            <w:vAlign w:val="bottom"/>
          </w:tcPr>
          <w:p>
            <w:pPr>
              <w:spacing w:after="0"/>
              <w:rPr>
                <w:sz w:val="1"/>
                <w:szCs w:val="1"/>
                <w:color w:val="auto"/>
              </w:rPr>
            </w:pPr>
          </w:p>
        </w:tc>
      </w:tr>
      <w:tr>
        <w:trPr>
          <w:trHeight w:val="205"/>
        </w:trPr>
        <w:tc>
          <w:tcPr>
            <w:tcW w:w="3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Purchases of Property &amp; Equipment</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(96,298)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(69,816)</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(78,687)</w:t>
            </w:r>
          </w:p>
        </w:tc>
        <w:tc>
          <w:tcPr>
            <w:tcW w:w="100" w:type="dxa"/>
            <w:vAlign w:val="bottom"/>
            <w:tcBorders>
              <w:right w:val="single" w:sz="8" w:color="auto"/>
            </w:tcBorders>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(2,577)</w:t>
            </w:r>
          </w:p>
        </w:tc>
        <w:tc>
          <w:tcPr>
            <w:tcW w:w="0" w:type="dxa"/>
            <w:vAlign w:val="bottom"/>
          </w:tcPr>
          <w:p>
            <w:pPr>
              <w:spacing w:after="0"/>
              <w:rPr>
                <w:sz w:val="1"/>
                <w:szCs w:val="1"/>
                <w:color w:val="auto"/>
              </w:rPr>
            </w:pPr>
          </w:p>
        </w:tc>
      </w:tr>
      <w:tr>
        <w:trPr>
          <w:trHeight w:val="231"/>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the sale of Property &amp;</w:t>
            </w:r>
          </w:p>
        </w:tc>
        <w:tc>
          <w:tcPr>
            <w:tcW w:w="5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Equipment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0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Purchase of Investments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(927)</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(3,394)</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(5,372)</w:t>
            </w:r>
          </w:p>
        </w:tc>
        <w:tc>
          <w:tcPr>
            <w:tcW w:w="100" w:type="dxa"/>
            <w:vAlign w:val="bottom"/>
            <w:tcBorders>
              <w:right w:val="single" w:sz="8" w:color="auto"/>
            </w:tcBorders>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47"/>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the Sale of Investments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w:t>
            </w:r>
          </w:p>
        </w:tc>
        <w:tc>
          <w:tcPr>
            <w:tcW w:w="20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3,646</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w:t>
            </w:r>
          </w:p>
        </w:tc>
        <w:tc>
          <w:tcPr>
            <w:tcW w:w="20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1"/>
                <w:szCs w:val="2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80" w:type="dxa"/>
            <w:vAlign w:val="bottom"/>
          </w:tcPr>
          <w:p>
            <w:pPr>
              <w:ind w:left="300"/>
              <w:spacing w:after="0"/>
              <w:rPr>
                <w:sz w:val="20"/>
                <w:szCs w:val="20"/>
                <w:color w:val="auto"/>
              </w:rPr>
            </w:pPr>
            <w:r>
              <w:rPr>
                <w:rFonts w:ascii="Arial" w:cs="Arial" w:eastAsia="Arial" w:hAnsi="Arial"/>
                <w:sz w:val="15"/>
                <w:szCs w:val="15"/>
                <w:b w:val="1"/>
                <w:bCs w:val="1"/>
                <w:color w:val="auto"/>
              </w:rPr>
              <w:t>Net Cash Used in Investing Activities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(96,028)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(69,564)</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(80,823)</w:t>
            </w:r>
          </w:p>
        </w:tc>
        <w:tc>
          <w:tcPr>
            <w:tcW w:w="100" w:type="dxa"/>
            <w:vAlign w:val="bottom"/>
            <w:tcBorders>
              <w:right w:val="single" w:sz="8" w:color="auto"/>
            </w:tcBorders>
          </w:tcPr>
          <w:p>
            <w:pPr>
              <w:spacing w:after="0"/>
              <w:rPr>
                <w:sz w:val="21"/>
                <w:szCs w:val="21"/>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(2,594)</w:t>
            </w: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Cash Contributions from Stockholders</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47,866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Distributions to Stockholder</w:t>
            </w: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(10,549)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-431800</wp:posOffset>
            </wp:positionV>
            <wp:extent cx="125730"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-431800</wp:posOffset>
            </wp:positionV>
            <wp:extent cx="36258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-431800</wp:posOffset>
            </wp:positionV>
            <wp:extent cx="24447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-431800</wp:posOffset>
            </wp:positionV>
            <wp:extent cx="248348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483485" cy="698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-1443355</wp:posOffset>
            </wp:positionV>
            <wp:extent cx="125730"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-1443355</wp:posOffset>
            </wp:positionV>
            <wp:extent cx="36258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-1443355</wp:posOffset>
            </wp:positionV>
            <wp:extent cx="24447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-1443355</wp:posOffset>
            </wp:positionV>
            <wp:extent cx="248348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4834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-5196840</wp:posOffset>
            </wp:positionV>
            <wp:extent cx="3648710"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648710"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2" w:name="page203"/>
    <w:bookmarkEnd w:id="202"/>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STATEMENTS OF CASH FLOWS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5"/>
              </w:rPr>
              <w:t>Successor</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gridSpan w:val="6"/>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6"/>
          </w:tcPr>
          <w:p>
            <w:pPr>
              <w:ind w:left="20"/>
              <w:spacing w:after="0"/>
              <w:rPr>
                <w:sz w:val="20"/>
                <w:szCs w:val="20"/>
                <w:color w:val="auto"/>
              </w:rPr>
            </w:pPr>
            <w:r>
              <w:rPr>
                <w:rFonts w:ascii="Arial" w:cs="Arial" w:eastAsia="Arial" w:hAnsi="Arial"/>
                <w:sz w:val="12"/>
                <w:szCs w:val="12"/>
                <w:b w:val="1"/>
                <w:bCs w:val="1"/>
                <w:color w:val="auto"/>
                <w:w w:val="96"/>
              </w:rPr>
              <w:t>Year Ended December 31,</w:t>
            </w:r>
          </w:p>
        </w:tc>
        <w:tc>
          <w:tcPr>
            <w:tcW w:w="104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85"/>
              </w:rPr>
              <w:t>For the Period</w:t>
            </w:r>
          </w:p>
        </w:tc>
        <w:tc>
          <w:tcPr>
            <w:tcW w:w="6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55"/>
        </w:trPr>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right w:val="single" w:sz="8" w:color="auto"/>
            </w:tcBorders>
            <w:gridSpan w:val="5"/>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6"/>
              </w:rPr>
              <w:t>April 11, 2018 to</w:t>
            </w:r>
          </w:p>
        </w:tc>
        <w:tc>
          <w:tcPr>
            <w:tcW w:w="60" w:type="dxa"/>
            <w:vAlign w:val="bottom"/>
          </w:tcPr>
          <w:p>
            <w:pPr>
              <w:spacing w:after="0"/>
              <w:rPr>
                <w:sz w:val="4"/>
                <w:szCs w:val="4"/>
                <w:color w:val="auto"/>
              </w:rPr>
            </w:pPr>
          </w:p>
        </w:tc>
        <w:tc>
          <w:tcPr>
            <w:tcW w:w="920" w:type="dxa"/>
            <w:vAlign w:val="bottom"/>
            <w:gridSpan w:val="4"/>
            <w:vMerge w:val="restart"/>
          </w:tcPr>
          <w:p>
            <w:pPr>
              <w:jc w:val="center"/>
              <w:ind w:right="40"/>
              <w:spacing w:after="0" w:line="114" w:lineRule="exact"/>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39"/>
        </w:trPr>
        <w:tc>
          <w:tcPr>
            <w:tcW w:w="3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Borders>
              <w:right w:val="single" w:sz="8" w:color="auto"/>
            </w:tcBorders>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4"/>
                <w:szCs w:val="14"/>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Proceeds Received from Exercise of Apollo</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Warrants</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Proceeds from Borrowings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265,307</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41,630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63,341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Proceeds received for Amazon Warrants</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Repayment of Finance Lease Obligations</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(89,697)</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(8,258)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(3,160)</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9"/>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Repayment of Borrowings</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(69,906)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(10,153)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(5,854)</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14"/>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Debt Issuance Costs</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(4,186)</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Cash Provided by (Used in) Financing</w:t>
            </w: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Activities</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101,539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27,329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1"/>
              </w:rPr>
              <w:t>102,193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(10,680)</w:t>
            </w:r>
          </w:p>
        </w:tc>
        <w:tc>
          <w:tcPr>
            <w:tcW w:w="0" w:type="dxa"/>
            <w:vAlign w:val="bottom"/>
          </w:tcPr>
          <w:p>
            <w:pPr>
              <w:spacing w:after="0"/>
              <w:rPr>
                <w:sz w:val="1"/>
                <w:szCs w:val="1"/>
                <w:color w:val="auto"/>
              </w:rPr>
            </w:pPr>
          </w:p>
        </w:tc>
      </w:tr>
      <w:tr>
        <w:trPr>
          <w:trHeight w:val="185"/>
        </w:trPr>
        <w:tc>
          <w:tcPr>
            <w:tcW w:w="320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Net Increase / (Decrease) in Cash, Cash</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gridSpan w:val="2"/>
          </w:tcPr>
          <w:p>
            <w:pPr>
              <w:ind w:left="160"/>
              <w:spacing w:after="0"/>
              <w:rPr>
                <w:sz w:val="20"/>
                <w:szCs w:val="20"/>
                <w:color w:val="auto"/>
              </w:rPr>
            </w:pPr>
            <w:r>
              <w:rPr>
                <w:rFonts w:ascii="Arial" w:cs="Arial" w:eastAsia="Arial" w:hAnsi="Arial"/>
                <w:sz w:val="15"/>
                <w:szCs w:val="15"/>
                <w:b w:val="1"/>
                <w:bCs w:val="1"/>
                <w:color w:val="auto"/>
              </w:rPr>
              <w:t>Equivalents and Restricted Cash</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5,885</w:t>
            </w: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21,037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35,133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(8,691)</w:t>
            </w:r>
          </w:p>
        </w:tc>
        <w:tc>
          <w:tcPr>
            <w:tcW w:w="0" w:type="dxa"/>
            <w:vAlign w:val="bottom"/>
          </w:tcPr>
          <w:p>
            <w:pPr>
              <w:spacing w:after="0"/>
              <w:rPr>
                <w:sz w:val="1"/>
                <w:szCs w:val="1"/>
                <w:color w:val="auto"/>
              </w:rPr>
            </w:pPr>
          </w:p>
        </w:tc>
      </w:tr>
      <w:tr>
        <w:trPr>
          <w:trHeight w:val="200"/>
        </w:trPr>
        <w:tc>
          <w:tcPr>
            <w:tcW w:w="3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2"/>
              </w:rPr>
              <w:t>Cash, Cash Equivalents and Restricted Cash–</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Beginning of the Period</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64,478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43,441</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8,308</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1"/>
              </w:rPr>
              <w:t>16,999</w:t>
            </w:r>
          </w:p>
        </w:tc>
        <w:tc>
          <w:tcPr>
            <w:tcW w:w="0" w:type="dxa"/>
            <w:vAlign w:val="bottom"/>
          </w:tcPr>
          <w:p>
            <w:pPr>
              <w:spacing w:after="0"/>
              <w:rPr>
                <w:sz w:val="1"/>
                <w:szCs w:val="1"/>
                <w:color w:val="auto"/>
              </w:rPr>
            </w:pPr>
          </w:p>
        </w:tc>
      </w:tr>
      <w:tr>
        <w:trPr>
          <w:trHeight w:val="20"/>
        </w:trPr>
        <w:tc>
          <w:tcPr>
            <w:tcW w:w="3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w w:val="88"/>
              </w:rPr>
              <w:t>Cash, Cash Equivalents and Restricted Cash–End</w:t>
            </w: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70,363</w:t>
            </w:r>
          </w:p>
        </w:tc>
        <w:tc>
          <w:tcPr>
            <w:tcW w:w="180" w:type="dxa"/>
            <w:vAlign w:val="bottom"/>
            <w:vMerge w:val="restart"/>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64,478</w:t>
            </w:r>
          </w:p>
        </w:tc>
        <w:tc>
          <w:tcPr>
            <w:tcW w:w="16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w w:val="95"/>
              </w:rPr>
              <w:t>43,441</w:t>
            </w:r>
          </w:p>
        </w:tc>
        <w:tc>
          <w:tcPr>
            <w:tcW w:w="100" w:type="dxa"/>
            <w:vAlign w:val="bottom"/>
            <w:tcBorders>
              <w:right w:val="single" w:sz="8" w:color="auto"/>
            </w:tcBorders>
          </w:tcPr>
          <w:p>
            <w:pPr>
              <w:spacing w:after="0"/>
              <w:rPr>
                <w:sz w:val="16"/>
                <w:szCs w:val="16"/>
                <w:color w:val="auto"/>
              </w:rPr>
            </w:pP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8,308</w:t>
            </w:r>
          </w:p>
        </w:tc>
        <w:tc>
          <w:tcPr>
            <w:tcW w:w="0" w:type="dxa"/>
            <w:vAlign w:val="bottom"/>
          </w:tcPr>
          <w:p>
            <w:pPr>
              <w:spacing w:after="0"/>
              <w:rPr>
                <w:sz w:val="1"/>
                <w:szCs w:val="1"/>
                <w:color w:val="auto"/>
              </w:rPr>
            </w:pPr>
          </w:p>
        </w:tc>
      </w:tr>
      <w:tr>
        <w:trPr>
          <w:trHeight w:val="196"/>
        </w:trPr>
        <w:tc>
          <w:tcPr>
            <w:tcW w:w="3200" w:type="dxa"/>
            <w:vAlign w:val="bottom"/>
            <w:gridSpan w:val="2"/>
          </w:tcPr>
          <w:p>
            <w:pPr>
              <w:ind w:left="160"/>
              <w:spacing w:after="0"/>
              <w:rPr>
                <w:sz w:val="20"/>
                <w:szCs w:val="20"/>
                <w:color w:val="auto"/>
              </w:rPr>
            </w:pPr>
            <w:r>
              <w:rPr>
                <w:rFonts w:ascii="Arial" w:cs="Arial" w:eastAsia="Arial" w:hAnsi="Arial"/>
                <w:sz w:val="15"/>
                <w:szCs w:val="15"/>
                <w:b w:val="1"/>
                <w:bCs w:val="1"/>
                <w:color w:val="auto"/>
              </w:rPr>
              <w:t>of the Period</w:t>
            </w:r>
          </w:p>
        </w:tc>
        <w:tc>
          <w:tcPr>
            <w:tcW w:w="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Supplemental information:</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Cash Payments for Interest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20,304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16,424</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4,364</w:t>
            </w:r>
          </w:p>
        </w:tc>
        <w:tc>
          <w:tcPr>
            <w:tcW w:w="100" w:type="dxa"/>
            <w:vAlign w:val="bottom"/>
            <w:tcBorders>
              <w:right w:val="single" w:sz="8" w:color="auto"/>
            </w:tcBorders>
          </w:tcPr>
          <w:p>
            <w:pPr>
              <w:spacing w:after="0"/>
              <w:rPr>
                <w:sz w:val="19"/>
                <w:szCs w:val="19"/>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220"/>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Cash Payments for Income Taxes, net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w:t>
            </w:r>
          </w:p>
        </w:tc>
        <w:tc>
          <w:tcPr>
            <w:tcW w:w="100" w:type="dxa"/>
            <w:vAlign w:val="bottom"/>
            <w:tcBorders>
              <w:right w:val="single" w:sz="8" w:color="auto"/>
            </w:tcBorders>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rPr>
              <w:t>Non-cash transactions: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98"/>
              </w:rPr>
              <w:t>Lease Deposits Applied Against the Purchase</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of Aircraft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19,976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Aircraft and Flight Equipment Acquired</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0" w:type="dxa"/>
            <w:vAlign w:val="bottom"/>
            <w:gridSpan w:val="2"/>
          </w:tcPr>
          <w:p>
            <w:pPr>
              <w:ind w:left="300"/>
              <w:spacing w:after="0"/>
              <w:rPr>
                <w:sz w:val="20"/>
                <w:szCs w:val="20"/>
                <w:color w:val="auto"/>
              </w:rPr>
            </w:pPr>
            <w:r>
              <w:rPr>
                <w:rFonts w:ascii="Arial" w:cs="Arial" w:eastAsia="Arial" w:hAnsi="Arial"/>
                <w:sz w:val="15"/>
                <w:szCs w:val="15"/>
                <w:color w:val="auto"/>
              </w:rPr>
              <w:t>through Finance Leases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108,978</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84,773</w:t>
            </w:r>
          </w:p>
        </w:tc>
        <w:tc>
          <w:tcPr>
            <w:tcW w:w="100" w:type="dxa"/>
            <w:vAlign w:val="bottom"/>
            <w:tcBorders>
              <w:right w:val="single" w:sz="8" w:color="auto"/>
            </w:tcBorders>
          </w:tcPr>
          <w:p>
            <w:pPr>
              <w:spacing w:after="0"/>
              <w:rPr>
                <w:sz w:val="16"/>
                <w:szCs w:val="16"/>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Right-of-use Assets Acquired through</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Operating Leases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Purchases of Property &amp; Equipment in</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0" w:type="dxa"/>
            <w:vAlign w:val="bottom"/>
            <w:gridSpan w:val="2"/>
          </w:tcPr>
          <w:p>
            <w:pPr>
              <w:ind w:left="300"/>
              <w:spacing w:after="0"/>
              <w:rPr>
                <w:sz w:val="20"/>
                <w:szCs w:val="20"/>
                <w:color w:val="auto"/>
              </w:rPr>
            </w:pPr>
            <w:r>
              <w:rPr>
                <w:rFonts w:ascii="Arial" w:cs="Arial" w:eastAsia="Arial" w:hAnsi="Arial"/>
                <w:sz w:val="15"/>
                <w:szCs w:val="15"/>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991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Loans to Stockholders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3,500</w:t>
            </w:r>
          </w:p>
        </w:tc>
        <w:tc>
          <w:tcPr>
            <w:tcW w:w="100" w:type="dxa"/>
            <w:vAlign w:val="bottom"/>
            <w:tcBorders>
              <w:right w:val="single" w:sz="8" w:color="auto"/>
            </w:tcBorders>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-2741295</wp:posOffset>
            </wp:positionV>
            <wp:extent cx="125730"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-2741295</wp:posOffset>
            </wp:positionV>
            <wp:extent cx="341630"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41630"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-2741295</wp:posOffset>
            </wp:positionV>
            <wp:extent cx="223520"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235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-2741295</wp:posOffset>
            </wp:positionV>
            <wp:extent cx="249745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49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-3662045</wp:posOffset>
            </wp:positionV>
            <wp:extent cx="3648710"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648710" cy="6985"/>
                    </a:xfrm>
                    <a:prstGeom prst="rect">
                      <a:avLst/>
                    </a:prstGeom>
                    <a:noFill/>
                  </pic:spPr>
                </pic:pic>
              </a:graphicData>
            </a:graphic>
          </wp:anchor>
        </w:drawing>
      </w:r>
    </w:p>
    <w:p>
      <w:pPr>
        <w:spacing w:after="0" w:line="9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following provides a reconciliation of Cash, Cash Equivalents and Restricted Cash to the amounts reported on the Consolidated Balance Sheets: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3"/>
            <w:vMerge w:val="restart"/>
          </w:tcPr>
          <w:p>
            <w:pPr>
              <w:jc w:val="center"/>
              <w:ind w:right="420"/>
              <w:spacing w:after="0"/>
              <w:rPr>
                <w:sz w:val="20"/>
                <w:szCs w:val="20"/>
                <w:color w:val="auto"/>
              </w:rPr>
            </w:pPr>
            <w:r>
              <w:rPr>
                <w:rFonts w:ascii="Arial" w:cs="Arial" w:eastAsia="Arial" w:hAnsi="Arial"/>
                <w:sz w:val="12"/>
                <w:szCs w:val="12"/>
                <w:b w:val="1"/>
                <w:bCs w:val="1"/>
                <w:color w:val="auto"/>
                <w:w w:val="75"/>
              </w:rPr>
              <w:t>Successor</w:t>
            </w: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4"/>
            <w:vMerge w:val="restart"/>
          </w:tcPr>
          <w:p>
            <w:pPr>
              <w:jc w:val="right"/>
              <w:ind w:right="60"/>
              <w:spacing w:after="0"/>
              <w:rPr>
                <w:sz w:val="20"/>
                <w:szCs w:val="20"/>
                <w:color w:val="auto"/>
              </w:rPr>
            </w:pPr>
            <w:r>
              <w:rPr>
                <w:rFonts w:ascii="Arial" w:cs="Arial" w:eastAsia="Arial" w:hAnsi="Arial"/>
                <w:sz w:val="12"/>
                <w:szCs w:val="12"/>
                <w:b w:val="1"/>
                <w:bCs w:val="1"/>
                <w:color w:val="auto"/>
                <w:w w:val="83"/>
              </w:rPr>
              <w:t>Predecessor</w:t>
            </w:r>
          </w:p>
        </w:tc>
        <w:tc>
          <w:tcPr>
            <w:tcW w:w="0" w:type="dxa"/>
            <w:vAlign w:val="bottom"/>
          </w:tcPr>
          <w:p>
            <w:pPr>
              <w:spacing w:after="0" w:line="20" w:lineRule="exact"/>
              <w:rPr>
                <w:sz w:val="1"/>
                <w:szCs w:val="1"/>
                <w:color w:val="auto"/>
              </w:rPr>
            </w:pPr>
          </w:p>
        </w:tc>
      </w:tr>
      <w:tr>
        <w:trPr>
          <w:trHeight w:val="122"/>
        </w:trPr>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11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December 31, 2019</w:t>
            </w:r>
          </w:p>
        </w:tc>
        <w:tc>
          <w:tcPr>
            <w:tcW w:w="1040" w:type="dxa"/>
            <w:vAlign w:val="bottom"/>
            <w:tcBorders>
              <w:right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90"/>
              </w:rPr>
              <w:t>December 31, 2018</w:t>
            </w:r>
          </w:p>
        </w:tc>
        <w:tc>
          <w:tcPr>
            <w:tcW w:w="80" w:type="dxa"/>
            <w:vAlign w:val="bottom"/>
          </w:tcPr>
          <w:p>
            <w:pPr>
              <w:spacing w:after="0"/>
              <w:rPr>
                <w:sz w:val="13"/>
                <w:szCs w:val="13"/>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$62,028</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$51,006</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$29,600</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Arial" w:cs="Arial" w:eastAsia="Arial" w:hAnsi="Arial"/>
                <w:sz w:val="15"/>
                <w:szCs w:val="15"/>
                <w:color w:val="auto"/>
              </w:rPr>
              <w:t>Restricted Cash</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8,335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13,472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13,841</w:t>
            </w:r>
          </w:p>
        </w:tc>
        <w:tc>
          <w:tcPr>
            <w:tcW w:w="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w w:val="79"/>
              </w:rPr>
              <w:t>8,308</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rPr>
              <w:t>Total Cash, Cash Equivalents and</w:t>
            </w: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40" w:type="dxa"/>
            <w:vAlign w:val="bottom"/>
            <w:vMerge w:val="continue"/>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$70,363</w:t>
            </w:r>
          </w:p>
        </w:tc>
        <w:tc>
          <w:tcPr>
            <w:tcW w:w="18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$64,478</w:t>
            </w:r>
          </w:p>
        </w:tc>
        <w:tc>
          <w:tcPr>
            <w:tcW w:w="18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$43,441</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79"/>
              </w:rPr>
              <w:t>8,308</w:t>
            </w:r>
          </w:p>
        </w:tc>
        <w:tc>
          <w:tcPr>
            <w:tcW w:w="0" w:type="dxa"/>
            <w:vAlign w:val="bottom"/>
          </w:tcPr>
          <w:p>
            <w:pPr>
              <w:spacing w:after="0"/>
              <w:rPr>
                <w:sz w:val="1"/>
                <w:szCs w:val="1"/>
                <w:color w:val="auto"/>
              </w:rPr>
            </w:pPr>
          </w:p>
        </w:tc>
      </w:tr>
      <w:tr>
        <w:trPr>
          <w:trHeight w:val="232"/>
        </w:trPr>
        <w:tc>
          <w:tcPr>
            <w:tcW w:w="26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Restricted Cash</w:t>
            </w:r>
          </w:p>
        </w:tc>
        <w:tc>
          <w:tcPr>
            <w:tcW w:w="9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-278130</wp:posOffset>
            </wp:positionV>
            <wp:extent cx="90805"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-278130</wp:posOffset>
            </wp:positionV>
            <wp:extent cx="341630"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1630" cy="698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-278130</wp:posOffset>
            </wp:positionV>
            <wp:extent cx="404495"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044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-278130</wp:posOffset>
            </wp:positionV>
            <wp:extent cx="2532380"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532380"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-557530</wp:posOffset>
            </wp:positionV>
            <wp:extent cx="104775"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-557530</wp:posOffset>
            </wp:positionV>
            <wp:extent cx="111760"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-557530</wp:posOffset>
            </wp:positionV>
            <wp:extent cx="2385695"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38569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3" w:name="page204"/>
    <w:bookmarkEnd w:id="203"/>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w:t>
      </w:r>
    </w:p>
    <w:p>
      <w:pPr>
        <w:spacing w:after="0" w:line="117"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color w:val="auto"/>
        </w:rPr>
        <w:t>Sun Country Airlines Holdings, Inc. f/k/a SCA Acquisition Holdings, LLC (the “Successor”) was formed on December 8, 2017 by funds managed by affiliates of Apollo Global Management (“Apollo”) for the purpose of purchasing (the “Acquisition”) Sun Country, Inc. d/b/a Sun Country Airlines (the “Predecessor”). Sun Country, Inc. f/k/a MN Airlines, LLC is a privately-owned certified air carrier providing scheduled passenger service, air cargo service, charter air transportation and related services. Except as otherwise stated, the financial information, accounting policies, and activities of Sun Country Airlines are referred to as those of the Company (the “Company”, “SCA” or “Sun Country”).</w:t>
      </w:r>
    </w:p>
    <w:p>
      <w:pPr>
        <w:spacing w:after="0" w:line="91" w:lineRule="exact"/>
        <w:rPr>
          <w:sz w:val="20"/>
          <w:szCs w:val="20"/>
          <w:color w:val="auto"/>
        </w:rPr>
      </w:pPr>
    </w:p>
    <w:p>
      <w:pPr>
        <w:ind w:left="1160" w:right="1319" w:firstLine="293"/>
        <w:spacing w:after="0" w:line="274" w:lineRule="auto"/>
        <w:rPr>
          <w:sz w:val="20"/>
          <w:szCs w:val="20"/>
          <w:color w:val="auto"/>
        </w:rPr>
      </w:pPr>
      <w:r>
        <w:rPr>
          <w:rFonts w:ascii="Arial" w:cs="Arial" w:eastAsia="Arial" w:hAnsi="Arial"/>
          <w:sz w:val="14"/>
          <w:szCs w:val="14"/>
          <w:color w:val="auto"/>
        </w:rPr>
        <w:t>On April 11, 2018 (the “Acquisition Date”), SCA Acquisition Holdings, LLC acquired 100 percent of MN Airlines’ stockholder equity. The Acquisition was accounted for as a business combination using the purchase method of accounting, which requires, among other things, that assets acquired and liabilities assumed be recognized on the balance sheet at their fair value as of the Acquisition Date.</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Reorganization Transactions</w:t>
      </w:r>
    </w:p>
    <w:p>
      <w:pPr>
        <w:spacing w:after="0" w:line="128"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On January 31, 2020, all 40,005,885 outstanding Apollo Warrants were exercised to purchase common stock of SCA Acquisition Holdings, LLC. Also on January 31, 2020, SCA Acquisition Holdings, LLC was converted into a Delaware corporation pursuant to a statutory conversion and changed its name to Sun Country Airlines Holdings, Inc. In connection with the conversion to a corporation, all of the outstanding shares of SCA Acquisition Holdings, LLC common stock with a $0.01 par value were converted into shares of Sun Country Airlines Holdings, Inc. common stock. The outstanding warrants held by Amazon to purchase shares of SCA Acquisition Holdings, LLC common stock were converted into warrants to purchase shares of Sun Country Airlines Holdings, Inc. common stock and all of the outstanding options to purchase shares of SCA Acquisition Holdings, LLC common stock were converted into options to purchase shares of Sun Country Airlines Holdings, Inc. common stock.</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Amazon Agreement</w:t>
      </w:r>
    </w:p>
    <w:p>
      <w:pPr>
        <w:spacing w:after="0" w:line="117"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On December 13, 2019, the Company signed a six-year contract (with two, two-year extension options, for a maximum term of 10 years) with Amazon.com Services, Inc. (together with its affiliates, “Amazon”) to provide air cargo services (“Amazon Agreement”). The option to renew the Amazon Agreement for two additional two-year terms is at Amazon’s sole discretion, subject to Amazon providing Sun Country with at least 180 days’ prior written notice before the expiration of the then-current term. Sun Country began flying for Amazon in the second quarter of 2020. On June 27, 2020, Amazon and the Company signed an amendment to the December 13, 2019 agreement that added two aircraft. As of December 31, 2020, Sun Country operates 12 Boeing 737-800 cargo aircraft for Amazon.</w:t>
      </w:r>
    </w:p>
    <w:p>
      <w:pPr>
        <w:spacing w:after="0" w:line="94" w:lineRule="exact"/>
        <w:rPr>
          <w:sz w:val="20"/>
          <w:szCs w:val="20"/>
          <w:color w:val="auto"/>
        </w:rPr>
      </w:pPr>
    </w:p>
    <w:p>
      <w:pPr>
        <w:jc w:val="both"/>
        <w:ind w:left="1160" w:right="1379" w:firstLine="293"/>
        <w:spacing w:after="0" w:line="274" w:lineRule="auto"/>
        <w:rPr>
          <w:sz w:val="20"/>
          <w:szCs w:val="20"/>
          <w:color w:val="auto"/>
        </w:rPr>
      </w:pPr>
      <w:r>
        <w:rPr>
          <w:rFonts w:ascii="Arial" w:cs="Arial" w:eastAsia="Arial" w:hAnsi="Arial"/>
          <w:sz w:val="14"/>
          <w:szCs w:val="14"/>
          <w:color w:val="auto"/>
        </w:rPr>
        <w:t>Amazon supplies the aircraft and reimburses the Company for certain operating expenses, including fuel and heavy maintenance. The aircraft fly under the Company’s air carrier operating certificate and the Company supplies the crew, non-heavy maintenance and insurance for the aircraft. Amazon pays a fixed monthly fee per aircraft as well as a set rate per flight cycle and block hour flown.</w:t>
      </w:r>
    </w:p>
    <w:p>
      <w:pPr>
        <w:spacing w:after="0" w:line="89"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In December 2019, in connection with the Amazon Agreement, the Company issued warrants to Amazon to purchase an aggregate of up to 9,482,606 shares of common stock at an exercise price of approximately $15.17 per share, which represented approximately 15% of the Company’s common stock on that date. The exercise period of these warrants is through the eighth anniversary of the issue date. The Amazon warrants were valued at $7.38 per share. The fair value of the warrants was determined using a Monte Carlo simulation which involves inputs such as expected volatility, the risk-free rate of return and the probability of achieving varying outcomes under the Amazon Agreement. The fair value of warrants that are expected to vest in the future will be recorded as contra-revenue over the vesting term of the warrants on a pro-rata basis as the flights occur. For so long as Amazon holds these warrants or any shares of common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4" w:name="page205"/>
    <w:bookmarkEnd w:id="204"/>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 (continued)</w:t>
      </w:r>
    </w:p>
    <w:p>
      <w:pPr>
        <w:spacing w:after="0" w:line="183" w:lineRule="exact"/>
        <w:rPr>
          <w:sz w:val="20"/>
          <w:szCs w:val="20"/>
          <w:color w:val="auto"/>
        </w:rPr>
      </w:pPr>
    </w:p>
    <w:p>
      <w:pPr>
        <w:ind w:left="1160" w:right="1239"/>
        <w:spacing w:after="0" w:line="248" w:lineRule="auto"/>
        <w:rPr>
          <w:sz w:val="20"/>
          <w:szCs w:val="20"/>
          <w:color w:val="auto"/>
        </w:rPr>
      </w:pPr>
      <w:r>
        <w:rPr>
          <w:rFonts w:ascii="Arial" w:cs="Arial" w:eastAsia="Arial" w:hAnsi="Arial"/>
          <w:sz w:val="15"/>
          <w:szCs w:val="15"/>
          <w:color w:val="auto"/>
        </w:rPr>
        <w:t>stock issued upon exercise of the warrants and the Amazon Agreement remains in effect, Amazon will have the right to nominate a member or an observer to SCA’s board of directors.</w:t>
      </w:r>
    </w:p>
    <w:p>
      <w:pPr>
        <w:spacing w:after="0" w:line="83"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Of the 9,482,606 total Amazon warrants issued, 632,183 vested upon execution of the Amazon Agreement on December 13, 2019. Thereafter, an additional 63,217 warrants will vest for each milestone of $8 million in payments made by Amazon to the Company, excluding reimbursable and direct pass-through expenses. During the year ended December 31, 2020, 252,869 warrants vested.</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 AND SUMMARY OF SIGNIFICANT ACCOUNTING POLICIES</w:t>
      </w:r>
    </w:p>
    <w:p>
      <w:pPr>
        <w:spacing w:after="0" w:line="124" w:lineRule="exact"/>
        <w:rPr>
          <w:sz w:val="20"/>
          <w:szCs w:val="20"/>
          <w:color w:val="auto"/>
        </w:rPr>
      </w:pPr>
    </w:p>
    <w:p>
      <w:pPr>
        <w:ind w:left="1160" w:right="1219" w:firstLine="293"/>
        <w:spacing w:after="0" w:line="238" w:lineRule="auto"/>
        <w:rPr>
          <w:sz w:val="20"/>
          <w:szCs w:val="20"/>
          <w:color w:val="auto"/>
        </w:rPr>
      </w:pPr>
      <w:r>
        <w:rPr>
          <w:rFonts w:ascii="Arial" w:cs="Arial" w:eastAsia="Arial" w:hAnsi="Arial"/>
          <w:sz w:val="15"/>
          <w:szCs w:val="15"/>
          <w:b w:val="1"/>
          <w:bCs w:val="1"/>
          <w:color w:val="auto"/>
        </w:rPr>
        <w:t>Principles of Consolidation—</w:t>
      </w:r>
      <w:r>
        <w:rPr>
          <w:rFonts w:ascii="Arial" w:cs="Arial" w:eastAsia="Arial" w:hAnsi="Arial"/>
          <w:sz w:val="15"/>
          <w:szCs w:val="15"/>
          <w:color w:val="auto"/>
        </w:rPr>
        <w:t>The consolidated financial statements include the accounts of Sun Country</w:t>
      </w:r>
      <w:r>
        <w:rPr>
          <w:rFonts w:ascii="Arial" w:cs="Arial" w:eastAsia="Arial" w:hAnsi="Arial"/>
          <w:sz w:val="15"/>
          <w:szCs w:val="15"/>
          <w:b w:val="1"/>
          <w:bCs w:val="1"/>
          <w:color w:val="auto"/>
        </w:rPr>
        <w:t xml:space="preserve"> </w:t>
      </w:r>
      <w:r>
        <w:rPr>
          <w:rFonts w:ascii="Arial" w:cs="Arial" w:eastAsia="Arial" w:hAnsi="Arial"/>
          <w:sz w:val="15"/>
          <w:szCs w:val="15"/>
          <w:color w:val="auto"/>
        </w:rPr>
        <w:t>Airlines Holdings, Inc. and its subsidiaries and have been prepared in accordance with U.S. Generally Accepted Accounting Principles (“GAAP”). All material intercompany balances and transactions have been eliminated in consolidation.</w:t>
      </w:r>
    </w:p>
    <w:p>
      <w:pPr>
        <w:spacing w:after="0" w:line="10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Company operates its fiscal year on a calendar year basis.</w:t>
      </w:r>
    </w:p>
    <w:p>
      <w:pPr>
        <w:spacing w:after="0" w:line="109" w:lineRule="exact"/>
        <w:rPr>
          <w:sz w:val="20"/>
          <w:szCs w:val="20"/>
          <w:color w:val="auto"/>
        </w:rPr>
      </w:pPr>
    </w:p>
    <w:p>
      <w:pPr>
        <w:ind w:left="1160" w:right="1199" w:firstLine="293"/>
        <w:spacing w:after="0" w:line="275" w:lineRule="auto"/>
        <w:rPr>
          <w:sz w:val="20"/>
          <w:szCs w:val="20"/>
          <w:color w:val="auto"/>
        </w:rPr>
      </w:pPr>
      <w:r>
        <w:rPr>
          <w:rFonts w:ascii="Arial" w:cs="Arial" w:eastAsia="Arial" w:hAnsi="Arial"/>
          <w:sz w:val="13"/>
          <w:szCs w:val="13"/>
          <w:b w:val="1"/>
          <w:bCs w:val="1"/>
          <w:color w:val="auto"/>
        </w:rPr>
        <w:t>Use of Estimates—</w:t>
      </w:r>
      <w:r>
        <w:rPr>
          <w:rFonts w:ascii="Arial" w:cs="Arial" w:eastAsia="Arial" w:hAnsi="Arial"/>
          <w:sz w:val="13"/>
          <w:szCs w:val="13"/>
          <w:color w:val="auto"/>
        </w:rPr>
        <w:t>Preparation of the financial statements in conformity with GAAP requires</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to make estimates and assumptions that affect the reported amounts of assets and liabilities and the disclosure of contingent assets and liabilities at the date of the financial statements and the reported amounts of revenues and expenses during the reporting periods. Actual results could differ from those estimates. Significant items subject to such estimates and assumptions include the useful lives of acquired fixed assets and acquired intangibles, maintenance deposits, loyalty program liabilities, passenger revenue breakage, valuation of derivative positions, valuation of warrants issued to Amazon, and income taxes.</w:t>
      </w:r>
    </w:p>
    <w:p>
      <w:pPr>
        <w:spacing w:after="0" w:line="75" w:lineRule="exact"/>
        <w:rPr>
          <w:sz w:val="20"/>
          <w:szCs w:val="20"/>
          <w:color w:val="auto"/>
        </w:rPr>
      </w:pPr>
    </w:p>
    <w:p>
      <w:pPr>
        <w:ind w:left="1160" w:right="1199" w:firstLine="293"/>
        <w:spacing w:after="0" w:line="241" w:lineRule="auto"/>
        <w:rPr>
          <w:sz w:val="20"/>
          <w:szCs w:val="20"/>
          <w:color w:val="auto"/>
        </w:rPr>
      </w:pPr>
      <w:r>
        <w:rPr>
          <w:rFonts w:ascii="Arial" w:cs="Arial" w:eastAsia="Arial" w:hAnsi="Arial"/>
          <w:sz w:val="15"/>
          <w:szCs w:val="15"/>
          <w:b w:val="1"/>
          <w:bCs w:val="1"/>
          <w:color w:val="auto"/>
        </w:rPr>
        <w:t>Change in Presentation—</w:t>
      </w:r>
      <w:r>
        <w:rPr>
          <w:rFonts w:ascii="Arial" w:cs="Arial" w:eastAsia="Arial" w:hAnsi="Arial"/>
          <w:sz w:val="15"/>
          <w:szCs w:val="15"/>
          <w:color w:val="auto"/>
        </w:rPr>
        <w:t>The Company changed the prior year presentations within the Consolidated</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Statements of Cash Flows to present the change in Accrued Transportation Taxes on its own line, which was previously included in the change in Other Liabilities.</w:t>
      </w:r>
    </w:p>
    <w:p>
      <w:pPr>
        <w:spacing w:after="0" w:line="151" w:lineRule="exact"/>
        <w:rPr>
          <w:sz w:val="20"/>
          <w:szCs w:val="20"/>
          <w:color w:val="auto"/>
        </w:rPr>
      </w:pPr>
    </w:p>
    <w:p>
      <w:pPr>
        <w:ind w:left="1160" w:right="1579"/>
        <w:spacing w:after="0" w:line="254" w:lineRule="auto"/>
        <w:rPr>
          <w:sz w:val="20"/>
          <w:szCs w:val="20"/>
          <w:color w:val="auto"/>
        </w:rPr>
      </w:pPr>
      <w:r>
        <w:rPr>
          <w:rFonts w:ascii="Arial" w:cs="Arial" w:eastAsia="Arial" w:hAnsi="Arial"/>
          <w:sz w:val="15"/>
          <w:szCs w:val="15"/>
          <w:b w:val="1"/>
          <w:bCs w:val="1"/>
          <w:color w:val="auto"/>
        </w:rPr>
        <w:t>A summary of significant accounting policies consistently applied in the preparation of the accompanying financial statements is as follows:</w:t>
      </w:r>
    </w:p>
    <w:p>
      <w:pPr>
        <w:spacing w:after="0" w:line="85" w:lineRule="exact"/>
        <w:rPr>
          <w:sz w:val="20"/>
          <w:szCs w:val="20"/>
          <w:color w:val="auto"/>
        </w:rPr>
      </w:pPr>
    </w:p>
    <w:p>
      <w:pPr>
        <w:ind w:left="1160" w:right="1199" w:firstLine="293"/>
        <w:spacing w:after="0" w:line="238" w:lineRule="auto"/>
        <w:rPr>
          <w:sz w:val="20"/>
          <w:szCs w:val="20"/>
          <w:color w:val="auto"/>
        </w:rPr>
      </w:pPr>
      <w:r>
        <w:rPr>
          <w:rFonts w:ascii="Arial" w:cs="Arial" w:eastAsia="Arial" w:hAnsi="Arial"/>
          <w:sz w:val="15"/>
          <w:szCs w:val="15"/>
          <w:b w:val="1"/>
          <w:bCs w:val="1"/>
          <w:color w:val="auto"/>
        </w:rPr>
        <w:t>Cash and Equivalents—</w:t>
      </w:r>
      <w:r>
        <w:rPr>
          <w:rFonts w:ascii="Arial" w:cs="Arial" w:eastAsia="Arial" w:hAnsi="Arial"/>
          <w:sz w:val="15"/>
          <w:szCs w:val="15"/>
          <w:color w:val="auto"/>
        </w:rPr>
        <w:t>The Company considers all highly liquid investments with an original maturity</w:t>
      </w:r>
      <w:r>
        <w:rPr>
          <w:rFonts w:ascii="Arial" w:cs="Arial" w:eastAsia="Arial" w:hAnsi="Arial"/>
          <w:sz w:val="15"/>
          <w:szCs w:val="15"/>
          <w:b w:val="1"/>
          <w:bCs w:val="1"/>
          <w:color w:val="auto"/>
        </w:rPr>
        <w:t xml:space="preserve"> </w:t>
      </w:r>
      <w:r>
        <w:rPr>
          <w:rFonts w:ascii="Arial" w:cs="Arial" w:eastAsia="Arial" w:hAnsi="Arial"/>
          <w:sz w:val="15"/>
          <w:szCs w:val="15"/>
          <w:color w:val="auto"/>
        </w:rPr>
        <w:t>of three months or less to be cash equivalents. The Company maintains cash balances at several financial institutions; at times, such balances may be in excess of insurance limits. The Company has not experienced any losses on these balances.</w:t>
      </w:r>
    </w:p>
    <w:p>
      <w:pPr>
        <w:spacing w:after="0" w:line="85" w:lineRule="exact"/>
        <w:rPr>
          <w:sz w:val="20"/>
          <w:szCs w:val="20"/>
          <w:color w:val="auto"/>
        </w:rPr>
      </w:pPr>
    </w:p>
    <w:p>
      <w:pPr>
        <w:jc w:val="both"/>
        <w:ind w:left="1160" w:right="1339" w:firstLine="293"/>
        <w:spacing w:after="0" w:line="236" w:lineRule="auto"/>
        <w:rPr>
          <w:sz w:val="20"/>
          <w:szCs w:val="20"/>
          <w:color w:val="auto"/>
        </w:rPr>
      </w:pPr>
      <w:r>
        <w:rPr>
          <w:rFonts w:ascii="Arial" w:cs="Arial" w:eastAsia="Arial" w:hAnsi="Arial"/>
          <w:sz w:val="15"/>
          <w:szCs w:val="15"/>
          <w:b w:val="1"/>
          <w:bCs w:val="1"/>
          <w:color w:val="auto"/>
        </w:rPr>
        <w:t>Restricted Cash—</w:t>
      </w:r>
      <w:r>
        <w:rPr>
          <w:rFonts w:ascii="Arial" w:cs="Arial" w:eastAsia="Arial" w:hAnsi="Arial"/>
          <w:sz w:val="15"/>
          <w:szCs w:val="15"/>
          <w:color w:val="auto"/>
        </w:rPr>
        <w:t>Charter revenue receipts received prior to the date of transportation are recorded as</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Cash and as a component of the Air Traffic Liabilities. Department of Transportation (“DOT”) regulations require that charter revenue receipts received prior to the date of transportation are maintained in a separate third - party escrow account and the restrictions are released once transportation is provided, which is typically within 12 months of booking.</w:t>
      </w:r>
    </w:p>
    <w:p>
      <w:pPr>
        <w:spacing w:after="0" w:line="97" w:lineRule="exact"/>
        <w:rPr>
          <w:sz w:val="20"/>
          <w:szCs w:val="20"/>
          <w:color w:val="auto"/>
        </w:rPr>
      </w:pPr>
    </w:p>
    <w:p>
      <w:pPr>
        <w:ind w:left="1160" w:right="1379" w:firstLine="293"/>
        <w:spacing w:after="0" w:line="267" w:lineRule="auto"/>
        <w:rPr>
          <w:sz w:val="20"/>
          <w:szCs w:val="20"/>
          <w:color w:val="auto"/>
        </w:rPr>
      </w:pPr>
      <w:r>
        <w:rPr>
          <w:rFonts w:ascii="Arial" w:cs="Arial" w:eastAsia="Arial" w:hAnsi="Arial"/>
          <w:sz w:val="14"/>
          <w:szCs w:val="14"/>
          <w:b w:val="1"/>
          <w:bCs w:val="1"/>
          <w:color w:val="auto"/>
        </w:rPr>
        <w:t>Investments—</w:t>
      </w:r>
      <w:r>
        <w:rPr>
          <w:rFonts w:ascii="Arial" w:cs="Arial" w:eastAsia="Arial" w:hAnsi="Arial"/>
          <w:sz w:val="14"/>
          <w:szCs w:val="14"/>
          <w:color w:val="auto"/>
        </w:rPr>
        <w:t>Investments consist of certificates of deposit and are recorded at cost, plus accrued</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The certificates of deposit serve as collateral for letters of credit required by various airports and other vendors. All of the certificates have original maturities greater than 90 days.</w:t>
      </w:r>
    </w:p>
    <w:p>
      <w:pPr>
        <w:spacing w:after="0" w:line="78" w:lineRule="exact"/>
        <w:rPr>
          <w:sz w:val="20"/>
          <w:szCs w:val="20"/>
          <w:color w:val="auto"/>
        </w:rPr>
      </w:pPr>
    </w:p>
    <w:p>
      <w:pPr>
        <w:ind w:left="1160" w:right="1319" w:firstLine="293"/>
        <w:spacing w:after="0" w:line="234" w:lineRule="auto"/>
        <w:rPr>
          <w:sz w:val="20"/>
          <w:szCs w:val="20"/>
          <w:color w:val="auto"/>
        </w:rPr>
      </w:pPr>
      <w:r>
        <w:rPr>
          <w:rFonts w:ascii="Arial" w:cs="Arial" w:eastAsia="Arial" w:hAnsi="Arial"/>
          <w:sz w:val="15"/>
          <w:szCs w:val="15"/>
          <w:b w:val="1"/>
          <w:bCs w:val="1"/>
          <w:color w:val="auto"/>
        </w:rPr>
        <w:t>Accounts Receivable—</w:t>
      </w:r>
      <w:r>
        <w:rPr>
          <w:rFonts w:ascii="Arial" w:cs="Arial" w:eastAsia="Arial" w:hAnsi="Arial"/>
          <w:sz w:val="15"/>
          <w:szCs w:val="15"/>
          <w:color w:val="auto"/>
        </w:rPr>
        <w:t>Accounts receivable are recorded at the amount due from customers and do not</w:t>
      </w:r>
      <w:r>
        <w:rPr>
          <w:rFonts w:ascii="Arial" w:cs="Arial" w:eastAsia="Arial" w:hAnsi="Arial"/>
          <w:sz w:val="15"/>
          <w:szCs w:val="15"/>
          <w:b w:val="1"/>
          <w:bCs w:val="1"/>
          <w:color w:val="auto"/>
        </w:rPr>
        <w:t xml:space="preserve"> </w:t>
      </w:r>
      <w:r>
        <w:rPr>
          <w:rFonts w:ascii="Arial" w:cs="Arial" w:eastAsia="Arial" w:hAnsi="Arial"/>
          <w:sz w:val="15"/>
          <w:szCs w:val="15"/>
          <w:color w:val="auto"/>
        </w:rPr>
        <w:t>bear interest. They consist primarily of amounts due from Amazon, credit card companies associated with ticket sales and charter service customers. The balances at December 31, 2020 and 2019 also included $2,178 and $5,862, respectively, due from aircraft lessors related to maintenance deposits. Accounts outstanding longer than the contractual payment terms are considered past due. SCA determines its allowances for credit losses by considering a number of factors, including the length of time accounts receivable are past due,</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5" w:name="page206"/>
    <w:bookmarkEnd w:id="205"/>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19"/>
        <w:spacing w:after="0" w:line="274" w:lineRule="auto"/>
        <w:rPr>
          <w:sz w:val="20"/>
          <w:szCs w:val="20"/>
          <w:color w:val="auto"/>
        </w:rPr>
      </w:pPr>
      <w:r>
        <w:rPr>
          <w:rFonts w:ascii="Arial" w:cs="Arial" w:eastAsia="Arial" w:hAnsi="Arial"/>
          <w:sz w:val="14"/>
          <w:szCs w:val="14"/>
          <w:color w:val="auto"/>
        </w:rPr>
        <w:t>SCA’s previous loss history, the customer’s current ability to pay its obligation to SCA, and the condition of the general economy and the industry as a whole. During the years ended December 31, 2020 and 2019, $982 and $343 in accounts receivable were written off, respectively. No accounts were written off during the periods from April 11, 2018 to December 31, 2018 or from January 1, 2018 to April 10, 2018.</w:t>
      </w:r>
    </w:p>
    <w:p>
      <w:pPr>
        <w:spacing w:after="0" w:line="74"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b w:val="1"/>
          <w:bCs w:val="1"/>
          <w:color w:val="auto"/>
        </w:rPr>
        <w:t>Lessor Maintenance Deposits—</w:t>
      </w:r>
      <w:r>
        <w:rPr>
          <w:rFonts w:ascii="Arial" w:cs="Arial" w:eastAsia="Arial" w:hAnsi="Arial"/>
          <w:sz w:val="15"/>
          <w:szCs w:val="15"/>
          <w:color w:val="auto"/>
        </w:rPr>
        <w:t>SCA’s aircraft lease agreements provide that SCA pay maintenance</w:t>
      </w:r>
      <w:r>
        <w:rPr>
          <w:rFonts w:ascii="Arial" w:cs="Arial" w:eastAsia="Arial" w:hAnsi="Arial"/>
          <w:sz w:val="15"/>
          <w:szCs w:val="15"/>
          <w:b w:val="1"/>
          <w:bCs w:val="1"/>
          <w:color w:val="auto"/>
        </w:rPr>
        <w:t xml:space="preserve"> </w:t>
      </w:r>
      <w:r>
        <w:rPr>
          <w:rFonts w:ascii="Arial" w:cs="Arial" w:eastAsia="Arial" w:hAnsi="Arial"/>
          <w:sz w:val="15"/>
          <w:szCs w:val="15"/>
          <w:color w:val="auto"/>
        </w:rPr>
        <w:t>reserves monthly to aircraft lessors to be held as collateral in advance of major maintenance activities required to be performed by SCA. Maintenance reserve payments are variable based on actual flight hours or cycles. These lease agreements provide that maintenance reserves are reimbursable to SCA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108" w:lineRule="exact"/>
        <w:rPr>
          <w:sz w:val="20"/>
          <w:szCs w:val="20"/>
          <w:color w:val="auto"/>
        </w:rPr>
      </w:pPr>
    </w:p>
    <w:p>
      <w:pPr>
        <w:ind w:left="1160" w:right="1599" w:firstLine="293"/>
        <w:spacing w:after="0" w:line="271" w:lineRule="auto"/>
        <w:rPr>
          <w:sz w:val="20"/>
          <w:szCs w:val="20"/>
          <w:color w:val="auto"/>
        </w:rPr>
      </w:pPr>
      <w:r>
        <w:rPr>
          <w:rFonts w:ascii="Arial" w:cs="Arial" w:eastAsia="Arial" w:hAnsi="Arial"/>
          <w:sz w:val="14"/>
          <w:szCs w:val="14"/>
          <w:color w:val="auto"/>
        </w:rPr>
        <w:t>Maintenance reserve payments that are expected to be recoverable via reimbursable expenses are reflected as Lessor Maintenance Deposits on the accompanying Consolidated Balance Sheets. These deposits are expected to be reimbursed to SCA upon performance of maintenance activities. Upon completion of the maintenance event, the lessor is billed and the amount due is recorded in Account Receivable. Amounts not deemed probable of recovery are expensed as incurred.</w:t>
      </w:r>
    </w:p>
    <w:p>
      <w:pPr>
        <w:spacing w:after="0" w:line="91"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At the Acquisition Date, the Company established a contra-asset to represent the Company’s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91" w:lineRule="exact"/>
        <w:rPr>
          <w:sz w:val="20"/>
          <w:szCs w:val="20"/>
          <w:color w:val="auto"/>
        </w:rPr>
      </w:pPr>
    </w:p>
    <w:p>
      <w:pPr>
        <w:ind w:left="1160" w:right="1319" w:firstLine="293"/>
        <w:spacing w:after="0" w:line="271" w:lineRule="auto"/>
        <w:rPr>
          <w:sz w:val="20"/>
          <w:szCs w:val="20"/>
          <w:color w:val="auto"/>
        </w:rPr>
      </w:pPr>
      <w:r>
        <w:rPr>
          <w:rFonts w:ascii="Arial" w:cs="Arial" w:eastAsia="Arial" w:hAnsi="Arial"/>
          <w:sz w:val="14"/>
          <w:szCs w:val="14"/>
          <w:color w:val="auto"/>
        </w:rPr>
        <w:t>The Company’s lease agreements entered into subsequent to the Acquisition Date are structured to allow SCA to access and recover the unused maintenance reserve payments. As such, maintenance reserve payments related to these lease agreements are expected to be recovered in full and are reflected as Lessor Maintenance Deposits on the accompanying Consolidated Balance Sheets. Maintenance reserve payments related to seasonal aircraft are expensed when incurred.</w:t>
      </w:r>
    </w:p>
    <w:p>
      <w:pPr>
        <w:spacing w:after="0" w:line="8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b w:val="1"/>
          <w:bCs w:val="1"/>
          <w:color w:val="auto"/>
        </w:rPr>
        <w:t>Inventory—</w:t>
      </w:r>
      <w:r>
        <w:rPr>
          <w:rFonts w:ascii="Arial" w:cs="Arial" w:eastAsia="Arial" w:hAnsi="Arial"/>
          <w:sz w:val="15"/>
          <w:szCs w:val="15"/>
          <w:color w:val="auto"/>
        </w:rPr>
        <w:t>Parts related to flight equipment, which cannot be economically repaired, reconditioned or</w:t>
      </w:r>
      <w:r>
        <w:rPr>
          <w:rFonts w:ascii="Arial" w:cs="Arial" w:eastAsia="Arial" w:hAnsi="Arial"/>
          <w:sz w:val="15"/>
          <w:szCs w:val="15"/>
          <w:b w:val="1"/>
          <w:bCs w:val="1"/>
          <w:color w:val="auto"/>
        </w:rPr>
        <w:t xml:space="preserve"> </w:t>
      </w:r>
      <w:r>
        <w:rPr>
          <w:rFonts w:ascii="Arial" w:cs="Arial" w:eastAsia="Arial" w:hAnsi="Arial"/>
          <w:sz w:val="15"/>
          <w:szCs w:val="15"/>
          <w:color w:val="auto"/>
        </w:rPr>
        <w:t>reused after removal from the aircraft, are carried at average cost and charged to operations as consumed. An allowance for obsolescence is provided over the remaining useful life of the related fleet for spare parts expected to be on hand at the date that aircraft type is retired from service. SCA also provides an allowance for parts identified as excess to reduce the carrying costs to the lower of cost or net realizable value. These parts are assumed to have an estimated residual value of 10% of the original cost. Depreciation Expense was $481 and $426 for the years ended December 31, 2020 and 2019, respectively and $308 and $92 for the period April 11, 2018 through December 31, 2018 and the period January 1, 2018 through April 10, 2018, respectively.</w:t>
      </w:r>
    </w:p>
    <w:p>
      <w:pPr>
        <w:spacing w:after="0" w:line="105" w:lineRule="exact"/>
        <w:rPr>
          <w:sz w:val="20"/>
          <w:szCs w:val="20"/>
          <w:color w:val="auto"/>
        </w:rPr>
      </w:pPr>
    </w:p>
    <w:p>
      <w:pPr>
        <w:ind w:left="1160" w:right="1259" w:firstLine="293"/>
        <w:spacing w:after="0" w:line="257" w:lineRule="auto"/>
        <w:rPr>
          <w:sz w:val="20"/>
          <w:szCs w:val="20"/>
          <w:color w:val="auto"/>
        </w:rPr>
      </w:pPr>
      <w:r>
        <w:rPr>
          <w:rFonts w:ascii="Arial" w:cs="Arial" w:eastAsia="Arial" w:hAnsi="Arial"/>
          <w:sz w:val="15"/>
          <w:szCs w:val="15"/>
          <w:b w:val="1"/>
          <w:bCs w:val="1"/>
          <w:color w:val="auto"/>
        </w:rPr>
        <w:t>Property &amp; Equipment—</w:t>
      </w:r>
      <w:r>
        <w:rPr>
          <w:rFonts w:ascii="Arial" w:cs="Arial" w:eastAsia="Arial" w:hAnsi="Arial"/>
          <w:sz w:val="15"/>
          <w:szCs w:val="15"/>
          <w:color w:val="auto"/>
        </w:rPr>
        <w:t>Property and equipment are recorded at cost or fair value at the Acquisition</w:t>
      </w:r>
      <w:r>
        <w:rPr>
          <w:rFonts w:ascii="Arial" w:cs="Arial" w:eastAsia="Arial" w:hAnsi="Arial"/>
          <w:sz w:val="15"/>
          <w:szCs w:val="15"/>
          <w:b w:val="1"/>
          <w:bCs w:val="1"/>
          <w:color w:val="auto"/>
        </w:rPr>
        <w:t xml:space="preserve"> </w:t>
      </w:r>
      <w:r>
        <w:rPr>
          <w:rFonts w:ascii="Arial" w:cs="Arial" w:eastAsia="Arial" w:hAnsi="Arial"/>
          <w:sz w:val="15"/>
          <w:szCs w:val="15"/>
          <w:color w:val="auto"/>
        </w:rPr>
        <w:t>Date and depreciated on a straight-line basis to an estimated residual value over their estimated useful lives or lease term, whichever is shorter,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6" w:name="page207"/>
    <w:bookmarkEnd w:id="206"/>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99"/>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ectPr>
          <w:pgSz w:w="11900" w:h="16838" w:orient="portrait"/>
          <w:cols w:equalWidth="0" w:num="1">
            <w:col w:w="9019"/>
          </w:cols>
          <w:pgMar w:left="1440" w:top="134" w:right="1440" w:bottom="1440" w:gutter="0" w:footer="0" w:header="0"/>
        </w:sectPr>
      </w:pP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Airframes</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Engines—Core</w:t>
      </w:r>
    </w:p>
    <w:p>
      <w:pPr>
        <w:spacing w:after="0" w:line="25" w:lineRule="exact"/>
        <w:rPr>
          <w:sz w:val="20"/>
          <w:szCs w:val="20"/>
          <w:color w:val="auto"/>
        </w:rPr>
      </w:pPr>
    </w:p>
    <w:p>
      <w:pPr>
        <w:ind w:left="1160"/>
        <w:spacing w:after="0" w:line="300" w:lineRule="auto"/>
        <w:rPr>
          <w:sz w:val="20"/>
          <w:szCs w:val="20"/>
          <w:color w:val="auto"/>
        </w:rPr>
      </w:pPr>
      <w:r>
        <w:rPr>
          <w:rFonts w:ascii="Arial" w:cs="Arial" w:eastAsia="Arial" w:hAnsi="Arial"/>
          <w:sz w:val="14"/>
          <w:szCs w:val="14"/>
          <w:color w:val="auto"/>
        </w:rPr>
        <w:t>Engines—Initial Greentime (time remaining until the first scheduled major maintenance event)</w:t>
      </w:r>
    </w:p>
    <w:p>
      <w:pPr>
        <w:spacing w:after="0" w:line="4" w:lineRule="exact"/>
        <w:rPr>
          <w:sz w:val="20"/>
          <w:szCs w:val="20"/>
          <w:color w:val="auto"/>
        </w:rPr>
      </w:pPr>
    </w:p>
    <w:p>
      <w:pPr>
        <w:ind w:left="1160" w:right="520"/>
        <w:spacing w:after="0" w:line="305" w:lineRule="auto"/>
        <w:rPr>
          <w:sz w:val="20"/>
          <w:szCs w:val="20"/>
          <w:color w:val="auto"/>
        </w:rPr>
      </w:pPr>
      <w:r>
        <w:rPr>
          <w:rFonts w:ascii="Arial" w:cs="Arial" w:eastAsia="Arial" w:hAnsi="Arial"/>
          <w:sz w:val="15"/>
          <w:szCs w:val="15"/>
          <w:color w:val="auto"/>
        </w:rPr>
        <w:t>Leasehold Improvements, Aircraft, other Office and Ground Equipment Computer Hardware and Software</w:t>
      </w:r>
    </w:p>
    <w:p>
      <w:pPr>
        <w:spacing w:after="0" w:line="2" w:lineRule="exact"/>
        <w:rPr>
          <w:sz w:val="20"/>
          <w:szCs w:val="20"/>
          <w:color w:val="auto"/>
        </w:rPr>
      </w:pPr>
    </w:p>
    <w:p>
      <w:pPr>
        <w:ind w:left="1160" w:right="180"/>
        <w:spacing w:after="0" w:line="325" w:lineRule="auto"/>
        <w:rPr>
          <w:sz w:val="20"/>
          <w:szCs w:val="20"/>
          <w:color w:val="auto"/>
        </w:rPr>
      </w:pPr>
      <w:r>
        <w:rPr>
          <w:rFonts w:ascii="Arial" w:cs="Arial" w:eastAsia="Arial" w:hAnsi="Arial"/>
          <w:sz w:val="15"/>
          <w:szCs w:val="15"/>
          <w:color w:val="auto"/>
        </w:rPr>
        <w:t>Property and Equipment under Finance Leases Rotable Parts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10-25 years (depending on age)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7 or 12 years (based on remaining cycles)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1st scheduled maintenance event</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3-25 years (or life of lease, if shorter)</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5-7 years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3-5 years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3-25 years (or life of lease, if shorter)</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6-16 years (average remaining life of aircraft fleet)</w:t>
      </w:r>
    </w:p>
    <w:p>
      <w:pPr>
        <w:spacing w:after="0" w:line="135" w:lineRule="exact"/>
        <w:rPr>
          <w:sz w:val="20"/>
          <w:szCs w:val="20"/>
          <w:color w:val="auto"/>
        </w:rPr>
      </w:pPr>
    </w:p>
    <w:p>
      <w:pPr>
        <w:sectPr>
          <w:pgSz w:w="11900" w:h="16838" w:orient="portrait"/>
          <w:cols w:equalWidth="0" w:num="2">
            <w:col w:w="4200" w:space="400"/>
            <w:col w:w="4419"/>
          </w:cols>
          <w:pgMar w:left="1440" w:top="134" w:right="1440" w:bottom="1440" w:gutter="0" w:footer="0" w:header="0"/>
          <w:type w:val="continuous"/>
        </w:sectPr>
      </w:pPr>
    </w:p>
    <w:p>
      <w:pPr>
        <w:ind w:left="1160" w:right="1219" w:firstLine="293"/>
        <w:spacing w:after="0" w:line="236" w:lineRule="auto"/>
        <w:rPr>
          <w:sz w:val="20"/>
          <w:szCs w:val="20"/>
          <w:color w:val="auto"/>
        </w:rPr>
      </w:pPr>
      <w:r>
        <w:rPr>
          <w:rFonts w:ascii="Arial" w:cs="Arial" w:eastAsia="Arial" w:hAnsi="Arial"/>
          <w:sz w:val="15"/>
          <w:szCs w:val="15"/>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102" w:lineRule="exact"/>
        <w:rPr>
          <w:sz w:val="20"/>
          <w:szCs w:val="20"/>
          <w:color w:val="auto"/>
        </w:rPr>
      </w:pPr>
    </w:p>
    <w:p>
      <w:pPr>
        <w:ind w:left="1160" w:right="1299" w:firstLine="293"/>
        <w:spacing w:after="0" w:line="279" w:lineRule="auto"/>
        <w:rPr>
          <w:sz w:val="20"/>
          <w:szCs w:val="20"/>
          <w:color w:val="auto"/>
        </w:rPr>
      </w:pPr>
      <w:r>
        <w:rPr>
          <w:rFonts w:ascii="Arial" w:cs="Arial" w:eastAsia="Arial" w:hAnsi="Arial"/>
          <w:sz w:val="13"/>
          <w:szCs w:val="13"/>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Finance leases are recorded at net present value of future minimum lease payments.</w:t>
      </w:r>
    </w:p>
    <w:p>
      <w:pPr>
        <w:spacing w:after="0" w:line="124"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The Company depreciates Rotable Parts to an estimated residual value using the pooling life method. Depreciation under the pooling life method is calculated over the estimated average useful life of the related aircraft.</w:t>
      </w:r>
    </w:p>
    <w:p>
      <w:pPr>
        <w:spacing w:after="0" w:line="96" w:lineRule="exact"/>
        <w:rPr>
          <w:sz w:val="20"/>
          <w:szCs w:val="20"/>
          <w:color w:val="auto"/>
        </w:rPr>
      </w:pPr>
    </w:p>
    <w:p>
      <w:pPr>
        <w:ind w:left="1160" w:right="1279" w:firstLine="293"/>
        <w:spacing w:after="0" w:line="250" w:lineRule="auto"/>
        <w:rPr>
          <w:sz w:val="20"/>
          <w:szCs w:val="20"/>
          <w:color w:val="auto"/>
        </w:rPr>
      </w:pPr>
      <w:r>
        <w:rPr>
          <w:rFonts w:ascii="Arial" w:cs="Arial" w:eastAsia="Arial" w:hAnsi="Arial"/>
          <w:sz w:val="14"/>
          <w:szCs w:val="14"/>
          <w:b w:val="1"/>
          <w:bCs w:val="1"/>
          <w:color w:val="auto"/>
        </w:rPr>
        <w:t>Evaluation of Long-Lived Assets—</w:t>
      </w:r>
      <w:r>
        <w:rPr>
          <w:rFonts w:ascii="Arial" w:cs="Arial" w:eastAsia="Arial" w:hAnsi="Arial"/>
          <w:sz w:val="14"/>
          <w:szCs w:val="14"/>
          <w:color w:val="auto"/>
        </w:rPr>
        <w:t>Long-lived assets, such as Property &amp; Equipment and finite-lived</w:t>
      </w:r>
      <w:r>
        <w:rPr>
          <w:rFonts w:ascii="Arial" w:cs="Arial" w:eastAsia="Arial" w:hAnsi="Arial"/>
          <w:sz w:val="14"/>
          <w:szCs w:val="14"/>
          <w:b w:val="1"/>
          <w:bCs w:val="1"/>
          <w:color w:val="auto"/>
        </w:rPr>
        <w:t xml:space="preserve"> </w:t>
      </w:r>
      <w:r>
        <w:rPr>
          <w:rFonts w:ascii="Arial" w:cs="Arial" w:eastAsia="Arial" w:hAnsi="Arial"/>
          <w:sz w:val="14"/>
          <w:szCs w:val="14"/>
          <w:color w:val="auto"/>
        </w:rPr>
        <w:t>Intangible Assets are reviewed for impairment whenever events or changes in circumstances indicate that the carrying amount of an asset may not be recoverable. If circumstances require a long-lived asset or asset group be tested for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 -party independent appraisals, as considered necessary. No impairment losses were recognized during the years ended December 31, 2020 or 2019 or for the periods April 11, 2018 to December 31, 2018 and January 1, 2018 to April 10, 2018. See Note 3—Impact of the COVID-19 Pandemic.</w:t>
      </w:r>
    </w:p>
    <w:p>
      <w:pPr>
        <w:spacing w:after="0" w:line="78" w:lineRule="exact"/>
        <w:rPr>
          <w:sz w:val="20"/>
          <w:szCs w:val="20"/>
          <w:color w:val="auto"/>
        </w:rPr>
      </w:pPr>
    </w:p>
    <w:p>
      <w:pPr>
        <w:ind w:left="1160" w:right="1319" w:firstLine="293"/>
        <w:spacing w:after="0" w:line="238" w:lineRule="auto"/>
        <w:rPr>
          <w:sz w:val="20"/>
          <w:szCs w:val="20"/>
          <w:color w:val="auto"/>
        </w:rPr>
      </w:pPr>
      <w:r>
        <w:rPr>
          <w:rFonts w:ascii="Arial" w:cs="Arial" w:eastAsia="Arial" w:hAnsi="Arial"/>
          <w:sz w:val="15"/>
          <w:szCs w:val="15"/>
          <w:b w:val="1"/>
          <w:bCs w:val="1"/>
          <w:color w:val="auto"/>
        </w:rPr>
        <w:t>Equity Incentive Plan—</w:t>
      </w:r>
      <w:r>
        <w:rPr>
          <w:rFonts w:ascii="Arial" w:cs="Arial" w:eastAsia="Arial" w:hAnsi="Arial"/>
          <w:sz w:val="15"/>
          <w:szCs w:val="15"/>
          <w:color w:val="auto"/>
        </w:rPr>
        <w:t>The Company recognizes all employee equity- based compensation as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Consolidated Financial Statements over the requisite service period. The Company has elected to account for forfeitures as they occur, rather than forecasting the future forfeitures. See Note 11 for further information on the Equity Incentive Plan.</w:t>
      </w:r>
    </w:p>
    <w:p>
      <w:pPr>
        <w:spacing w:after="0" w:line="96" w:lineRule="exact"/>
        <w:rPr>
          <w:sz w:val="20"/>
          <w:szCs w:val="20"/>
          <w:color w:val="auto"/>
        </w:rPr>
      </w:pPr>
    </w:p>
    <w:p>
      <w:pPr>
        <w:ind w:left="1160" w:right="1299" w:firstLine="293"/>
        <w:spacing w:after="0" w:line="256" w:lineRule="auto"/>
        <w:rPr>
          <w:sz w:val="20"/>
          <w:szCs w:val="20"/>
          <w:color w:val="auto"/>
        </w:rPr>
      </w:pPr>
      <w:r>
        <w:rPr>
          <w:rFonts w:ascii="Arial" w:cs="Arial" w:eastAsia="Arial" w:hAnsi="Arial"/>
          <w:sz w:val="14"/>
          <w:szCs w:val="14"/>
          <w:b w:val="1"/>
          <w:bCs w:val="1"/>
          <w:color w:val="auto"/>
        </w:rPr>
        <w:t>Stockholders’ Equity—</w:t>
      </w:r>
      <w:r>
        <w:rPr>
          <w:rFonts w:ascii="Arial" w:cs="Arial" w:eastAsia="Arial" w:hAnsi="Arial"/>
          <w:sz w:val="14"/>
          <w:szCs w:val="14"/>
          <w:color w:val="auto"/>
        </w:rPr>
        <w:t>As of the Acquisition Date, the Company issued 5,326,755 shares of Common</w:t>
      </w:r>
      <w:r>
        <w:rPr>
          <w:rFonts w:ascii="Arial" w:cs="Arial" w:eastAsia="Arial" w:hAnsi="Arial"/>
          <w:sz w:val="14"/>
          <w:szCs w:val="14"/>
          <w:b w:val="1"/>
          <w:bCs w:val="1"/>
          <w:color w:val="auto"/>
        </w:rPr>
        <w:t xml:space="preserve"> </w:t>
      </w:r>
      <w:r>
        <w:rPr>
          <w:rFonts w:ascii="Arial" w:cs="Arial" w:eastAsia="Arial" w:hAnsi="Arial"/>
          <w:sz w:val="14"/>
          <w:szCs w:val="14"/>
          <w:color w:val="auto"/>
        </w:rPr>
        <w:t>Stock with no par value. Also on the Acquisition Date, the Company issued 40,005,885 warrants to Apollo allowing them to acquire shares of Common Stock of the Company at the exercise price of approximately $0.0005 per share. On January 31, 2020, all 40,005,885 outstanding Apollo warrants were exercised to purchase common stock of SCA Acquisition Holdings, LLC.</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07" w:name="page208"/>
    <w:bookmarkEnd w:id="207"/>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In conjunction with the issuance of 1,416,645 shares of Common Stock in 2018 to two stockholders, the Company issued, recourse promissory notes of $3,500 which are included as Loans to Stockholders on the Consolidated Statements of Changes in Stockholders’ Equity. In February of 2021, the promissory notes were repaid in full with equivalent shares of stock.</w:t>
      </w:r>
    </w:p>
    <w:p>
      <w:pPr>
        <w:spacing w:after="0" w:line="91"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color w:val="auto"/>
        </w:rPr>
        <w:t>As of December 31, 2020, Amazon held approximately 885,052 vested warrants to acquire common stock of the Company at an exercise price of approximately $15.17 per share.</w:t>
      </w:r>
    </w:p>
    <w:p>
      <w:pPr>
        <w:spacing w:after="0" w:line="8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b w:val="1"/>
          <w:bCs w:val="1"/>
          <w:color w:val="auto"/>
        </w:rPr>
        <w:t>Deferred Offering Costs—</w:t>
      </w:r>
      <w:r>
        <w:rPr>
          <w:rFonts w:ascii="Arial" w:cs="Arial" w:eastAsia="Arial" w:hAnsi="Arial"/>
          <w:sz w:val="15"/>
          <w:szCs w:val="15"/>
          <w:color w:val="auto"/>
        </w:rPr>
        <w:t>These consist of legal, accounting and other fees and costs relating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planned Initial Public Offering (“IPO”), and are capitalized and recorded in Other Current Assets on the Consolidated Balance Sheets. The deferred offering costs will be offset against the proceeds received upon the closing of the planned IPO. In the event that the Company’s plans for an IPO are terminated, all of the deferred offering costs will be written off within operating expenses in the Company’s Consolidated Statements of Operations. As of December 31, 2020 and 2019, respectively, $4,552 and $2,268 of deferred offering costs were capitalized.</w:t>
      </w:r>
    </w:p>
    <w:p>
      <w:pPr>
        <w:spacing w:after="0" w:line="104" w:lineRule="exact"/>
        <w:rPr>
          <w:sz w:val="20"/>
          <w:szCs w:val="20"/>
          <w:color w:val="auto"/>
        </w:rPr>
      </w:pPr>
    </w:p>
    <w:p>
      <w:pPr>
        <w:ind w:left="1160" w:right="1239" w:firstLine="293"/>
        <w:spacing w:after="0" w:line="291" w:lineRule="auto"/>
        <w:rPr>
          <w:sz w:val="20"/>
          <w:szCs w:val="20"/>
          <w:color w:val="auto"/>
        </w:rPr>
      </w:pPr>
      <w:r>
        <w:rPr>
          <w:rFonts w:ascii="Arial" w:cs="Arial" w:eastAsia="Arial" w:hAnsi="Arial"/>
          <w:sz w:val="13"/>
          <w:szCs w:val="13"/>
          <w:b w:val="1"/>
          <w:bCs w:val="1"/>
          <w:color w:val="auto"/>
        </w:rPr>
        <w:t>Goodwill and Other Intangible Assets—</w:t>
      </w:r>
      <w:r>
        <w:rPr>
          <w:rFonts w:ascii="Arial" w:cs="Arial" w:eastAsia="Arial" w:hAnsi="Arial"/>
          <w:sz w:val="13"/>
          <w:szCs w:val="13"/>
          <w:color w:val="auto"/>
        </w:rPr>
        <w:t>Goodwill represents the excess purchase price over the</w:t>
      </w:r>
      <w:r>
        <w:rPr>
          <w:rFonts w:ascii="Arial" w:cs="Arial" w:eastAsia="Arial" w:hAnsi="Arial"/>
          <w:sz w:val="13"/>
          <w:szCs w:val="13"/>
          <w:b w:val="1"/>
          <w:bCs w:val="1"/>
          <w:color w:val="auto"/>
        </w:rPr>
        <w:t xml:space="preserve"> </w:t>
      </w:r>
      <w:r>
        <w:rPr>
          <w:rFonts w:ascii="Arial" w:cs="Arial" w:eastAsia="Arial" w:hAnsi="Arial"/>
          <w:sz w:val="13"/>
          <w:szCs w:val="13"/>
          <w:color w:val="auto"/>
        </w:rPr>
        <w:t>estimated fair value of net assets acquired in a business combination. Indefinite-Lived Intangible Assets represents a tradename acquired in a business combination. Goodwill and Other Indefinite-Lived Intangible Assets must be tested for impairment at least annually, or more frequently if events or changes in circumstances indicate that they might be impaired. Goodwill is tested at the reporting unit level. SCA has two reporting units: Passenger Services and Cargo Services. Cargo Services was identified as a separate reporting unit in the fourth quarter of 2020, when all 12 cargo aircraft were in service and SCA’s Chief Operating Decision Maker began to regularly review financial information at the cargo operations level.</w:t>
      </w:r>
    </w:p>
    <w:p>
      <w:pPr>
        <w:spacing w:after="0" w:line="70" w:lineRule="exact"/>
        <w:rPr>
          <w:sz w:val="20"/>
          <w:szCs w:val="20"/>
          <w:color w:val="auto"/>
        </w:rPr>
      </w:pPr>
    </w:p>
    <w:p>
      <w:pPr>
        <w:ind w:left="1160" w:right="1379" w:firstLine="293"/>
        <w:spacing w:after="0" w:line="266" w:lineRule="auto"/>
        <w:rPr>
          <w:sz w:val="20"/>
          <w:szCs w:val="20"/>
          <w:color w:val="auto"/>
        </w:rPr>
      </w:pPr>
      <w:r>
        <w:rPr>
          <w:rFonts w:ascii="Arial" w:cs="Arial" w:eastAsia="Arial" w:hAnsi="Arial"/>
          <w:sz w:val="14"/>
          <w:szCs w:val="14"/>
          <w:color w:val="auto"/>
        </w:rPr>
        <w:t>The value of Goodwill and Other Indefinite-lived Intangible Assets is assessed under either a qualitative or quantitative approach. Under a qualitative approach, SCA considers various market factors, including certain key assumptions, such as the market value of other airlines, fuel prices, the overall economy, passenger yields and changes to the regulatory environment. SCA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97" w:lineRule="exact"/>
        <w:rPr>
          <w:sz w:val="20"/>
          <w:szCs w:val="20"/>
          <w:color w:val="auto"/>
        </w:rPr>
      </w:pPr>
    </w:p>
    <w:p>
      <w:pPr>
        <w:ind w:left="1160" w:right="1299" w:firstLine="293"/>
        <w:spacing w:after="0" w:line="285" w:lineRule="auto"/>
        <w:rPr>
          <w:sz w:val="20"/>
          <w:szCs w:val="20"/>
          <w:color w:val="auto"/>
        </w:rPr>
      </w:pPr>
      <w:r>
        <w:rPr>
          <w:rFonts w:ascii="Arial" w:cs="Arial" w:eastAsia="Arial" w:hAnsi="Arial"/>
          <w:sz w:val="13"/>
          <w:szCs w:val="13"/>
          <w:color w:val="auto"/>
        </w:rPr>
        <w:t>When the Company evaluates Goodwill for impairment using a quantitative approach, the Company estimates the fair value of the consolidated reporting unit by considering both comparable public company multiples (a market approach) and projected discounted future cash flows (an income approach). When the Company performs a quantitative impairment assessment of indefinite-lived intangible assets, fair value is estimated based on (1) recent market transactions, where available, (2) the royalty method for the Sun Country tradename (which assumes hypothetical royalties generated from using SCA’s tradename) or</w:t>
      </w:r>
    </w:p>
    <w:p>
      <w:pPr>
        <w:ind w:left="1160"/>
        <w:spacing w:after="0"/>
        <w:rPr>
          <w:sz w:val="20"/>
          <w:szCs w:val="20"/>
          <w:color w:val="auto"/>
        </w:rPr>
      </w:pPr>
      <w:r>
        <w:rPr>
          <w:rFonts w:ascii="Arial" w:cs="Arial" w:eastAsia="Arial" w:hAnsi="Arial"/>
          <w:sz w:val="15"/>
          <w:szCs w:val="15"/>
          <w:color w:val="auto"/>
        </w:rPr>
        <w:t>(3) projected discounted future cash flows (an income approach).</w:t>
      </w:r>
    </w:p>
    <w:p>
      <w:pPr>
        <w:spacing w:after="0" w:line="113" w:lineRule="exact"/>
        <w:rPr>
          <w:sz w:val="20"/>
          <w:szCs w:val="20"/>
          <w:color w:val="auto"/>
        </w:rPr>
      </w:pPr>
    </w:p>
    <w:p>
      <w:pPr>
        <w:jc w:val="both"/>
        <w:ind w:left="1160" w:right="1219" w:firstLine="293"/>
        <w:spacing w:after="0" w:line="251" w:lineRule="auto"/>
        <w:rPr>
          <w:sz w:val="20"/>
          <w:szCs w:val="20"/>
          <w:color w:val="auto"/>
        </w:rPr>
      </w:pPr>
      <w:r>
        <w:rPr>
          <w:rFonts w:ascii="Arial" w:cs="Arial" w:eastAsia="Arial" w:hAnsi="Arial"/>
          <w:sz w:val="15"/>
          <w:szCs w:val="15"/>
          <w:color w:val="auto"/>
        </w:rPr>
        <w:t>The Company performed its most recent annual Goodwill and Other Indefinite-Lived Intangible Assets impairment analysis as of October 1, 2020 and did not recognize any impairment losses for the years ended December 31, 2020 or 2019 or for the periods April 11, 2018 to December 31, 2018 and January 1, 2018 to April 10, 2018. See Note 3—Impact of the COVID-19 Pandemic.</w:t>
      </w:r>
    </w:p>
    <w:p>
      <w:pPr>
        <w:spacing w:after="0" w:line="87" w:lineRule="exact"/>
        <w:rPr>
          <w:sz w:val="20"/>
          <w:szCs w:val="20"/>
          <w:color w:val="auto"/>
        </w:rPr>
      </w:pPr>
    </w:p>
    <w:p>
      <w:pPr>
        <w:ind w:left="1160" w:right="1559" w:firstLine="293"/>
        <w:spacing w:after="0" w:line="269" w:lineRule="auto"/>
        <w:rPr>
          <w:sz w:val="20"/>
          <w:szCs w:val="20"/>
          <w:color w:val="auto"/>
        </w:rPr>
      </w:pPr>
      <w:r>
        <w:rPr>
          <w:rFonts w:ascii="Arial" w:cs="Arial" w:eastAsia="Arial" w:hAnsi="Arial"/>
          <w:sz w:val="15"/>
          <w:szCs w:val="15"/>
          <w:b w:val="1"/>
          <w:bCs w:val="1"/>
          <w:color w:val="auto"/>
        </w:rPr>
        <w:t>Long-term Debt—</w:t>
      </w:r>
      <w:r>
        <w:rPr>
          <w:rFonts w:ascii="Arial" w:cs="Arial" w:eastAsia="Arial" w:hAnsi="Arial"/>
          <w:sz w:val="15"/>
          <w:szCs w:val="15"/>
          <w:color w:val="auto"/>
        </w:rPr>
        <w:t>Debt finance costs are capitalized and amortized over the term of the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8" w:name="page209"/>
    <w:bookmarkEnd w:id="208"/>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1" w:lineRule="exact"/>
        <w:rPr>
          <w:sz w:val="20"/>
          <w:szCs w:val="20"/>
          <w:color w:val="auto"/>
        </w:rPr>
      </w:pPr>
    </w:p>
    <w:p>
      <w:pPr>
        <w:ind w:left="1160" w:right="1199" w:firstLine="293"/>
        <w:spacing w:after="0" w:line="241" w:lineRule="auto"/>
        <w:rPr>
          <w:sz w:val="20"/>
          <w:szCs w:val="20"/>
          <w:color w:val="auto"/>
        </w:rPr>
      </w:pPr>
      <w:r>
        <w:rPr>
          <w:rFonts w:ascii="Arial" w:cs="Arial" w:eastAsia="Arial" w:hAnsi="Arial"/>
          <w:sz w:val="15"/>
          <w:szCs w:val="15"/>
          <w:b w:val="1"/>
          <w:bCs w:val="1"/>
          <w:color w:val="auto"/>
        </w:rPr>
        <w:t>Revenue Recognition—</w:t>
      </w:r>
      <w:r>
        <w:rPr>
          <w:rFonts w:ascii="Arial" w:cs="Arial" w:eastAsia="Arial" w:hAnsi="Arial"/>
          <w:sz w:val="15"/>
          <w:szCs w:val="15"/>
          <w:color w:val="auto"/>
        </w:rPr>
        <w:t>Scheduled passenger service, charter service, and most ancillary revenues are</w:t>
      </w:r>
      <w:r>
        <w:rPr>
          <w:rFonts w:ascii="Arial" w:cs="Arial" w:eastAsia="Arial" w:hAnsi="Arial"/>
          <w:sz w:val="15"/>
          <w:szCs w:val="15"/>
          <w:b w:val="1"/>
          <w:bCs w:val="1"/>
          <w:color w:val="auto"/>
        </w:rPr>
        <w:t xml:space="preserve"> </w:t>
      </w:r>
      <w:r>
        <w:rPr>
          <w:rFonts w:ascii="Arial" w:cs="Arial" w:eastAsia="Arial" w:hAnsi="Arial"/>
          <w:sz w:val="15"/>
          <w:szCs w:val="15"/>
          <w:color w:val="auto"/>
        </w:rPr>
        <w:t>recognized when the passenger flight occurs. Revenues exclude amounts collected on behalf of other parties including, transportation taxes.</w:t>
      </w:r>
    </w:p>
    <w:p>
      <w:pPr>
        <w:spacing w:after="0" w:line="89"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3"/>
          <w:szCs w:val="13"/>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can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 Due to inherent uncertainly of the current operating environment as a result of COVID-19, adjustments to these estimates could be material in the future.</w:t>
      </w:r>
    </w:p>
    <w:p>
      <w:pPr>
        <w:spacing w:after="0" w:line="81"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color w:val="auto"/>
        </w:rPr>
        <w:t>Ancillary revenue for baggage fees, seat selection fees, and on-board sales is recognized when the associated flight occurs. Prior to adoption of the new revenue recognition model effective January 1, 2019, the Company recognized revenue for change fees as the transactions occurred. Under the new standard, revenue for change fees is deferred and recognized when the passenger travel is provided. Fees received in advance of the flight date are initially recorded as an air traffic liability.</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Charter revenue is recognized at the time of departure when transportation is provided.</w:t>
      </w:r>
    </w:p>
    <w:p>
      <w:pPr>
        <w:spacing w:after="0" w:line="113"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Cargo revenue is typically recognized based on hours flown, number of flights, and the amount of aircraft resources provided during a reporting period. Pursuant to ASC 606, Revenue from Contracts with Customers, the Amazon Agreement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Amazon Agreement.</w:t>
      </w:r>
    </w:p>
    <w:p>
      <w:pPr>
        <w:spacing w:after="0" w:line="92"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b w:val="1"/>
          <w:bCs w:val="1"/>
          <w:color w:val="auto"/>
        </w:rPr>
        <w:t>Loyalty Program—</w:t>
      </w:r>
      <w:r>
        <w:rPr>
          <w:rFonts w:ascii="Arial" w:cs="Arial" w:eastAsia="Arial" w:hAnsi="Arial"/>
          <w:sz w:val="14"/>
          <w:szCs w:val="14"/>
          <w:color w:val="auto"/>
        </w:rPr>
        <w:t>The Company records a liability for points earned by passengers under its Sun</w:t>
      </w:r>
      <w:r>
        <w:rPr>
          <w:rFonts w:ascii="Arial" w:cs="Arial" w:eastAsia="Arial" w:hAnsi="Arial"/>
          <w:sz w:val="14"/>
          <w:szCs w:val="14"/>
          <w:b w:val="1"/>
          <w:bCs w:val="1"/>
          <w:color w:val="auto"/>
        </w:rPr>
        <w:t xml:space="preserve"> </w:t>
      </w:r>
      <w:r>
        <w:rPr>
          <w:rFonts w:ascii="Arial" w:cs="Arial" w:eastAsia="Arial" w:hAnsi="Arial"/>
          <w:sz w:val="14"/>
          <w:szCs w:val="14"/>
          <w:color w:val="auto"/>
        </w:rPr>
        <w:t>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consider other facts, such as program changes and modifications that could affect the ultimate usage pattern of loyalty points.</w:t>
      </w:r>
    </w:p>
    <w:p>
      <w:pPr>
        <w:spacing w:after="0" w:line="92" w:lineRule="exact"/>
        <w:rPr>
          <w:sz w:val="20"/>
          <w:szCs w:val="20"/>
          <w:color w:val="auto"/>
        </w:rPr>
      </w:pPr>
    </w:p>
    <w:p>
      <w:pPr>
        <w:ind w:left="1160" w:right="1299" w:firstLine="293"/>
        <w:spacing w:after="0" w:line="235" w:lineRule="auto"/>
        <w:rPr>
          <w:sz w:val="20"/>
          <w:szCs w:val="20"/>
          <w:color w:val="auto"/>
        </w:rPr>
      </w:pPr>
      <w:r>
        <w:rPr>
          <w:rFonts w:ascii="Arial" w:cs="Arial" w:eastAsia="Arial" w:hAnsi="Arial"/>
          <w:sz w:val="15"/>
          <w:szCs w:val="15"/>
          <w:b w:val="1"/>
          <w:bCs w:val="1"/>
          <w:color w:val="auto"/>
        </w:rPr>
        <w:t>Co-branded Credit Card Program—</w:t>
      </w:r>
      <w:r>
        <w:rPr>
          <w:rFonts w:ascii="Arial" w:cs="Arial" w:eastAsia="Arial" w:hAnsi="Arial"/>
          <w:sz w:val="15"/>
          <w:szCs w:val="15"/>
          <w:color w:val="auto"/>
        </w:rPr>
        <w:t>Under the Company’s co-branded credit card program, funds</w:t>
      </w:r>
      <w:r>
        <w:rPr>
          <w:rFonts w:ascii="Arial" w:cs="Arial" w:eastAsia="Arial" w:hAnsi="Arial"/>
          <w:sz w:val="15"/>
          <w:szCs w:val="15"/>
          <w:b w:val="1"/>
          <w:bCs w:val="1"/>
          <w:color w:val="auto"/>
        </w:rPr>
        <w:t xml:space="preserve"> </w:t>
      </w:r>
      <w:r>
        <w:rPr>
          <w:rFonts w:ascii="Arial" w:cs="Arial" w:eastAsia="Arial" w:hAnsi="Arial"/>
          <w:sz w:val="15"/>
          <w:szCs w:val="15"/>
          <w:color w:val="auto"/>
        </w:rPr>
        <w:t>received for the marketing of a co- branded credit card and delivery of loyalty points are accounted for as a multiple- deliverable arrangement. At the inception of the arrangement, the Company evaluated all deliverables in the arrangement to determine whether they represent distinct performance obligations. The Company determined the arrangement has two distinct performance obligations: loyalty points to be awarded,</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9" w:name="page210"/>
    <w:bookmarkEnd w:id="209"/>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jc w:val="both"/>
        <w:ind w:left="1160" w:right="1299"/>
        <w:spacing w:after="0" w:line="251" w:lineRule="auto"/>
        <w:rPr>
          <w:sz w:val="20"/>
          <w:szCs w:val="20"/>
          <w:color w:val="auto"/>
        </w:rPr>
      </w:pPr>
      <w:r>
        <w:rPr>
          <w:rFonts w:ascii="Arial" w:cs="Arial" w:eastAsia="Arial" w:hAnsi="Arial"/>
          <w:sz w:val="15"/>
          <w:szCs w:val="15"/>
          <w:color w:val="auto"/>
        </w:rPr>
        <w:t>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upon future redemption of the points.</w:t>
      </w:r>
    </w:p>
    <w:p>
      <w:pPr>
        <w:spacing w:after="0" w:line="87" w:lineRule="exact"/>
        <w:rPr>
          <w:sz w:val="20"/>
          <w:szCs w:val="20"/>
          <w:color w:val="auto"/>
        </w:rPr>
      </w:pPr>
    </w:p>
    <w:p>
      <w:pPr>
        <w:ind w:left="1160" w:right="1199" w:firstLine="293"/>
        <w:spacing w:after="0" w:line="276" w:lineRule="auto"/>
        <w:rPr>
          <w:sz w:val="20"/>
          <w:szCs w:val="20"/>
          <w:color w:val="auto"/>
        </w:rPr>
      </w:pPr>
      <w:r>
        <w:rPr>
          <w:rFonts w:ascii="Arial" w:cs="Arial" w:eastAsia="Arial" w:hAnsi="Arial"/>
          <w:sz w:val="14"/>
          <w:szCs w:val="14"/>
          <w:b w:val="1"/>
          <w:bCs w:val="1"/>
          <w:color w:val="auto"/>
        </w:rPr>
        <w:t>Airframe and Engine Maintenance—</w:t>
      </w:r>
      <w:r>
        <w:rPr>
          <w:rFonts w:ascii="Arial" w:cs="Arial" w:eastAsia="Arial" w:hAnsi="Arial"/>
          <w:sz w:val="14"/>
          <w:szCs w:val="14"/>
          <w:color w:val="auto"/>
        </w:rPr>
        <w:t>For leased aircraft, the Company applies the expense as incurred</w:t>
      </w:r>
      <w:r>
        <w:rPr>
          <w:rFonts w:ascii="Arial" w:cs="Arial" w:eastAsia="Arial" w:hAnsi="Arial"/>
          <w:sz w:val="14"/>
          <w:szCs w:val="14"/>
          <w:b w:val="1"/>
          <w:bCs w:val="1"/>
          <w:color w:val="auto"/>
        </w:rPr>
        <w:t xml:space="preserve"> </w:t>
      </w:r>
      <w:r>
        <w:rPr>
          <w:rFonts w:ascii="Arial" w:cs="Arial" w:eastAsia="Arial" w:hAnsi="Arial"/>
          <w:sz w:val="14"/>
          <w:szCs w:val="14"/>
          <w:color w:val="auto"/>
        </w:rPr>
        <w:t>method for maintenance events, where routine maintenance, airframe, and engine overhauls are charged to expense as incurred, except certain costs covered by third-party maintenance agreements, which are charged to expense based on an hourly fee, as defined by the contract.</w:t>
      </w:r>
    </w:p>
    <w:p>
      <w:pPr>
        <w:spacing w:after="0" w:line="87"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color w:val="auto"/>
        </w:rPr>
        <w:t>The Company applies the Built-in Overhaul method for significant maintenance costs of owned airframe and engines. Under this method, the value of time remaining until the first scheduled major maintenance event (“greentime”) is capitalized and amortized until that first major maintenance event, assuming no residual value. In addition, the value in excess of the greentime is capitalized and amortized over the useful life. These expenses are reported as a component of Depreciation and Amortization on the accompanying Consolidated Statements of Operations. The estimated period until the next scheduled major maintenance event is estimated based on assumptions including estimated cycles, hours, and months, required maintenance intervals, and the age/ condition of related parts.</w:t>
      </w:r>
    </w:p>
    <w:p>
      <w:pPr>
        <w:spacing w:after="0" w:line="94"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Certain SCA aircraft lease agreements contain provisions that require SCA to return aircraft to the lessor in a certain maintenance condition. A liability associated with returning leased aircraft is accrued when incurrence of lease return costs becomes probable. The amount of these costs typically can be estimated near the end of the lease term, after the aircraft has completed its last maintenance cycle prior to being returned.</w:t>
      </w:r>
    </w:p>
    <w:p>
      <w:pPr>
        <w:spacing w:after="0" w:line="90"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b w:val="1"/>
          <w:bCs w:val="1"/>
          <w:color w:val="auto"/>
        </w:rPr>
        <w:t>Income Taxes—</w:t>
      </w:r>
      <w:r>
        <w:rPr>
          <w:rFonts w:ascii="Arial" w:cs="Arial" w:eastAsia="Arial" w:hAnsi="Arial"/>
          <w:sz w:val="14"/>
          <w:szCs w:val="14"/>
          <w:color w:val="auto"/>
        </w:rPr>
        <w:t>Deferred income taxes are recognized for the tax consequences in future years of</w:t>
      </w:r>
      <w:r>
        <w:rPr>
          <w:rFonts w:ascii="Arial" w:cs="Arial" w:eastAsia="Arial" w:hAnsi="Arial"/>
          <w:sz w:val="14"/>
          <w:szCs w:val="14"/>
          <w:b w:val="1"/>
          <w:bCs w:val="1"/>
          <w:color w:val="auto"/>
        </w:rPr>
        <w:t xml:space="preserve"> </w:t>
      </w:r>
      <w:r>
        <w:rPr>
          <w:rFonts w:ascii="Arial" w:cs="Arial" w:eastAsia="Arial" w:hAnsi="Arial"/>
          <w:sz w:val="14"/>
          <w:szCs w:val="14"/>
          <w:color w:val="auto"/>
        </w:rPr>
        <w:t>differences between the tax basis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91" w:lineRule="exact"/>
        <w:rPr>
          <w:sz w:val="20"/>
          <w:szCs w:val="20"/>
          <w:color w:val="auto"/>
        </w:rPr>
      </w:pPr>
    </w:p>
    <w:p>
      <w:pPr>
        <w:ind w:left="1160" w:right="1259" w:firstLine="293"/>
        <w:spacing w:after="0" w:line="298" w:lineRule="auto"/>
        <w:rPr>
          <w:sz w:val="20"/>
          <w:szCs w:val="20"/>
          <w:color w:val="auto"/>
        </w:rPr>
      </w:pPr>
      <w:r>
        <w:rPr>
          <w:rFonts w:ascii="Arial" w:cs="Arial" w:eastAsia="Arial" w:hAnsi="Arial"/>
          <w:sz w:val="13"/>
          <w:szCs w:val="13"/>
          <w:b w:val="1"/>
          <w:bCs w:val="1"/>
          <w:color w:val="auto"/>
        </w:rPr>
        <w:t>Concentration Risk—</w:t>
      </w:r>
      <w:r>
        <w:rPr>
          <w:rFonts w:ascii="Arial" w:cs="Arial" w:eastAsia="Arial" w:hAnsi="Arial"/>
          <w:sz w:val="13"/>
          <w:szCs w:val="13"/>
          <w:color w:val="auto"/>
        </w:rPr>
        <w:t>Approximately 41% of the Company’s Accounts Receivable balance as of</w:t>
      </w:r>
      <w:r>
        <w:rPr>
          <w:rFonts w:ascii="Arial" w:cs="Arial" w:eastAsia="Arial" w:hAnsi="Arial"/>
          <w:sz w:val="13"/>
          <w:szCs w:val="13"/>
          <w:b w:val="1"/>
          <w:bCs w:val="1"/>
          <w:color w:val="auto"/>
        </w:rPr>
        <w:t xml:space="preserve"> </w:t>
      </w:r>
      <w:r>
        <w:rPr>
          <w:rFonts w:ascii="Arial" w:cs="Arial" w:eastAsia="Arial" w:hAnsi="Arial"/>
          <w:sz w:val="13"/>
          <w:szCs w:val="13"/>
          <w:color w:val="auto"/>
        </w:rPr>
        <w:t>December 31, 2020 was due from Amazon. In addition, approximately 8% and 19% of the Company’s Accounts Receivable balances as of December 31, 2020 and 2019, respectively, were from major financial institutions for tickets purchased via credit cards. One financial institution accounted for approximately 5% and 16% of the Company’s Accounts Receivable balance as of December 31, 2020 and 2019, respectively.</w:t>
      </w:r>
    </w:p>
    <w:p>
      <w:pPr>
        <w:spacing w:after="0" w:line="76"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Approximately 57%, 58% and 48% of the Company’s fuel purchases were made from two vendors for the years ended December 31, 2020, 2019 and 2018, respectively.</w:t>
      </w:r>
    </w:p>
    <w:p>
      <w:pPr>
        <w:spacing w:after="0" w:line="82"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Approximately 52% of the Company’s workforce were under union contracts as of December 31, 2020 with three different unions: Air Line Pilots Association (“ALPA”), International Brotherhood of Teamsters (“IBT”) and Transport Workers Union (“TWU”). Approximately 98% of the Company’s union workforce are under contracts that have expired or will be expiring within a year.</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Company’s airline employee groups represented by unions: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0" w:name="page211"/>
    <w:bookmarkEnd w:id="210"/>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32"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Number of</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3"/>
              </w:rPr>
              <w:t>Date on which</w:t>
            </w:r>
          </w:p>
        </w:tc>
      </w:tr>
      <w:tr>
        <w:trPr>
          <w:trHeight w:val="132"/>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8"/>
              </w:rPr>
              <w:t>Active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Collective Bargaining</w:t>
            </w:r>
          </w:p>
        </w:tc>
      </w:tr>
      <w:tr>
        <w:trPr>
          <w:trHeight w:val="132"/>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Employees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2"/>
              </w:rPr>
              <w:t>Agreement Becomes</w:t>
            </w:r>
          </w:p>
        </w:tc>
      </w:tr>
      <w:tr>
        <w:trPr>
          <w:trHeight w:val="150"/>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Employee Group</w:t>
            </w: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Represented</w:t>
            </w:r>
          </w:p>
        </w:tc>
        <w:tc>
          <w:tcPr>
            <w:tcW w:w="560" w:type="dxa"/>
            <w:vAlign w:val="bottom"/>
            <w:gridSpan w:val="2"/>
          </w:tcPr>
          <w:p>
            <w:pPr>
              <w:ind w:left="40"/>
              <w:spacing w:after="0"/>
              <w:rPr>
                <w:sz w:val="20"/>
                <w:szCs w:val="20"/>
                <w:color w:val="auto"/>
              </w:rPr>
            </w:pPr>
            <w:r>
              <w:rPr>
                <w:rFonts w:ascii="Arial" w:cs="Arial" w:eastAsia="Arial" w:hAnsi="Arial"/>
                <w:sz w:val="12"/>
                <w:szCs w:val="12"/>
                <w:b w:val="1"/>
                <w:bCs w:val="1"/>
                <w:color w:val="auto"/>
              </w:rPr>
              <w:t>Union</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3"/>
              </w:rPr>
              <w:t>Amendable</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0"/>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Sun Country Pilots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395</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ALPA</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October 31, 2020</w:t>
            </w:r>
          </w:p>
        </w:tc>
      </w:tr>
      <w:tr>
        <w:trPr>
          <w:trHeight w:val="209"/>
        </w:trPr>
        <w:tc>
          <w:tcPr>
            <w:tcW w:w="3520" w:type="dxa"/>
            <w:vAlign w:val="bottom"/>
            <w:gridSpan w:val="2"/>
          </w:tcPr>
          <w:p>
            <w:pPr>
              <w:spacing w:after="0"/>
              <w:rPr>
                <w:sz w:val="20"/>
                <w:szCs w:val="20"/>
                <w:color w:val="auto"/>
              </w:rPr>
            </w:pPr>
            <w:r>
              <w:rPr>
                <w:rFonts w:ascii="Arial" w:cs="Arial" w:eastAsia="Arial" w:hAnsi="Arial"/>
                <w:sz w:val="15"/>
                <w:szCs w:val="15"/>
                <w:color w:val="auto"/>
              </w:rPr>
              <w:t>Sun Country Flight Attendants</w:t>
            </w:r>
          </w:p>
        </w:tc>
        <w:tc>
          <w:tcPr>
            <w:tcW w:w="600" w:type="dxa"/>
            <w:vAlign w:val="bottom"/>
          </w:tcPr>
          <w:p>
            <w:pPr>
              <w:jc w:val="right"/>
              <w:ind w:right="135"/>
              <w:spacing w:after="0"/>
              <w:rPr>
                <w:sz w:val="20"/>
                <w:szCs w:val="20"/>
                <w:color w:val="auto"/>
              </w:rPr>
            </w:pPr>
            <w:r>
              <w:rPr>
                <w:rFonts w:ascii="Arial" w:cs="Arial" w:eastAsia="Arial" w:hAnsi="Arial"/>
                <w:sz w:val="15"/>
                <w:szCs w:val="15"/>
                <w:color w:val="auto"/>
              </w:rPr>
              <w:t>466</w:t>
            </w:r>
          </w:p>
        </w:tc>
        <w:tc>
          <w:tcPr>
            <w:tcW w:w="1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IBT</w:t>
            </w:r>
          </w:p>
        </w:tc>
        <w:tc>
          <w:tcPr>
            <w:tcW w:w="1220" w:type="dxa"/>
            <w:vAlign w:val="bottom"/>
          </w:tcPr>
          <w:p>
            <w:pPr>
              <w:jc w:val="right"/>
              <w:spacing w:after="0"/>
              <w:rPr>
                <w:sz w:val="20"/>
                <w:szCs w:val="20"/>
                <w:color w:val="auto"/>
              </w:rPr>
            </w:pPr>
            <w:r>
              <w:rPr>
                <w:rFonts w:ascii="Arial" w:cs="Arial" w:eastAsia="Arial" w:hAnsi="Arial"/>
                <w:sz w:val="15"/>
                <w:szCs w:val="15"/>
                <w:color w:val="auto"/>
                <w:w w:val="91"/>
              </w:rPr>
              <w:t>December 31, 2019</w:t>
            </w:r>
          </w:p>
        </w:tc>
      </w:tr>
      <w:tr>
        <w:trPr>
          <w:trHeight w:val="209"/>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Sun Country Dispatchers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TWU</w:t>
            </w: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November 30,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-403860</wp:posOffset>
            </wp:positionV>
            <wp:extent cx="111760"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-403860</wp:posOffset>
            </wp:positionV>
            <wp:extent cx="111760"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-403860</wp:posOffset>
            </wp:positionV>
            <wp:extent cx="111760"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Adopted Accounting Standards</w:t>
      </w:r>
    </w:p>
    <w:p>
      <w:pPr>
        <w:spacing w:after="0" w:line="128"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b w:val="1"/>
          <w:bCs w:val="1"/>
          <w:i w:val="1"/>
          <w:iCs w:val="1"/>
          <w:color w:val="auto"/>
        </w:rPr>
        <w:t>Revenue from Contracts with Customers—</w:t>
      </w:r>
      <w:r>
        <w:rPr>
          <w:rFonts w:ascii="Arial" w:cs="Arial" w:eastAsia="Arial" w:hAnsi="Arial"/>
          <w:sz w:val="15"/>
          <w:szCs w:val="15"/>
          <w:color w:val="auto"/>
        </w:rPr>
        <w:t>In May 2014, the Financial Accounting Standards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(“FASB”) issued Accounting Standards Update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(“New Revenue Standard”) (Topic 606). This update is a comprehensive new revenue recognition model that requires a company to recognize revenue to depict the transfer of goods or services to customers in an amount that reflects the consideration to which the entity expects to be entitled in exchange for those goods or services. The Company adopted the standard using the modified retrospective method effective January 1, 2019.</w:t>
      </w:r>
    </w:p>
    <w:p>
      <w:pPr>
        <w:spacing w:after="0" w:line="102"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3"/>
          <w:szCs w:val="13"/>
          <w:color w:val="auto"/>
        </w:rPr>
        <w:t>The adoption of the New Revenue Standard impacts the Company’s accounting for outstanding loyalty points earned through travel by SCA loyalty program members. There is no change in accounting for issuances of loyalty points to SCA’s co-branded card partner as those are currently reported in accordance with the New Revenue Standard. Through December 31, 2018, the Company used the incremental cost method to account for the portion of the loyalty program liabilities related to points earned through travel, which were valued based on the estimated incremental cost of carrying one additional passenger. The New Revenue Standard required the Company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74"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Upon adoption of the New Revenue Standard, the Company reclassified certain ancillary revenues from Other Revenue to Passenger Revenue. In addition, certain fees previously recognized when incurred by the customer are deferred and recognized as revenue when passenger travel is provided.</w:t>
      </w:r>
    </w:p>
    <w:p>
      <w:pPr>
        <w:spacing w:after="0" w:line="84"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Upon adoption of the standard on January 1, 2019 the Company made an adjustment to reduce Retained Earnings by $3,477.</w:t>
      </w:r>
    </w:p>
    <w:p>
      <w:pPr>
        <w:spacing w:after="0" w:line="94"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b w:val="1"/>
          <w:bCs w:val="1"/>
          <w:i w:val="1"/>
          <w:iCs w:val="1"/>
          <w:color w:val="auto"/>
        </w:rPr>
        <w:t>Leases—</w:t>
      </w:r>
      <w:r>
        <w:rPr>
          <w:rFonts w:ascii="Arial" w:cs="Arial" w:eastAsia="Arial" w:hAnsi="Arial"/>
          <w:sz w:val="15"/>
          <w:szCs w:val="15"/>
          <w:color w:val="auto"/>
        </w:rPr>
        <w:t>In February 2016, the FASB issued ASU 2016-02,</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Leases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(Topic 842) (“ASC 842”). Under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guidance, lessees are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elected to early adopt the standard effective January 1, 2019 using the modified retrospective adoption method.</w:t>
      </w:r>
    </w:p>
    <w:p>
      <w:pPr>
        <w:spacing w:after="0" w:line="91"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Upon adoption of the standard on January 1, 2019 the Company recorded an Operating Lease Right-of-use (“ROU”) Asset of $178,577 (net of balance sheet reclassifications) and Operating Lease Liabilities of $204,790 on the Consolidated Balance Sheet. This ROU Asset was net of $27,004 reclassified from Over-market Liabilities and $791 reclassified from Prepaid Rent.</w:t>
      </w:r>
    </w:p>
    <w:p>
      <w:pPr>
        <w:spacing w:after="0" w:line="102"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b w:val="1"/>
          <w:bCs w:val="1"/>
          <w:i w:val="1"/>
          <w:iCs w:val="1"/>
          <w:color w:val="auto"/>
        </w:rPr>
        <w:t>Capitalized Software Costs—</w:t>
      </w:r>
      <w:r>
        <w:rPr>
          <w:rFonts w:ascii="Arial" w:cs="Arial" w:eastAsia="Arial" w:hAnsi="Arial"/>
          <w:sz w:val="14"/>
          <w:szCs w:val="14"/>
          <w:color w:val="auto"/>
        </w:rPr>
        <w:t>In August 2018, the FASB issued ASU 2018- 15,</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Intangibles—Goodwill and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Other—Internal-Use Software (Subtopic 350- 40): Customer’s Accounting for Implementation Costs Incurred in a Cloud Computing Arrangement That Is a Service Contract</w:t>
      </w:r>
      <w:r>
        <w:rPr>
          <w:rFonts w:ascii="Arial" w:cs="Arial" w:eastAsia="Arial" w:hAnsi="Arial"/>
          <w:sz w:val="14"/>
          <w:szCs w:val="14"/>
          <w:color w:val="auto"/>
        </w:rPr>
        <w:t>. The update addresses when costs</w:t>
      </w:r>
      <w:r>
        <w:rPr>
          <w:rFonts w:ascii="Arial" w:cs="Arial" w:eastAsia="Arial" w:hAnsi="Arial"/>
          <w:sz w:val="14"/>
          <w:szCs w:val="14"/>
          <w:i w:val="1"/>
          <w:iCs w:val="1"/>
          <w:color w:val="auto"/>
        </w:rPr>
        <w:t xml:space="preserve"> </w:t>
      </w:r>
      <w:r>
        <w:rPr>
          <w:rFonts w:ascii="Arial" w:cs="Arial" w:eastAsia="Arial" w:hAnsi="Arial"/>
          <w:sz w:val="14"/>
          <w:szCs w:val="14"/>
          <w:color w:val="auto"/>
        </w:rPr>
        <w:t>should be capitalized rather than expensed, the term to use when amortizing capitalized costs, and how to</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1" w:name="page212"/>
    <w:bookmarkEnd w:id="211"/>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39"/>
        <w:spacing w:after="0" w:line="269" w:lineRule="auto"/>
        <w:rPr>
          <w:sz w:val="20"/>
          <w:szCs w:val="20"/>
          <w:color w:val="auto"/>
        </w:rPr>
      </w:pPr>
      <w:r>
        <w:rPr>
          <w:rFonts w:ascii="Arial" w:cs="Arial" w:eastAsia="Arial" w:hAnsi="Arial"/>
          <w:sz w:val="14"/>
          <w:szCs w:val="14"/>
          <w:color w:val="auto"/>
        </w:rPr>
        <w:t>evaluate the unamortized portion of these capitalized implementation costs for impairment. The ASU also includes guidance on how to present implementation costs in the financial statements and creates additional disclosure requirements. ASU 2018-15 is effective for annual reporting periods beginning after December 15, 2019, with early adoption permitted. The Company early adopted the requirements of ASU 2018-15 on January 1, 2019 using the prospective transition method. The adoption resulted in the capitalization of certain costs incurred in SCA’s hosting arrangement of $2,167 in 2019.</w:t>
      </w:r>
    </w:p>
    <w:p>
      <w:pPr>
        <w:spacing w:after="0" w:line="82" w:lineRule="exact"/>
        <w:rPr>
          <w:sz w:val="20"/>
          <w:szCs w:val="20"/>
          <w:color w:val="auto"/>
        </w:rPr>
      </w:pPr>
    </w:p>
    <w:p>
      <w:pPr>
        <w:ind w:left="1160" w:right="1199" w:firstLine="293"/>
        <w:spacing w:after="0" w:line="289" w:lineRule="auto"/>
        <w:rPr>
          <w:sz w:val="20"/>
          <w:szCs w:val="20"/>
          <w:color w:val="auto"/>
        </w:rPr>
      </w:pPr>
      <w:r>
        <w:rPr>
          <w:rFonts w:ascii="Arial" w:cs="Arial" w:eastAsia="Arial" w:hAnsi="Arial"/>
          <w:sz w:val="13"/>
          <w:szCs w:val="13"/>
          <w:b w:val="1"/>
          <w:bCs w:val="1"/>
          <w:i w:val="1"/>
          <w:iCs w:val="1"/>
          <w:color w:val="auto"/>
        </w:rPr>
        <w:t>Non-employee Share-based Payment Accounting—</w:t>
      </w:r>
      <w:r>
        <w:rPr>
          <w:rFonts w:ascii="Arial" w:cs="Arial" w:eastAsia="Arial" w:hAnsi="Arial"/>
          <w:sz w:val="13"/>
          <w:szCs w:val="13"/>
          <w:color w:val="auto"/>
        </w:rPr>
        <w:t>In June 2018, the FASB issued ASU 2018-07</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Improvements to Non-employee Share-based Payment Accounting</w:t>
      </w:r>
      <w:r>
        <w:rPr>
          <w:rFonts w:ascii="Arial" w:cs="Arial" w:eastAsia="Arial" w:hAnsi="Arial"/>
          <w:sz w:val="13"/>
          <w:szCs w:val="13"/>
          <w:color w:val="auto"/>
        </w:rPr>
        <w:t>. ASU 2018-07 expands the scope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to share-based payments granted to non-employees for goods and services. Additionally, in November 2019, the FASB issued ASU 2019-08, </w:t>
      </w:r>
      <w:r>
        <w:rPr>
          <w:rFonts w:ascii="Arial" w:cs="Arial" w:eastAsia="Arial" w:hAnsi="Arial"/>
          <w:sz w:val="13"/>
          <w:szCs w:val="13"/>
          <w:i w:val="1"/>
          <w:iCs w:val="1"/>
          <w:color w:val="auto"/>
        </w:rPr>
        <w:t>Compensation—Stock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(Topic 718) and</w:t>
      </w:r>
      <w:r>
        <w:rPr>
          <w:rFonts w:ascii="Arial" w:cs="Arial" w:eastAsia="Arial" w:hAnsi="Arial"/>
          <w:sz w:val="13"/>
          <w:szCs w:val="13"/>
          <w:i w:val="1"/>
          <w:iCs w:val="1"/>
          <w:color w:val="auto"/>
        </w:rPr>
        <w:t xml:space="preserve"> Revenue from Contracts with Customers (Topic 606)</w:t>
      </w:r>
      <w:r>
        <w:rPr>
          <w:rFonts w:ascii="Arial" w:cs="Arial" w:eastAsia="Arial" w:hAnsi="Arial"/>
          <w:sz w:val="13"/>
          <w:szCs w:val="13"/>
          <w:color w:val="auto"/>
        </w:rPr>
        <w:t>, which requires entities</w:t>
      </w:r>
      <w:r>
        <w:rPr>
          <w:rFonts w:ascii="Arial" w:cs="Arial" w:eastAsia="Arial" w:hAnsi="Arial"/>
          <w:sz w:val="13"/>
          <w:szCs w:val="13"/>
          <w:i w:val="1"/>
          <w:iCs w:val="1"/>
          <w:color w:val="auto"/>
        </w:rPr>
        <w:t xml:space="preserve"> </w:t>
      </w:r>
      <w:r>
        <w:rPr>
          <w:rFonts w:ascii="Arial" w:cs="Arial" w:eastAsia="Arial" w:hAnsi="Arial"/>
          <w:sz w:val="13"/>
          <w:szCs w:val="13"/>
          <w:color w:val="auto"/>
        </w:rPr>
        <w:t>to measure and classify share based payments to a customer, in accordance with the guidance in ASC 718. The Company has elected to early adopt these ASU’s effective January 1, 2019. Warrants granted in 2019 under the Amazon Agreement are accounted for under the updated standards. The adoption of ASU 2018-07 did not have a material impact on the Company’s Consolidated Financial Statements.</w:t>
      </w:r>
    </w:p>
    <w:p>
      <w:pPr>
        <w:spacing w:after="0" w:line="83"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b w:val="1"/>
          <w:bCs w:val="1"/>
          <w:i w:val="1"/>
          <w:iCs w:val="1"/>
          <w:color w:val="auto"/>
        </w:rPr>
        <w:t>Changes to the Disclosure Requirements for Fair Value Measurement—</w:t>
      </w:r>
      <w:r>
        <w:rPr>
          <w:rFonts w:ascii="Arial" w:cs="Arial" w:eastAsia="Arial" w:hAnsi="Arial"/>
          <w:sz w:val="15"/>
          <w:szCs w:val="15"/>
          <w:color w:val="auto"/>
        </w:rPr>
        <w:t>In August 2018, the Financial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Accounting Standards Board (“FASB”) issued Accounting Standards Update (“ASU”) 2018-13, </w:t>
      </w:r>
      <w:r>
        <w:rPr>
          <w:rFonts w:ascii="Arial" w:cs="Arial" w:eastAsia="Arial" w:hAnsi="Arial"/>
          <w:sz w:val="15"/>
          <w:szCs w:val="15"/>
          <w:i w:val="1"/>
          <w:iCs w:val="1"/>
          <w:color w:val="auto"/>
        </w:rPr>
        <w:t>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(Topic 820): Disclosure Framework—Changes to the Disclosure Requirements for Fair Value Measurement</w:t>
      </w:r>
      <w:r>
        <w:rPr>
          <w:rFonts w:ascii="Arial" w:cs="Arial" w:eastAsia="Arial" w:hAnsi="Arial"/>
          <w:sz w:val="15"/>
          <w:szCs w:val="15"/>
          <w:color w:val="auto"/>
        </w:rPr>
        <w:t>. The update eliminates, adds, and modifies certain disclosure requirements for fair value</w:t>
      </w:r>
      <w:r>
        <w:rPr>
          <w:rFonts w:ascii="Arial" w:cs="Arial" w:eastAsia="Arial" w:hAnsi="Arial"/>
          <w:sz w:val="15"/>
          <w:szCs w:val="15"/>
          <w:i w:val="1"/>
          <w:iCs w:val="1"/>
          <w:color w:val="auto"/>
        </w:rPr>
        <w:t xml:space="preserve"> </w:t>
      </w:r>
      <w:r>
        <w:rPr>
          <w:rFonts w:ascii="Arial" w:cs="Arial" w:eastAsia="Arial" w:hAnsi="Arial"/>
          <w:sz w:val="15"/>
          <w:szCs w:val="15"/>
          <w:color w:val="auto"/>
        </w:rPr>
        <w:t>measurements. The Company adopted the requirements of ASU 2018-13 prospectively on January 1, 2020. The adoption of ASU 2018-13 did not have a material impact on the Company’s Consolidated Financial Statements.</w:t>
      </w:r>
    </w:p>
    <w:p>
      <w:pPr>
        <w:spacing w:after="0" w:line="109"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b w:val="1"/>
          <w:bCs w:val="1"/>
          <w:i w:val="1"/>
          <w:iCs w:val="1"/>
          <w:color w:val="auto"/>
        </w:rPr>
        <w:t>Financial Instruments—Credit Losses—</w:t>
      </w:r>
      <w:r>
        <w:rPr>
          <w:rFonts w:ascii="Arial" w:cs="Arial" w:eastAsia="Arial" w:hAnsi="Arial"/>
          <w:sz w:val="14"/>
          <w:szCs w:val="14"/>
          <w:color w:val="auto"/>
        </w:rPr>
        <w:t>In June 2016, the FASB issued ASU 2016-13,</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Financial</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 xml:space="preserve">Instruments—Credit Losses </w:t>
      </w:r>
      <w:r>
        <w:rPr>
          <w:rFonts w:ascii="Arial" w:cs="Arial" w:eastAsia="Arial" w:hAnsi="Arial"/>
          <w:sz w:val="14"/>
          <w:szCs w:val="14"/>
          <w:color w:val="auto"/>
        </w:rPr>
        <w:t>(Topic 326)</w:t>
      </w:r>
      <w:r>
        <w:rPr>
          <w:rFonts w:ascii="Arial" w:cs="Arial" w:eastAsia="Arial" w:hAnsi="Arial"/>
          <w:sz w:val="14"/>
          <w:szCs w:val="14"/>
          <w:i w:val="1"/>
          <w:iCs w:val="1"/>
          <w:color w:val="auto"/>
        </w:rPr>
        <w:t>: Measurement of Credit Losses on Financial Instruments</w:t>
      </w:r>
      <w:r>
        <w:rPr>
          <w:rFonts w:ascii="Arial" w:cs="Arial" w:eastAsia="Arial" w:hAnsi="Arial"/>
          <w:sz w:val="14"/>
          <w:szCs w:val="14"/>
          <w:color w:val="auto"/>
        </w:rPr>
        <w:t>. The</w:t>
      </w:r>
      <w:r>
        <w:rPr>
          <w:rFonts w:ascii="Arial" w:cs="Arial" w:eastAsia="Arial" w:hAnsi="Arial"/>
          <w:sz w:val="14"/>
          <w:szCs w:val="14"/>
          <w:i w:val="1"/>
          <w:iCs w:val="1"/>
          <w:color w:val="auto"/>
        </w:rPr>
        <w:t xml:space="preserve"> </w:t>
      </w:r>
      <w:r>
        <w:rPr>
          <w:rFonts w:ascii="Arial" w:cs="Arial" w:eastAsia="Arial" w:hAnsi="Arial"/>
          <w:sz w:val="14"/>
          <w:szCs w:val="14"/>
          <w:color w:val="auto"/>
        </w:rPr>
        <w:t>update requires the use of an expected loss model on certain types of financial instruments 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Consolidated Financial Statements.</w:t>
      </w:r>
    </w:p>
    <w:p>
      <w:pPr>
        <w:spacing w:after="0" w:line="8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b w:val="1"/>
          <w:bCs w:val="1"/>
          <w:i w:val="1"/>
          <w:iCs w:val="1"/>
          <w:color w:val="auto"/>
        </w:rPr>
        <w:t>Simplifying the Test for Goodwill Impairment—</w:t>
      </w:r>
      <w:r>
        <w:rPr>
          <w:rFonts w:ascii="Arial" w:cs="Arial" w:eastAsia="Arial" w:hAnsi="Arial"/>
          <w:sz w:val="15"/>
          <w:szCs w:val="15"/>
          <w:color w:val="auto"/>
        </w:rPr>
        <w:t>In January 2017, the FASB issued ASU 2017-04,</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Simplifying the Test for Goodwill Impairment</w:t>
      </w:r>
      <w:r>
        <w:rPr>
          <w:rFonts w:ascii="Arial" w:cs="Arial" w:eastAsia="Arial" w:hAnsi="Arial"/>
          <w:sz w:val="15"/>
          <w:szCs w:val="15"/>
          <w:color w:val="auto"/>
        </w:rPr>
        <w:t>. The new standard eliminates Step 2 from the goodwill</w:t>
      </w:r>
      <w:r>
        <w:rPr>
          <w:rFonts w:ascii="Arial" w:cs="Arial" w:eastAsia="Arial" w:hAnsi="Arial"/>
          <w:sz w:val="15"/>
          <w:szCs w:val="15"/>
          <w:i w:val="1"/>
          <w:iCs w:val="1"/>
          <w:color w:val="auto"/>
        </w:rPr>
        <w:t xml:space="preserve"> </w:t>
      </w:r>
      <w:r>
        <w:rPr>
          <w:rFonts w:ascii="Arial" w:cs="Arial" w:eastAsia="Arial" w:hAnsi="Arial"/>
          <w:sz w:val="15"/>
          <w:szCs w:val="15"/>
          <w:color w:val="auto"/>
        </w:rPr>
        <w:t>impairment test. An entity should recognize a goodwill impairment charge for the amount by which the carrying amount exceeds the reporting unit’s fair value. The standard was adopted and applied prospectively by the Company on April 1, 2020, and it did not have an impact on the Company’s Consolidated Financial Statements.</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Issued Accounting Standards</w:t>
      </w:r>
    </w:p>
    <w:p>
      <w:pPr>
        <w:spacing w:after="0" w:line="124" w:lineRule="exact"/>
        <w:rPr>
          <w:sz w:val="20"/>
          <w:szCs w:val="20"/>
          <w:color w:val="auto"/>
        </w:rPr>
      </w:pPr>
    </w:p>
    <w:p>
      <w:pPr>
        <w:ind w:left="1160" w:right="1219" w:firstLine="293"/>
        <w:spacing w:after="0" w:line="293" w:lineRule="auto"/>
        <w:rPr>
          <w:sz w:val="20"/>
          <w:szCs w:val="20"/>
          <w:color w:val="auto"/>
        </w:rPr>
      </w:pPr>
      <w:r>
        <w:rPr>
          <w:rFonts w:ascii="Arial" w:cs="Arial" w:eastAsia="Arial" w:hAnsi="Arial"/>
          <w:sz w:val="13"/>
          <w:szCs w:val="13"/>
          <w:b w:val="1"/>
          <w:bCs w:val="1"/>
          <w:i w:val="1"/>
          <w:iCs w:val="1"/>
          <w:color w:val="auto"/>
        </w:rPr>
        <w:t>Income Taxes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Simplifying the Accounting for Income Taxes—</w:t>
      </w:r>
      <w:r>
        <w:rPr>
          <w:rFonts w:ascii="Arial" w:cs="Arial" w:eastAsia="Arial" w:hAnsi="Arial"/>
          <w:sz w:val="13"/>
          <w:szCs w:val="13"/>
          <w:color w:val="auto"/>
        </w:rPr>
        <w:t>In December 2019, the FASB issued ASU</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is not expected to have a material impact on the Company’s Consolidated Financial Statements.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2" w:name="page213"/>
    <w:bookmarkEnd w:id="212"/>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In December 2019, a novel strain of COVID-19 was reported in Wuhan, China. COVID- 19 has since spread to almost every country in the world, including the United States. On March 11, 2020, the World Health Organization declared COVID-19 to constitute a “Public Health Emergency of International Concern” and the U.S. federal government declared COVID- 19 a “National Emergency.” 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decline in flight bookings and an increase in cancellations beginning in</w:t>
      </w:r>
    </w:p>
    <w:p>
      <w:pPr>
        <w:spacing w:after="0" w:line="2" w:lineRule="exact"/>
        <w:rPr>
          <w:sz w:val="20"/>
          <w:szCs w:val="20"/>
          <w:color w:val="auto"/>
        </w:rPr>
      </w:pPr>
    </w:p>
    <w:p>
      <w:pPr>
        <w:ind w:left="1160" w:right="1319"/>
        <w:spacing w:after="0" w:line="232" w:lineRule="auto"/>
        <w:rPr>
          <w:sz w:val="20"/>
          <w:szCs w:val="20"/>
          <w:color w:val="auto"/>
        </w:rPr>
      </w:pPr>
      <w:r>
        <w:rPr>
          <w:rFonts w:ascii="Arial" w:cs="Arial" w:eastAsia="Arial" w:hAnsi="Arial"/>
          <w:sz w:val="15"/>
          <w:szCs w:val="15"/>
          <w:color w:val="auto"/>
        </w:rPr>
        <w:t>March 2020, as a result of the outbreak. In addition, the federal government has encouraged social distancing efforts and limits on gathering size. Many popular tourist destinations have been closed, or operations are being curtailed, reducing the demand for leisure air travel. Although flight bookings for the second half of 2020 improved compared to the first half of 2020, they remain significantly below the prior year.</w:t>
      </w:r>
    </w:p>
    <w:p>
      <w:pPr>
        <w:spacing w:after="0" w:line="99"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The timing and pace of the recovery are uncertain as certain markets have reopened, some of which have since experienced a resurgence of COVID-19 cases, while others, particularly international markets, remain closed or are enforcing extended quarantines for most U.S. residents. Additionally, some states have instituted travel restrictions or advisories for travelers from other states. As of December 31, 2020, there were restrictions in several international countries that did not allow planes from the United States to travel to these countries.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had restricted non-essential travel for their employees.</w:t>
      </w:r>
    </w:p>
    <w:p>
      <w:pPr>
        <w:spacing w:after="0" w:line="95" w:lineRule="exact"/>
        <w:rPr>
          <w:sz w:val="20"/>
          <w:szCs w:val="20"/>
          <w:color w:val="auto"/>
        </w:rPr>
      </w:pPr>
    </w:p>
    <w:p>
      <w:pPr>
        <w:ind w:left="1160" w:right="1399" w:firstLine="293"/>
        <w:spacing w:after="0" w:line="239" w:lineRule="auto"/>
        <w:rPr>
          <w:sz w:val="20"/>
          <w:szCs w:val="20"/>
          <w:color w:val="auto"/>
        </w:rPr>
      </w:pPr>
      <w:r>
        <w:rPr>
          <w:rFonts w:ascii="Arial" w:cs="Arial" w:eastAsia="Arial" w:hAnsi="Arial"/>
          <w:sz w:val="15"/>
          <w:szCs w:val="15"/>
          <w:color w:val="auto"/>
        </w:rPr>
        <w:t>It is evident that passenger air traffic demand in the foreseeable future will continue to fluctuate in response to fluctuations in COVID-19 reported cases, hospitalizations, deaths, treatment efficacy and the availability of vaccines.</w:t>
      </w:r>
    </w:p>
    <w:p>
      <w:pPr>
        <w:spacing w:after="0" w:line="89"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The Company’s charter air transportation services have also been impacted due to a decline in international military charter service, the suspension or cancellation of major U.S. professional and college sports, and the 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100"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In response to COVID-19 and the reduced consumer demand, the Company has significantly reduced planned capacity for scheduled and charter services.</w:t>
      </w:r>
    </w:p>
    <w:p>
      <w:pPr>
        <w:spacing w:after="0" w:line="94"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As the COVID-19 pandemic continues to evolve, the Company’s financial and operational outlook remains subject to change. Despite the pandemic’s impact on the Company’s passenger segment, the Company began providing air cargo service and generating cargo revenues under the Amazon Agreement in the second quarter of 2020 as planned.</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assessment as a result of COVID-19 impacts</w:t>
      </w:r>
    </w:p>
    <w:p>
      <w:pPr>
        <w:spacing w:after="0" w:line="117" w:lineRule="exact"/>
        <w:rPr>
          <w:sz w:val="20"/>
          <w:szCs w:val="20"/>
          <w:color w:val="auto"/>
        </w:rPr>
      </w:pPr>
    </w:p>
    <w:p>
      <w:pPr>
        <w:ind w:left="1160" w:right="1339" w:firstLine="293"/>
        <w:spacing w:after="0" w:line="284" w:lineRule="auto"/>
        <w:rPr>
          <w:sz w:val="20"/>
          <w:szCs w:val="20"/>
          <w:color w:val="auto"/>
        </w:rPr>
      </w:pPr>
      <w:r>
        <w:rPr>
          <w:rFonts w:ascii="Arial" w:cs="Arial" w:eastAsia="Arial" w:hAnsi="Arial"/>
          <w:sz w:val="13"/>
          <w:szCs w:val="13"/>
          <w:color w:val="auto"/>
        </w:rPr>
        <w:t>At the onset of the pandemic, the Company identified measures to reduce its operating costs and improve its liquidity position and implemented a temporary reduction of scheduled departures, deferred non-essential capital projects, placed a hiring freeze, and negotiated the deferral of aircraft rent payments. Further, on October 8, 2020, the Company announced the elimination of certain management positions.</w:t>
      </w:r>
    </w:p>
    <w:p>
      <w:pPr>
        <w:spacing w:after="0" w:line="72"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color w:val="auto"/>
        </w:rPr>
        <w:t>Based on the foregoing measures that the Company has taken to improve its liquidity position, along with the $62,312 grant received from the United States Department of the Treasury under the Coronavirus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3" w:name="page214"/>
    <w:bookmarkEnd w:id="213"/>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83" w:lineRule="exact"/>
        <w:rPr>
          <w:sz w:val="20"/>
          <w:szCs w:val="20"/>
          <w:color w:val="auto"/>
        </w:rPr>
      </w:pPr>
    </w:p>
    <w:p>
      <w:pPr>
        <w:ind w:left="1160" w:right="1539"/>
        <w:spacing w:after="0" w:line="239" w:lineRule="auto"/>
        <w:rPr>
          <w:sz w:val="20"/>
          <w:szCs w:val="20"/>
          <w:color w:val="auto"/>
        </w:rPr>
      </w:pPr>
      <w:r>
        <w:rPr>
          <w:rFonts w:ascii="Arial" w:cs="Arial" w:eastAsia="Arial" w:hAnsi="Arial"/>
          <w:sz w:val="15"/>
          <w:szCs w:val="15"/>
          <w:color w:val="auto"/>
        </w:rPr>
        <w:t>Aid, Relief, and Economic Security Act (“CARES Act”), and the $45.0 million CARES Act Loan both received in 2020 the Company currently believes that it has sufficient liquidity to meet its near-term obligations.</w:t>
      </w:r>
    </w:p>
    <w:p>
      <w:pPr>
        <w:spacing w:after="0" w:line="89"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The extent of the impact of COVID-19 on the Company’s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Impairment Consideration</w:t>
      </w:r>
    </w:p>
    <w:p>
      <w:pPr>
        <w:spacing w:after="0" w:line="128"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4"/>
          <w:szCs w:val="14"/>
          <w:color w:val="auto"/>
        </w:rPr>
        <w:t>The Company identified the impact of the COVID-19 pandemic on the Company’s operation as an indicator of potential impairment of its long-lived assets, and, as a result, performed an impairment test on its long-lived assets during each quarter of 2020. No impairment charges were recorded during 2020.</w:t>
      </w:r>
    </w:p>
    <w:p>
      <w:pPr>
        <w:spacing w:after="0" w:line="84"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Also during each quarter of 2020, the Company considered whether the projected financial impact of COVID-19 indicated that the fair value of goodwill and tradename asset may be lower than their carrying values. The Company’s considerations included future operating cash flows, changes in the market capitalization of competitors within the airline industry, and changes in the regulatory environment. Based on the assessments performed, the Company concluded that the assets were recoverable, and no impairment charges were recorded during 2020.</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CARES Act</w:t>
      </w:r>
    </w:p>
    <w:p>
      <w:pPr>
        <w:spacing w:after="0" w:line="117"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certain benefits outlined in the CARES Act including but not limited to payroll tax breaks, government grants and government loans.</w:t>
      </w:r>
    </w:p>
    <w:p>
      <w:pPr>
        <w:spacing w:after="0" w:line="100"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3"/>
          <w:szCs w:val="13"/>
          <w:color w:val="auto"/>
        </w:rPr>
        <w:t>On April 15, 2020, the Company was informed by the United States Department of the Treasury that it would receive a grant of $60,559 under the CARES Act Payroll Support Program. The Company received $20,187 in April 2020, and $10,093 in June, July, August and September 2020. In September 2020, the Company was awarded an additional CARES Act grant of $1,753. The amount recognized under the CARES Act grant for the year ended December 31, 2020 was $62,312, and is included within Special Items, net on the Consolidated Statements of Operations. Grant dollars were recognized as qualifying expenses were incurred from April 1, 2020 through September 30, 2020, up to the CARES Act grant amount.</w:t>
      </w:r>
    </w:p>
    <w:p>
      <w:pPr>
        <w:spacing w:after="0" w:line="8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In connection with the Payroll Support Program, the Company is required to comply with the relevant provisions of the CARES Act, including the requirement that the grant is used exclusively for the continued payment of employee salaries, wages, and benefits, and that the Company refrain from involuntary furloughs of employees or reducing pay rates or benefits through September 30, 2020. The Company must also comply with the provisions prohibiting the repurchase of common stock and the payment of common stock dividends until September 30, 2021, as well as those restricting the payment of certain executive compensation until March 24, 2022. Finally, until March 1, 2022, the Company is required to continue to provide air service to markets served prior to March 1, 2020, to the extent determined reasonable and practicable by the DOT subject to exemptions granted by the DOT to the Company. As of December 31, 2020 and through the date of this report, the Company believes it has complied with the provisions of the Payroll Support Program.</w:t>
      </w:r>
    </w:p>
    <w:p>
      <w:pPr>
        <w:spacing w:after="0" w:line="89"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The CARES Act provides an employee retention credit (“CARES Employee Retention Credit”) which is a refundable tax credit against certain employment taxes of up to five thousand dollars per employee. The credit is equal to 50% of qualified wages paid to employees during a quarter, capped at ten thousand</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4" w:name="page215"/>
    <w:bookmarkEnd w:id="214"/>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83" w:lineRule="exact"/>
        <w:rPr>
          <w:sz w:val="20"/>
          <w:szCs w:val="20"/>
          <w:color w:val="auto"/>
        </w:rPr>
      </w:pPr>
    </w:p>
    <w:p>
      <w:pPr>
        <w:ind w:left="1160" w:right="1239"/>
        <w:spacing w:after="0" w:line="251" w:lineRule="auto"/>
        <w:rPr>
          <w:sz w:val="20"/>
          <w:szCs w:val="20"/>
          <w:color w:val="auto"/>
        </w:rPr>
      </w:pPr>
      <w:r>
        <w:rPr>
          <w:rFonts w:ascii="Arial" w:cs="Arial" w:eastAsia="Arial" w:hAnsi="Arial"/>
          <w:sz w:val="15"/>
          <w:szCs w:val="15"/>
          <w:color w:val="auto"/>
        </w:rPr>
        <w:t>dollars of qualified annual wages through December 31, 2020. The Company qualified for the credit beginning on April 1, 2020. During the year ended December 31, 2020, the Company recorded $2,328 related to the CARES Employee Retention Credit within Special Items, net on the Company’s Consolidated Statements of Operations.</w:t>
      </w:r>
    </w:p>
    <w:p>
      <w:pPr>
        <w:spacing w:after="0" w:line="91"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The CARES Act also provides for the deferred payment of the employer portion of social security taxes through the end of 2020, with 50% of the deferred amount due December 31, 2021 and the remaining 50% due December 31, 2022. The amount deferred as of December 31, 2020 was $4,138, of which $2,069 is recorded in Accrued Salaries, Wages, and Benefits and $2,069 is recorded in Other Long-term Liabilities on the Company’s Consolidated Balance Sheets.</w:t>
      </w:r>
    </w:p>
    <w:p>
      <w:pPr>
        <w:spacing w:after="0" w:line="105"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5"/>
          <w:szCs w:val="15"/>
          <w:color w:val="auto"/>
        </w:rPr>
        <w:t>Under the CARES Act Loan Program, the Company received a $45,000 loan from the U.S. Department of the Treasury on October 26, 2020. See Note 9—Debt.</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On January 22, 2021, the Company was informed by the United States Department of the Treasury that</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it would receive a grant of $32,208 under the Payroll Support Program Extension (PSP2) under the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Consolidated Appropriations Act, 2021 (PSP Extension Law). The Company received $16,104 on</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February 2, 2021, and anticipates receiving the remaining $16,104 prior to the end of March 2021. All funds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provided by the Treasury Department to PSP2 participants may only be used for the continuation of</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payment of employee salaries, wages, and benefits.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w:t>
      </w:r>
    </w:p>
    <w:p>
      <w:pPr>
        <w:spacing w:after="0" w:line="117"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On the Acquisition Date, SCA Acquisition Holdings, LLC acquired 100 percent of MN Airlines’ stockholder equity. The final purchase price, determined in accordance with the definitions and target amounts specified in the sale agreement, was $187,775. The Company did not incur any material expenses related to the Acquisition prior to the Acquisition Date.</w:t>
      </w:r>
    </w:p>
    <w:p>
      <w:pPr>
        <w:spacing w:after="0" w:line="102"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The Acquisition was accounted for as a business combination using the purchase method of accounting, which requires, among other things, that assets acquired and liabilities assumed be recognized on the balance sheet at their fair value as of the Acquisition Date. The fair value of the assets acquired and liabilities assumed were determined using market, income and cost approaches, as described further below. This resulted in a new basis for the assets acquired and liabilities assumed of MN Airlines, LLC as of the Acquisition Date. The Company established a contra-asset after considering the fair value of Lessor Maintenance Reserve Deposits at the time of the sale and concluded that a market participant would not place any value on this asset, as they would need to incur maintenance expense on a dollar for dollar basis to obtain reimbursement from the lessor. The contra-asset represents the Successor’s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97" w:lineRule="exact"/>
        <w:rPr>
          <w:sz w:val="20"/>
          <w:szCs w:val="20"/>
          <w:color w:val="auto"/>
        </w:rPr>
      </w:pPr>
    </w:p>
    <w:p>
      <w:pPr>
        <w:ind w:left="1160" w:right="1339" w:firstLine="293"/>
        <w:spacing w:after="0" w:line="266" w:lineRule="auto"/>
        <w:rPr>
          <w:sz w:val="20"/>
          <w:szCs w:val="20"/>
          <w:color w:val="auto"/>
        </w:rPr>
      </w:pPr>
      <w:r>
        <w:rPr>
          <w:rFonts w:ascii="Arial" w:cs="Arial" w:eastAsia="Arial" w:hAnsi="Arial"/>
          <w:sz w:val="14"/>
          <w:szCs w:val="14"/>
          <w:color w:val="auto"/>
        </w:rPr>
        <w:t>Although the Successor continued with the same core operations after the Acquisition Date, the accompanying consolidated financial statements are presented for two 2018 periods: Successor, which relates to the 2018 period subsequent to the Acquisition Date, and Predecessor, relating to the period from January 1, 2018 through April 10, 2018. These separate periods are presented to reflect the new basis of accounting as of and subsequent to the Acquisition Date, and have been separated by a vertical line on the face of the Consolidated Financial Statements to highlight the fact that the financial information for such periods has been prepared under a different historical-cost basis of accounting. The Successor’s Consolidated Financial Statements also reflect the funding and recapitalization of the Successor, which occurred at the Acquisition Date.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5" w:name="page216"/>
    <w:bookmarkEnd w:id="215"/>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79" w:lineRule="exact"/>
        <w:rPr>
          <w:sz w:val="20"/>
          <w:szCs w:val="20"/>
          <w:color w:val="auto"/>
        </w:rPr>
      </w:pPr>
    </w:p>
    <w:p>
      <w:pPr>
        <w:ind w:left="1160" w:right="1259" w:firstLine="293"/>
        <w:spacing w:after="0" w:line="260" w:lineRule="auto"/>
        <w:rPr>
          <w:sz w:val="20"/>
          <w:szCs w:val="20"/>
          <w:color w:val="auto"/>
        </w:rPr>
      </w:pPr>
      <w:r>
        <w:rPr>
          <w:rFonts w:ascii="Arial" w:cs="Arial" w:eastAsia="Arial" w:hAnsi="Arial"/>
          <w:sz w:val="14"/>
          <w:szCs w:val="14"/>
          <w:b w:val="1"/>
          <w:bCs w:val="1"/>
          <w:color w:val="auto"/>
        </w:rPr>
        <w:t>Successor—</w:t>
      </w:r>
      <w:r>
        <w:rPr>
          <w:rFonts w:ascii="Arial" w:cs="Arial" w:eastAsia="Arial" w:hAnsi="Arial"/>
          <w:sz w:val="14"/>
          <w:szCs w:val="14"/>
          <w:color w:val="auto"/>
        </w:rPr>
        <w:t>The accompanying Consolidated Financial Statements include the Successor’s assets,</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liabilities, and stockholders’ equity and the related income and expenses and cash flows. SCA Acquisition Holdings, LLC had no other operating activities since its formation other than the activities presented of its acquired wholly owned subsidiary, Sun Country, Inc., f/k/a MN Airlines, LLC.</w:t>
      </w:r>
    </w:p>
    <w:p>
      <w:pPr>
        <w:spacing w:after="0" w:line="71" w:lineRule="exact"/>
        <w:rPr>
          <w:sz w:val="20"/>
          <w:szCs w:val="20"/>
          <w:color w:val="auto"/>
        </w:rPr>
      </w:pPr>
    </w:p>
    <w:p>
      <w:pPr>
        <w:jc w:val="both"/>
        <w:ind w:left="1160" w:right="1319" w:firstLine="293"/>
        <w:spacing w:after="0" w:line="238" w:lineRule="auto"/>
        <w:rPr>
          <w:sz w:val="20"/>
          <w:szCs w:val="20"/>
          <w:color w:val="auto"/>
        </w:rPr>
      </w:pPr>
      <w:r>
        <w:rPr>
          <w:rFonts w:ascii="Arial" w:cs="Arial" w:eastAsia="Arial" w:hAnsi="Arial"/>
          <w:sz w:val="15"/>
          <w:szCs w:val="15"/>
          <w:b w:val="1"/>
          <w:bCs w:val="1"/>
          <w:color w:val="auto"/>
        </w:rPr>
        <w:t>Predecessor—</w:t>
      </w:r>
      <w:r>
        <w:rPr>
          <w:rFonts w:ascii="Arial" w:cs="Arial" w:eastAsia="Arial" w:hAnsi="Arial"/>
          <w:sz w:val="15"/>
          <w:szCs w:val="15"/>
          <w:color w:val="auto"/>
        </w:rPr>
        <w:t>The accompanying Predecessor Consolidated Financial Statements include the assets,</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liabilities, and equity and the related income and expenses and cash flows of Sun Country, Inc., f/k/a MN Airlines, LLC, which occurred prior to the Acquisition Date and are reported under its historical basis that existed prior to the Acquisition Date.</w:t>
      </w:r>
    </w:p>
    <w:p>
      <w:pPr>
        <w:spacing w:after="0" w:line="10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Fair value of the assets acquired and the liabilities assumed as of the Acquisition Date are as follows:</w:t>
      </w:r>
    </w:p>
    <w:p>
      <w:pPr>
        <w:spacing w:after="0" w:line="150"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5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Restricted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8,308</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3,810</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Accounts Receivable</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31,796</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Inventory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5,295</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Prepaid Expenses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7,617</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38,511</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Goodwill</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222,223</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Other Intangible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104,000</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Aircraft Lease Deposits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17,923</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49,634</w:t>
            </w:r>
          </w:p>
        </w:tc>
      </w:tr>
      <w:tr>
        <w:trPr>
          <w:trHeight w:val="225"/>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Assets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4"/>
              </w:rPr>
              <w:t>490,188</w:t>
            </w:r>
          </w:p>
        </w:tc>
      </w:tr>
      <w:tr>
        <w:trPr>
          <w:trHeight w:val="308"/>
        </w:trPr>
        <w:tc>
          <w:tcPr>
            <w:tcW w:w="552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50,016</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Accrued Salaries, Wages, and Benefits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9,006</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Accrued Transportation Taxes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12,237</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Air Traffic Liabilities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72,235</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Over-market Liabilities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108,017</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Finance Lease Obligations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10,038</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Loyalty Program Liabilities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37,165</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941</w:t>
            </w:r>
          </w:p>
        </w:tc>
      </w:tr>
      <w:tr>
        <w:trPr>
          <w:trHeight w:val="225"/>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2,758</w:t>
            </w:r>
          </w:p>
        </w:tc>
      </w:tr>
      <w:tr>
        <w:trPr>
          <w:trHeight w:val="222"/>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Total Liabilities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4"/>
              </w:rPr>
              <w:t>302,413</w:t>
            </w:r>
          </w:p>
        </w:tc>
      </w:tr>
      <w:tr>
        <w:trPr>
          <w:trHeight w:val="222"/>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Purchase Price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4"/>
              </w:rPr>
              <w:t>187,775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-160020</wp:posOffset>
            </wp:positionV>
            <wp:extent cx="3509010"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-1917700</wp:posOffset>
            </wp:positionV>
            <wp:extent cx="3509010"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152"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b w:val="1"/>
          <w:bCs w:val="1"/>
          <w:color w:val="auto"/>
        </w:rPr>
        <w:t>Property and Equipment—</w:t>
      </w:r>
      <w:r>
        <w:rPr>
          <w:rFonts w:ascii="Arial" w:cs="Arial" w:eastAsia="Arial" w:hAnsi="Arial"/>
          <w:sz w:val="15"/>
          <w:szCs w:val="15"/>
          <w:color w:val="auto"/>
        </w:rPr>
        <w:t>The Company acquired Property and Equipment which were valued based</w:t>
      </w:r>
      <w:r>
        <w:rPr>
          <w:rFonts w:ascii="Arial" w:cs="Arial" w:eastAsia="Arial" w:hAnsi="Arial"/>
          <w:sz w:val="15"/>
          <w:szCs w:val="15"/>
          <w:b w:val="1"/>
          <w:bCs w:val="1"/>
          <w:color w:val="auto"/>
        </w:rPr>
        <w:t xml:space="preserve"> </w:t>
      </w:r>
      <w:r>
        <w:rPr>
          <w:rFonts w:ascii="Arial" w:cs="Arial" w:eastAsia="Arial" w:hAnsi="Arial"/>
          <w:sz w:val="15"/>
          <w:szCs w:val="15"/>
          <w:color w:val="auto"/>
        </w:rPr>
        <w:t>on a combination of the cost and market approaches. The cost approach was applied based on inflationary trends to historical costs, considering the age of the asset, its physical condition, operational status and economic utility. The market was approach was applied based on market prices for similar assets. The useful lives assigned were based on their expected remaining useful lives consistent with the Company’s capitalization policy.</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6" w:name="page217"/>
    <w:bookmarkEnd w:id="216"/>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79"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b w:val="1"/>
          <w:bCs w:val="1"/>
          <w:color w:val="auto"/>
        </w:rPr>
        <w:t>Sun Country Airlines Tradename—</w:t>
      </w:r>
      <w:r>
        <w:rPr>
          <w:rFonts w:ascii="Arial" w:cs="Arial" w:eastAsia="Arial" w:hAnsi="Arial"/>
          <w:sz w:val="14"/>
          <w:szCs w:val="14"/>
          <w:color w:val="auto"/>
        </w:rPr>
        <w:t>The Company acquired an intangible asset of $56,000 assigned to</w:t>
      </w:r>
      <w:r>
        <w:rPr>
          <w:rFonts w:ascii="Arial" w:cs="Arial" w:eastAsia="Arial" w:hAnsi="Arial"/>
          <w:sz w:val="14"/>
          <w:szCs w:val="14"/>
          <w:b w:val="1"/>
          <w:bCs w:val="1"/>
          <w:color w:val="auto"/>
        </w:rPr>
        <w:t xml:space="preserve"> </w:t>
      </w:r>
      <w:r>
        <w:rPr>
          <w:rFonts w:ascii="Arial" w:cs="Arial" w:eastAsia="Arial" w:hAnsi="Arial"/>
          <w:sz w:val="14"/>
          <w:szCs w:val="14"/>
          <w:color w:val="auto"/>
        </w:rPr>
        <w:t>the Sun Country Airlines Tradename. Sun Country has operated under this name and brand since 1983, and has high brand recognition and brand loyalty, particularly in its home market of Minneapolis/St. Paul, MN. This intangible asset was valued using a discounted cash flow analysis based on the relief from royalty method, a variation of the income approach. The relief from royalty approach utilizes certain market information by reference to the amount of after-tax cash flows the Company could generate if the trade names were licensed in an arm’s length transaction to a third party. Significant assumptions used in the discounted cash flow analysis include the projected revenue of the Company, the royalty rate, the discount rate and the terminal value. The Company expects to continue to use the brand and associated trademarks for the indefinite future.</w:t>
      </w:r>
    </w:p>
    <w:p>
      <w:pPr>
        <w:spacing w:after="0" w:line="81"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b w:val="1"/>
          <w:bCs w:val="1"/>
          <w:color w:val="auto"/>
        </w:rPr>
        <w:t>Customer Relationships—</w:t>
      </w:r>
      <w:r>
        <w:rPr>
          <w:rFonts w:ascii="Arial" w:cs="Arial" w:eastAsia="Arial" w:hAnsi="Arial"/>
          <w:sz w:val="14"/>
          <w:szCs w:val="14"/>
          <w:color w:val="auto"/>
        </w:rPr>
        <w:t>The Company acquired an intangible asset of $48,000 representing the fair</w:t>
      </w:r>
      <w:r>
        <w:rPr>
          <w:rFonts w:ascii="Arial" w:cs="Arial" w:eastAsia="Arial" w:hAnsi="Arial"/>
          <w:sz w:val="14"/>
          <w:szCs w:val="14"/>
          <w:b w:val="1"/>
          <w:bCs w:val="1"/>
          <w:color w:val="auto"/>
        </w:rPr>
        <w:t xml:space="preserve"> </w:t>
      </w:r>
      <w:r>
        <w:rPr>
          <w:rFonts w:ascii="Arial" w:cs="Arial" w:eastAsia="Arial" w:hAnsi="Arial"/>
          <w:sz w:val="14"/>
          <w:szCs w:val="14"/>
          <w:color w:val="auto"/>
        </w:rPr>
        <w:t>value of its customer relationships arising from Sun Country’s extensive charter business, including several large customers with long-term commitments for charter flights. This intangible asset was valued using the multi- period excess earnings method, a variation of the income approach, based on the present value of the expected incremental after-tax cash flows (or “excess earnings”) attributable to certain charter customer relationships. Significant assumptions used in the discounted cash flow analysis include the projected earnings of the customer relationships, customer retention rates and the discount rate. The customer relationship intangible asset has been assigned a useful life of 12 years and will be amortized on a straight-line basis over this life.</w:t>
      </w:r>
    </w:p>
    <w:p>
      <w:pPr>
        <w:spacing w:after="0" w:line="89" w:lineRule="exact"/>
        <w:rPr>
          <w:sz w:val="20"/>
          <w:szCs w:val="20"/>
          <w:color w:val="auto"/>
        </w:rPr>
      </w:pPr>
    </w:p>
    <w:p>
      <w:pPr>
        <w:ind w:left="1160" w:right="1199" w:firstLine="293"/>
        <w:spacing w:after="0" w:line="238" w:lineRule="auto"/>
        <w:rPr>
          <w:sz w:val="20"/>
          <w:szCs w:val="20"/>
          <w:color w:val="auto"/>
        </w:rPr>
      </w:pPr>
      <w:r>
        <w:rPr>
          <w:rFonts w:ascii="Arial" w:cs="Arial" w:eastAsia="Arial" w:hAnsi="Arial"/>
          <w:sz w:val="15"/>
          <w:szCs w:val="15"/>
          <w:b w:val="1"/>
          <w:bCs w:val="1"/>
          <w:color w:val="auto"/>
        </w:rPr>
        <w:t>Goodwill—</w:t>
      </w:r>
      <w:r>
        <w:rPr>
          <w:rFonts w:ascii="Arial" w:cs="Arial" w:eastAsia="Arial" w:hAnsi="Arial"/>
          <w:sz w:val="15"/>
          <w:szCs w:val="15"/>
          <w:color w:val="auto"/>
        </w:rPr>
        <w:t>Goodwill, of which $132,606 was tax deductible, represents the excess of the purchase price</w:t>
      </w:r>
      <w:r>
        <w:rPr>
          <w:rFonts w:ascii="Arial" w:cs="Arial" w:eastAsia="Arial" w:hAnsi="Arial"/>
          <w:sz w:val="15"/>
          <w:szCs w:val="15"/>
          <w:b w:val="1"/>
          <w:bCs w:val="1"/>
          <w:color w:val="auto"/>
        </w:rPr>
        <w:t xml:space="preserve"> </w:t>
      </w:r>
      <w:r>
        <w:rPr>
          <w:rFonts w:ascii="Arial" w:cs="Arial" w:eastAsia="Arial" w:hAnsi="Arial"/>
          <w:sz w:val="15"/>
          <w:szCs w:val="15"/>
          <w:color w:val="auto"/>
        </w:rPr>
        <w:t>over the fair value of the underlying net assets acquired and largely results from expected growth and improved financial results for the Company as well as an assembled workforce, which does not qualify for separate recognition.</w:t>
      </w:r>
    </w:p>
    <w:p>
      <w:pPr>
        <w:spacing w:after="0" w:line="96"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b w:val="1"/>
          <w:bCs w:val="1"/>
          <w:color w:val="auto"/>
        </w:rPr>
        <w:t>Deferred Tax Asset—</w:t>
      </w:r>
      <w:r>
        <w:rPr>
          <w:rFonts w:ascii="Arial" w:cs="Arial" w:eastAsia="Arial" w:hAnsi="Arial"/>
          <w:sz w:val="15"/>
          <w:szCs w:val="15"/>
          <w:color w:val="auto"/>
        </w:rPr>
        <w:t>The acquisition of MN Airlines, LLC was treated as an asset acquisition for U.S.</w:t>
      </w:r>
      <w:r>
        <w:rPr>
          <w:rFonts w:ascii="Arial" w:cs="Arial" w:eastAsia="Arial" w:hAnsi="Arial"/>
          <w:sz w:val="15"/>
          <w:szCs w:val="15"/>
          <w:b w:val="1"/>
          <w:bCs w:val="1"/>
          <w:color w:val="auto"/>
        </w:rPr>
        <w:t xml:space="preserve"> </w:t>
      </w:r>
      <w:r>
        <w:rPr>
          <w:rFonts w:ascii="Arial" w:cs="Arial" w:eastAsia="Arial" w:hAnsi="Arial"/>
          <w:sz w:val="15"/>
          <w:szCs w:val="15"/>
          <w:color w:val="auto"/>
        </w:rPr>
        <w:t>federal income tax purposes in which, the Company generally received stepped-up tax basis in assets and liabilities acquired. As a result of fair value adjustments recorded in purchase accounting, the Company recorded a Deferred Tax Asset of $49,634 related to Air Traffic and Loyalty Program Liabilities deferred revenue and Over- market Liabilities. The Deferred Tax Asset has been calculated based on the expected federal and state tax rates applicable to the Company.</w:t>
      </w:r>
    </w:p>
    <w:p>
      <w:pPr>
        <w:spacing w:after="0" w:line="85"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b w:val="1"/>
          <w:bCs w:val="1"/>
          <w:color w:val="auto"/>
        </w:rPr>
        <w:t>Over-market Liabilities—</w:t>
      </w:r>
      <w:r>
        <w:rPr>
          <w:rFonts w:ascii="Arial" w:cs="Arial" w:eastAsia="Arial" w:hAnsi="Arial"/>
          <w:sz w:val="14"/>
          <w:szCs w:val="14"/>
          <w:color w:val="auto"/>
        </w:rPr>
        <w:t>The Company acquired liabilities related to its over-market lease rates and</w:t>
      </w:r>
      <w:r>
        <w:rPr>
          <w:rFonts w:ascii="Arial" w:cs="Arial" w:eastAsia="Arial" w:hAnsi="Arial"/>
          <w:sz w:val="14"/>
          <w:szCs w:val="14"/>
          <w:b w:val="1"/>
          <w:bCs w:val="1"/>
          <w:color w:val="auto"/>
        </w:rPr>
        <w:t xml:space="preserve"> </w:t>
      </w:r>
      <w:r>
        <w:rPr>
          <w:rFonts w:ascii="Arial" w:cs="Arial" w:eastAsia="Arial" w:hAnsi="Arial"/>
          <w:sz w:val="14"/>
          <w:szCs w:val="14"/>
          <w:color w:val="auto"/>
        </w:rPr>
        <w:t>over- market maintenance reserve payments. Aircraft leases were evaluated using an income approach, based on the present value of the expected differential cash flows between the existing aircraft lease terms as compared to current market lease terms for similar aircraft and market participants. Significant assumptions used in the discounted cash flow analysis include the discount rate and the estimated market lease rates for similar aircraft based on terms commensurate with the Company’s credit rating. The Company recognized a liability of $32,779 representing lease terms which are unfavorable compared with market terms of similar leases and will be amortized into earnings through a reduction of Aircraft Rent on a straight-line basis over the remaining life of each lease. With the adoption of ASC 842 the Company reclassified this liability to be included in the Operating Lease Right-of-use Assets.</w:t>
      </w:r>
    </w:p>
    <w:p>
      <w:pPr>
        <w:spacing w:after="0" w:line="98" w:lineRule="exact"/>
        <w:rPr>
          <w:sz w:val="20"/>
          <w:szCs w:val="20"/>
          <w:color w:val="auto"/>
        </w:rPr>
      </w:pPr>
    </w:p>
    <w:p>
      <w:pPr>
        <w:ind w:left="1160" w:right="1179" w:firstLine="293"/>
        <w:spacing w:after="0" w:line="292" w:lineRule="auto"/>
        <w:rPr>
          <w:sz w:val="20"/>
          <w:szCs w:val="20"/>
          <w:color w:val="auto"/>
        </w:rPr>
      </w:pPr>
      <w:r>
        <w:rPr>
          <w:rFonts w:ascii="Arial" w:cs="Arial" w:eastAsia="Arial" w:hAnsi="Arial"/>
          <w:sz w:val="13"/>
          <w:szCs w:val="13"/>
          <w:color w:val="auto"/>
        </w:rPr>
        <w:t>As of the Acquisition Date, Sun Country’s existing leases include payments for maintenance reserves in addition to the stated aircraft lease payments. For a substantial portion of these maintenance reserve payments, the Company does not expect to be reimbursed by the lessor. The maintenance reserve payments were evaluated using an income approach, based on the expected differential cash flows between the existing contractual maintenance payments as compared to market terms for similar aircraft under current market assumptions. Significant assumptions used in the discounted cash flow analysis include the discount rate, expected aircraft utilization (impacting the nature and timing of maintenance events) and the estimated</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7" w:name="page218"/>
    <w:bookmarkEnd w:id="217"/>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83" w:lineRule="exact"/>
        <w:rPr>
          <w:sz w:val="20"/>
          <w:szCs w:val="20"/>
          <w:color w:val="auto"/>
        </w:rPr>
      </w:pPr>
    </w:p>
    <w:p>
      <w:pPr>
        <w:ind w:left="1160" w:right="1279"/>
        <w:spacing w:after="0" w:line="294" w:lineRule="auto"/>
        <w:rPr>
          <w:sz w:val="20"/>
          <w:szCs w:val="20"/>
          <w:color w:val="auto"/>
        </w:rPr>
      </w:pPr>
      <w:r>
        <w:rPr>
          <w:rFonts w:ascii="Arial" w:cs="Arial" w:eastAsia="Arial" w:hAnsi="Arial"/>
          <w:sz w:val="13"/>
          <w:szCs w:val="13"/>
          <w:color w:val="auto"/>
        </w:rPr>
        <w:t>market terms for similar aircraft based on terms commensurate with the Company’s credit rating. These maintenance reserve payments were deemed unfavorable as a market participant would expect reimbursement based on more favorable terms, indicating that the balance expected not to be reimbursed is unfavorable to the Company. The Company recognized a liability of $75,238 representing over-market maintenance reserve lease terms compared to market terms of similar leases and will amortize this liability into earnings as a reduction to Aircraft Rent on a straight- line basis over the remaining life of each lease.</w:t>
      </w:r>
    </w:p>
    <w:p>
      <w:pPr>
        <w:spacing w:after="0" w:line="73" w:lineRule="exact"/>
        <w:rPr>
          <w:sz w:val="20"/>
          <w:szCs w:val="20"/>
          <w:color w:val="auto"/>
        </w:rPr>
      </w:pPr>
    </w:p>
    <w:p>
      <w:pPr>
        <w:ind w:left="1160" w:right="1319" w:firstLine="293"/>
        <w:spacing w:after="0" w:line="272" w:lineRule="auto"/>
        <w:rPr>
          <w:sz w:val="20"/>
          <w:szCs w:val="20"/>
          <w:color w:val="auto"/>
        </w:rPr>
      </w:pPr>
      <w:r>
        <w:rPr>
          <w:rFonts w:ascii="Arial" w:cs="Arial" w:eastAsia="Arial" w:hAnsi="Arial"/>
          <w:sz w:val="15"/>
          <w:szCs w:val="15"/>
          <w:b w:val="1"/>
          <w:bCs w:val="1"/>
          <w:color w:val="auto"/>
        </w:rPr>
        <w:t>Loyalty Program Liabilities—</w:t>
      </w:r>
      <w:r>
        <w:rPr>
          <w:rFonts w:ascii="Arial" w:cs="Arial" w:eastAsia="Arial" w:hAnsi="Arial"/>
          <w:sz w:val="15"/>
          <w:szCs w:val="15"/>
          <w:color w:val="auto"/>
        </w:rPr>
        <w:t>The Company acquired liabilities related to loyalty program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These liabilities were adjusted to their fair value based on stated redemption rates as of the Acquisition Date, less estimated breakage.</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w:t>
      </w:r>
    </w:p>
    <w:p>
      <w:pPr>
        <w:spacing w:after="0" w:line="128"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Sun Country is a certified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Amazon Agreement. Other revenue consists primarily of revenue from services in connection with Sun Country Vacation products.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significant categories comprising Operating Revenues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w w:val="78"/>
              </w:rPr>
              <w:t>Successor</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60" w:type="dxa"/>
            <w:vAlign w:val="bottom"/>
          </w:tcPr>
          <w:p>
            <w:pPr>
              <w:jc w:val="right"/>
              <w:ind w:right="110"/>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Scheduled service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$193,047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$396,113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$224,507</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$132,234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gridSpan w:val="2"/>
          </w:tcPr>
          <w:p>
            <w:pPr>
              <w:spacing w:after="0"/>
              <w:rPr>
                <w:sz w:val="20"/>
                <w:szCs w:val="20"/>
                <w:color w:val="auto"/>
              </w:rPr>
            </w:pPr>
            <w:r>
              <w:rPr>
                <w:rFonts w:ascii="Arial" w:cs="Arial" w:eastAsia="Arial" w:hAnsi="Arial"/>
                <w:sz w:val="15"/>
                <w:szCs w:val="15"/>
                <w:color w:val="auto"/>
              </w:rPr>
              <w:t>Charter service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98,130</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174,562</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111,317</w:t>
            </w:r>
          </w:p>
        </w:tc>
        <w:tc>
          <w:tcPr>
            <w:tcW w:w="100" w:type="dxa"/>
            <w:vAlign w:val="bottom"/>
            <w:tcBorders>
              <w:right w:val="single" w:sz="8" w:color="auto"/>
            </w:tcBorders>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40,663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Ancillary</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68,055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9"/>
              </w:rPr>
              <w:t>118,158</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40" w:type="dxa"/>
            <w:vAlign w:val="bottom"/>
            <w:gridSpan w:val="2"/>
          </w:tcPr>
          <w:p>
            <w:pPr>
              <w:ind w:left="160"/>
              <w:spacing w:after="0"/>
              <w:rPr>
                <w:sz w:val="20"/>
                <w:szCs w:val="20"/>
                <w:color w:val="auto"/>
              </w:rPr>
            </w:pPr>
            <w:r>
              <w:rPr>
                <w:rFonts w:ascii="Arial" w:cs="Arial" w:eastAsia="Arial" w:hAnsi="Arial"/>
                <w:sz w:val="15"/>
                <w:szCs w:val="15"/>
                <w:color w:val="auto"/>
              </w:rPr>
              <w:t>Passenger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359,232</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688,833</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335,824</w:t>
            </w:r>
          </w:p>
        </w:tc>
        <w:tc>
          <w:tcPr>
            <w:tcW w:w="100" w:type="dxa"/>
            <w:vAlign w:val="bottom"/>
            <w:tcBorders>
              <w:right w:val="single" w:sz="8" w:color="auto"/>
            </w:tcBorders>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172,897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Cargo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3140" w:type="dxa"/>
            <w:vAlign w:val="bottom"/>
            <w:gridSpan w:val="2"/>
          </w:tcPr>
          <w:p>
            <w:pPr>
              <w:spacing w:after="0"/>
              <w:rPr>
                <w:sz w:val="20"/>
                <w:szCs w:val="20"/>
                <w:color w:val="auto"/>
              </w:rPr>
            </w:pPr>
            <w:r>
              <w:rPr>
                <w:rFonts w:ascii="Arial" w:cs="Arial" w:eastAsia="Arial" w:hAnsi="Arial"/>
                <w:sz w:val="15"/>
                <w:szCs w:val="15"/>
                <w:color w:val="auto"/>
              </w:rPr>
              <w:t>Ancillary</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 . .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41,065</w:t>
            </w:r>
          </w:p>
        </w:tc>
        <w:tc>
          <w:tcPr>
            <w:tcW w:w="100" w:type="dxa"/>
            <w:vAlign w:val="bottom"/>
            <w:tcBorders>
              <w:right w:val="single" w:sz="8" w:color="auto"/>
            </w:tcBorders>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15,670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5,445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12,551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8,042</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2"/>
          </w:tcPr>
          <w:p>
            <w:pPr>
              <w:ind w:left="160"/>
              <w:spacing w:after="0"/>
              <w:rPr>
                <w:sz w:val="20"/>
                <w:szCs w:val="20"/>
                <w:color w:val="auto"/>
              </w:rPr>
            </w:pPr>
            <w:r>
              <w:rPr>
                <w:rFonts w:ascii="Arial" w:cs="Arial" w:eastAsia="Arial" w:hAnsi="Arial"/>
                <w:sz w:val="15"/>
                <w:szCs w:val="15"/>
                <w:color w:val="auto"/>
              </w:rPr>
              <w:t>Total Operating Revenue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$401,486</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$701,384</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$384,931</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$197,452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-1227455</wp:posOffset>
            </wp:positionV>
            <wp:extent cx="104775"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-1227455</wp:posOffset>
            </wp:positionV>
            <wp:extent cx="111760"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-1227455</wp:posOffset>
            </wp:positionV>
            <wp:extent cx="111760"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-1227455</wp:posOffset>
            </wp:positionV>
            <wp:extent cx="55880"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The classification of Ancillary changed as a result of the adoption of ASC 606.</w:t>
      </w:r>
    </w:p>
    <w:p>
      <w:pPr>
        <w:spacing w:after="0" w:line="135" w:lineRule="exact"/>
        <w:rPr>
          <w:sz w:val="20"/>
          <w:szCs w:val="20"/>
          <w:color w:val="auto"/>
        </w:rPr>
      </w:pPr>
    </w:p>
    <w:p>
      <w:pPr>
        <w:ind w:left="1160" w:right="1379" w:firstLine="293"/>
        <w:spacing w:after="0" w:line="300" w:lineRule="auto"/>
        <w:rPr>
          <w:sz w:val="20"/>
          <w:szCs w:val="20"/>
          <w:color w:val="auto"/>
        </w:rPr>
      </w:pPr>
      <w:r>
        <w:rPr>
          <w:rFonts w:ascii="Arial" w:cs="Arial" w:eastAsia="Arial" w:hAnsi="Arial"/>
          <w:sz w:val="14"/>
          <w:szCs w:val="14"/>
          <w:color w:val="auto"/>
        </w:rPr>
        <w:t>The Company attributes and measures its Operating Revenue by geographic region as defined by the DOT for airline reporting based upon the origin of each passenger and cargo flight segment.</w:t>
      </w:r>
    </w:p>
    <w:p>
      <w:pPr>
        <w:spacing w:after="0" w:line="70"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8" w:name="page219"/>
    <w:bookmarkEnd w:id="218"/>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Total Operating Revenue by geographic region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w w:val="78"/>
              </w:rPr>
              <w:t>Successor</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3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140" w:type="dxa"/>
            <w:vAlign w:val="bottom"/>
          </w:tcPr>
          <w:p>
            <w:pPr>
              <w:spacing w:after="0"/>
              <w:rPr>
                <w:sz w:val="13"/>
                <w:szCs w:val="13"/>
                <w:color w:val="auto"/>
              </w:rPr>
            </w:pPr>
          </w:p>
        </w:tc>
        <w:tc>
          <w:tcPr>
            <w:tcW w:w="560" w:type="dxa"/>
            <w:vAlign w:val="bottom"/>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60" w:type="dxa"/>
            <w:vAlign w:val="bottom"/>
          </w:tcPr>
          <w:p>
            <w:pPr>
              <w:jc w:val="right"/>
              <w:ind w:right="112"/>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Domestic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$382,463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$666,332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$368,456</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$173,995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5"/>
                <w:szCs w:val="15"/>
                <w:color w:val="auto"/>
              </w:rPr>
              <w:t>Latin America .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18,515</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33,716</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15,628</w:t>
            </w:r>
          </w:p>
        </w:tc>
        <w:tc>
          <w:tcPr>
            <w:tcW w:w="100" w:type="dxa"/>
            <w:vAlign w:val="bottom"/>
            <w:tcBorders>
              <w:right w:val="single" w:sz="8" w:color="auto"/>
            </w:tcBorders>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23,003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Other .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508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1,336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847</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40" w:type="dxa"/>
            <w:vAlign w:val="bottom"/>
          </w:tcPr>
          <w:p>
            <w:pPr>
              <w:ind w:left="160"/>
              <w:spacing w:after="0"/>
              <w:rPr>
                <w:sz w:val="20"/>
                <w:szCs w:val="20"/>
                <w:color w:val="auto"/>
              </w:rPr>
            </w:pPr>
            <w:r>
              <w:rPr>
                <w:rFonts w:ascii="Arial" w:cs="Arial" w:eastAsia="Arial" w:hAnsi="Arial"/>
                <w:sz w:val="15"/>
                <w:szCs w:val="15"/>
                <w:color w:val="auto"/>
              </w:rPr>
              <w:t>Total Operating Revenue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$401,486</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$701,384</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$384,931</w:t>
            </w:r>
          </w:p>
        </w:tc>
        <w:tc>
          <w:tcPr>
            <w:tcW w:w="100" w:type="dxa"/>
            <w:vAlign w:val="bottom"/>
            <w:tcBorders>
              <w:right w:val="single" w:sz="8" w:color="auto"/>
            </w:tcBorders>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$197,452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-585470</wp:posOffset>
            </wp:positionV>
            <wp:extent cx="104775"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-585470</wp:posOffset>
            </wp:positionV>
            <wp:extent cx="111760"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-585470</wp:posOffset>
            </wp:positionV>
            <wp:extent cx="11176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-585470</wp:posOffset>
            </wp:positionV>
            <wp:extent cx="5588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Contract Balances</w:t>
      </w:r>
    </w:p>
    <w:p>
      <w:pPr>
        <w:spacing w:after="0" w:line="128" w:lineRule="exact"/>
        <w:rPr>
          <w:sz w:val="20"/>
          <w:szCs w:val="20"/>
          <w:color w:val="auto"/>
        </w:rPr>
      </w:pPr>
    </w:p>
    <w:p>
      <w:pPr>
        <w:ind w:left="1160" w:right="1299" w:firstLine="293"/>
        <w:spacing w:after="0" w:line="311" w:lineRule="auto"/>
        <w:rPr>
          <w:sz w:val="20"/>
          <w:szCs w:val="20"/>
          <w:color w:val="auto"/>
        </w:rPr>
      </w:pPr>
      <w:r>
        <w:rPr>
          <w:rFonts w:ascii="Arial" w:cs="Arial" w:eastAsia="Arial" w:hAnsi="Arial"/>
          <w:sz w:val="13"/>
          <w:szCs w:val="13"/>
          <w:color w:val="auto"/>
        </w:rPr>
        <w:t>The Company’s contract assets primarily relate to costs incurred to get the 12 Amazon cargo aircraft ready for service. The balances are included in Other Current Assets and Other Assets on the Consolidated Balance Sheets. The amount expensed during 2020 was $271 and is included in Maintenance expense.</w:t>
      </w:r>
    </w:p>
    <w:p>
      <w:pPr>
        <w:spacing w:after="0" w:line="56" w:lineRule="exact"/>
        <w:rPr>
          <w:sz w:val="20"/>
          <w:szCs w:val="20"/>
          <w:color w:val="auto"/>
        </w:rPr>
      </w:pPr>
    </w:p>
    <w:p>
      <w:pPr>
        <w:ind w:left="1160" w:right="1299" w:firstLine="293"/>
        <w:spacing w:after="0" w:line="271" w:lineRule="auto"/>
        <w:rPr>
          <w:sz w:val="20"/>
          <w:szCs w:val="20"/>
          <w:color w:val="auto"/>
        </w:rPr>
      </w:pPr>
      <w:r>
        <w:rPr>
          <w:rFonts w:ascii="Arial" w:cs="Arial" w:eastAsia="Arial" w:hAnsi="Arial"/>
          <w:sz w:val="14"/>
          <w:szCs w:val="14"/>
          <w:color w:val="auto"/>
        </w:rPr>
        <w:t>The Company’s significant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and 3) Amazon start-up cost payments received (reported within Other Liabilities on the Consolidated Balance Sheets).</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Contract Assets and Liabilities are as follows: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tcPr>
          <w:p>
            <w:pPr>
              <w:jc w:val="right"/>
              <w:ind w:right="249"/>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57"/>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11"/>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9"/>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Contract Assets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308"/>
        </w:trPr>
        <w:tc>
          <w:tcPr>
            <w:tcW w:w="4780" w:type="dxa"/>
            <w:vAlign w:val="bottom"/>
            <w:gridSpan w:val="2"/>
          </w:tcPr>
          <w:p>
            <w:pPr>
              <w:spacing w:after="0"/>
              <w:rPr>
                <w:sz w:val="20"/>
                <w:szCs w:val="20"/>
                <w:color w:val="auto"/>
              </w:rPr>
            </w:pPr>
            <w:r>
              <w:rPr>
                <w:rFonts w:ascii="Arial" w:cs="Arial" w:eastAsia="Arial" w:hAnsi="Arial"/>
                <w:sz w:val="15"/>
                <w:szCs w:val="15"/>
                <w:color w:val="auto"/>
              </w:rPr>
              <w:t>Costs to fulfill contract with Amazon . . . . . . . . . . . . . . .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3,614</w:t>
            </w:r>
          </w:p>
        </w:tc>
        <w:tc>
          <w:tcPr>
            <w:tcW w:w="18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2"/>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Air Traffic Liabilities . . . . . . . . . . . . . . . . . . . . . . . . . . .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101,075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116,660</w:t>
            </w:r>
          </w:p>
        </w:tc>
      </w:tr>
      <w:tr>
        <w:trPr>
          <w:trHeight w:val="209"/>
        </w:trPr>
        <w:tc>
          <w:tcPr>
            <w:tcW w:w="4780" w:type="dxa"/>
            <w:vAlign w:val="bottom"/>
            <w:gridSpan w:val="2"/>
          </w:tcPr>
          <w:p>
            <w:pPr>
              <w:spacing w:after="0"/>
              <w:rPr>
                <w:sz w:val="20"/>
                <w:szCs w:val="20"/>
                <w:color w:val="auto"/>
              </w:rPr>
            </w:pPr>
            <w:r>
              <w:rPr>
                <w:rFonts w:ascii="Arial" w:cs="Arial" w:eastAsia="Arial" w:hAnsi="Arial"/>
                <w:sz w:val="15"/>
                <w:szCs w:val="15"/>
                <w:color w:val="auto"/>
              </w:rPr>
              <w:t>Loyalty Program Liabilities . . . . . . . . . . . . . . . . . . . . . . .</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22,069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22,892</w:t>
            </w:r>
          </w:p>
        </w:tc>
      </w:tr>
      <w:tr>
        <w:trPr>
          <w:trHeight w:val="214"/>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Amazon Deferred Start-up Costs Payments Received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5,240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1,633</w:t>
            </w:r>
          </w:p>
        </w:tc>
      </w:tr>
      <w:tr>
        <w:trPr>
          <w:trHeight w:val="216"/>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Total Contract Liabilities . . . . . . . . . . . . . . . . . . . .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128,384</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141,185</w:t>
            </w: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-927100</wp:posOffset>
            </wp:positionV>
            <wp:extent cx="11176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-927100</wp:posOffset>
            </wp:positionV>
            <wp:extent cx="55880"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67"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year ended December 31, 2020, $110,868 of revenue was recognized in Passenger Revenue that was included in the Air Traffic Liabilities as of December 31, 2019 and $4,502 in cash refunded to customers, mainly due to COVID-19 related flight cancellations. Of the December 31, 2019 Air Traffic Liabilities remaining as of December 31, 2020, $1,045 relates to COVID-19 extensions and $245 relates to gift certificates.</w:t>
      </w:r>
    </w:p>
    <w:p>
      <w:pPr>
        <w:spacing w:after="0" w:line="93"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As part of the Amazon Agreement executed in December 2019, Amazon paid the Company $10,300 toward start-up costs, of which $6,300 was received as of December 31, 2019 and the remainder was received in February 2020. Upon signing this agreement, Amazon received 632,183 fully vested warrants to purchase the Company’s common stock, with a fair value of $4,667. This fair value was assigned to a portion of the $10,300 cash received from Amazon and the remaining $5,633 is being amortized into Cargo revenue on</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9" w:name="page220"/>
    <w:bookmarkEnd w:id="219"/>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 (continued)</w:t>
      </w:r>
    </w:p>
    <w:p>
      <w:pPr>
        <w:spacing w:after="0" w:line="183" w:lineRule="exact"/>
        <w:rPr>
          <w:sz w:val="20"/>
          <w:szCs w:val="20"/>
          <w:color w:val="auto"/>
        </w:rPr>
      </w:pPr>
    </w:p>
    <w:p>
      <w:pPr>
        <w:ind w:left="1160" w:right="1219"/>
        <w:spacing w:after="0" w:line="264" w:lineRule="auto"/>
        <w:rPr>
          <w:sz w:val="20"/>
          <w:szCs w:val="20"/>
          <w:color w:val="auto"/>
        </w:rPr>
      </w:pPr>
      <w:r>
        <w:rPr>
          <w:rFonts w:ascii="Arial" w:cs="Arial" w:eastAsia="Arial" w:hAnsi="Arial"/>
          <w:sz w:val="15"/>
          <w:szCs w:val="15"/>
          <w:color w:val="auto"/>
        </w:rPr>
        <w:t>a pro-rata basis over the initial six years of the Amazon Agreement. For the year ended December 31, 2020, $393 has been amortized into Cargo revenue.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17"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the Loyalty Program Liabilities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480" w:type="dxa"/>
            <w:vAlign w:val="bottom"/>
          </w:tcPr>
          <w:p>
            <w:pPr>
              <w:jc w:val="right"/>
              <w:ind w:right="7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4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300" w:type="dxa"/>
            <w:vAlign w:val="bottom"/>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00" w:type="dxa"/>
            <w:vAlign w:val="bottom"/>
          </w:tcPr>
          <w:p>
            <w:pPr>
              <w:spacing w:after="0"/>
              <w:rPr>
                <w:sz w:val="17"/>
                <w:szCs w:val="17"/>
                <w:color w:val="auto"/>
              </w:rPr>
            </w:pPr>
          </w:p>
        </w:tc>
        <w:tc>
          <w:tcPr>
            <w:tcW w:w="4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Balance—December 31, 2018 . . . . . . . . . . . . . . . . . . . . . . .</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$ 23,950</w:t>
            </w:r>
          </w:p>
        </w:tc>
        <w:tc>
          <w:tcPr>
            <w:tcW w:w="60" w:type="dxa"/>
            <w:vAlign w:val="bottom"/>
          </w:tcPr>
          <w:p>
            <w:pPr>
              <w:spacing w:after="0"/>
              <w:rPr>
                <w:sz w:val="17"/>
                <w:szCs w:val="17"/>
                <w:color w:val="auto"/>
              </w:rPr>
            </w:pPr>
          </w:p>
        </w:tc>
      </w:tr>
      <w:tr>
        <w:trPr>
          <w:trHeight w:val="214"/>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ASC 606 adoption adjustment (January 1, 2019) . . . . . . . .</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4,867</w:t>
            </w:r>
          </w:p>
        </w:tc>
        <w:tc>
          <w:tcPr>
            <w:tcW w:w="60" w:type="dxa"/>
            <w:vAlign w:val="bottom"/>
          </w:tcPr>
          <w:p>
            <w:pPr>
              <w:spacing w:after="0"/>
              <w:rPr>
                <w:sz w:val="18"/>
                <w:szCs w:val="18"/>
                <w:color w:val="auto"/>
              </w:rPr>
            </w:pPr>
          </w:p>
        </w:tc>
      </w:tr>
      <w:tr>
        <w:trPr>
          <w:trHeight w:val="205"/>
        </w:trPr>
        <w:tc>
          <w:tcPr>
            <w:tcW w:w="300" w:type="dxa"/>
            <w:vAlign w:val="bottom"/>
          </w:tcPr>
          <w:p>
            <w:pPr>
              <w:spacing w:after="0"/>
              <w:rPr>
                <w:sz w:val="17"/>
                <w:szCs w:val="17"/>
                <w:color w:val="auto"/>
              </w:rPr>
            </w:pPr>
          </w:p>
        </w:tc>
        <w:tc>
          <w:tcPr>
            <w:tcW w:w="48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Balance—January 1 . . . . . . . . . . . . . . . . . . . . . . . . . . . . . .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$22,892</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$ 28,817</w:t>
            </w:r>
          </w:p>
        </w:tc>
        <w:tc>
          <w:tcPr>
            <w:tcW w:w="60" w:type="dxa"/>
            <w:vAlign w:val="bottom"/>
          </w:tcPr>
          <w:p>
            <w:pPr>
              <w:spacing w:after="0"/>
              <w:rPr>
                <w:sz w:val="17"/>
                <w:szCs w:val="17"/>
                <w:color w:val="auto"/>
              </w:rPr>
            </w:pPr>
          </w:p>
        </w:tc>
      </w:tr>
      <w:tr>
        <w:trPr>
          <w:trHeight w:val="209"/>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Loyalty Points Earned . . . . . . . . . . . . . . . . . . . . . . . . . . . . .</w:t>
            </w:r>
          </w:p>
        </w:tc>
        <w:tc>
          <w:tcPr>
            <w:tcW w:w="480" w:type="dxa"/>
            <w:vAlign w:val="bottom"/>
          </w:tcPr>
          <w:p>
            <w:pPr>
              <w:jc w:val="right"/>
              <w:spacing w:after="0"/>
              <w:rPr>
                <w:sz w:val="20"/>
                <w:szCs w:val="20"/>
                <w:color w:val="auto"/>
              </w:rPr>
            </w:pPr>
            <w:r>
              <w:rPr>
                <w:rFonts w:ascii="Arial" w:cs="Arial" w:eastAsia="Arial" w:hAnsi="Arial"/>
                <w:sz w:val="15"/>
                <w:szCs w:val="15"/>
                <w:color w:val="auto"/>
              </w:rPr>
              <w:t>4,015</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6,483</w:t>
            </w:r>
          </w:p>
        </w:tc>
        <w:tc>
          <w:tcPr>
            <w:tcW w:w="60" w:type="dxa"/>
            <w:vAlign w:val="bottom"/>
          </w:tcPr>
          <w:p>
            <w:pPr>
              <w:spacing w:after="0"/>
              <w:rPr>
                <w:sz w:val="18"/>
                <w:szCs w:val="18"/>
                <w:color w:val="auto"/>
              </w:rPr>
            </w:pPr>
          </w:p>
        </w:tc>
      </w:tr>
      <w:tr>
        <w:trPr>
          <w:trHeight w:val="242"/>
        </w:trPr>
        <w:tc>
          <w:tcPr>
            <w:tcW w:w="300" w:type="dxa"/>
            <w:vAlign w:val="bottom"/>
          </w:tcPr>
          <w:p>
            <w:pPr>
              <w:spacing w:after="0"/>
              <w:rPr>
                <w:sz w:val="21"/>
                <w:szCs w:val="21"/>
                <w:color w:val="auto"/>
              </w:rPr>
            </w:pPr>
          </w:p>
        </w:tc>
        <w:tc>
          <w:tcPr>
            <w:tcW w:w="4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Loyalty Points Redeemed</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 . . . . . . . . . . . . . . . . . . . . . . . .</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(4,838)</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(12,408)</w:t>
            </w:r>
          </w:p>
        </w:tc>
        <w:tc>
          <w:tcPr>
            <w:tcW w:w="60" w:type="dxa"/>
            <w:vAlign w:val="bottom"/>
          </w:tcPr>
          <w:p>
            <w:pPr>
              <w:spacing w:after="0"/>
              <w:rPr>
                <w:sz w:val="21"/>
                <w:szCs w:val="21"/>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4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Balance—December 31 . . . . . . . . . . . . . . . . . . . . . . . . . . .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$22,069</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$ 22,892</w:t>
            </w:r>
          </w:p>
        </w:tc>
        <w:tc>
          <w:tcPr>
            <w:tcW w:w="6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-669290</wp:posOffset>
            </wp:positionV>
            <wp:extent cx="3522980"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52298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-948055</wp:posOffset>
            </wp:positionV>
            <wp:extent cx="351599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515995" cy="6985"/>
                    </a:xfrm>
                    <a:prstGeom prst="rect">
                      <a:avLst/>
                    </a:prstGeom>
                    <a:noFill/>
                  </pic:spPr>
                </pic:pic>
              </a:graphicData>
            </a:graphic>
          </wp:anchor>
        </w:drawing>
      </w:r>
    </w:p>
    <w:p>
      <w:pPr>
        <w:spacing w:after="0" w:line="68" w:lineRule="exact"/>
        <w:rPr>
          <w:sz w:val="20"/>
          <w:szCs w:val="20"/>
          <w:color w:val="auto"/>
        </w:rPr>
      </w:pPr>
    </w:p>
    <w:p>
      <w:pPr>
        <w:ind w:left="1460" w:right="1199" w:hanging="296"/>
        <w:spacing w:after="0" w:line="266" w:lineRule="auto"/>
        <w:tabs>
          <w:tab w:leader="none" w:pos="146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Principally relates to revenue recognized from the redemption of loyalty points for both air and non-air travel awards. Loyalty points are combined in one homogenous pool and are not separately identifiable. As such, the redemptions are comprised of points that were part of the Loyalty Program Liabilities balance at the beginning of the period, as well as loyalty points that were earned during the period.</w:t>
      </w:r>
    </w:p>
    <w:p>
      <w:pPr>
        <w:spacing w:after="0" w:line="73"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The timing of loyalty point redemptions can vary significantly, however most new points, that are not left to expire, are redeemed within two years. Given the inherent uncertainty of the current operating environment due to COVID-19, the Company will continue to monitor redemption patterns and will adjust estimates in the future, which could be material.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EARNINGS PER SHARE</w:t>
      </w:r>
    </w:p>
    <w:p>
      <w:pPr>
        <w:spacing w:after="0" w:line="128" w:lineRule="exact"/>
        <w:rPr>
          <w:sz w:val="20"/>
          <w:szCs w:val="20"/>
          <w:color w:val="auto"/>
        </w:rPr>
      </w:pPr>
    </w:p>
    <w:p>
      <w:pPr>
        <w:ind w:left="1160" w:right="1439" w:firstLine="293"/>
        <w:spacing w:after="0" w:line="300" w:lineRule="auto"/>
        <w:rPr>
          <w:sz w:val="20"/>
          <w:szCs w:val="20"/>
          <w:color w:val="auto"/>
        </w:rPr>
      </w:pPr>
      <w:r>
        <w:rPr>
          <w:rFonts w:ascii="Arial" w:cs="Arial" w:eastAsia="Arial" w:hAnsi="Arial"/>
          <w:sz w:val="14"/>
          <w:szCs w:val="14"/>
          <w:color w:val="auto"/>
        </w:rPr>
        <w:t>Basic earnings per share, which excludes dilution, is computed by dividing Net Income available to common stockholders by the weighted average number of common shares outstanding for the period.</w:t>
      </w:r>
    </w:p>
    <w:p>
      <w:pPr>
        <w:spacing w:after="0" w:line="70"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0" w:name="page221"/>
    <w:bookmarkEnd w:id="220"/>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EARNINGS PER SHARE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computation of basic and diluted earnings per share: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restart"/>
          </w:tcPr>
          <w:p>
            <w:pPr>
              <w:jc w:val="center"/>
              <w:ind w:right="49"/>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2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4"/>
          </w:tcPr>
          <w:p>
            <w:pPr>
              <w:spacing w:after="0"/>
              <w:rPr>
                <w:sz w:val="20"/>
                <w:szCs w:val="20"/>
                <w:color w:val="auto"/>
              </w:rPr>
            </w:pPr>
            <w:r>
              <w:rPr>
                <w:rFonts w:ascii="Arial" w:cs="Arial" w:eastAsia="Arial" w:hAnsi="Arial"/>
                <w:sz w:val="12"/>
                <w:szCs w:val="12"/>
                <w:b w:val="1"/>
                <w:bCs w:val="1"/>
                <w:color w:val="auto"/>
              </w:rPr>
              <w:t>For the Period</w:t>
            </w:r>
          </w:p>
        </w:tc>
        <w:tc>
          <w:tcPr>
            <w:tcW w:w="120" w:type="dxa"/>
            <w:vAlign w:val="bottom"/>
          </w:tcPr>
          <w:p>
            <w:pPr>
              <w:spacing w:after="0"/>
              <w:rPr>
                <w:sz w:val="12"/>
                <w:szCs w:val="12"/>
                <w:color w:val="auto"/>
              </w:rPr>
            </w:pPr>
          </w:p>
        </w:tc>
        <w:tc>
          <w:tcPr>
            <w:tcW w:w="860" w:type="dxa"/>
            <w:vAlign w:val="bottom"/>
            <w:gridSpan w:val="2"/>
          </w:tcPr>
          <w:p>
            <w:pPr>
              <w:jc w:val="center"/>
              <w:ind w:right="9"/>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w w:val="92"/>
              </w:rPr>
              <w:t>Year Ended December 31,</w:t>
            </w: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4"/>
              </w:rPr>
              <w:t>April 11, 2018 to</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0"/>
              </w:rPr>
              <w:t>January 1, 2018 to</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15"/>
                <w:szCs w:val="15"/>
                <w:color w:val="auto"/>
              </w:rPr>
              <w:t>Net income / (Loss) . . . . . . . . . . . . .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rPr>
              <w:t>Denominator:</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300"/>
              <w:spacing w:after="0"/>
              <w:rPr>
                <w:sz w:val="20"/>
                <w:szCs w:val="20"/>
                <w:color w:val="auto"/>
              </w:rPr>
            </w:pPr>
            <w:r>
              <w:rPr>
                <w:rFonts w:ascii="Arial" w:cs="Arial" w:eastAsia="Arial" w:hAnsi="Arial"/>
                <w:sz w:val="15"/>
                <w:szCs w:val="15"/>
                <w:color w:val="auto"/>
              </w:rPr>
              <w:t>Weighted Average Common Shares</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Outstanding—Basic . . . . . . . . . . .</w:t>
            </w:r>
          </w:p>
        </w:tc>
        <w:tc>
          <w:tcPr>
            <w:tcW w:w="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46,773,038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5"/>
                <w:szCs w:val="15"/>
                <w:color w:val="auto"/>
              </w:rPr>
              <w:t>Dilutive effects of Warrants . . . . . . .</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Dilutive effect of Stock Options and</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40" w:type="dxa"/>
            <w:vAlign w:val="bottom"/>
          </w:tcPr>
          <w:p>
            <w:pPr>
              <w:ind w:left="160"/>
              <w:spacing w:after="0"/>
              <w:rPr>
                <w:sz w:val="20"/>
                <w:szCs w:val="20"/>
                <w:color w:val="auto"/>
              </w:rPr>
            </w:pPr>
            <w:r>
              <w:rPr>
                <w:rFonts w:ascii="Arial" w:cs="Arial" w:eastAsia="Arial" w:hAnsi="Arial"/>
                <w:sz w:val="15"/>
                <w:szCs w:val="15"/>
                <w:color w:val="auto"/>
              </w:rPr>
              <w:t>Warrants</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 . . . . . . . . . . . . . . . . . .</w:t>
            </w:r>
          </w:p>
        </w:tc>
        <w:tc>
          <w:tcPr>
            <w:tcW w:w="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1,136,375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2840" w:type="dxa"/>
            <w:vAlign w:val="bottom"/>
            <w:tcBorders>
              <w:top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Weighted Average Common Shares</w:t>
            </w: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40" w:type="dxa"/>
            <w:vAlign w:val="bottom"/>
          </w:tcPr>
          <w:p>
            <w:pPr>
              <w:ind w:left="440"/>
              <w:spacing w:after="0"/>
              <w:rPr>
                <w:sz w:val="20"/>
                <w:szCs w:val="20"/>
                <w:color w:val="auto"/>
              </w:rPr>
            </w:pPr>
            <w:r>
              <w:rPr>
                <w:rFonts w:ascii="Arial" w:cs="Arial" w:eastAsia="Arial" w:hAnsi="Arial"/>
                <w:sz w:val="15"/>
                <w:szCs w:val="15"/>
                <w:color w:val="auto"/>
              </w:rPr>
              <w:t>Outstanding—Diluted . . . . . . . . . .</w:t>
            </w:r>
          </w:p>
        </w:tc>
        <w:tc>
          <w:tcPr>
            <w:tcW w:w="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47,909,413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Basic earnings / (loss) per share . . . .</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0.99</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31"/>
        </w:trPr>
        <w:tc>
          <w:tcPr>
            <w:tcW w:w="2840" w:type="dxa"/>
            <w:vAlign w:val="bottom"/>
          </w:tcPr>
          <w:p>
            <w:pPr>
              <w:spacing w:after="0"/>
              <w:rPr>
                <w:sz w:val="20"/>
                <w:szCs w:val="20"/>
                <w:color w:val="auto"/>
              </w:rPr>
            </w:pPr>
            <w:r>
              <w:rPr>
                <w:rFonts w:ascii="Arial" w:cs="Arial" w:eastAsia="Arial" w:hAnsi="Arial"/>
                <w:sz w:val="15"/>
                <w:szCs w:val="15"/>
                <w:color w:val="auto"/>
              </w:rPr>
              <w:t>Diluted earnings / (loss) per share .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0.96</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-292100</wp:posOffset>
            </wp:positionV>
            <wp:extent cx="3492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-292100</wp:posOffset>
            </wp:positionV>
            <wp:extent cx="20256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-292100</wp:posOffset>
            </wp:positionV>
            <wp:extent cx="17462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-292100</wp:posOffset>
            </wp:positionV>
            <wp:extent cx="2378710"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-585470</wp:posOffset>
            </wp:positionV>
            <wp:extent cx="3492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-585470</wp:posOffset>
            </wp:positionV>
            <wp:extent cx="20256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-585470</wp:posOffset>
            </wp:positionV>
            <wp:extent cx="17462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2378710"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-1722755</wp:posOffset>
            </wp:positionV>
            <wp:extent cx="104775"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-1722755</wp:posOffset>
            </wp:positionV>
            <wp:extent cx="11176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-1722755</wp:posOffset>
            </wp:positionV>
            <wp:extent cx="111760"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-1722755</wp:posOffset>
            </wp:positionV>
            <wp:extent cx="55880"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right="1219" w:hanging="296"/>
        <w:spacing w:after="0" w:line="248" w:lineRule="auto"/>
        <w:tabs>
          <w:tab w:leader="none" w:pos="14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There were 3,577,252, 3,502,925 and 3,583,923 performance-based stock options outstanding as of December 31, 2020, 2019 and 2018, respectively, that were excluded from the calculation of diluted EPS. Additionally, in loss periods, the inclusion of unvested options would have an anti-dilutive effect.</w:t>
      </w:r>
    </w:p>
    <w:p>
      <w:pPr>
        <w:spacing w:after="0" w:line="94" w:lineRule="exact"/>
        <w:rPr>
          <w:sz w:val="20"/>
          <w:szCs w:val="20"/>
          <w:color w:val="auto"/>
        </w:rPr>
      </w:pPr>
    </w:p>
    <w:p>
      <w:pPr>
        <w:ind w:left="1160" w:right="1299" w:firstLine="293"/>
        <w:spacing w:after="0" w:line="281" w:lineRule="auto"/>
        <w:rPr>
          <w:sz w:val="20"/>
          <w:szCs w:val="20"/>
          <w:color w:val="auto"/>
        </w:rPr>
      </w:pPr>
      <w:r>
        <w:rPr>
          <w:rFonts w:ascii="Arial" w:cs="Arial" w:eastAsia="Arial" w:hAnsi="Arial"/>
          <w:sz w:val="14"/>
          <w:szCs w:val="14"/>
          <w:color w:val="auto"/>
        </w:rPr>
        <w:t>Prior to their exercise on January 31, 2020, all 40,005,885 warrants held by Apollo were included in basic and diluted weighted average shares outstanding as they were equity classified, had an exercise price of approximately $0.0005, and all necessary conditions for issuance were met.</w:t>
      </w:r>
    </w:p>
    <w:p>
      <w:pPr>
        <w:spacing w:after="0" w:line="138" w:lineRule="exact"/>
        <w:rPr>
          <w:sz w:val="20"/>
          <w:szCs w:val="20"/>
          <w:color w:val="auto"/>
        </w:rPr>
      </w:pPr>
    </w:p>
    <w:p>
      <w:pPr>
        <w:ind w:left="1160" w:right="1399" w:firstLine="293"/>
        <w:spacing w:after="0" w:line="269" w:lineRule="auto"/>
        <w:rPr>
          <w:sz w:val="20"/>
          <w:szCs w:val="20"/>
          <w:color w:val="auto"/>
        </w:rPr>
      </w:pPr>
      <w:r>
        <w:rPr>
          <w:rFonts w:ascii="Arial" w:cs="Arial" w:eastAsia="Arial" w:hAnsi="Arial"/>
          <w:sz w:val="15"/>
          <w:szCs w:val="15"/>
          <w:color w:val="auto"/>
        </w:rPr>
        <w:t>Warrants held by Amazon are included in diluted weighted average shares outstanding as of the date the warrants vested. The unvested warrants held by Amazon have not been included in diluted shares as their performance condition had not yet been satisfied.</w:t>
      </w:r>
    </w:p>
    <w:p>
      <w:pPr>
        <w:spacing w:after="0" w:line="18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w:t>
      </w:r>
    </w:p>
    <w:p>
      <w:pPr>
        <w:spacing w:after="0" w:line="17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During the year ended December 31, 2020, the Company purchased nine aircraft and a spare engine.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See Note 10 for further information on leased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1" w:name="page222"/>
    <w:bookmarkEnd w:id="221"/>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Fleet</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tables summarize the Company’s aircraft fleet activity for the years ended December 31,</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2020 and 2019, respectively:</w:t>
      </w:r>
    </w:p>
    <w:p>
      <w:pPr>
        <w:spacing w:after="0" w:line="12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2019</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2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0"/>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97"/>
        </w:trPr>
        <w:tc>
          <w:tcPr>
            <w:tcW w:w="2540" w:type="dxa"/>
            <w:vAlign w:val="bottom"/>
          </w:tcPr>
          <w:p>
            <w:pPr>
              <w:ind w:left="140"/>
              <w:spacing w:after="0"/>
              <w:rPr>
                <w:sz w:val="20"/>
                <w:szCs w:val="20"/>
                <w:color w:val="auto"/>
              </w:rPr>
            </w:pPr>
            <w:r>
              <w:rPr>
                <w:rFonts w:ascii="Arial" w:cs="Arial" w:eastAsia="Arial" w:hAnsi="Arial"/>
                <w:sz w:val="15"/>
                <w:szCs w:val="15"/>
                <w:color w:val="auto"/>
              </w:rPr>
              <w:t>Owned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380" w:type="dxa"/>
            <w:vAlign w:val="bottom"/>
          </w:tcPr>
          <w:p>
            <w:pPr>
              <w:spacing w:after="0"/>
              <w:rPr>
                <w:sz w:val="24"/>
                <w:szCs w:val="24"/>
                <w:color w:val="auto"/>
              </w:rPr>
            </w:pPr>
          </w:p>
        </w:tc>
      </w:tr>
      <w:tr>
        <w:trPr>
          <w:trHeight w:val="209"/>
        </w:trPr>
        <w:tc>
          <w:tcPr>
            <w:tcW w:w="25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leases .</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380" w:type="dxa"/>
            <w:vAlign w:val="bottom"/>
            <w:shd w:val="clear" w:color="auto" w:fill="CCEEFF"/>
          </w:tcPr>
          <w:p>
            <w:pPr>
              <w:spacing w:after="0"/>
              <w:rPr>
                <w:sz w:val="18"/>
                <w:szCs w:val="18"/>
                <w:color w:val="auto"/>
              </w:rPr>
            </w:pPr>
          </w:p>
        </w:tc>
      </w:tr>
      <w:tr>
        <w:trPr>
          <w:trHeight w:val="209"/>
        </w:trPr>
        <w:tc>
          <w:tcPr>
            <w:tcW w:w="2540" w:type="dxa"/>
            <w:vAlign w:val="bottom"/>
          </w:tcPr>
          <w:p>
            <w:pPr>
              <w:ind w:left="140"/>
              <w:spacing w:after="0"/>
              <w:rPr>
                <w:sz w:val="20"/>
                <w:szCs w:val="20"/>
                <w:color w:val="auto"/>
              </w:rPr>
            </w:pPr>
            <w:r>
              <w:rPr>
                <w:rFonts w:ascii="Arial" w:cs="Arial" w:eastAsia="Arial" w:hAnsi="Arial"/>
                <w:sz w:val="15"/>
                <w:szCs w:val="15"/>
                <w:color w:val="auto"/>
              </w:rPr>
              <w:t>Operating leases .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14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12</w:t>
            </w:r>
          </w:p>
        </w:tc>
        <w:tc>
          <w:tcPr>
            <w:tcW w:w="380" w:type="dxa"/>
            <w:vAlign w:val="bottom"/>
          </w:tcPr>
          <w:p>
            <w:pPr>
              <w:spacing w:after="0"/>
              <w:rPr>
                <w:sz w:val="18"/>
                <w:szCs w:val="18"/>
                <w:color w:val="auto"/>
              </w:rPr>
            </w:pPr>
          </w:p>
        </w:tc>
      </w:tr>
      <w:tr>
        <w:trPr>
          <w:trHeight w:val="214"/>
        </w:trPr>
        <w:tc>
          <w:tcPr>
            <w:tcW w:w="25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Seasonal leases . .</w:t>
            </w:r>
          </w:p>
        </w:tc>
        <w:tc>
          <w:tcPr>
            <w:tcW w:w="5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3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79"/>
              </w:rPr>
              <w:t>—</w:t>
            </w:r>
          </w:p>
        </w:tc>
      </w:tr>
      <w:tr>
        <w:trPr>
          <w:trHeight w:val="20"/>
        </w:trPr>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05"/>
        </w:trPr>
        <w:tc>
          <w:tcPr>
            <w:tcW w:w="2540" w:type="dxa"/>
            <w:vAlign w:val="bottom"/>
          </w:tcPr>
          <w:p>
            <w:pPr>
              <w:ind w:left="300"/>
              <w:spacing w:after="0"/>
              <w:rPr>
                <w:sz w:val="20"/>
                <w:szCs w:val="20"/>
                <w:color w:val="auto"/>
              </w:rPr>
            </w:pPr>
            <w:r>
              <w:rPr>
                <w:rFonts w:ascii="Arial" w:cs="Arial" w:eastAsia="Arial" w:hAnsi="Arial"/>
                <w:sz w:val="15"/>
                <w:szCs w:val="15"/>
                <w:color w:val="auto"/>
              </w:rPr>
              <w:t>Sun Country Airlines’ Fleet</w:t>
            </w:r>
          </w:p>
        </w:tc>
        <w:tc>
          <w:tcPr>
            <w:tcW w:w="560" w:type="dxa"/>
            <w:vAlign w:val="bottom"/>
            <w:gridSpan w:val="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31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w w:val="97"/>
              </w:rPr>
              <w:t>(9)</w:t>
            </w: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380" w:type="dxa"/>
            <w:vAlign w:val="bottom"/>
          </w:tcPr>
          <w:p>
            <w:pPr>
              <w:spacing w:after="0"/>
              <w:rPr>
                <w:sz w:val="17"/>
                <w:szCs w:val="17"/>
                <w:color w:val="auto"/>
              </w:rPr>
            </w:pPr>
          </w:p>
        </w:tc>
      </w:tr>
      <w:tr>
        <w:trPr>
          <w:trHeight w:val="21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Cargo Aircraft Operated for Amazon</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5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12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12</w:t>
            </w:r>
          </w:p>
        </w:tc>
        <w:tc>
          <w:tcPr>
            <w:tcW w:w="380" w:type="dxa"/>
            <w:vAlign w:val="bottom"/>
            <w:tcBorders>
              <w:bottom w:val="single" w:sz="8" w:color="CCEEFF"/>
            </w:tcBorders>
            <w:shd w:val="clear" w:color="auto" w:fill="CCEEFF"/>
          </w:tcPr>
          <w:p>
            <w:pPr>
              <w:spacing w:after="0"/>
              <w:rPr>
                <w:sz w:val="18"/>
                <w:szCs w:val="18"/>
                <w:color w:val="auto"/>
              </w:rPr>
            </w:pPr>
          </w:p>
        </w:tc>
      </w:tr>
      <w:tr>
        <w:trPr>
          <w:trHeight w:val="216"/>
        </w:trPr>
        <w:tc>
          <w:tcPr>
            <w:tcW w:w="2540" w:type="dxa"/>
            <w:vAlign w:val="bottom"/>
          </w:tcPr>
          <w:p>
            <w:pPr>
              <w:ind w:left="300"/>
              <w:spacing w:after="0"/>
              <w:rPr>
                <w:sz w:val="20"/>
                <w:szCs w:val="20"/>
                <w:color w:val="auto"/>
              </w:rPr>
            </w:pPr>
            <w:r>
              <w:rPr>
                <w:rFonts w:ascii="Arial" w:cs="Arial" w:eastAsia="Arial" w:hAnsi="Arial"/>
                <w:sz w:val="15"/>
                <w:szCs w:val="15"/>
                <w:color w:val="auto"/>
              </w:rPr>
              <w:t>Total Aircraft Operated</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31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380" w:type="dxa"/>
            <w:vAlign w:val="bottom"/>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-1185545</wp:posOffset>
            </wp:positionV>
            <wp:extent cx="111760"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-1185545</wp:posOffset>
            </wp:positionV>
            <wp:extent cx="111760"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-1185545</wp:posOffset>
            </wp:positionV>
            <wp:extent cx="2427605"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427605" cy="6985"/>
                    </a:xfrm>
                    <a:prstGeom prst="rect">
                      <a:avLst/>
                    </a:prstGeom>
                    <a:noFill/>
                  </pic:spPr>
                </pic:pic>
              </a:graphicData>
            </a:graphic>
          </wp:anchor>
        </w:drawing>
      </w:r>
    </w:p>
    <w:p>
      <w:pPr>
        <w:spacing w:after="0" w:line="156" w:lineRule="exact"/>
        <w:rPr>
          <w:sz w:val="20"/>
          <w:szCs w:val="20"/>
          <w:color w:val="auto"/>
        </w:rPr>
      </w:pPr>
    </w:p>
    <w:p>
      <w:pPr>
        <w:ind w:left="1160" w:right="1199" w:firstLine="293"/>
        <w:spacing w:after="0" w:line="311" w:lineRule="auto"/>
        <w:rPr>
          <w:sz w:val="20"/>
          <w:szCs w:val="20"/>
          <w:color w:val="auto"/>
        </w:rPr>
      </w:pPr>
      <w:r>
        <w:rPr>
          <w:rFonts w:ascii="Arial" w:cs="Arial" w:eastAsia="Arial" w:hAnsi="Arial"/>
          <w:sz w:val="13"/>
          <w:szCs w:val="13"/>
          <w:color w:val="auto"/>
        </w:rPr>
        <w:t>The nine passenger aircraft purchased during the year ended December 31, 2020 were financed through equipment trust certificates (see Note 9). Two of these aircraft were previously under operating leases, five were previously under finance leases, and the other two aircraft were new to the Company’s fleet.</w:t>
      </w:r>
    </w:p>
    <w:p>
      <w:pPr>
        <w:spacing w:after="0" w:line="67" w:lineRule="exact"/>
        <w:rPr>
          <w:sz w:val="20"/>
          <w:szCs w:val="20"/>
          <w:color w:val="auto"/>
        </w:rPr>
      </w:pPr>
    </w:p>
    <w:p>
      <w:pPr>
        <w:ind w:left="1160" w:right="1459" w:firstLine="293"/>
        <w:spacing w:after="0" w:line="264" w:lineRule="auto"/>
        <w:rPr>
          <w:sz w:val="20"/>
          <w:szCs w:val="20"/>
          <w:color w:val="auto"/>
        </w:rPr>
      </w:pPr>
      <w:r>
        <w:rPr>
          <w:rFonts w:ascii="Arial" w:cs="Arial" w:eastAsia="Arial" w:hAnsi="Arial"/>
          <w:sz w:val="15"/>
          <w:szCs w:val="15"/>
          <w:color w:val="auto"/>
        </w:rPr>
        <w:t>In addition to the nine purchases discussed above, the Company refinanced three previously owned aircraft in January 2020 utilizing equipment trust certificates (see Note 9).</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12 cargo aircraft added during 2020 relate to the Amazon Agreement (see Note 1).</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2018</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0"/>
        </w:trPr>
        <w:tc>
          <w:tcPr>
            <w:tcW w:w="2520" w:type="dxa"/>
            <w:vAlign w:val="bottom"/>
            <w:shd w:val="clear" w:color="auto" w:fill="CCEEFF"/>
          </w:tcPr>
          <w:p>
            <w:pPr>
              <w:spacing w:after="0"/>
              <w:rPr>
                <w:sz w:val="20"/>
                <w:szCs w:val="20"/>
                <w:color w:val="auto"/>
              </w:rPr>
            </w:pPr>
            <w:r>
              <w:rPr>
                <w:rFonts w:ascii="Arial" w:cs="Arial" w:eastAsia="Arial" w:hAnsi="Arial"/>
                <w:sz w:val="15"/>
                <w:szCs w:val="15"/>
                <w:color w:val="auto"/>
              </w:rPr>
              <w:t>Owned</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w:t>
            </w:r>
          </w:p>
        </w:tc>
        <w:tc>
          <w:tcPr>
            <w:tcW w:w="380" w:type="dxa"/>
            <w:vAlign w:val="bottom"/>
            <w:shd w:val="clear" w:color="auto" w:fill="CCEEFF"/>
          </w:tcPr>
          <w:p>
            <w:pPr>
              <w:spacing w:after="0"/>
              <w:rPr>
                <w:sz w:val="17"/>
                <w:szCs w:val="17"/>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5"/>
                <w:szCs w:val="15"/>
                <w:color w:val="auto"/>
              </w:rPr>
              <w:t>Finance leases</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10</w:t>
            </w:r>
          </w:p>
        </w:tc>
        <w:tc>
          <w:tcPr>
            <w:tcW w:w="380" w:type="dxa"/>
            <w:vAlign w:val="bottom"/>
          </w:tcPr>
          <w:p>
            <w:pPr>
              <w:spacing w:after="0"/>
              <w:rPr>
                <w:sz w:val="18"/>
                <w:szCs w:val="18"/>
                <w:color w:val="auto"/>
              </w:rPr>
            </w:pPr>
          </w:p>
        </w:tc>
      </w:tr>
      <w:tr>
        <w:trPr>
          <w:trHeight w:val="209"/>
        </w:trPr>
        <w:tc>
          <w:tcPr>
            <w:tcW w:w="252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w:t>
            </w:r>
          </w:p>
        </w:tc>
        <w:tc>
          <w:tcPr>
            <w:tcW w:w="380" w:type="dxa"/>
            <w:vAlign w:val="bottom"/>
            <w:shd w:val="clear" w:color="auto" w:fill="CCEEFF"/>
          </w:tcPr>
          <w:p>
            <w:pPr>
              <w:spacing w:after="0"/>
              <w:rPr>
                <w:sz w:val="18"/>
                <w:szCs w:val="18"/>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5"/>
                <w:szCs w:val="15"/>
                <w:color w:val="auto"/>
              </w:rPr>
              <w:t>Seasonal leases</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380" w:type="dxa"/>
            <w:vAlign w:val="bottom"/>
          </w:tcPr>
          <w:p>
            <w:pPr>
              <w:spacing w:after="0"/>
              <w:rPr>
                <w:sz w:val="18"/>
                <w:szCs w:val="18"/>
                <w:color w:val="auto"/>
              </w:rPr>
            </w:pPr>
          </w:p>
        </w:tc>
      </w:tr>
      <w:tr>
        <w:trPr>
          <w:trHeight w:val="214"/>
        </w:trPr>
        <w:tc>
          <w:tcPr>
            <w:tcW w:w="2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Sun Country Airlines’ Fleet</w:t>
            </w:r>
          </w:p>
        </w:tc>
        <w:tc>
          <w:tcPr>
            <w:tcW w:w="5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30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w:t>
            </w:r>
          </w:p>
        </w:tc>
        <w:tc>
          <w:tcPr>
            <w:tcW w:w="380" w:type="dxa"/>
            <w:vAlign w:val="bottom"/>
            <w:shd w:val="clear" w:color="auto" w:fill="CCEEFF"/>
          </w:tcPr>
          <w:p>
            <w:pPr>
              <w:spacing w:after="0"/>
              <w:rPr>
                <w:sz w:val="18"/>
                <w:szCs w:val="18"/>
                <w:color w:val="auto"/>
              </w:rPr>
            </w:pPr>
          </w:p>
        </w:tc>
      </w:tr>
      <w:tr>
        <w:trPr>
          <w:trHeight w:val="20"/>
        </w:trPr>
        <w:tc>
          <w:tcPr>
            <w:tcW w:w="2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-683260</wp:posOffset>
            </wp:positionV>
            <wp:extent cx="111760"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-683260</wp:posOffset>
            </wp:positionV>
            <wp:extent cx="111760"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-683260</wp:posOffset>
            </wp:positionV>
            <wp:extent cx="2427605"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427605" cy="6985"/>
                    </a:xfrm>
                    <a:prstGeom prst="rect">
                      <a:avLst/>
                    </a:prstGeom>
                    <a:noFill/>
                  </pic:spPr>
                </pic:pic>
              </a:graphicData>
            </a:graphic>
          </wp:anchor>
        </w:drawing>
      </w:r>
    </w:p>
    <w:p>
      <w:pPr>
        <w:spacing w:after="0" w:line="156"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In December 2019, the Company purchased its first aircraft utilizing equipment trust certificates. The Company purchased one of its aircraft previously under an operating lease agreement in February 2019. In addition, the Company entered into a new finance lease for an aircraft in each of March, April, May and December 2019.</w:t>
      </w:r>
    </w:p>
    <w:p>
      <w:pPr>
        <w:spacing w:after="0" w:line="102" w:lineRule="exact"/>
        <w:rPr>
          <w:sz w:val="20"/>
          <w:szCs w:val="20"/>
          <w:color w:val="auto"/>
        </w:rPr>
      </w:pPr>
    </w:p>
    <w:p>
      <w:pPr>
        <w:jc w:val="both"/>
        <w:ind w:left="1160" w:right="1419" w:firstLine="293"/>
        <w:spacing w:after="0" w:line="341" w:lineRule="auto"/>
        <w:rPr>
          <w:sz w:val="20"/>
          <w:szCs w:val="20"/>
          <w:color w:val="auto"/>
        </w:rPr>
      </w:pPr>
      <w:r>
        <w:rPr>
          <w:rFonts w:ascii="Arial" w:cs="Arial" w:eastAsia="Arial" w:hAnsi="Arial"/>
          <w:sz w:val="13"/>
          <w:szCs w:val="13"/>
          <w:color w:val="auto"/>
        </w:rPr>
        <w:t>Also, in December 2019, the Company amended an operating lease, which converted it to a finance lease. Lastly, one of the Company’s operating leases expired in August 2019 and two in December 2019.</w:t>
      </w:r>
    </w:p>
    <w:p>
      <w:pPr>
        <w:spacing w:after="0" w:line="48"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color w:val="auto"/>
        </w:rPr>
        <w:t>The Accumulated Depreciation on owned assets was $52,048 and $21,030 as of December 31, 2020 and 2019, respectively. Depreciation expense was $31,657 and $17,347 for the years ended December 31, 2020 and 2019, respectively, and was $6,731 and $2,315 for the period from April 11, 2018 through December 31, 2018 and the period January 1, 2018 through April 10, 2018, respectively.</w:t>
      </w:r>
    </w:p>
    <w:p>
      <w:pPr>
        <w:spacing w:after="0" w:line="78"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The Accumulated Amortization on Finance Lease Assets was $13,018 and $6,698 as of December 31, 2020 and 2019, respectively. Amortization Expense was $11,948 and $13,104 for the years ended December 31, 2020 and 2019, respectively, and was $4,476 and $119 for the period from April 11, 2018 through December 31, 2018 and the period January 1, 2018 through April 10, 2018, respectively.</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2" w:name="page223"/>
    <w:bookmarkEnd w:id="222"/>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 (continued)</w:t>
      </w:r>
    </w:p>
    <w:p>
      <w:pPr>
        <w:spacing w:after="0" w:line="183" w:lineRule="exact"/>
        <w:rPr>
          <w:sz w:val="20"/>
          <w:szCs w:val="20"/>
          <w:color w:val="auto"/>
        </w:rPr>
      </w:pPr>
    </w:p>
    <w:p>
      <w:pPr>
        <w:ind w:left="1160" w:right="1759" w:firstLine="293"/>
        <w:spacing w:after="0" w:line="283" w:lineRule="auto"/>
        <w:rPr>
          <w:sz w:val="20"/>
          <w:szCs w:val="20"/>
          <w:color w:val="auto"/>
        </w:rPr>
      </w:pPr>
      <w:r>
        <w:rPr>
          <w:rFonts w:ascii="Arial" w:cs="Arial" w:eastAsia="Arial" w:hAnsi="Arial"/>
          <w:sz w:val="14"/>
          <w:szCs w:val="14"/>
          <w:color w:val="auto"/>
        </w:rPr>
        <w:t>Depreciation expense on Owned Assets and amortization expense on Finance Lease Assets are classified in Depreciation and Amortization on the Consolidated Statements of Operations.</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8. GOODWILL AND OTHER INTANGIBLE ASSETS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Components of Goodwill and Other Intangible Assets were as follows:</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2"/>
                <w:szCs w:val="12"/>
                <w:b w:val="1"/>
                <w:bCs w:val="1"/>
                <w:color w:val="auto"/>
                <w:w w:val="86"/>
              </w:rPr>
              <w:t>December 31, 2020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r>
      <w:tr>
        <w:trPr>
          <w:trHeight w:val="138"/>
        </w:trPr>
        <w:tc>
          <w:tcPr>
            <w:tcW w:w="3460" w:type="dxa"/>
            <w:vAlign w:val="bottom"/>
          </w:tcPr>
          <w:p>
            <w:pPr>
              <w:spacing w:after="0"/>
              <w:rPr>
                <w:sz w:val="12"/>
                <w:szCs w:val="12"/>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2"/>
                <w:szCs w:val="12"/>
                <w:b w:val="1"/>
                <w:bCs w:val="1"/>
                <w:color w:val="auto"/>
                <w:w w:val="84"/>
              </w:rPr>
              <w:t>Gross Carrying</w:t>
            </w:r>
          </w:p>
        </w:tc>
        <w:tc>
          <w:tcPr>
            <w:tcW w:w="960" w:type="dxa"/>
            <w:vAlign w:val="bottom"/>
            <w:gridSpan w:val="4"/>
          </w:tcPr>
          <w:p>
            <w:pPr>
              <w:ind w:left="160"/>
              <w:spacing w:after="0"/>
              <w:rPr>
                <w:sz w:val="20"/>
                <w:szCs w:val="20"/>
                <w:color w:val="auto"/>
              </w:rPr>
            </w:pPr>
            <w:r>
              <w:rPr>
                <w:rFonts w:ascii="Arial" w:cs="Arial" w:eastAsia="Arial" w:hAnsi="Arial"/>
                <w:sz w:val="12"/>
                <w:szCs w:val="12"/>
                <w:b w:val="1"/>
                <w:bCs w:val="1"/>
                <w:color w:val="auto"/>
              </w:rPr>
              <w:t>Accumulated</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Net Carrying</w:t>
            </w: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Amount</w:t>
            </w: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w w:val="89"/>
              </w:rPr>
              <w:t>Amortization</w:t>
            </w:r>
          </w:p>
        </w:tc>
        <w:tc>
          <w:tcPr>
            <w:tcW w:w="12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Goodwill . . . . . . . . . . . . . . .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40" w:type="dxa"/>
            <w:vAlign w:val="bottom"/>
            <w:shd w:val="clear" w:color="auto" w:fill="CCEEFF"/>
          </w:tcPr>
          <w:p>
            <w:pPr>
              <w:spacing w:after="0"/>
              <w:rPr>
                <w:sz w:val="17"/>
                <w:szCs w:val="17"/>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48,000</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37,110</w:t>
            </w:r>
          </w:p>
        </w:tc>
        <w:tc>
          <w:tcPr>
            <w:tcW w:w="40" w:type="dxa"/>
            <w:vAlign w:val="bottom"/>
            <w:shd w:val="clear" w:color="auto" w:fill="CCEEFF"/>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Indefinite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Tradename . . . . . . . . . . . . . . . . . . . . . . . . . .</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40" w:type="dxa"/>
            <w:vAlign w:val="bottom"/>
            <w:shd w:val="clear" w:color="auto" w:fill="CCEEFF"/>
          </w:tcPr>
          <w:p>
            <w:pPr>
              <w:spacing w:after="0"/>
              <w:rPr>
                <w:sz w:val="18"/>
                <w:szCs w:val="18"/>
                <w:color w:val="auto"/>
              </w:rPr>
            </w:pPr>
          </w:p>
        </w:tc>
      </w:tr>
      <w:tr>
        <w:trPr>
          <w:trHeight w:val="211"/>
        </w:trPr>
        <w:tc>
          <w:tcPr>
            <w:tcW w:w="3460" w:type="dxa"/>
            <w:vAlign w:val="bottom"/>
          </w:tcPr>
          <w:p>
            <w:pPr>
              <w:ind w:left="140"/>
              <w:spacing w:after="0"/>
              <w:rPr>
                <w:sz w:val="20"/>
                <w:szCs w:val="20"/>
                <w:color w:val="auto"/>
              </w:rPr>
            </w:pPr>
            <w:r>
              <w:rPr>
                <w:rFonts w:ascii="Arial" w:cs="Arial" w:eastAsia="Arial" w:hAnsi="Arial"/>
                <w:sz w:val="15"/>
                <w:szCs w:val="15"/>
                <w:color w:val="auto"/>
              </w:rPr>
              <w:t>Total Other Intangible Assets . . . . . . . . . . .</w:t>
            </w:r>
          </w:p>
        </w:tc>
        <w:tc>
          <w:tcPr>
            <w:tcW w:w="2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3"/>
              </w:rPr>
              <w:t>(10,890)</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93,110</w:t>
            </w:r>
          </w:p>
        </w:tc>
        <w:tc>
          <w:tcPr>
            <w:tcW w:w="40" w:type="dxa"/>
            <w:vAlign w:val="bottom"/>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 Goodwill and Other Intangible Assets . . . .</w:t>
            </w:r>
          </w:p>
        </w:tc>
        <w:tc>
          <w:tcPr>
            <w:tcW w:w="2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$326,223</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$315,333</w:t>
            </w:r>
          </w:p>
        </w:tc>
        <w:tc>
          <w:tcPr>
            <w:tcW w:w="40" w:type="dxa"/>
            <w:vAlign w:val="bottom"/>
            <w:shd w:val="clear" w:color="auto" w:fill="CCEEFF"/>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3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Arial" w:cs="Arial" w:eastAsia="Arial" w:hAnsi="Arial"/>
                <w:sz w:val="12"/>
                <w:szCs w:val="12"/>
                <w:b w:val="1"/>
                <w:bCs w:val="1"/>
                <w:color w:val="auto"/>
                <w:w w:val="86"/>
              </w:rPr>
              <w:t>December 31, 2019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r>
      <w:tr>
        <w:trPr>
          <w:trHeight w:val="138"/>
        </w:trPr>
        <w:tc>
          <w:tcPr>
            <w:tcW w:w="3460" w:type="dxa"/>
            <w:vAlign w:val="bottom"/>
          </w:tcPr>
          <w:p>
            <w:pPr>
              <w:spacing w:after="0"/>
              <w:rPr>
                <w:sz w:val="12"/>
                <w:szCs w:val="12"/>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2"/>
                <w:szCs w:val="12"/>
                <w:b w:val="1"/>
                <w:bCs w:val="1"/>
                <w:color w:val="auto"/>
                <w:w w:val="84"/>
              </w:rPr>
              <w:t>Gross Carrying</w:t>
            </w:r>
          </w:p>
        </w:tc>
        <w:tc>
          <w:tcPr>
            <w:tcW w:w="960" w:type="dxa"/>
            <w:vAlign w:val="bottom"/>
            <w:gridSpan w:val="4"/>
          </w:tcPr>
          <w:p>
            <w:pPr>
              <w:ind w:left="180"/>
              <w:spacing w:after="0"/>
              <w:rPr>
                <w:sz w:val="20"/>
                <w:szCs w:val="20"/>
                <w:color w:val="auto"/>
              </w:rPr>
            </w:pPr>
            <w:r>
              <w:rPr>
                <w:rFonts w:ascii="Arial" w:cs="Arial" w:eastAsia="Arial" w:hAnsi="Arial"/>
                <w:sz w:val="12"/>
                <w:szCs w:val="12"/>
                <w:b w:val="1"/>
                <w:bCs w:val="1"/>
                <w:color w:val="auto"/>
              </w:rPr>
              <w:t>Accumulated</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Net Carrying</w:t>
            </w: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Amount</w:t>
            </w: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w w:val="89"/>
              </w:rPr>
              <w:t>Amortization</w:t>
            </w:r>
          </w:p>
        </w:tc>
        <w:tc>
          <w:tcPr>
            <w:tcW w:w="12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Goodwill . . . . . . . . . . . . . . .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40" w:type="dxa"/>
            <w:vAlign w:val="bottom"/>
            <w:shd w:val="clear" w:color="auto" w:fill="CCEEFF"/>
          </w:tcPr>
          <w:p>
            <w:pPr>
              <w:spacing w:after="0"/>
              <w:rPr>
                <w:sz w:val="17"/>
                <w:szCs w:val="17"/>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48,000</w:t>
            </w:r>
          </w:p>
        </w:tc>
        <w:tc>
          <w:tcPr>
            <w:tcW w:w="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(6,890)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41,110</w:t>
            </w:r>
          </w:p>
        </w:tc>
        <w:tc>
          <w:tcPr>
            <w:tcW w:w="40" w:type="dxa"/>
            <w:vAlign w:val="bottom"/>
            <w:shd w:val="clear" w:color="auto" w:fill="CCEEFF"/>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Indefinite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Tradename . . . . . . . . . . . . . . . . . . . . . . . . . .</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40" w:type="dxa"/>
            <w:vAlign w:val="bottom"/>
            <w:shd w:val="clear" w:color="auto" w:fill="CCEEFF"/>
          </w:tcPr>
          <w:p>
            <w:pPr>
              <w:spacing w:after="0"/>
              <w:rPr>
                <w:sz w:val="18"/>
                <w:szCs w:val="18"/>
                <w:color w:val="auto"/>
              </w:rPr>
            </w:pPr>
          </w:p>
        </w:tc>
      </w:tr>
      <w:tr>
        <w:trPr>
          <w:trHeight w:val="211"/>
        </w:trPr>
        <w:tc>
          <w:tcPr>
            <w:tcW w:w="3460" w:type="dxa"/>
            <w:vAlign w:val="bottom"/>
          </w:tcPr>
          <w:p>
            <w:pPr>
              <w:ind w:left="140"/>
              <w:spacing w:after="0"/>
              <w:rPr>
                <w:sz w:val="20"/>
                <w:szCs w:val="20"/>
                <w:color w:val="auto"/>
              </w:rPr>
            </w:pPr>
            <w:r>
              <w:rPr>
                <w:rFonts w:ascii="Arial" w:cs="Arial" w:eastAsia="Arial" w:hAnsi="Arial"/>
                <w:sz w:val="15"/>
                <w:szCs w:val="15"/>
                <w:color w:val="auto"/>
              </w:rPr>
              <w:t>Total Other Intangible Assets . . . . . . . . . . .</w:t>
            </w:r>
          </w:p>
        </w:tc>
        <w:tc>
          <w:tcPr>
            <w:tcW w:w="2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(6,890)</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97,110</w:t>
            </w:r>
          </w:p>
        </w:tc>
        <w:tc>
          <w:tcPr>
            <w:tcW w:w="40" w:type="dxa"/>
            <w:vAlign w:val="bottom"/>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 Goodwill and Other Intangible Assets . . . .</w:t>
            </w:r>
          </w:p>
        </w:tc>
        <w:tc>
          <w:tcPr>
            <w:tcW w:w="260" w:type="dxa"/>
            <w:vAlign w:val="bottom"/>
            <w:gridSpan w:val="2"/>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$326,223</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$(6,890)</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$319,333</w:t>
            </w:r>
          </w:p>
        </w:tc>
        <w:tc>
          <w:tcPr>
            <w:tcW w:w="40" w:type="dxa"/>
            <w:vAlign w:val="bottom"/>
            <w:shd w:val="clear" w:color="auto" w:fill="CCEEFF"/>
          </w:tcPr>
          <w:p>
            <w:pPr>
              <w:spacing w:after="0"/>
              <w:rPr>
                <w:sz w:val="20"/>
                <w:szCs w:val="20"/>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-1373505</wp:posOffset>
            </wp:positionV>
            <wp:extent cx="34925"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-1520190</wp:posOffset>
            </wp:positionV>
            <wp:extent cx="34925"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-1520190</wp:posOffset>
            </wp:positionV>
            <wp:extent cx="188595"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-1520190</wp:posOffset>
            </wp:positionV>
            <wp:extent cx="2943860"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-1666875</wp:posOffset>
            </wp:positionV>
            <wp:extent cx="34925"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-2343150</wp:posOffset>
            </wp:positionV>
            <wp:extent cx="111760"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-2343150</wp:posOffset>
            </wp:positionV>
            <wp:extent cx="111760"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-2343150</wp:posOffset>
            </wp:positionV>
            <wp:extent cx="55880"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-173990</wp:posOffset>
            </wp:positionV>
            <wp:extent cx="34925"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474085"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474085"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-320040</wp:posOffset>
            </wp:positionV>
            <wp:extent cx="34925"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-996950</wp:posOffset>
            </wp:positionV>
            <wp:extent cx="111760"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-996950</wp:posOffset>
            </wp:positionV>
            <wp:extent cx="111760"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-996950</wp:posOffset>
            </wp:positionV>
            <wp:extent cx="55880"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All Goodwill is related to the Passenger Operating segment.</w:t>
      </w:r>
    </w:p>
    <w:p>
      <w:pPr>
        <w:spacing w:after="0" w:line="124"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Finite-Lived Intangible Assets are amortized over an estimated useful life based on several factors, including the effects of demand, competition, contractual relationship and other business factors. The Company concluded that the Customer Relationships Finite-Lived Intangible Assets has an estimated life of 12 years and is being amortized over this period on a straight-line basis.</w:t>
      </w:r>
    </w:p>
    <w:p>
      <w:pPr>
        <w:spacing w:after="0" w:line="102"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SCA recognized $4,000 of amortization expense on intangible assets with finite-lives during each of the years ended December 31, 2020 and 2019. For the period April 11, 2018 to December 31, 2018, SCA recognized $2,890 of amortization expense. Amortization is classified in Depreciation and Amortization on the Consolidated Statements of Operations. As of December 31, 2020, estimated annual amortization expense for each of the next five fiscal years is $4,000 and $17,110 thereafter.</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w:t>
      </w:r>
    </w:p>
    <w:p>
      <w:pPr>
        <w:spacing w:after="0" w:line="113"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b w:val="1"/>
          <w:bCs w:val="1"/>
          <w:color w:val="auto"/>
        </w:rPr>
        <w:t xml:space="preserve">Lines of Credit — </w:t>
      </w:r>
      <w:r>
        <w:rPr>
          <w:rFonts w:ascii="Arial" w:cs="Arial" w:eastAsia="Arial" w:hAnsi="Arial"/>
          <w:sz w:val="15"/>
          <w:szCs w:val="15"/>
          <w:color w:val="auto"/>
        </w:rPr>
        <w:t>In 2018, the Company entered into a revolving credit agreement with a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institution which provides available credit based upon defined thresholds to a maximum amount of $20,000. On May 15, 2020, the revolving credit agreement maturity date was extended by one year to April 11, 2022 and the maximum credit amount was increased from $20,000 to $25,000. Available credit under this agreement</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3" w:name="page224"/>
    <w:bookmarkEnd w:id="223"/>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160" w:right="1239"/>
        <w:spacing w:after="0" w:line="251" w:lineRule="auto"/>
        <w:rPr>
          <w:sz w:val="20"/>
          <w:szCs w:val="20"/>
          <w:color w:val="auto"/>
        </w:rPr>
      </w:pPr>
      <w:r>
        <w:rPr>
          <w:rFonts w:ascii="Arial" w:cs="Arial" w:eastAsia="Arial" w:hAnsi="Arial"/>
          <w:sz w:val="14"/>
          <w:szCs w:val="14"/>
          <w:color w:val="auto"/>
        </w:rPr>
        <w:t>as of December 31, 2020 and 2019 was $25,000 and $19,650, respectively, since 2020 had no outstanding letters of credit and the 2019 available credit was reduced due to outstanding letters of credit. Outstanding balances bear interest at the greatest of a) the Prime Rate or b) the Federal Funds Effective Rate plus 0.5% or c) the Adjusted London Interbank Offered Rate for an interest period of one-month plus 1.00%. SCA pays a 0.5% commitment fee on the average daily unused balance. The revolving credit agreement is secured by certain assets of SCA and contains a financial covenant and guarantees. SCA was in compliance with the covenant as of December 31, 2020 and 2019. As of December 31, 2020 and 2019, there were no outstanding balances on the revolving credit agreement.</w:t>
      </w:r>
    </w:p>
    <w:p>
      <w:pPr>
        <w:spacing w:after="0" w:line="81"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On February 10, 2021, the Company executed a new five -year credit agreement with a group of lenders that replaces the Company’s May 15, 2020 $25,000 revolving credit agreement. The new agreement provides for a $ 25,000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 0.5%. The proceeds from the Revolving Credit Facility can be used for general corporate purposes. The proceeds from Delayed Draw Term Loans are to be used solely to finance the acquisition of aircraft or engines to be registered in the U.S. The Credit Facilities have financial covenants that require a minimum EBITDAR (ranging from $62,100 to $87,700) and a minimum liquidity of $30,000 at the close of any business day.</w:t>
      </w:r>
    </w:p>
    <w:p>
      <w:pPr>
        <w:spacing w:after="0" w:line="95"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b w:val="1"/>
          <w:bCs w:val="1"/>
          <w:color w:val="auto"/>
        </w:rPr>
        <w:t>Long-term Debt—</w:t>
      </w:r>
      <w:r>
        <w:rPr>
          <w:rFonts w:ascii="Arial" w:cs="Arial" w:eastAsia="Arial" w:hAnsi="Arial"/>
          <w:sz w:val="14"/>
          <w:szCs w:val="14"/>
          <w:color w:val="auto"/>
        </w:rPr>
        <w:t>In December 2019, the Company arranged for the issuance of Class A, Class B and</w:t>
      </w:r>
      <w:r>
        <w:rPr>
          <w:rFonts w:ascii="Arial" w:cs="Arial" w:eastAsia="Arial" w:hAnsi="Arial"/>
          <w:sz w:val="14"/>
          <w:szCs w:val="14"/>
          <w:b w:val="1"/>
          <w:bCs w:val="1"/>
          <w:color w:val="auto"/>
        </w:rPr>
        <w:t xml:space="preserve"> </w:t>
      </w:r>
      <w:r>
        <w:rPr>
          <w:rFonts w:ascii="Arial" w:cs="Arial" w:eastAsia="Arial" w:hAnsi="Arial"/>
          <w:sz w:val="14"/>
          <w:szCs w:val="14"/>
          <w:color w:val="auto"/>
        </w:rPr>
        <w:t>Class C pass-through trust certificates Series 2019-1 (the “2019-1 EETC”), in an aggregate face amount of $248,587 (the “Certificates”) for the purpose of financing or refinancing 13 used aircraft. To facilitate the arrangement, the Company created three pass-through trusts that will sell the Certificates to institutional investors. The proceeds from the sale of Certificates are held in escrow until such time that the Company provides the trust with an aircraft financing closing notice, which will cause the trusts to use the proceeds from the sale of Certificates to purchase equipment notes from the Company. The equipment notes are secured by the aircraft. Debt issuance costs of $2,988 were incurred in 2019 related to this financing and is being amortized into interest expense over the lives of the Certificates.</w:t>
      </w:r>
    </w:p>
    <w:p>
      <w:pPr>
        <w:spacing w:after="0" w:line="93"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In December of 2019, the Company purchased one aircraft under the 2019-1 EETC. In the first quarter of 2020, under the 2019-1 EETC, SCA purchased two additional aircraft, purchased one previously under operating lease, and refinanced three aircraft previously owned and financed. The purchase of the remaining six aircraft previously under operating or finance leases occurred in the second quarter of 2020. The total appraised value of the 13 aircraft is approximately $292,450. The Certificates bear interest at the following rates per annum: Class A, 4.13% relating to a tranche of seven of the financed aircraft and 4.25% relating to a tranche of six of the financed aircraft; Class B, 4.66% relating to a tranche of seven of the financed aircraft and 4.78% related to a tranche of six of the financed aircraft; and Class C, 6.95%. The expected maturity date of Class A is December 15, 2027, the Class B is December 15, 2025 and the Class C is December 15, 2023.</w:t>
      </w:r>
    </w:p>
    <w:p>
      <w:pPr>
        <w:spacing w:after="0" w:line="91"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These trusts meet the definition of a variable interest entity (“VIE”) and must be considered for consolidation in the Company’s Consolidated Financial Statements. This assessment considers both quantitative and qualitative factors including the purpose for which these trusts were established and the nature of the risks. The main purpose of the trust structure is to enhance the credit worthiness of the debt obligation and lower the total borrowing cost. The Company concluded that it is not the primary beneficiary in these trusts because the Company’s involvement is limited to principal and interest payments on the related notes. Therefore, these trusts have not been consolidated in the Company’s Consolidated Financial Statements.</w:t>
      </w:r>
    </w:p>
    <w:p>
      <w:pPr>
        <w:spacing w:after="0" w:line="100" w:lineRule="exact"/>
        <w:rPr>
          <w:sz w:val="20"/>
          <w:szCs w:val="20"/>
          <w:color w:val="auto"/>
        </w:rPr>
      </w:pPr>
    </w:p>
    <w:p>
      <w:pPr>
        <w:ind w:left="1160" w:right="1259" w:firstLine="293"/>
        <w:spacing w:after="0" w:line="283" w:lineRule="auto"/>
        <w:rPr>
          <w:sz w:val="20"/>
          <w:szCs w:val="20"/>
          <w:color w:val="auto"/>
        </w:rPr>
      </w:pPr>
      <w:r>
        <w:rPr>
          <w:rFonts w:ascii="Arial" w:cs="Arial" w:eastAsia="Arial" w:hAnsi="Arial"/>
          <w:sz w:val="14"/>
          <w:szCs w:val="14"/>
          <w:color w:val="auto"/>
        </w:rPr>
        <w:t>Under the CARES Act Loan Program, on October 26, 2020, the Company was awarded a forty-five million dollar loan, which is secured by SCA’s loyalty program and certain cash deposit accounts. The loan</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4" w:name="page225"/>
    <w:bookmarkEnd w:id="224"/>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160" w:right="1179"/>
        <w:spacing w:after="0" w:line="266" w:lineRule="auto"/>
        <w:rPr>
          <w:sz w:val="20"/>
          <w:szCs w:val="20"/>
          <w:color w:val="auto"/>
        </w:rPr>
      </w:pPr>
      <w:r>
        <w:rPr>
          <w:rFonts w:ascii="Arial" w:cs="Arial" w:eastAsia="Arial" w:hAnsi="Arial"/>
          <w:sz w:val="14"/>
          <w:szCs w:val="14"/>
          <w:color w:val="auto"/>
        </w:rPr>
        <w:t>bears interest at a rate per annum equal to the Adjusted LIBO Rate plus 6.50% and is due to be repaid on the earlier of (i) October 24, 2025 or (ii) six months prior to the expiration date of any material loyalty program securing the loan. During the term of the loan, the Company must maintain aggregate liquidity of not less than ten million dollars, measured at the close of every business day. There are also provisions that may accelerate payments under the loan if certain collateral and debt service coverage ratios are not met. Additionally, because of the timing of the expiration of the Company’s loyalty program agreement, early loan repayments shall be made based on cash flows from the loyalty program, beginning approximately January 2023. The loan program allows for the Payment-In-Kind (“PIK”) of certain interest amounts throughout the debt term The Company elected to PIK $419 of accrued interest in the fourth quarter of 2020 and it was added to the principal balance.</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Long-term Debt included the following:</w:t>
      </w:r>
    </w:p>
    <w:p>
      <w:pPr>
        <w:spacing w:after="0" w:line="144"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December 31,</w:t>
            </w:r>
          </w:p>
        </w:tc>
        <w:tc>
          <w:tcPr>
            <w:tcW w:w="6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1"/>
              </w:rPr>
              <w:t>December 31,</w:t>
            </w:r>
          </w:p>
        </w:tc>
        <w:tc>
          <w:tcPr>
            <w:tcW w:w="1020" w:type="dxa"/>
            <w:vAlign w:val="bottom"/>
          </w:tcPr>
          <w:p>
            <w:pPr>
              <w:spacing w:after="0"/>
              <w:rPr>
                <w:sz w:val="12"/>
                <w:szCs w:val="12"/>
                <w:color w:val="auto"/>
              </w:rPr>
            </w:pPr>
          </w:p>
        </w:tc>
      </w:tr>
      <w:tr>
        <w:trPr>
          <w:trHeight w:val="150"/>
        </w:trPr>
        <w:tc>
          <w:tcPr>
            <w:tcW w:w="10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60" w:type="dxa"/>
            <w:vAlign w:val="bottom"/>
            <w:gridSpan w:val="3"/>
          </w:tcPr>
          <w:p>
            <w:pPr>
              <w:jc w:val="right"/>
              <w:ind w:right="107"/>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67"/>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Notes payable under the Company’s 2019-1 EETC agreement dated</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December 2019, with original loan amounts of $248,587 payable in bi-annual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installments through December 2027. These notes bear interest at an annual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rate of between 4.13% and 6.95% and are secured by the equipment for which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the loan was 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$227,347</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9"/>
              </w:rPr>
              <w:t>$ 28,280</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w w:val="96"/>
              </w:rPr>
              <w:t>U. S. Department of the Treasury CARES Act Loan (see terms and conditions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above)</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45,419</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Notes payable to Wilmington Trust Company dated October and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November 2018, with original loan amounts totaling $55,671 payable in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monthly installments through November 2023. These notes bore interest at an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annual rate of 8.45%. They were refinanced in January 2020 through 2019-1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EETC notes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46,617</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rPr>
              <w:t>Note payable to Wilmington Trust Company dated February 2019, with 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original loan amount of $12,750 payable in monthly installments of $151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through January 2024, and then final lump sum payment of $2,825 in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w w:val="99"/>
              </w:rPr>
              <w:t>February 2024. This note bears interest at an annual rate of 8.45% and is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secured by the equipment for which the loan was used</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9,813</w:t>
            </w:r>
          </w:p>
        </w:tc>
        <w:tc>
          <w:tcPr>
            <w:tcW w:w="16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color w:val="auto"/>
              </w:rPr>
              <w:t>11,237</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Note payable to Wilmington Trust Company dated November 2018, with an</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original loan amount of $3,671 payable in monthly installments of $44 through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October 2023, and then final lump sum payment of $1,101 in November 2023.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This note bears interest at an annual rate of 8.45% and is secured by the</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equipment for which the loan was 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2,693</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3,105</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rPr>
              <w:t>Note payable to Alliance Bank dated February 2019, with an original loan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w w:val="97"/>
              </w:rPr>
              <w:t>amount of $600 payable in monthly installments of $5 through March 2029.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This note bears interest at an annual rate of 5.0%</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519</w:t>
            </w:r>
          </w:p>
        </w:tc>
        <w:tc>
          <w:tcPr>
            <w:tcW w:w="16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color w:val="auto"/>
              </w:rPr>
              <w:t>569</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4"/>
              </w:rPr>
              <w:t>Notes payable to Riverland Bank dated between April 2015 and May 2016, with</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original loan amounts totaling $734 payable in monthly installments with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expirations between April 2020 and April 2021. The notes bear interest at an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annual rate of 5.15% and are secured by the equipment for which the loan was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97</w:t>
            </w:r>
          </w:p>
        </w:tc>
        <w:tc>
          <w:tcPr>
            <w:tcW w:w="1020" w:type="dxa"/>
            <w:vAlign w:val="bottom"/>
          </w:tcPr>
          <w:p>
            <w:pPr>
              <w:spacing w:after="0"/>
              <w:rPr>
                <w:sz w:val="16"/>
                <w:szCs w:val="16"/>
                <w:color w:val="auto"/>
              </w:rPr>
            </w:pPr>
          </w:p>
        </w:tc>
      </w:tr>
      <w:tr>
        <w:trPr>
          <w:trHeight w:val="134"/>
        </w:trPr>
        <w:tc>
          <w:tcPr>
            <w:tcW w:w="1020" w:type="dxa"/>
            <w:vAlign w:val="bottom"/>
          </w:tcPr>
          <w:p>
            <w:pPr>
              <w:spacing w:after="0"/>
              <w:rPr>
                <w:sz w:val="11"/>
                <w:szCs w:val="11"/>
                <w:color w:val="auto"/>
              </w:rPr>
            </w:pPr>
          </w:p>
        </w:tc>
        <w:tc>
          <w:tcPr>
            <w:tcW w:w="5020" w:type="dxa"/>
            <w:vAlign w:val="bottom"/>
            <w:tcBorders>
              <w:top w:val="single" w:sz="8" w:color="CCEEFF"/>
            </w:tcBorders>
          </w:tcPr>
          <w:p>
            <w:pPr>
              <w:spacing w:after="0" w:line="134" w:lineRule="exact"/>
              <w:rPr>
                <w:sz w:val="20"/>
                <w:szCs w:val="20"/>
                <w:color w:val="auto"/>
              </w:rPr>
            </w:pPr>
            <w:r>
              <w:rPr>
                <w:rFonts w:ascii="Arial" w:cs="Arial" w:eastAsia="Arial" w:hAnsi="Arial"/>
                <w:sz w:val="15"/>
                <w:szCs w:val="15"/>
                <w:color w:val="auto"/>
              </w:rPr>
              <w:t>Total Debt</w:t>
            </w: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w w:val="99"/>
              </w:rPr>
              <w:t>285,801</w:t>
            </w: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rPr>
              <w:t>89,905</w:t>
            </w:r>
          </w:p>
        </w:tc>
        <w:tc>
          <w:tcPr>
            <w:tcW w:w="80" w:type="dxa"/>
            <w:vAlign w:val="bottom"/>
            <w:tcBorders>
              <w:top w:val="single" w:sz="8" w:color="CCEEFF"/>
            </w:tcBorders>
          </w:tcPr>
          <w:p>
            <w:pPr>
              <w:spacing w:after="0"/>
              <w:rPr>
                <w:sz w:val="11"/>
                <w:szCs w:val="11"/>
                <w:color w:val="auto"/>
              </w:rPr>
            </w:pPr>
          </w:p>
        </w:tc>
        <w:tc>
          <w:tcPr>
            <w:tcW w:w="1020" w:type="dxa"/>
            <w:vAlign w:val="bottom"/>
          </w:tcPr>
          <w:p>
            <w:pPr>
              <w:spacing w:after="0"/>
              <w:rPr>
                <w:sz w:val="11"/>
                <w:szCs w:val="11"/>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Less: Unamortized debt issuance costs</w:t>
            </w:r>
          </w:p>
        </w:tc>
        <w:tc>
          <w:tcPr>
            <w:tcW w:w="820" w:type="dxa"/>
            <w:vAlign w:val="bottom"/>
            <w:gridSpan w:val="4"/>
            <w:shd w:val="clear" w:color="auto" w:fill="CCEEFF"/>
          </w:tcPr>
          <w:p>
            <w:pPr>
              <w:jc w:val="right"/>
              <w:ind w:right="20"/>
              <w:spacing w:after="0" w:line="165" w:lineRule="exact"/>
              <w:rPr>
                <w:sz w:val="20"/>
                <w:szCs w:val="20"/>
                <w:color w:val="auto"/>
              </w:rPr>
            </w:pPr>
            <w:r>
              <w:rPr>
                <w:rFonts w:ascii="Arial" w:cs="Arial" w:eastAsia="Arial" w:hAnsi="Arial"/>
                <w:sz w:val="15"/>
                <w:szCs w:val="15"/>
                <w:color w:val="auto"/>
              </w:rPr>
              <w:t>(3,338)</w:t>
            </w:r>
          </w:p>
        </w:tc>
        <w:tc>
          <w:tcPr>
            <w:tcW w:w="1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0"/>
              <w:spacing w:after="0" w:line="165" w:lineRule="exact"/>
              <w:rPr>
                <w:sz w:val="20"/>
                <w:szCs w:val="20"/>
                <w:color w:val="auto"/>
              </w:rPr>
            </w:pPr>
            <w:r>
              <w:rPr>
                <w:rFonts w:ascii="Arial" w:cs="Arial" w:eastAsia="Arial" w:hAnsi="Arial"/>
                <w:sz w:val="15"/>
                <w:szCs w:val="15"/>
                <w:color w:val="auto"/>
              </w:rPr>
              <w:t>(2,988)</w:t>
            </w: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Less: Current Maturities of Long-term Debt</w:t>
            </w:r>
          </w:p>
        </w:tc>
        <w:tc>
          <w:tcPr>
            <w:tcW w:w="820" w:type="dxa"/>
            <w:vAlign w:val="bottom"/>
            <w:gridSpan w:val="4"/>
          </w:tcPr>
          <w:p>
            <w:pPr>
              <w:jc w:val="right"/>
              <w:ind w:right="20"/>
              <w:spacing w:after="0"/>
              <w:rPr>
                <w:sz w:val="20"/>
                <w:szCs w:val="20"/>
                <w:color w:val="auto"/>
              </w:rPr>
            </w:pPr>
            <w:r>
              <w:rPr>
                <w:rFonts w:ascii="Arial" w:cs="Arial" w:eastAsia="Arial" w:hAnsi="Arial"/>
                <w:sz w:val="15"/>
                <w:szCs w:val="15"/>
                <w:color w:val="auto"/>
              </w:rPr>
              <w:t>(26,118)</w:t>
            </w:r>
          </w:p>
        </w:tc>
        <w:tc>
          <w:tcPr>
            <w:tcW w:w="16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5"/>
                <w:szCs w:val="15"/>
                <w:color w:val="auto"/>
              </w:rPr>
              <w:t>(13,197)</w:t>
            </w:r>
          </w:p>
        </w:tc>
        <w:tc>
          <w:tcPr>
            <w:tcW w:w="1020" w:type="dxa"/>
            <w:vAlign w:val="bottom"/>
          </w:tcPr>
          <w:p>
            <w:pPr>
              <w:spacing w:after="0"/>
              <w:rPr>
                <w:sz w:val="15"/>
                <w:szCs w:val="15"/>
                <w:color w:val="auto"/>
              </w:rPr>
            </w:pPr>
          </w:p>
        </w:tc>
      </w:tr>
      <w:tr>
        <w:trPr>
          <w:trHeight w:val="145"/>
        </w:trPr>
        <w:tc>
          <w:tcPr>
            <w:tcW w:w="1020" w:type="dxa"/>
            <w:vAlign w:val="bottom"/>
          </w:tcPr>
          <w:p>
            <w:pPr>
              <w:spacing w:after="0"/>
              <w:rPr>
                <w:sz w:val="12"/>
                <w:szCs w:val="12"/>
                <w:color w:val="auto"/>
              </w:rPr>
            </w:pPr>
          </w:p>
        </w:tc>
        <w:tc>
          <w:tcPr>
            <w:tcW w:w="5020" w:type="dxa"/>
            <w:vAlign w:val="bottom"/>
            <w:tcBorders>
              <w:top w:val="single" w:sz="8" w:color="CCEEFF"/>
              <w:bottom w:val="single" w:sz="8" w:color="CCEEFF"/>
            </w:tcBorders>
            <w:shd w:val="clear" w:color="auto" w:fill="CCEEFF"/>
          </w:tcPr>
          <w:p>
            <w:pPr>
              <w:spacing w:after="0" w:line="145" w:lineRule="exact"/>
              <w:rPr>
                <w:sz w:val="20"/>
                <w:szCs w:val="20"/>
                <w:color w:val="auto"/>
              </w:rPr>
            </w:pPr>
            <w:r>
              <w:rPr>
                <w:rFonts w:ascii="Arial" w:cs="Arial" w:eastAsia="Arial" w:hAnsi="Arial"/>
                <w:sz w:val="15"/>
                <w:szCs w:val="15"/>
                <w:color w:val="auto"/>
              </w:rPr>
              <w:t>Total Long-term Debt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256,345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w w:val="88"/>
              </w:rPr>
              <w:t>$ 73,720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Pr>
          <w:p>
            <w:pPr>
              <w:spacing w:after="0"/>
              <w:rPr>
                <w:sz w:val="12"/>
                <w:szCs w:val="12"/>
                <w:color w:val="auto"/>
              </w:rPr>
            </w:pPr>
          </w:p>
        </w:tc>
      </w:tr>
      <w:tr>
        <w:trPr>
          <w:trHeight w:val="496"/>
        </w:trPr>
        <w:tc>
          <w:tcPr>
            <w:tcW w:w="1020" w:type="dxa"/>
            <w:vAlign w:val="bottom"/>
          </w:tcPr>
          <w:p>
            <w:pPr>
              <w:spacing w:after="0"/>
              <w:rPr>
                <w:sz w:val="24"/>
                <w:szCs w:val="24"/>
                <w:color w:val="auto"/>
              </w:rPr>
            </w:pPr>
          </w:p>
        </w:tc>
        <w:tc>
          <w:tcPr>
            <w:tcW w:w="5020" w:type="dxa"/>
            <w:vAlign w:val="bottom"/>
          </w:tcPr>
          <w:p>
            <w:pPr>
              <w:ind w:left="3180"/>
              <w:spacing w:after="0"/>
              <w:rPr>
                <w:sz w:val="20"/>
                <w:szCs w:val="20"/>
                <w:color w:val="auto"/>
              </w:rPr>
            </w:pPr>
            <w:r>
              <w:rPr>
                <w:rFonts w:ascii="Arial" w:cs="Arial" w:eastAsia="Arial" w:hAnsi="Arial"/>
                <w:sz w:val="15"/>
                <w:szCs w:val="15"/>
                <w:color w:val="auto"/>
              </w:rPr>
              <w:t>F-30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-648335</wp:posOffset>
            </wp:positionV>
            <wp:extent cx="4241800"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-4331970</wp:posOffset>
            </wp:positionV>
            <wp:extent cx="3802380"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80238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5" w:name="page226"/>
    <w:bookmarkEnd w:id="225"/>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Future maturities of the outstanding Debt are as follows:</w:t>
      </w:r>
    </w:p>
    <w:p>
      <w:pPr>
        <w:spacing w:after="0" w:line="13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w w:val="86"/>
              </w:rPr>
              <w:t>Debt Principal</w:t>
            </w:r>
          </w:p>
        </w:tc>
        <w:tc>
          <w:tcPr>
            <w:tcW w:w="12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6"/>
              </w:rPr>
              <w:t>Amortization of Debt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0"/>
        </w:trPr>
        <w:tc>
          <w:tcPr>
            <w:tcW w:w="3180" w:type="dxa"/>
            <w:vAlign w:val="bottom"/>
          </w:tcPr>
          <w:p>
            <w:pPr>
              <w:spacing w:after="0"/>
              <w:rPr>
                <w:sz w:val="20"/>
                <w:szCs w:val="20"/>
                <w:color w:val="auto"/>
              </w:rPr>
            </w:pPr>
            <w:r>
              <w:rPr>
                <w:rFonts w:ascii="Arial" w:cs="Arial" w:eastAsia="Arial" w:hAnsi="Arial"/>
                <w:sz w:val="12"/>
                <w:szCs w:val="12"/>
                <w:b w:val="1"/>
                <w:bCs w:val="1"/>
                <w:color w:val="auto"/>
              </w:rPr>
              <w:t>Year Ending December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4"/>
              </w:rPr>
              <w:t>Payments</w:t>
            </w:r>
          </w:p>
        </w:tc>
        <w:tc>
          <w:tcPr>
            <w:tcW w:w="12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1"/>
              </w:rPr>
              <w:t>Issuance Costs</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Net Debt</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0"/>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(810)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26,118</w:t>
            </w:r>
          </w:p>
        </w:tc>
      </w:tr>
      <w:tr>
        <w:trPr>
          <w:trHeight w:val="209"/>
        </w:trPr>
        <w:tc>
          <w:tcPr>
            <w:tcW w:w="3180" w:type="dxa"/>
            <w:vAlign w:val="bottom"/>
          </w:tcPr>
          <w:p>
            <w:pPr>
              <w:spacing w:after="0"/>
              <w:rPr>
                <w:sz w:val="20"/>
                <w:szCs w:val="20"/>
                <w:color w:val="auto"/>
              </w:rPr>
            </w:pPr>
            <w:r>
              <w:rPr>
                <w:rFonts w:ascii="Arial" w:cs="Arial" w:eastAsia="Arial" w:hAnsi="Arial"/>
                <w:sz w:val="15"/>
                <w:szCs w:val="15"/>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28,846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(752)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28,094</w:t>
            </w: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43,141</w:t>
            </w:r>
          </w:p>
        </w:tc>
      </w:tr>
      <w:tr>
        <w:trPr>
          <w:trHeight w:val="209"/>
        </w:trPr>
        <w:tc>
          <w:tcPr>
            <w:tcW w:w="3180" w:type="dxa"/>
            <w:vAlign w:val="bottom"/>
          </w:tcPr>
          <w:p>
            <w:pPr>
              <w:spacing w:after="0"/>
              <w:rPr>
                <w:sz w:val="20"/>
                <w:szCs w:val="20"/>
                <w:color w:val="auto"/>
              </w:rPr>
            </w:pPr>
            <w:r>
              <w:rPr>
                <w:rFonts w:ascii="Arial" w:cs="Arial" w:eastAsia="Arial" w:hAnsi="Arial"/>
                <w:sz w:val="15"/>
                <w:szCs w:val="15"/>
                <w:color w:val="auto"/>
              </w:rPr>
              <w:t>2024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(554)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67,105</w:t>
            </w: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64,468</w:t>
            </w:r>
          </w:p>
        </w:tc>
      </w:tr>
      <w:tr>
        <w:trPr>
          <w:trHeight w:val="214"/>
        </w:trPr>
        <w:tc>
          <w:tcPr>
            <w:tcW w:w="3180" w:type="dxa"/>
            <w:vAlign w:val="bottom"/>
          </w:tcPr>
          <w:p>
            <w:pPr>
              <w:spacing w:after="0"/>
              <w:rPr>
                <w:sz w:val="20"/>
                <w:szCs w:val="20"/>
                <w:color w:val="auto"/>
              </w:rPr>
            </w:pPr>
            <w:r>
              <w:rPr>
                <w:rFonts w:ascii="Arial" w:cs="Arial" w:eastAsia="Arial" w:hAnsi="Arial"/>
                <w:sz w:val="15"/>
                <w:szCs w:val="15"/>
                <w:color w:val="auto"/>
              </w:rPr>
              <w:t>Thereafter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53,739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(202)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53,537</w:t>
            </w:r>
          </w:p>
        </w:tc>
      </w:tr>
      <w:tr>
        <w:trPr>
          <w:trHeight w:val="20"/>
        </w:trPr>
        <w:tc>
          <w:tcPr>
            <w:tcW w:w="3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11"/>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285,801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8"/>
              </w:rPr>
              <w:t>(3,338)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282,463</w:t>
            </w:r>
          </w:p>
        </w:tc>
      </w:tr>
      <w:tr>
        <w:trPr>
          <w:trHeight w:val="20"/>
        </w:trPr>
        <w:tc>
          <w:tcPr>
            <w:tcW w:w="3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-153035</wp:posOffset>
            </wp:positionV>
            <wp:extent cx="313690"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1369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-153035</wp:posOffset>
            </wp:positionV>
            <wp:extent cx="2901950"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901950" cy="698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-962025</wp:posOffset>
            </wp:positionV>
            <wp:extent cx="111760"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-962025</wp:posOffset>
            </wp:positionV>
            <wp:extent cx="2707005"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707005" cy="6985"/>
                    </a:xfrm>
                    <a:prstGeom prst="rect">
                      <a:avLst/>
                    </a:prstGeom>
                    <a:noFill/>
                  </pic:spPr>
                </pic:pic>
              </a:graphicData>
            </a:graphic>
          </wp:anchor>
        </w:drawing>
      </w:r>
    </w:p>
    <w:p>
      <w:pPr>
        <w:spacing w:after="0" w:line="16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table below presents the Company’s debt measured at fair value:</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December 31, 2020</w:t>
            </w: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05"/>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Carrying Amount</w:t>
            </w:r>
          </w:p>
        </w:tc>
        <w:tc>
          <w:tcPr>
            <w:tcW w:w="360" w:type="dxa"/>
            <w:vAlign w:val="bottom"/>
            <w:gridSpan w:val="2"/>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$285,801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72"/>
              <w:spacing w:after="0"/>
              <w:rPr>
                <w:sz w:val="20"/>
                <w:szCs w:val="20"/>
                <w:color w:val="auto"/>
              </w:rPr>
            </w:pPr>
            <w:r>
              <w:rPr>
                <w:rFonts w:ascii="Arial" w:cs="Arial" w:eastAsia="Arial" w:hAnsi="Arial"/>
                <w:sz w:val="15"/>
                <w:szCs w:val="15"/>
                <w:color w:val="auto"/>
                <w:w w:val="88"/>
              </w:rPr>
              <w:t>$89,905</w:t>
            </w:r>
          </w:p>
        </w:tc>
        <w:tc>
          <w:tcPr>
            <w:tcW w:w="220" w:type="dxa"/>
            <w:vAlign w:val="bottom"/>
            <w:shd w:val="clear" w:color="auto" w:fill="CCEEFF"/>
          </w:tcPr>
          <w:p>
            <w:pPr>
              <w:spacing w:after="0"/>
              <w:rPr>
                <w:sz w:val="17"/>
                <w:szCs w:val="17"/>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1"/>
        </w:trPr>
        <w:tc>
          <w:tcPr>
            <w:tcW w:w="3840" w:type="dxa"/>
            <w:vAlign w:val="bottom"/>
          </w:tcPr>
          <w:p>
            <w:pPr>
              <w:spacing w:after="0"/>
              <w:rPr>
                <w:sz w:val="20"/>
                <w:szCs w:val="20"/>
                <w:color w:val="auto"/>
              </w:rPr>
            </w:pPr>
            <w:r>
              <w:rPr>
                <w:rFonts w:ascii="Arial" w:cs="Arial" w:eastAsia="Arial" w:hAnsi="Arial"/>
                <w:sz w:val="15"/>
                <w:szCs w:val="15"/>
                <w:color w:val="auto"/>
              </w:rPr>
              <w:t>Fair Value</w:t>
            </w:r>
          </w:p>
        </w:tc>
        <w:tc>
          <w:tcPr>
            <w:tcW w:w="360" w:type="dxa"/>
            <w:vAlign w:val="bottom"/>
            <w:gridSpan w:val="2"/>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5"/>
                <w:szCs w:val="15"/>
                <w:color w:val="auto"/>
                <w:w w:val="89"/>
              </w:rPr>
              <w:t>$279,119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left="172"/>
              <w:spacing w:after="0"/>
              <w:rPr>
                <w:sz w:val="20"/>
                <w:szCs w:val="20"/>
                <w:color w:val="auto"/>
              </w:rPr>
            </w:pPr>
            <w:r>
              <w:rPr>
                <w:rFonts w:ascii="Arial" w:cs="Arial" w:eastAsia="Arial" w:hAnsi="Arial"/>
                <w:sz w:val="15"/>
                <w:szCs w:val="15"/>
                <w:color w:val="auto"/>
                <w:w w:val="88"/>
              </w:rPr>
              <w:t>$96,342</w:t>
            </w:r>
          </w:p>
        </w:tc>
        <w:tc>
          <w:tcPr>
            <w:tcW w:w="22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-299085</wp:posOffset>
            </wp:positionV>
            <wp:extent cx="3265170"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265170" cy="6985"/>
                    </a:xfrm>
                    <a:prstGeom prst="rect">
                      <a:avLst/>
                    </a:prstGeom>
                    <a:noFill/>
                  </pic:spPr>
                </pic:pic>
              </a:graphicData>
            </a:graphic>
          </wp:anchor>
        </w:drawing>
      </w:r>
    </w:p>
    <w:p>
      <w:pPr>
        <w:spacing w:after="0" w:line="167"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fair value of the Company’s debt was based on the discounted amount of future cash flows using the Company’s end-of-year incremental borrowing rate for similar obligations. The estimates were primarily based on Level 3 inputs.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w:t>
      </w:r>
    </w:p>
    <w:p>
      <w:pPr>
        <w:spacing w:after="0" w:line="117"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The Company adopted ASC 842 using the modified retrospective transition approach with an effective date of January 1, 2019. The Company elected the package of practical expedients, which allows the Company to carryforward the historical assessment of the following: (1) whether the Company’s contracts are or contain leases, (2) lease classification, and (3) initial direct costs. The Company also elected to combine lease and non-lease components. Leases with an initial term of 12 months or less will be recognized in the Consolidated Statements of Operations on a straight-line basis over the lease term. These leases primarily relate to seasonal aircraft rentals.</w:t>
      </w:r>
    </w:p>
    <w:p>
      <w:pPr>
        <w:spacing w:after="0" w:line="10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Company classifies its Operating Leases into three categories: Aircraft, Real Estate, and Other. Aircraft leases consist of aircrafts and aircraft equipment under operating lease agreements. As of December 31, 2020, the Company had 17 leases for aircraft, of which five were under finance leases and 12 were Right-of-use operating leases. Real Estate leases consist of leased hangar and administration facilities and Other leases consist of non-aircraft equipment under operating lease agreements. Real Estate and Other leases have initial terms of up to ten years.</w:t>
      </w:r>
    </w:p>
    <w:p>
      <w:pPr>
        <w:spacing w:after="0" w:line="95"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Our fleet of 12 freighters is subleased directly from Amazon and we operate them pursuant to the Air Transportation Services Agreement (“ATSA”). Based upon review of the ATSA, the sublease arrangement does not qualify as a lease under ASC 842, Leases, because we do not control the use of the aircraft. As such, no right-of-use asset and lease liability is recognized in our financial statements for the Amazon arrangement.</w:t>
      </w:r>
    </w:p>
    <w:p>
      <w:pPr>
        <w:spacing w:after="0" w:line="105"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6" w:name="page227"/>
    <w:bookmarkEnd w:id="226"/>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The following table summarizes the lease-related assets and liabilities recorded on the Company’s Consolidated Balance Sheets: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2"/>
          </w:tcPr>
          <w:p>
            <w:pPr>
              <w:ind w:left="880"/>
              <w:spacing w:after="0"/>
              <w:rPr>
                <w:sz w:val="20"/>
                <w:szCs w:val="20"/>
                <w:color w:val="auto"/>
              </w:rPr>
            </w:pPr>
            <w:r>
              <w:rPr>
                <w:rFonts w:ascii="Arial" w:cs="Arial" w:eastAsia="Arial" w:hAnsi="Arial"/>
                <w:sz w:val="12"/>
                <w:szCs w:val="12"/>
                <w:b w:val="1"/>
                <w:bCs w:val="1"/>
                <w:color w:val="auto"/>
              </w:rPr>
              <w:t>Classification</w:t>
            </w: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960" w:type="dxa"/>
            <w:vAlign w:val="bottom"/>
            <w:gridSpan w:val="4"/>
          </w:tcPr>
          <w:p>
            <w:pPr>
              <w:ind w:left="40"/>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1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1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97"/>
        </w:trPr>
        <w:tc>
          <w:tcPr>
            <w:tcW w:w="1860" w:type="dxa"/>
            <w:vAlign w:val="bottom"/>
          </w:tcPr>
          <w:p>
            <w:pPr>
              <w:ind w:left="160"/>
              <w:spacing w:after="0"/>
              <w:rPr>
                <w:sz w:val="20"/>
                <w:szCs w:val="20"/>
                <w:color w:val="auto"/>
              </w:rPr>
            </w:pPr>
            <w:r>
              <w:rPr>
                <w:rFonts w:ascii="Arial" w:cs="Arial" w:eastAsia="Arial" w:hAnsi="Arial"/>
                <w:sz w:val="15"/>
                <w:szCs w:val="15"/>
                <w:color w:val="auto"/>
                <w:w w:val="98"/>
              </w:rPr>
              <w:t>Finance lease assets, net</w:t>
            </w:r>
          </w:p>
        </w:tc>
        <w:tc>
          <w:tcPr>
            <w:tcW w:w="16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Property and Equipment, net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104,815</w:t>
            </w: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194,328</w:t>
            </w:r>
          </w:p>
        </w:tc>
        <w:tc>
          <w:tcPr>
            <w:tcW w:w="200" w:type="dxa"/>
            <w:vAlign w:val="bottom"/>
          </w:tcPr>
          <w:p>
            <w:pPr>
              <w:spacing w:after="0"/>
              <w:rPr>
                <w:sz w:val="24"/>
                <w:szCs w:val="24"/>
                <w:color w:val="auto"/>
              </w:rPr>
            </w:pPr>
          </w:p>
        </w:tc>
      </w:tr>
      <w:tr>
        <w:trPr>
          <w:trHeight w:val="214"/>
        </w:trPr>
        <w:tc>
          <w:tcPr>
            <w:tcW w:w="1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assets</w:t>
            </w:r>
          </w:p>
        </w:tc>
        <w:tc>
          <w:tcPr>
            <w:tcW w:w="16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121,269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147,148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11"/>
        </w:trPr>
        <w:tc>
          <w:tcPr>
            <w:tcW w:w="1860" w:type="dxa"/>
            <w:vAlign w:val="bottom"/>
          </w:tcPr>
          <w:p>
            <w:pPr>
              <w:ind w:left="300"/>
              <w:spacing w:after="0"/>
              <w:rPr>
                <w:sz w:val="20"/>
                <w:szCs w:val="20"/>
                <w:color w:val="auto"/>
              </w:rPr>
            </w:pPr>
            <w:r>
              <w:rPr>
                <w:rFonts w:ascii="Arial" w:cs="Arial" w:eastAsia="Arial" w:hAnsi="Arial"/>
                <w:sz w:val="15"/>
                <w:szCs w:val="15"/>
                <w:color w:val="auto"/>
              </w:rPr>
              <w:t>Total lease assets</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226,084</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341,476</w:t>
            </w:r>
          </w:p>
        </w:tc>
        <w:tc>
          <w:tcPr>
            <w:tcW w:w="200" w:type="dxa"/>
            <w:vAlign w:val="bottom"/>
          </w:tcPr>
          <w:p>
            <w:pPr>
              <w:spacing w:after="0"/>
              <w:rPr>
                <w:sz w:val="18"/>
                <w:szCs w:val="18"/>
                <w:color w:val="auto"/>
              </w:rPr>
            </w:pPr>
          </w:p>
        </w:tc>
      </w:tr>
      <w:tr>
        <w:trPr>
          <w:trHeight w:val="293"/>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160" w:type="dxa"/>
            <w:vAlign w:val="bottom"/>
            <w:tcBorders>
              <w:top w:val="single" w:sz="8" w:color="CCEEFF"/>
            </w:tcBorders>
            <w:shd w:val="clear" w:color="auto" w:fill="CCEEFF"/>
          </w:tcPr>
          <w:p>
            <w:pPr>
              <w:spacing w:after="0"/>
              <w:rPr>
                <w:sz w:val="24"/>
                <w:szCs w:val="24"/>
                <w:color w:val="auto"/>
              </w:rPr>
            </w:pPr>
          </w:p>
        </w:tc>
        <w:tc>
          <w:tcPr>
            <w:tcW w:w="24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r>
      <w:tr>
        <w:trPr>
          <w:trHeight w:val="209"/>
        </w:trPr>
        <w:tc>
          <w:tcPr>
            <w:tcW w:w="1860" w:type="dxa"/>
            <w:vAlign w:val="bottom"/>
          </w:tcPr>
          <w:p>
            <w:pPr>
              <w:spacing w:after="0"/>
              <w:rPr>
                <w:sz w:val="20"/>
                <w:szCs w:val="20"/>
                <w:color w:val="auto"/>
              </w:rPr>
            </w:pPr>
            <w:r>
              <w:rPr>
                <w:rFonts w:ascii="Arial" w:cs="Arial" w:eastAsia="Arial" w:hAnsi="Arial"/>
                <w:sz w:val="15"/>
                <w:szCs w:val="15"/>
                <w:color w:val="auto"/>
              </w:rPr>
              <w:t>Current:</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liabilities</w:t>
            </w:r>
          </w:p>
        </w:tc>
        <w:tc>
          <w:tcPr>
            <w:tcW w:w="1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Finance Lease Obligations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11,460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92,318</w:t>
            </w:r>
          </w:p>
        </w:tc>
        <w:tc>
          <w:tcPr>
            <w:tcW w:w="200" w:type="dxa"/>
            <w:vAlign w:val="bottom"/>
            <w:shd w:val="clear" w:color="auto" w:fill="CCEEFF"/>
          </w:tcPr>
          <w:p>
            <w:pPr>
              <w:spacing w:after="0"/>
              <w:rPr>
                <w:sz w:val="18"/>
                <w:szCs w:val="18"/>
                <w:color w:val="auto"/>
              </w:rPr>
            </w:pPr>
          </w:p>
        </w:tc>
      </w:tr>
      <w:tr>
        <w:trPr>
          <w:trHeight w:val="187"/>
        </w:trPr>
        <w:tc>
          <w:tcPr>
            <w:tcW w:w="1860" w:type="dxa"/>
            <w:vAlign w:val="bottom"/>
          </w:tcPr>
          <w:p>
            <w:pPr>
              <w:ind w:left="160"/>
              <w:spacing w:after="0"/>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Short-term Operating Lease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Obligations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34,492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30,611</w:t>
            </w:r>
          </w:p>
        </w:tc>
        <w:tc>
          <w:tcPr>
            <w:tcW w:w="200" w:type="dxa"/>
            <w:vAlign w:val="bottom"/>
          </w:tcPr>
          <w:p>
            <w:pPr>
              <w:spacing w:after="0"/>
              <w:rPr>
                <w:sz w:val="16"/>
                <w:szCs w:val="16"/>
                <w:color w:val="auto"/>
              </w:rPr>
            </w:pPr>
          </w:p>
        </w:tc>
      </w:tr>
      <w:tr>
        <w:trPr>
          <w:trHeight w:val="214"/>
        </w:trPr>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Long-term:</w:t>
            </w: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1860" w:type="dxa"/>
            <w:vAlign w:val="bottom"/>
          </w:tcPr>
          <w:p>
            <w:pPr>
              <w:ind w:left="160"/>
              <w:spacing w:after="0"/>
              <w:rPr>
                <w:sz w:val="20"/>
                <w:szCs w:val="20"/>
                <w:color w:val="auto"/>
              </w:rPr>
            </w:pPr>
            <w:r>
              <w:rPr>
                <w:rFonts w:ascii="Arial" w:cs="Arial" w:eastAsia="Arial" w:hAnsi="Arial"/>
                <w:sz w:val="15"/>
                <w:szCs w:val="15"/>
                <w:color w:val="auto"/>
              </w:rPr>
              <w:t>Finance lease liabilities</w:t>
            </w:r>
          </w:p>
        </w:tc>
        <w:tc>
          <w:tcPr>
            <w:tcW w:w="1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Long-term Finance Lease Obligations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95,710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105,037</w:t>
            </w:r>
          </w:p>
        </w:tc>
        <w:tc>
          <w:tcPr>
            <w:tcW w:w="200" w:type="dxa"/>
            <w:vAlign w:val="bottom"/>
          </w:tcPr>
          <w:p>
            <w:pPr>
              <w:spacing w:after="0"/>
              <w:rPr>
                <w:sz w:val="18"/>
                <w:szCs w:val="18"/>
                <w:color w:val="auto"/>
              </w:rPr>
            </w:pPr>
          </w:p>
        </w:tc>
      </w:tr>
      <w:tr>
        <w:trPr>
          <w:trHeight w:val="187"/>
        </w:trPr>
        <w:tc>
          <w:tcPr>
            <w:tcW w:w="1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liabilities</w:t>
            </w:r>
          </w:p>
        </w:tc>
        <w:tc>
          <w:tcPr>
            <w:tcW w:w="1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Operating Lease</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8"/>
        </w:trPr>
        <w:tc>
          <w:tcPr>
            <w:tcW w:w="1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Obligations</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112,707</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141,879</w:t>
            </w:r>
          </w:p>
        </w:tc>
        <w:tc>
          <w:tcPr>
            <w:tcW w:w="200" w:type="dxa"/>
            <w:vAlign w:val="bottom"/>
            <w:tcBorders>
              <w:bottom w:val="single" w:sz="8" w:color="CCEEFF"/>
            </w:tcBorders>
            <w:shd w:val="clear" w:color="auto" w:fill="CCEEFF"/>
          </w:tcPr>
          <w:p>
            <w:pPr>
              <w:spacing w:after="0"/>
              <w:rPr>
                <w:sz w:val="16"/>
                <w:szCs w:val="16"/>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5"/>
        </w:trPr>
        <w:tc>
          <w:tcPr>
            <w:tcW w:w="1860" w:type="dxa"/>
            <w:vAlign w:val="bottom"/>
          </w:tcPr>
          <w:p>
            <w:pPr>
              <w:ind w:left="300"/>
              <w:spacing w:after="0"/>
              <w:rPr>
                <w:sz w:val="20"/>
                <w:szCs w:val="20"/>
                <w:color w:val="auto"/>
              </w:rPr>
            </w:pPr>
            <w:r>
              <w:rPr>
                <w:rFonts w:ascii="Arial" w:cs="Arial" w:eastAsia="Arial" w:hAnsi="Arial"/>
                <w:sz w:val="15"/>
                <w:szCs w:val="15"/>
                <w:color w:val="auto"/>
              </w:rPr>
              <w:t>Total lease liabilities</w:t>
            </w:r>
          </w:p>
        </w:tc>
        <w:tc>
          <w:tcPr>
            <w:tcW w:w="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254,369</w:t>
            </w:r>
          </w:p>
        </w:tc>
        <w:tc>
          <w:tcPr>
            <w:tcW w:w="1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369,845</w:t>
            </w:r>
          </w:p>
        </w:tc>
        <w:tc>
          <w:tcPr>
            <w:tcW w:w="200" w:type="dxa"/>
            <w:vAlign w:val="bottom"/>
          </w:tcPr>
          <w:p>
            <w:pPr>
              <w:spacing w:after="0"/>
              <w:rPr>
                <w:sz w:val="17"/>
                <w:szCs w:val="17"/>
                <w:color w:val="auto"/>
              </w:rPr>
            </w:pPr>
          </w:p>
        </w:tc>
      </w:tr>
      <w:tr>
        <w:trPr>
          <w:trHeight w:val="20"/>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-1394460</wp:posOffset>
            </wp:positionV>
            <wp:extent cx="4241800"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-2008505</wp:posOffset>
            </wp:positionV>
            <wp:extent cx="111760"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-2008505</wp:posOffset>
            </wp:positionV>
            <wp:extent cx="111760"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-2008505</wp:posOffset>
            </wp:positionV>
            <wp:extent cx="1283970"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83970" cy="6985"/>
                    </a:xfrm>
                    <a:prstGeom prst="rect">
                      <a:avLst/>
                    </a:prstGeom>
                    <a:noFill/>
                  </pic:spPr>
                </pic:pic>
              </a:graphicData>
            </a:graphic>
          </wp:anchor>
        </w:drawing>
      </w:r>
    </w:p>
    <w:p>
      <w:pPr>
        <w:spacing w:after="0" w:line="156"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The Company uses the rate implicit in the lease to discount lease payments to present value, however, the leases generally do not provide a readily determinable implicit rate. Therefore, the Company estimates the incremental borrowing rate to discount lease payments based on information available initially at adoption and at lease commencement going forward, taking into consideration recent debt issuances as well as publicly available data for instruments with similar characteristics.</w:t>
      </w:r>
    </w:p>
    <w:p>
      <w:pPr>
        <w:spacing w:after="0" w:line="91"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The Company’s lease agreements do not contain any residual value guarantees. SCA reviewed its operating leases for extension options that may be reasonably certain to be exercised and then would become part of the right-of-use assets and lease liabilities. As of December 31, 2020, the Company did not have any material operating leases with extension or termination options which are reasonably certain to be exercised.</w:t>
      </w:r>
    </w:p>
    <w:p>
      <w:pPr>
        <w:spacing w:after="0" w:line="105" w:lineRule="exact"/>
        <w:rPr>
          <w:sz w:val="20"/>
          <w:szCs w:val="20"/>
          <w:color w:val="auto"/>
        </w:rPr>
      </w:pPr>
    </w:p>
    <w:p>
      <w:pPr>
        <w:ind w:left="1160" w:right="1499" w:firstLine="293"/>
        <w:spacing w:after="0" w:line="274" w:lineRule="auto"/>
        <w:rPr>
          <w:sz w:val="20"/>
          <w:szCs w:val="20"/>
          <w:color w:val="auto"/>
        </w:rPr>
      </w:pPr>
      <w:r>
        <w:rPr>
          <w:rFonts w:ascii="Arial" w:cs="Arial" w:eastAsia="Arial" w:hAnsi="Arial"/>
          <w:sz w:val="14"/>
          <w:szCs w:val="14"/>
          <w:color w:val="auto"/>
        </w:rPr>
        <w:t>During the year ended December 31, 2020 the Company negotiated rent payment deferrals with a majority of its aircraft lessors. The amount deferred as of December 31, 2020 was $7,569, consisting of $2,133 under finance leases and $5,436 under operating leases. These deferrals are classified within the current portion of the respective lease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7" w:name="page228"/>
    <w:bookmarkEnd w:id="227"/>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following table provides details of the Company’s obligations under finance and operating leases as of December 31, 2020:</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79"/>
              </w:rPr>
              <w:t>Finance</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w w:val="87"/>
              </w:rPr>
              <w:t>Operating Leases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
        </w:trPr>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3"/>
              </w:rPr>
              <w:t>Leases</w:t>
            </w:r>
          </w:p>
        </w:tc>
        <w:tc>
          <w:tcPr>
            <w:tcW w:w="8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8"/>
              </w:rPr>
              <w:t>Aircraft</w:t>
            </w:r>
          </w:p>
        </w:tc>
        <w:tc>
          <w:tcPr>
            <w:tcW w:w="7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77"/>
              </w:rPr>
              <w:t>Real Estate</w:t>
            </w: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Other</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3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17,572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38,076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2,218</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$ 1,675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41,969</w:t>
            </w:r>
          </w:p>
        </w:tc>
        <w:tc>
          <w:tcPr>
            <w:tcW w:w="60" w:type="dxa"/>
            <w:vAlign w:val="bottom"/>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2022</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15,460</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32,842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1,962</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1,561</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36,365</w:t>
            </w:r>
          </w:p>
        </w:tc>
        <w:tc>
          <w:tcPr>
            <w:tcW w:w="60" w:type="dxa"/>
            <w:vAlign w:val="bottom"/>
          </w:tcPr>
          <w:p>
            <w:pPr>
              <w:spacing w:after="0"/>
              <w:rPr>
                <w:sz w:val="18"/>
                <w:szCs w:val="18"/>
                <w:color w:val="auto"/>
              </w:rPr>
            </w:pPr>
          </w:p>
        </w:tc>
      </w:tr>
      <w:tr>
        <w:trPr>
          <w:trHeight w:val="20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15,460</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32,592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34,717</w:t>
            </w:r>
          </w:p>
        </w:tc>
        <w:tc>
          <w:tcPr>
            <w:tcW w:w="60" w:type="dxa"/>
            <w:vAlign w:val="bottom"/>
          </w:tcPr>
          <w:p>
            <w:pPr>
              <w:spacing w:after="0"/>
              <w:rPr>
                <w:sz w:val="18"/>
                <w:szCs w:val="18"/>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25,177</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24,476</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25,942</w:t>
            </w:r>
          </w:p>
        </w:tc>
        <w:tc>
          <w:tcPr>
            <w:tcW w:w="60" w:type="dxa"/>
            <w:vAlign w:val="bottom"/>
          </w:tcPr>
          <w:p>
            <w:pPr>
              <w:spacing w:after="0"/>
              <w:rPr>
                <w:sz w:val="18"/>
                <w:szCs w:val="18"/>
                <w:color w:val="auto"/>
              </w:rPr>
            </w:pPr>
          </w:p>
        </w:tc>
      </w:tr>
      <w:tr>
        <w:trPr>
          <w:trHeight w:val="20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2025 . . .</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12,489</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9,630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11,096</w:t>
            </w:r>
          </w:p>
        </w:tc>
        <w:tc>
          <w:tcPr>
            <w:tcW w:w="60" w:type="dxa"/>
            <w:vAlign w:val="bottom"/>
          </w:tcPr>
          <w:p>
            <w:pPr>
              <w:spacing w:after="0"/>
              <w:rPr>
                <w:sz w:val="18"/>
                <w:szCs w:val="18"/>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5"/>
                <w:szCs w:val="15"/>
                <w:color w:val="auto"/>
              </w:rPr>
              <w:t>Thereafter</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52,949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8,222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5,071</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13,293</w:t>
            </w:r>
          </w:p>
        </w:tc>
        <w:tc>
          <w:tcPr>
            <w:tcW w:w="60" w:type="dxa"/>
            <w:vAlign w:val="bottom"/>
          </w:tcPr>
          <w:p>
            <w:pPr>
              <w:spacing w:after="0"/>
              <w:rPr>
                <w:sz w:val="18"/>
                <w:szCs w:val="18"/>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Minimum Lease Payments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139,107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145,838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13,649</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3,895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163,382</w:t>
            </w:r>
          </w:p>
        </w:tc>
        <w:tc>
          <w:tcPr>
            <w:tcW w:w="60" w:type="dxa"/>
            <w:vAlign w:val="bottom"/>
          </w:tcPr>
          <w:p>
            <w:pPr>
              <w:spacing w:after="0"/>
              <w:rPr>
                <w:sz w:val="17"/>
                <w:szCs w:val="17"/>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5"/>
                <w:szCs w:val="15"/>
                <w:color w:val="auto"/>
              </w:rPr>
              <w:t>Less: Amount Representing Interest</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(31,937)</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w w:val="93"/>
              </w:rPr>
              <w:t>(18,034)</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(2,662)</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(265)</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3"/>
              </w:rPr>
              <w:t>(20,961)</w:t>
            </w: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Present Value of Minimum Lease Payments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107,170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127,804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10,987</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3,630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142,421</w:t>
            </w:r>
          </w:p>
        </w:tc>
        <w:tc>
          <w:tcPr>
            <w:tcW w:w="60" w:type="dxa"/>
            <w:vAlign w:val="bottom"/>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Plus: Tennant Improvements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4,778</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4,778</w:t>
            </w:r>
          </w:p>
        </w:tc>
        <w:tc>
          <w:tcPr>
            <w:tcW w:w="60" w:type="dxa"/>
            <w:vAlign w:val="bottom"/>
          </w:tcPr>
          <w:p>
            <w:pPr>
              <w:spacing w:after="0"/>
              <w:rPr>
                <w:sz w:val="18"/>
                <w:szCs w:val="18"/>
                <w:color w:val="auto"/>
              </w:rPr>
            </w:pPr>
          </w:p>
        </w:tc>
      </w:tr>
      <w:tr>
        <w:trPr>
          <w:trHeight w:val="214"/>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Less: Short-term Obligations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(11,460)</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(30,880)</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(2,105)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(34,492)</w:t>
            </w:r>
          </w:p>
        </w:tc>
        <w:tc>
          <w:tcPr>
            <w:tcW w:w="60" w:type="dxa"/>
            <w:vAlign w:val="bottom"/>
          </w:tcPr>
          <w:p>
            <w:pPr>
              <w:spacing w:after="0"/>
              <w:rPr>
                <w:sz w:val="18"/>
                <w:szCs w:val="18"/>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5"/>
                <w:szCs w:val="15"/>
                <w:color w:val="auto"/>
              </w:rPr>
              <w:t>Long-term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95,710</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96,924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13,660</w:t>
            </w:r>
          </w:p>
        </w:tc>
        <w:tc>
          <w:tcPr>
            <w:tcW w:w="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87"/>
              </w:rPr>
              <w:t>$ 2,123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112,707</w:t>
            </w:r>
          </w:p>
        </w:tc>
        <w:tc>
          <w:tcPr>
            <w:tcW w:w="6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-571500</wp:posOffset>
            </wp:positionV>
            <wp:extent cx="118745"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-571500</wp:posOffset>
            </wp:positionV>
            <wp:extent cx="146685"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-571500</wp:posOffset>
            </wp:positionV>
            <wp:extent cx="139700"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-571500</wp:posOffset>
            </wp:positionV>
            <wp:extent cx="2525395"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-850265</wp:posOffset>
            </wp:positionV>
            <wp:extent cx="118745"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-850265</wp:posOffset>
            </wp:positionV>
            <wp:extent cx="146685"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-850265</wp:posOffset>
            </wp:positionV>
            <wp:extent cx="139700"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-850265</wp:posOffset>
            </wp:positionV>
            <wp:extent cx="2525395"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-1659890</wp:posOffset>
            </wp:positionV>
            <wp:extent cx="111760"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-1659890</wp:posOffset>
            </wp:positionV>
            <wp:extent cx="111760"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-1659890</wp:posOffset>
            </wp:positionV>
            <wp:extent cx="111760" cy="69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-1659890</wp:posOffset>
            </wp:positionV>
            <wp:extent cx="111760"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-1659890</wp:posOffset>
            </wp:positionV>
            <wp:extent cx="48895"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The following table presents lease costs related to the Company’s Finance and Operating Leases:</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150"/>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8"/>
              </w:rPr>
              <w:t>Successor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gridSpan w:val="5"/>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Year Ended</w:t>
            </w:r>
          </w:p>
        </w:tc>
        <w:tc>
          <w:tcPr>
            <w:tcW w:w="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3"/>
                <w:szCs w:val="13"/>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5"/>
          </w:tcPr>
          <w:p>
            <w:pPr>
              <w:jc w:val="right"/>
              <w:ind w:right="460"/>
              <w:spacing w:after="0" w:line="132" w:lineRule="exact"/>
              <w:rPr>
                <w:sz w:val="20"/>
                <w:szCs w:val="20"/>
                <w:color w:val="auto"/>
              </w:rPr>
            </w:pPr>
            <w:r>
              <w:rPr>
                <w:rFonts w:ascii="Arial" w:cs="Arial" w:eastAsia="Arial" w:hAnsi="Arial"/>
                <w:sz w:val="12"/>
                <w:szCs w:val="12"/>
                <w:b w:val="1"/>
                <w:bCs w:val="1"/>
                <w:color w:val="auto"/>
              </w:rPr>
              <w:t>December 31,</w:t>
            </w:r>
          </w:p>
        </w:tc>
        <w:tc>
          <w:tcPr>
            <w:tcW w:w="9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6"/>
              </w:rPr>
              <w:t>April 11, 2018 to</w:t>
            </w:r>
          </w:p>
        </w:tc>
        <w:tc>
          <w:tcPr>
            <w:tcW w:w="80" w:type="dxa"/>
            <w:vAlign w:val="bottom"/>
          </w:tcPr>
          <w:p>
            <w:pPr>
              <w:spacing w:after="0"/>
              <w:rPr>
                <w:sz w:val="11"/>
                <w:szCs w:val="11"/>
                <w:color w:val="auto"/>
              </w:rPr>
            </w:pPr>
          </w:p>
        </w:tc>
        <w:tc>
          <w:tcPr>
            <w:tcW w:w="72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55"/>
        </w:trPr>
        <w:tc>
          <w:tcPr>
            <w:tcW w:w="2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Borders>
              <w:right w:val="single" w:sz="8" w:color="auto"/>
            </w:tcBorders>
            <w:gridSpan w:val="5"/>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3"/>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2"/>
              </w:rPr>
              <w:t>2018 to</w:t>
            </w:r>
          </w:p>
        </w:tc>
        <w:tc>
          <w:tcPr>
            <w:tcW w:w="0" w:type="dxa"/>
            <w:vAlign w:val="bottom"/>
          </w:tcPr>
          <w:p>
            <w:pPr>
              <w:spacing w:after="0"/>
              <w:rPr>
                <w:sz w:val="1"/>
                <w:szCs w:val="1"/>
                <w:color w:val="auto"/>
              </w:rPr>
            </w:pPr>
          </w:p>
        </w:tc>
      </w:tr>
      <w:tr>
        <w:trPr>
          <w:trHeight w:val="39"/>
        </w:trPr>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Borders>
              <w:right w:val="single" w:sz="8" w:color="auto"/>
            </w:tcBorders>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ind w:left="880"/>
              <w:spacing w:after="0"/>
              <w:rPr>
                <w:sz w:val="20"/>
                <w:szCs w:val="20"/>
                <w:color w:val="auto"/>
              </w:rPr>
            </w:pPr>
            <w:r>
              <w:rPr>
                <w:rFonts w:ascii="Arial" w:cs="Arial" w:eastAsia="Arial" w:hAnsi="Arial"/>
                <w:sz w:val="12"/>
                <w:szCs w:val="12"/>
                <w:b w:val="1"/>
                <w:bCs w:val="1"/>
                <w:color w:val="auto"/>
              </w:rPr>
              <w:t>Classification</w:t>
            </w:r>
          </w:p>
        </w:tc>
        <w:tc>
          <w:tcPr>
            <w:tcW w:w="940" w:type="dxa"/>
            <w:vAlign w:val="bottom"/>
            <w:gridSpan w:val="3"/>
          </w:tcPr>
          <w:p>
            <w:pPr>
              <w:jc w:val="right"/>
              <w:ind w:right="7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90"/>
              <w:spacing w:after="0"/>
              <w:rPr>
                <w:sz w:val="20"/>
                <w:szCs w:val="20"/>
                <w:color w:val="auto"/>
              </w:rPr>
            </w:pPr>
            <w:r>
              <w:rPr>
                <w:rFonts w:ascii="Arial" w:cs="Arial" w:eastAsia="Arial" w:hAnsi="Arial"/>
                <w:sz w:val="12"/>
                <w:szCs w:val="12"/>
                <w:b w:val="1"/>
                <w:bCs w:val="1"/>
                <w:color w:val="auto"/>
                <w:w w:val="97"/>
              </w:rPr>
              <w:t>2019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Finance lease cost</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140"/>
              <w:spacing w:after="0"/>
              <w:rPr>
                <w:sz w:val="20"/>
                <w:szCs w:val="20"/>
                <w:color w:val="auto"/>
              </w:rPr>
            </w:pPr>
            <w:r>
              <w:rPr>
                <w:rFonts w:ascii="Arial" w:cs="Arial" w:eastAsia="Arial" w:hAnsi="Arial"/>
                <w:sz w:val="15"/>
                <w:szCs w:val="15"/>
                <w:color w:val="auto"/>
                <w:w w:val="94"/>
              </w:rPr>
              <w:t>Amortization of leased assets</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$11,948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91"/>
              </w:rPr>
              <w:t>13,104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4,475</w:t>
            </w:r>
          </w:p>
        </w:tc>
        <w:tc>
          <w:tcPr>
            <w:tcW w:w="100" w:type="dxa"/>
            <w:vAlign w:val="bottom"/>
            <w:tcBorders>
              <w:right w:val="single" w:sz="8" w:color="auto"/>
            </w:tcBorders>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on lease</w:t>
            </w: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liabilities</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1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8,659</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10,741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4,754</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20"/>
                <w:szCs w:val="20"/>
                <w:color w:val="auto"/>
              </w:rPr>
            </w:pPr>
            <w:r>
              <w:rPr>
                <w:rFonts w:ascii="Arial" w:cs="Arial" w:eastAsia="Arial" w:hAnsi="Arial"/>
                <w:sz w:val="15"/>
                <w:szCs w:val="15"/>
                <w:b w:val="1"/>
                <w:bCs w:val="1"/>
                <w:color w:val="auto"/>
              </w:rPr>
              <w:t>Operating lease cost</w:t>
            </w: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Included in ROU</w:t>
            </w: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20" w:type="dxa"/>
            <w:vAlign w:val="bottom"/>
          </w:tcPr>
          <w:p>
            <w:pPr>
              <w:ind w:left="140"/>
              <w:spacing w:after="0"/>
              <w:rPr>
                <w:sz w:val="20"/>
                <w:szCs w:val="20"/>
                <w:color w:val="auto"/>
              </w:rPr>
            </w:pPr>
            <w:r>
              <w:rPr>
                <w:rFonts w:ascii="Arial" w:cs="Arial" w:eastAsia="Arial" w:hAnsi="Arial"/>
                <w:sz w:val="15"/>
                <w:szCs w:val="15"/>
                <w:color w:val="auto"/>
              </w:rPr>
              <w:t>asset—Aircraft</w:t>
            </w:r>
          </w:p>
        </w:tc>
        <w:tc>
          <w:tcPr>
            <w:tcW w:w="16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Aircraft Rent</w:t>
            </w:r>
            <w:r>
              <w:rPr>
                <w:rFonts w:ascii="Arial" w:cs="Arial" w:eastAsia="Arial" w:hAnsi="Arial"/>
                <w:sz w:val="19"/>
                <w:szCs w:val="19"/>
                <w:color w:val="auto"/>
                <w:vertAlign w:val="superscript"/>
              </w:rPr>
              <w:t>(1)</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30,717</w:t>
            </w:r>
          </w:p>
        </w:tc>
        <w:tc>
          <w:tcPr>
            <w:tcW w:w="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91"/>
              </w:rPr>
              <w:t>40,043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w w:val="82"/>
              </w:rPr>
              <w:t>33,315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w w:val="82"/>
              </w:rPr>
              <w:t>16,177</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Included in ROU asset—</w:t>
            </w: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Ground Handling, Landing Fees</w:t>
            </w:r>
          </w:p>
        </w:tc>
        <w:tc>
          <w:tcPr>
            <w:tcW w:w="1120" w:type="dxa"/>
            <w:vAlign w:val="bottom"/>
            <w:tcBorders>
              <w:right w:val="single" w:sz="8" w:color="CCEEFF"/>
            </w:tcBorders>
            <w:gridSpan w:val="4"/>
            <w:shd w:val="clear" w:color="auto" w:fill="CCEEFF"/>
          </w:tcPr>
          <w:p>
            <w:pPr>
              <w:jc w:val="right"/>
              <w:ind w:right="860"/>
              <w:spacing w:after="0"/>
              <w:rPr>
                <w:sz w:val="20"/>
                <w:szCs w:val="20"/>
                <w:color w:val="auto"/>
              </w:rPr>
            </w:pPr>
            <w:r>
              <w:rPr>
                <w:rFonts w:ascii="Arial" w:cs="Arial" w:eastAsia="Arial" w:hAnsi="Arial"/>
                <w:sz w:val="15"/>
                <w:szCs w:val="15"/>
                <w:color w:val="auto"/>
                <w:w w:val="95"/>
              </w:rPr>
              <w:t>and</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Airport Rent &amp; Other Operating</w:t>
            </w:r>
          </w:p>
        </w:tc>
        <w:tc>
          <w:tcPr>
            <w:tcW w:w="11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4,872</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5,415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3,832</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1,648</w:t>
            </w:r>
          </w:p>
        </w:tc>
        <w:tc>
          <w:tcPr>
            <w:tcW w:w="0" w:type="dxa"/>
            <w:vAlign w:val="bottom"/>
          </w:tcPr>
          <w:p>
            <w:pPr>
              <w:spacing w:after="0"/>
              <w:rPr>
                <w:sz w:val="1"/>
                <w:szCs w:val="1"/>
                <w:color w:val="auto"/>
              </w:rPr>
            </w:pPr>
          </w:p>
        </w:tc>
      </w:tr>
      <w:tr>
        <w:trPr>
          <w:trHeight w:val="198"/>
        </w:trPr>
        <w:tc>
          <w:tcPr>
            <w:tcW w:w="2020" w:type="dxa"/>
            <w:vAlign w:val="bottom"/>
          </w:tcPr>
          <w:p>
            <w:pPr>
              <w:ind w:left="140"/>
              <w:spacing w:after="0"/>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Aircraft Rent</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1,813</w:t>
            </w:r>
          </w:p>
        </w:tc>
        <w:tc>
          <w:tcPr>
            <w:tcW w:w="1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5,345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2,622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6,148</w:t>
            </w:r>
          </w:p>
        </w:tc>
        <w:tc>
          <w:tcPr>
            <w:tcW w:w="0" w:type="dxa"/>
            <w:vAlign w:val="bottom"/>
          </w:tcPr>
          <w:p>
            <w:pPr>
              <w:spacing w:after="0"/>
              <w:rPr>
                <w:sz w:val="1"/>
                <w:szCs w:val="1"/>
                <w:color w:val="auto"/>
              </w:rPr>
            </w:pPr>
          </w:p>
        </w:tc>
      </w:tr>
      <w:tr>
        <w:trPr>
          <w:trHeight w:val="231"/>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Variable—Aircraft</w:t>
            </w:r>
          </w:p>
        </w:tc>
        <w:tc>
          <w:tcPr>
            <w:tcW w:w="1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Aircraft Rent</w:t>
            </w:r>
            <w:r>
              <w:rPr>
                <w:rFonts w:ascii="Arial" w:cs="Arial" w:eastAsia="Arial" w:hAnsi="Arial"/>
                <w:sz w:val="19"/>
                <w:szCs w:val="19"/>
                <w:color w:val="auto"/>
                <w:vertAlign w:val="superscript"/>
              </w:rPr>
              <w:t>(1)</w:t>
            </w:r>
          </w:p>
        </w:tc>
        <w:tc>
          <w:tcPr>
            <w:tcW w:w="11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(1,541)</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4,520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894</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6,004</w:t>
            </w:r>
          </w:p>
        </w:tc>
        <w:tc>
          <w:tcPr>
            <w:tcW w:w="0" w:type="dxa"/>
            <w:vAlign w:val="bottom"/>
          </w:tcPr>
          <w:p>
            <w:pPr>
              <w:spacing w:after="0"/>
              <w:rPr>
                <w:sz w:val="1"/>
                <w:szCs w:val="1"/>
                <w:color w:val="auto"/>
              </w:rPr>
            </w:pPr>
          </w:p>
        </w:tc>
      </w:tr>
      <w:tr>
        <w:trPr>
          <w:trHeight w:val="236"/>
        </w:trPr>
        <w:tc>
          <w:tcPr>
            <w:tcW w:w="2020" w:type="dxa"/>
            <w:vAlign w:val="bottom"/>
          </w:tcPr>
          <w:p>
            <w:pPr>
              <w:ind w:left="140"/>
              <w:spacing w:after="0"/>
              <w:rPr>
                <w:sz w:val="20"/>
                <w:szCs w:val="20"/>
                <w:color w:val="auto"/>
              </w:rPr>
            </w:pPr>
            <w:r>
              <w:rPr>
                <w:rFonts w:ascii="Arial" w:cs="Arial" w:eastAsia="Arial" w:hAnsi="Arial"/>
                <w:sz w:val="15"/>
                <w:szCs w:val="15"/>
                <w:color w:val="auto"/>
              </w:rPr>
              <w:t>Variable—Other</w:t>
            </w:r>
          </w:p>
        </w:tc>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Landing Fees &amp; Airport Rentals</w:t>
            </w:r>
          </w:p>
        </w:tc>
        <w:tc>
          <w:tcPr>
            <w:tcW w:w="440" w:type="dxa"/>
            <w:vAlign w:val="bottom"/>
            <w:gridSpan w:val="2"/>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1,345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702</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440</w:t>
            </w: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Lease cost</w:t>
            </w:r>
          </w:p>
        </w:tc>
        <w:tc>
          <w:tcPr>
            <w:tcW w:w="1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$57,517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80,513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50,594</w:t>
            </w:r>
          </w:p>
        </w:tc>
        <w:tc>
          <w:tcPr>
            <w:tcW w:w="10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2"/>
              </w:rPr>
              <w:t>30,829</w:t>
            </w: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-167005</wp:posOffset>
            </wp:positionV>
            <wp:extent cx="76835"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-167005</wp:posOffset>
            </wp:positionV>
            <wp:extent cx="285750"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8575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-167005</wp:posOffset>
            </wp:positionV>
            <wp:extent cx="4046220"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-1729740</wp:posOffset>
            </wp:positionV>
            <wp:extent cx="11176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-1729740</wp:posOffset>
            </wp:positionV>
            <wp:extent cx="111760"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-1729740</wp:posOffset>
            </wp:positionV>
            <wp:extent cx="1381125"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81125" cy="698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-1729740</wp:posOffset>
            </wp:positionV>
            <wp:extent cx="104775"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-1729740</wp:posOffset>
            </wp:positionV>
            <wp:extent cx="111760"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right="1399" w:hanging="296"/>
        <w:spacing w:after="0" w:line="248" w:lineRule="auto"/>
        <w:tabs>
          <w:tab w:leader="none" w:pos="14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years ended December 31, 2020 and 2019, include credits of $14,110 and $20,386, respectively, for the amortization of Over-market Liabilities established at the Acquisition Date. For the 2018 Successor and Predecessor periods, the credits were $17,275 and none, respectively.</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8" w:name="page229"/>
    <w:bookmarkEnd w:id="228"/>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presents Supplemental cash flow information related to leases, included in the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Consolidated Statements of Cash Flows:</w:t>
      </w:r>
    </w:p>
    <w:p>
      <w:pPr>
        <w:spacing w:after="0" w:line="129" w:lineRule="exact"/>
        <w:rPr>
          <w:sz w:val="20"/>
          <w:szCs w:val="20"/>
          <w:color w:val="auto"/>
        </w:rPr>
      </w:pPr>
    </w:p>
    <w:p>
      <w:pPr>
        <w:ind w:left="6480"/>
        <w:spacing w:after="0"/>
        <w:rPr>
          <w:sz w:val="20"/>
          <w:szCs w:val="20"/>
          <w:color w:val="auto"/>
        </w:rPr>
      </w:pPr>
      <w:r>
        <w:rPr>
          <w:rFonts w:ascii="Arial" w:cs="Arial" w:eastAsia="Arial" w:hAnsi="Arial"/>
          <w:sz w:val="12"/>
          <w:szCs w:val="12"/>
          <w:b w:val="1"/>
          <w:bCs w:val="1"/>
          <w:color w:val="auto"/>
        </w:rPr>
        <w:t>For the Year Ended</w:t>
      </w:r>
    </w:p>
    <w:p>
      <w:pPr>
        <w:spacing w:after="0" w:line="6" w:lineRule="exact"/>
        <w:rPr>
          <w:sz w:val="20"/>
          <w:szCs w:val="20"/>
          <w:color w:val="auto"/>
        </w:rPr>
      </w:pPr>
    </w:p>
    <w:p>
      <w:pPr>
        <w:ind w:left="664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13335</wp:posOffset>
            </wp:positionV>
            <wp:extent cx="739775"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pacing w:after="0" w:line="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70"/>
              <w:spacing w:after="0"/>
              <w:rPr>
                <w:sz w:val="20"/>
                <w:szCs w:val="20"/>
                <w:color w:val="auto"/>
              </w:rPr>
            </w:pPr>
            <w:r>
              <w:rPr>
                <w:rFonts w:ascii="Arial" w:cs="Arial" w:eastAsia="Arial" w:hAnsi="Arial"/>
                <w:sz w:val="12"/>
                <w:szCs w:val="12"/>
                <w:b w:val="1"/>
                <w:bCs w:val="1"/>
                <w:color w:val="auto"/>
                <w:w w:val="97"/>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2019</w:t>
            </w:r>
          </w:p>
        </w:tc>
      </w:tr>
      <w:tr>
        <w:trPr>
          <w:trHeight w:val="21"/>
        </w:trPr>
        <w:tc>
          <w:tcPr>
            <w:tcW w:w="4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97"/>
        </w:trPr>
        <w:tc>
          <w:tcPr>
            <w:tcW w:w="4920" w:type="dxa"/>
            <w:vAlign w:val="bottom"/>
          </w:tcPr>
          <w:p>
            <w:pPr>
              <w:ind w:left="140"/>
              <w:spacing w:after="0"/>
              <w:rPr>
                <w:sz w:val="20"/>
                <w:szCs w:val="20"/>
                <w:color w:val="auto"/>
              </w:rPr>
            </w:pPr>
            <w:r>
              <w:rPr>
                <w:rFonts w:ascii="Arial" w:cs="Arial" w:eastAsia="Arial" w:hAnsi="Arial"/>
                <w:sz w:val="15"/>
                <w:szCs w:val="15"/>
                <w:color w:val="auto"/>
              </w:rPr>
              <w:t>Operating Cash Flows for Operating Leases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34,576</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50,081</w:t>
            </w:r>
          </w:p>
        </w:tc>
      </w:tr>
      <w:tr>
        <w:trPr>
          <w:trHeight w:val="209"/>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Cash Flows for Finance Leases . . . . . . . . .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10,741</w:t>
            </w:r>
          </w:p>
        </w:tc>
      </w:tr>
      <w:tr>
        <w:trPr>
          <w:trHeight w:val="220"/>
        </w:trPr>
        <w:tc>
          <w:tcPr>
            <w:tcW w:w="4920" w:type="dxa"/>
            <w:vAlign w:val="bottom"/>
          </w:tcPr>
          <w:p>
            <w:pPr>
              <w:ind w:left="140"/>
              <w:spacing w:after="0"/>
              <w:rPr>
                <w:sz w:val="20"/>
                <w:szCs w:val="20"/>
                <w:color w:val="auto"/>
              </w:rPr>
            </w:pPr>
            <w:r>
              <w:rPr>
                <w:rFonts w:ascii="Arial" w:cs="Arial" w:eastAsia="Arial" w:hAnsi="Arial"/>
                <w:sz w:val="15"/>
                <w:szCs w:val="15"/>
                <w:color w:val="auto"/>
              </w:rPr>
              <w:t>Financing Cash Flows for Finance Leases .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89,697</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8,258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-592455</wp:posOffset>
            </wp:positionV>
            <wp:extent cx="111760" cy="69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-592455</wp:posOffset>
            </wp:positionV>
            <wp:extent cx="55880"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90"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The table below presents lease-related terms and discount rates related to the Company’s Finance and Operating</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Leases: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3"/>
              </w:rPr>
              <w:t>December 31, 2020</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404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remaining lease term</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5"/>
                <w:szCs w:val="15"/>
                <w:color w:val="auto"/>
              </w:rPr>
              <w:t>Operating Leases . . . . . . . . . . . . . . . . .</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4.8 years</w:t>
            </w:r>
          </w:p>
        </w:tc>
        <w:tc>
          <w:tcPr>
            <w:tcW w:w="920" w:type="dxa"/>
            <w:vAlign w:val="bottom"/>
          </w:tcPr>
          <w:p>
            <w:pPr>
              <w:jc w:val="right"/>
              <w:spacing w:after="0"/>
              <w:rPr>
                <w:sz w:val="20"/>
                <w:szCs w:val="20"/>
                <w:color w:val="auto"/>
              </w:rPr>
            </w:pPr>
            <w:r>
              <w:rPr>
                <w:rFonts w:ascii="Arial" w:cs="Arial" w:eastAsia="Arial" w:hAnsi="Arial"/>
                <w:sz w:val="15"/>
                <w:szCs w:val="15"/>
                <w:color w:val="auto"/>
              </w:rPr>
              <w:t>6.0 years</w:t>
            </w:r>
          </w:p>
        </w:tc>
      </w:tr>
      <w:tr>
        <w:trPr>
          <w:trHeight w:val="209"/>
        </w:trPr>
        <w:tc>
          <w:tcPr>
            <w:tcW w:w="4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Leases . . . . . . . . . . . . . . . . . . .</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8.6 years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 years</w:t>
            </w:r>
          </w:p>
        </w:tc>
      </w:tr>
      <w:tr>
        <w:trPr>
          <w:trHeight w:val="220"/>
        </w:trPr>
        <w:tc>
          <w:tcPr>
            <w:tcW w:w="4040" w:type="dxa"/>
            <w:vAlign w:val="bottom"/>
          </w:tcPr>
          <w:p>
            <w:pPr>
              <w:spacing w:after="0"/>
              <w:rPr>
                <w:sz w:val="20"/>
                <w:szCs w:val="20"/>
                <w:color w:val="auto"/>
              </w:rPr>
            </w:pPr>
            <w:r>
              <w:rPr>
                <w:rFonts w:ascii="Arial" w:cs="Arial" w:eastAsia="Arial" w:hAnsi="Arial"/>
                <w:sz w:val="15"/>
                <w:szCs w:val="15"/>
                <w:color w:val="auto"/>
              </w:rPr>
              <w:t>Weighted-average discount rates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4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Leases . . . . . . . . . . . . . . . . .</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r>
      <w:tr>
        <w:trPr>
          <w:trHeight w:val="220"/>
        </w:trPr>
        <w:tc>
          <w:tcPr>
            <w:tcW w:w="4040" w:type="dxa"/>
            <w:vAlign w:val="bottom"/>
          </w:tcPr>
          <w:p>
            <w:pPr>
              <w:ind w:left="140"/>
              <w:spacing w:after="0"/>
              <w:rPr>
                <w:sz w:val="20"/>
                <w:szCs w:val="20"/>
                <w:color w:val="auto"/>
              </w:rPr>
            </w:pPr>
            <w:r>
              <w:rPr>
                <w:rFonts w:ascii="Arial" w:cs="Arial" w:eastAsia="Arial" w:hAnsi="Arial"/>
                <w:sz w:val="15"/>
                <w:szCs w:val="15"/>
                <w:color w:val="auto"/>
              </w:rPr>
              <w:t>Finance Leases . . . . . . . . . . . . . . . . . . .</w:t>
            </w:r>
          </w:p>
        </w:tc>
        <w:tc>
          <w:tcPr>
            <w:tcW w:w="940" w:type="dxa"/>
            <w:vAlign w:val="bottom"/>
          </w:tcPr>
          <w:p>
            <w:pPr>
              <w:jc w:val="right"/>
              <w:spacing w:after="0"/>
              <w:rPr>
                <w:sz w:val="20"/>
                <w:szCs w:val="20"/>
                <w:color w:val="auto"/>
              </w:rPr>
            </w:pPr>
            <w:r>
              <w:rPr>
                <w:rFonts w:ascii="Arial" w:cs="Arial" w:eastAsia="Arial" w:hAnsi="Arial"/>
                <w:sz w:val="15"/>
                <w:szCs w:val="15"/>
                <w:color w:val="auto"/>
              </w:rPr>
              <w:t>6.1%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-822325</wp:posOffset>
            </wp:positionV>
            <wp:extent cx="3272155"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272155" cy="6985"/>
                    </a:xfrm>
                    <a:prstGeom prst="rect">
                      <a:avLst/>
                    </a:prstGeom>
                    <a:noFill/>
                  </pic:spPr>
                </pic:pic>
              </a:graphicData>
            </a:graphic>
          </wp:anchor>
        </w:drawing>
      </w:r>
    </w:p>
    <w:p>
      <w:pPr>
        <w:spacing w:after="0" w:line="101" w:lineRule="exact"/>
        <w:rPr>
          <w:sz w:val="20"/>
          <w:szCs w:val="20"/>
          <w:color w:val="auto"/>
        </w:rPr>
      </w:pPr>
    </w:p>
    <w:p>
      <w:pPr>
        <w:ind w:left="1160" w:right="1359" w:firstLine="293"/>
        <w:spacing w:after="0" w:line="249" w:lineRule="auto"/>
        <w:rPr>
          <w:sz w:val="20"/>
          <w:szCs w:val="20"/>
          <w:color w:val="auto"/>
        </w:rPr>
      </w:pPr>
      <w:r>
        <w:rPr>
          <w:rFonts w:ascii="Arial" w:cs="Arial" w:eastAsia="Arial" w:hAnsi="Arial"/>
          <w:sz w:val="15"/>
          <w:szCs w:val="15"/>
          <w:color w:val="auto"/>
        </w:rPr>
        <w:t>During the years ended December 31, 2020 and 2019, the Company expensed $8,691 and $18,584 of maintenance reserve payments, respectively. The Company expensed $12,781 and $6,003 of maintenance reserve payments during the period April 11, 2018 to December 31, 2018 and from January 1, 2018 to April 10, 2018, respectively. These expenses are reflected in Aircraft Rent on the accompanying Consolidated Statements of Operations.</w:t>
      </w:r>
    </w:p>
    <w:p>
      <w:pPr>
        <w:spacing w:after="0" w:line="94"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At the Acquisition Date, the Company established a contra-asset to represent the Company’s obligation to perform planned maintenance events on leased aircraft held as of the Acquisition Date. As of December 31, 2020 and 2019, the remaining balance of the contra-asset was $36,729 and $43,844, respectively. Of the $7,115 reduction in the contra-asset during 2020, $5,624 related to the purchase of two aircrafts previously leased. For the years ended December 31, 2020 and 2019, the Company recognized $1,402 and $12,263, respectively, of the contra-asset as a reduction to Maintenance expense on the accompanying Consolidated Statements of Operations. For the period of April 11, 2018 to December 31, 2018, the Company recognized $6,516 as a reduction to Maintenance expense.</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w:t>
      </w:r>
    </w:p>
    <w:p>
      <w:pPr>
        <w:spacing w:after="0" w:line="12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In October of 2018, the Company adopted an equity incentive plan (the “Plan”) pursuant to which the Company may grant stock options, restricted stock, and restricted stock units to employees, consultants, and non-employee directors. Shares related to awards granted under the Plan that expire, are forfeited, or for any other reason are not issued or delivered will be available for subsequent awards under the Plan. The Plan authorizes issuance of up to 6,985,533 shares. As of December 31, 2020, there were 988,383 shares available for future grants.</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9" w:name="page230"/>
    <w:bookmarkEnd w:id="229"/>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 (continued)</w:t>
      </w:r>
    </w:p>
    <w:p>
      <w:pPr>
        <w:spacing w:after="0" w:line="183"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On November 7, 2018, the Company granted 5,827,511 stock options to certain employees, with 38.5% of the options vesting upon the passage of time, and 61.5% of the options vesting based on performance conditions.</w:t>
      </w:r>
    </w:p>
    <w:p>
      <w:pPr>
        <w:spacing w:after="0" w:line="90"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Additional stock options were awarded in 2019 and 2020 with the same time-vesting and performance ratios (see tables below). The 2018 time-based options vest proportionally (25% per year) on each of the first four anniversaries of the Acquisition Date. The 2019 and 2020 time-based options vest proportionally (25% per year) on each of the first four anniversaries of the grant date. The performance-based options vest when there is a Change in Control. All unexercised options awarded under the Plan expire on the tenth anniversary of the grant date. The stock option exercise prices range from $5.30 to $18.02 per share.</w:t>
      </w:r>
    </w:p>
    <w:p>
      <w:pPr>
        <w:spacing w:after="0" w:line="93" w:lineRule="exact"/>
        <w:rPr>
          <w:sz w:val="20"/>
          <w:szCs w:val="20"/>
          <w:color w:val="auto"/>
        </w:rPr>
      </w:pPr>
    </w:p>
    <w:p>
      <w:pPr>
        <w:jc w:val="both"/>
        <w:ind w:left="1160" w:right="1179" w:firstLine="293"/>
        <w:spacing w:after="0" w:line="274" w:lineRule="auto"/>
        <w:rPr>
          <w:sz w:val="20"/>
          <w:szCs w:val="20"/>
          <w:color w:val="auto"/>
        </w:rPr>
      </w:pPr>
      <w:r>
        <w:rPr>
          <w:rFonts w:ascii="Arial" w:cs="Arial" w:eastAsia="Arial" w:hAnsi="Arial"/>
          <w:sz w:val="14"/>
          <w:szCs w:val="14"/>
          <w:color w:val="auto"/>
        </w:rPr>
        <w:t>Compensation expense related to time-based stock options is recognized in an amount equal to the fair value on the date of the grant and is recognized on a straight-line basis over the employee’s requisite service period, generally the vesting period of the award. Compensation expense related to performance-based stock options is recognized only if the performance condition becomes probable of occurring.</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 summary of stock option activity:</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7"/>
          </w:tcPr>
          <w:p>
            <w:pPr>
              <w:ind w:left="20"/>
              <w:spacing w:after="0"/>
              <w:rPr>
                <w:sz w:val="20"/>
                <w:szCs w:val="20"/>
                <w:color w:val="auto"/>
              </w:rPr>
            </w:pPr>
            <w:r>
              <w:rPr>
                <w:rFonts w:ascii="Arial" w:cs="Arial" w:eastAsia="Arial" w:hAnsi="Arial"/>
                <w:sz w:val="12"/>
                <w:szCs w:val="12"/>
                <w:b w:val="1"/>
                <w:bCs w:val="1"/>
                <w:color w:val="auto"/>
                <w:w w:val="96"/>
              </w:rPr>
              <w:t>Time-Based Stock Options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
        </w:trPr>
        <w:tc>
          <w:tcPr>
            <w:tcW w:w="3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r>
      <w:tr>
        <w:trPr>
          <w:trHeight w:val="138"/>
        </w:trPr>
        <w:tc>
          <w:tcPr>
            <w:tcW w:w="3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Weighted</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1"/>
              </w:rPr>
              <w:t>Weighted</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79"/>
              </w:rPr>
              <w:t>average</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average</w:t>
            </w:r>
          </w:p>
        </w:tc>
        <w:tc>
          <w:tcPr>
            <w:tcW w:w="88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5"/>
              </w:rPr>
              <w:t>Weighted</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3"/>
              </w:rPr>
              <w:t>remaining</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exercise</w:t>
            </w:r>
          </w:p>
        </w:tc>
        <w:tc>
          <w:tcPr>
            <w:tcW w:w="88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3"/>
              </w:rPr>
              <w:t>average</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contractual</w:t>
            </w:r>
          </w:p>
        </w:tc>
      </w:tr>
      <w:tr>
        <w:trPr>
          <w:trHeight w:val="132"/>
        </w:trPr>
        <w:tc>
          <w:tcPr>
            <w:tcW w:w="3800" w:type="dxa"/>
            <w:vAlign w:val="bottom"/>
          </w:tcPr>
          <w:p>
            <w:pPr>
              <w:spacing w:after="0"/>
              <w:rPr>
                <w:sz w:val="11"/>
                <w:szCs w:val="11"/>
                <w:color w:val="auto"/>
              </w:rPr>
            </w:pPr>
          </w:p>
        </w:tc>
        <w:tc>
          <w:tcPr>
            <w:tcW w:w="780" w:type="dxa"/>
            <w:vAlign w:val="bottom"/>
            <w:gridSpan w:val="2"/>
          </w:tcPr>
          <w:p>
            <w:pPr>
              <w:jc w:val="right"/>
              <w:ind w:right="240"/>
              <w:spacing w:after="0" w:line="132" w:lineRule="exact"/>
              <w:rPr>
                <w:sz w:val="20"/>
                <w:szCs w:val="20"/>
                <w:color w:val="auto"/>
              </w:rPr>
            </w:pPr>
            <w:r>
              <w:rPr>
                <w:rFonts w:ascii="Arial" w:cs="Arial" w:eastAsia="Arial" w:hAnsi="Arial"/>
                <w:sz w:val="12"/>
                <w:szCs w:val="12"/>
                <w:b w:val="1"/>
                <w:bCs w:val="1"/>
                <w:color w:val="auto"/>
                <w:w w:val="86"/>
              </w:rPr>
              <w:t>Number of</w:t>
            </w:r>
          </w:p>
        </w:tc>
        <w:tc>
          <w:tcPr>
            <w:tcW w:w="64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2"/>
              </w:rPr>
              <w:t>price per</w:t>
            </w:r>
          </w:p>
        </w:tc>
        <w:tc>
          <w:tcPr>
            <w:tcW w:w="180" w:type="dxa"/>
            <w:vAlign w:val="bottom"/>
          </w:tcPr>
          <w:p>
            <w:pPr>
              <w:spacing w:after="0"/>
              <w:rPr>
                <w:sz w:val="11"/>
                <w:szCs w:val="11"/>
                <w:color w:val="auto"/>
              </w:rPr>
            </w:pPr>
          </w:p>
        </w:tc>
        <w:tc>
          <w:tcPr>
            <w:tcW w:w="700" w:type="dxa"/>
            <w:vAlign w:val="bottom"/>
            <w:gridSpan w:val="3"/>
          </w:tcPr>
          <w:p>
            <w:pPr>
              <w:jc w:val="center"/>
              <w:ind w:right="400"/>
              <w:spacing w:after="0" w:line="132" w:lineRule="exact"/>
              <w:rPr>
                <w:sz w:val="20"/>
                <w:szCs w:val="20"/>
                <w:color w:val="auto"/>
              </w:rPr>
            </w:pPr>
            <w:r>
              <w:rPr>
                <w:rFonts w:ascii="Arial" w:cs="Arial" w:eastAsia="Arial" w:hAnsi="Arial"/>
                <w:sz w:val="12"/>
                <w:szCs w:val="12"/>
                <w:b w:val="1"/>
                <w:bCs w:val="1"/>
                <w:color w:val="auto"/>
                <w:w w:val="86"/>
              </w:rPr>
              <w:t>grant</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2"/>
              </w:rPr>
              <w:t>term</w:t>
            </w:r>
          </w:p>
        </w:tc>
      </w:tr>
      <w:tr>
        <w:trPr>
          <w:trHeight w:val="150"/>
        </w:trPr>
        <w:tc>
          <w:tcPr>
            <w:tcW w:w="380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5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1"/>
              </w:rPr>
              <w:t>share</w:t>
            </w:r>
          </w:p>
        </w:tc>
        <w:tc>
          <w:tcPr>
            <w:tcW w:w="88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6"/>
              </w:rPr>
              <w:t>date fair value</w:t>
            </w:r>
          </w:p>
        </w:tc>
        <w:tc>
          <w:tcPr>
            <w:tcW w:w="5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(years)</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3800" w:type="dxa"/>
            <w:vAlign w:val="bottom"/>
            <w:shd w:val="clear" w:color="auto" w:fill="CCEEFF"/>
          </w:tcPr>
          <w:p>
            <w:pPr>
              <w:jc w:val="center"/>
              <w:ind w:right="367"/>
              <w:spacing w:after="0"/>
              <w:rPr>
                <w:sz w:val="20"/>
                <w:szCs w:val="20"/>
                <w:color w:val="auto"/>
              </w:rPr>
            </w:pPr>
            <w:r>
              <w:rPr>
                <w:rFonts w:ascii="Arial" w:cs="Arial" w:eastAsia="Arial" w:hAnsi="Arial"/>
                <w:sz w:val="15"/>
                <w:szCs w:val="15"/>
                <w:color w:val="auto"/>
                <w:w w:val="92"/>
              </w:rPr>
              <w:t>Outstanding as of December 31, 2018 . . . . . . . . . . . . .</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2,243,588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$2.39</w:t>
            </w:r>
          </w:p>
        </w:tc>
        <w:tc>
          <w:tcPr>
            <w:tcW w:w="1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9.8</w:t>
            </w:r>
          </w:p>
        </w:tc>
      </w:tr>
      <w:tr>
        <w:trPr>
          <w:trHeight w:val="209"/>
        </w:trPr>
        <w:tc>
          <w:tcPr>
            <w:tcW w:w="3800" w:type="dxa"/>
            <w:vAlign w:val="bottom"/>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472,253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7.93</w:t>
            </w:r>
          </w:p>
        </w:tc>
        <w:tc>
          <w:tcPr>
            <w:tcW w:w="1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5"/>
                <w:szCs w:val="15"/>
                <w:color w:val="auto"/>
                <w:w w:val="90"/>
              </w:rPr>
              <w:t>$3.14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3800" w:type="dxa"/>
            <w:vAlign w:val="bottom"/>
            <w:shd w:val="clear" w:color="auto" w:fill="CCEEFF"/>
          </w:tcPr>
          <w:p>
            <w:pPr>
              <w:jc w:val="center"/>
              <w:ind w:right="327"/>
              <w:spacing w:after="0"/>
              <w:rPr>
                <w:sz w:val="20"/>
                <w:szCs w:val="20"/>
                <w:color w:val="auto"/>
              </w:rPr>
            </w:pPr>
            <w:r>
              <w:rPr>
                <w:rFonts w:ascii="Arial" w:cs="Arial" w:eastAsia="Arial" w:hAnsi="Arial"/>
                <w:sz w:val="15"/>
                <w:szCs w:val="15"/>
                <w:color w:val="auto"/>
                <w:w w:val="94"/>
              </w:rPr>
              <w:t>Forfeited . . . . . . . . . . . . . . . . . . . . . . . . . . . . . . . .</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6"/>
              </w:rPr>
              <w:t>(434,533)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$2.39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3800" w:type="dxa"/>
            <w:vAlign w:val="bottom"/>
          </w:tcPr>
          <w:p>
            <w:pPr>
              <w:jc w:val="center"/>
              <w:ind w:right="367"/>
              <w:spacing w:after="0"/>
              <w:rPr>
                <w:sz w:val="20"/>
                <w:szCs w:val="20"/>
                <w:color w:val="auto"/>
              </w:rPr>
            </w:pPr>
            <w:r>
              <w:rPr>
                <w:rFonts w:ascii="Arial" w:cs="Arial" w:eastAsia="Arial" w:hAnsi="Arial"/>
                <w:sz w:val="15"/>
                <w:szCs w:val="15"/>
                <w:color w:val="auto"/>
                <w:w w:val="92"/>
              </w:rPr>
              <w:t>Outstanding as of December 31, 2019 . . . . . . . . . . . . .</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2,281,308</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5.84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w w:val="90"/>
              </w:rPr>
              <w:t>$2.54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5"/>
                <w:szCs w:val="15"/>
                <w:color w:val="auto"/>
                <w:w w:val="86"/>
              </w:rPr>
              <w:t>9.0</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3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221,941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17.99</w:t>
            </w:r>
          </w:p>
        </w:tc>
        <w:tc>
          <w:tcPr>
            <w:tcW w:w="1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$7.02</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4"/>
        </w:trPr>
        <w:tc>
          <w:tcPr>
            <w:tcW w:w="3800" w:type="dxa"/>
            <w:vAlign w:val="bottom"/>
          </w:tcPr>
          <w:p>
            <w:pPr>
              <w:jc w:val="center"/>
              <w:ind w:right="327"/>
              <w:spacing w:after="0"/>
              <w:rPr>
                <w:sz w:val="20"/>
                <w:szCs w:val="20"/>
                <w:color w:val="auto"/>
              </w:rPr>
            </w:pPr>
            <w:r>
              <w:rPr>
                <w:rFonts w:ascii="Arial" w:cs="Arial" w:eastAsia="Arial" w:hAnsi="Arial"/>
                <w:sz w:val="15"/>
                <w:szCs w:val="15"/>
                <w:color w:val="auto"/>
                <w:w w:val="94"/>
              </w:rPr>
              <w:t>Forfeited . . . . . . . . . . . . . . . . . . . . . . . . . . . . . . . .</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(173,788)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85"/>
              </w:rPr>
              <w:t>14.65</w:t>
            </w:r>
          </w:p>
        </w:tc>
        <w:tc>
          <w:tcPr>
            <w:tcW w:w="1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5"/>
                <w:szCs w:val="15"/>
                <w:color w:val="auto"/>
                <w:w w:val="90"/>
              </w:rPr>
              <w:t>$5.70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3800" w:type="dxa"/>
            <w:vAlign w:val="bottom"/>
            <w:shd w:val="clear" w:color="auto" w:fill="CCEEFF"/>
          </w:tcPr>
          <w:p>
            <w:pPr>
              <w:jc w:val="center"/>
              <w:ind w:right="367"/>
              <w:spacing w:after="0"/>
              <w:rPr>
                <w:sz w:val="20"/>
                <w:szCs w:val="20"/>
                <w:color w:val="auto"/>
              </w:rPr>
            </w:pPr>
            <w:r>
              <w:rPr>
                <w:rFonts w:ascii="Arial" w:cs="Arial" w:eastAsia="Arial" w:hAnsi="Arial"/>
                <w:sz w:val="15"/>
                <w:szCs w:val="15"/>
                <w:color w:val="auto"/>
                <w:w w:val="92"/>
              </w:rPr>
              <w:t>Outstanding as of December 31, 2020 . . . . . . . . . . . . .</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2,329,461</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$2.74</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86"/>
              </w:rPr>
              <w:t>7.6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7"/>
        </w:trPr>
        <w:tc>
          <w:tcPr>
            <w:tcW w:w="3800" w:type="dxa"/>
            <w:vAlign w:val="bottom"/>
            <w:tcBorders>
              <w:bottom w:val="single" w:sz="8" w:color="CCEEFF"/>
            </w:tcBorders>
          </w:tcPr>
          <w:p>
            <w:pPr>
              <w:jc w:val="center"/>
              <w:ind w:right="407"/>
              <w:spacing w:after="0" w:line="167" w:lineRule="exact"/>
              <w:rPr>
                <w:sz w:val="20"/>
                <w:szCs w:val="20"/>
                <w:color w:val="auto"/>
              </w:rPr>
            </w:pPr>
            <w:r>
              <w:rPr>
                <w:rFonts w:ascii="Arial" w:cs="Arial" w:eastAsia="Arial" w:hAnsi="Arial"/>
                <w:sz w:val="15"/>
                <w:szCs w:val="15"/>
                <w:color w:val="auto"/>
                <w:w w:val="92"/>
              </w:rPr>
              <w:t>Exercisable as of December 31, 2020 . . . . . . . . . . . . .</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86"/>
              </w:rPr>
              <w:t>1,054,059</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5.64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5"/>
                <w:szCs w:val="15"/>
                <w:color w:val="auto"/>
                <w:w w:val="90"/>
              </w:rPr>
              <w:t>$2.50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or expected to vest, December 31, 2020 . . . .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2,329,461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$2.74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-459740</wp:posOffset>
            </wp:positionV>
            <wp:extent cx="4241800"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-1310640</wp:posOffset>
            </wp:positionV>
            <wp:extent cx="111760"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-1310640</wp:posOffset>
            </wp:positionV>
            <wp:extent cx="111760"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-1310640</wp:posOffset>
            </wp:positionV>
            <wp:extent cx="97790" cy="69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-1310640</wp:posOffset>
            </wp:positionV>
            <wp:extent cx="48895"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0" w:name="page231"/>
    <w:bookmarkEnd w:id="230"/>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20" w:type="dxa"/>
            <w:vAlign w:val="bottom"/>
          </w:tcPr>
          <w:p>
            <w:pPr>
              <w:spacing w:after="0"/>
              <w:rPr>
                <w:sz w:val="13"/>
                <w:szCs w:val="13"/>
                <w:color w:val="auto"/>
              </w:rPr>
            </w:pPr>
          </w:p>
        </w:tc>
        <w:tc>
          <w:tcPr>
            <w:tcW w:w="2660" w:type="dxa"/>
            <w:vAlign w:val="bottom"/>
            <w:gridSpan w:val="12"/>
          </w:tcPr>
          <w:p>
            <w:pPr>
              <w:ind w:left="500"/>
              <w:spacing w:after="0"/>
              <w:rPr>
                <w:sz w:val="20"/>
                <w:szCs w:val="20"/>
                <w:color w:val="auto"/>
              </w:rPr>
            </w:pPr>
            <w:r>
              <w:rPr>
                <w:rFonts w:ascii="Arial" w:cs="Arial" w:eastAsia="Arial" w:hAnsi="Arial"/>
                <w:sz w:val="12"/>
                <w:szCs w:val="12"/>
                <w:b w:val="1"/>
                <w:bCs w:val="1"/>
                <w:color w:val="auto"/>
              </w:rPr>
              <w:t>Performance-Based Stock Options</w:t>
            </w:r>
          </w:p>
        </w:tc>
      </w:tr>
      <w:tr>
        <w:trPr>
          <w:trHeight w:val="21"/>
        </w:trPr>
        <w:tc>
          <w:tcPr>
            <w:tcW w:w="4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r>
      <w:tr>
        <w:trPr>
          <w:trHeight w:val="138"/>
        </w:trPr>
        <w:tc>
          <w:tcPr>
            <w:tcW w:w="4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Weighted</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77"/>
              </w:rPr>
              <w:t>Weighted</w:t>
            </w:r>
          </w:p>
        </w:tc>
        <w:tc>
          <w:tcPr>
            <w:tcW w:w="6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3"/>
              </w:rPr>
              <w:t>Weighted</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79"/>
              </w:rPr>
              <w:t>average</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average</w:t>
            </w:r>
          </w:p>
        </w:tc>
        <w:tc>
          <w:tcPr>
            <w:tcW w:w="60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79"/>
              </w:rPr>
              <w:t>average</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3"/>
              </w:rPr>
              <w:t>remaining</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exercise</w:t>
            </w:r>
          </w:p>
        </w:tc>
        <w:tc>
          <w:tcPr>
            <w:tcW w:w="600" w:type="dxa"/>
            <w:vAlign w:val="bottom"/>
            <w:gridSpan w:val="4"/>
          </w:tcPr>
          <w:p>
            <w:pPr>
              <w:jc w:val="center"/>
              <w:ind w:right="260"/>
              <w:spacing w:after="0" w:line="132" w:lineRule="exact"/>
              <w:rPr>
                <w:sz w:val="20"/>
                <w:szCs w:val="20"/>
                <w:color w:val="auto"/>
              </w:rPr>
            </w:pPr>
            <w:r>
              <w:rPr>
                <w:rFonts w:ascii="Arial" w:cs="Arial" w:eastAsia="Arial" w:hAnsi="Arial"/>
                <w:sz w:val="12"/>
                <w:szCs w:val="12"/>
                <w:b w:val="1"/>
                <w:bCs w:val="1"/>
                <w:color w:val="auto"/>
                <w:w w:val="86"/>
              </w:rPr>
              <w:t>grant</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contractual</w:t>
            </w:r>
          </w:p>
        </w:tc>
      </w:tr>
      <w:tr>
        <w:trPr>
          <w:trHeight w:val="132"/>
        </w:trPr>
        <w:tc>
          <w:tcPr>
            <w:tcW w:w="4020" w:type="dxa"/>
            <w:vAlign w:val="bottom"/>
          </w:tcPr>
          <w:p>
            <w:pPr>
              <w:spacing w:after="0"/>
              <w:rPr>
                <w:sz w:val="11"/>
                <w:szCs w:val="11"/>
                <w:color w:val="auto"/>
              </w:rPr>
            </w:pPr>
          </w:p>
        </w:tc>
        <w:tc>
          <w:tcPr>
            <w:tcW w:w="800" w:type="dxa"/>
            <w:vAlign w:val="bottom"/>
            <w:gridSpan w:val="2"/>
          </w:tcPr>
          <w:p>
            <w:pPr>
              <w:jc w:val="right"/>
              <w:ind w:right="260"/>
              <w:spacing w:after="0" w:line="132" w:lineRule="exact"/>
              <w:rPr>
                <w:sz w:val="20"/>
                <w:szCs w:val="20"/>
                <w:color w:val="auto"/>
              </w:rPr>
            </w:pPr>
            <w:r>
              <w:rPr>
                <w:rFonts w:ascii="Arial" w:cs="Arial" w:eastAsia="Arial" w:hAnsi="Arial"/>
                <w:sz w:val="12"/>
                <w:szCs w:val="12"/>
                <w:b w:val="1"/>
                <w:bCs w:val="1"/>
                <w:color w:val="auto"/>
                <w:w w:val="86"/>
              </w:rPr>
              <w:t>Number of</w:t>
            </w:r>
          </w:p>
        </w:tc>
        <w:tc>
          <w:tcPr>
            <w:tcW w:w="680" w:type="dxa"/>
            <w:vAlign w:val="bottom"/>
            <w:gridSpan w:val="3"/>
          </w:tcPr>
          <w:p>
            <w:pPr>
              <w:jc w:val="center"/>
              <w:ind w:right="280"/>
              <w:spacing w:after="0" w:line="132" w:lineRule="exact"/>
              <w:rPr>
                <w:sz w:val="20"/>
                <w:szCs w:val="20"/>
                <w:color w:val="auto"/>
              </w:rPr>
            </w:pPr>
            <w:r>
              <w:rPr>
                <w:rFonts w:ascii="Arial" w:cs="Arial" w:eastAsia="Arial" w:hAnsi="Arial"/>
                <w:sz w:val="12"/>
                <w:szCs w:val="12"/>
                <w:b w:val="1"/>
                <w:bCs w:val="1"/>
                <w:color w:val="auto"/>
                <w:w w:val="78"/>
              </w:rPr>
              <w:t>price per</w:t>
            </w:r>
          </w:p>
        </w:tc>
        <w:tc>
          <w:tcPr>
            <w:tcW w:w="60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date fair</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2"/>
              </w:rPr>
              <w:t>term</w:t>
            </w:r>
          </w:p>
        </w:tc>
      </w:tr>
      <w:tr>
        <w:trPr>
          <w:trHeight w:val="150"/>
        </w:trPr>
        <w:tc>
          <w:tcPr>
            <w:tcW w:w="40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1"/>
              </w:rPr>
              <w:t>share</w:t>
            </w:r>
          </w:p>
        </w:tc>
        <w:tc>
          <w:tcPr>
            <w:tcW w:w="60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4"/>
              </w:rPr>
              <w:t>value</w:t>
            </w:r>
          </w:p>
        </w:tc>
        <w:tc>
          <w:tcPr>
            <w:tcW w:w="5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(years)</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1"/>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as of December 31, 2018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3,583,923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1.50</w:t>
            </w: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9.8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2"/>
        </w:trPr>
        <w:tc>
          <w:tcPr>
            <w:tcW w:w="4020" w:type="dxa"/>
            <w:vAlign w:val="bottom"/>
          </w:tcPr>
          <w:p>
            <w:pPr>
              <w:ind w:left="160"/>
              <w:spacing w:after="0" w:line="162" w:lineRule="exact"/>
              <w:rPr>
                <w:sz w:val="20"/>
                <w:szCs w:val="20"/>
                <w:color w:val="auto"/>
              </w:rPr>
            </w:pPr>
            <w:r>
              <w:rPr>
                <w:rFonts w:ascii="Arial" w:cs="Arial" w:eastAsia="Arial" w:hAnsi="Arial"/>
                <w:sz w:val="15"/>
                <w:szCs w:val="15"/>
                <w:color w:val="auto"/>
              </w:rPr>
              <w:t>Granted . . . . . . . . . . . . . . . . . . . . . . . . . . . . . . . . .</w:t>
            </w:r>
          </w:p>
        </w:tc>
        <w:tc>
          <w:tcPr>
            <w:tcW w:w="8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746,836</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7.96</w:t>
            </w:r>
          </w:p>
        </w:tc>
        <w:tc>
          <w:tcPr>
            <w:tcW w:w="240" w:type="dxa"/>
            <w:vAlign w:val="bottom"/>
          </w:tcPr>
          <w:p>
            <w:pPr>
              <w:spacing w:after="0"/>
              <w:rPr>
                <w:sz w:val="14"/>
                <w:szCs w:val="14"/>
                <w:color w:val="auto"/>
              </w:rPr>
            </w:pP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82"/>
              </w:rPr>
              <w:t>2.01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4"/>
        </w:trPr>
        <w:tc>
          <w:tcPr>
            <w:tcW w:w="4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Forfeited . . . . . . . . . . . . . . . . . . . . . . . . . . . . . . . .</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6"/>
              </w:rPr>
              <w:t>(827,812)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5"/>
                <w:szCs w:val="15"/>
                <w:color w:val="auto"/>
              </w:rPr>
              <w:t>Outstanding as of December 31, 2019</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w w:val="83"/>
              </w:rPr>
              <w:t>3,502,947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5.86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1.61</w:t>
            </w:r>
          </w:p>
        </w:tc>
        <w:tc>
          <w:tcPr>
            <w:tcW w:w="18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5"/>
                <w:szCs w:val="15"/>
                <w:color w:val="auto"/>
                <w:w w:val="86"/>
              </w:rPr>
              <w:t>9.0</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4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346,984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17.99</w:t>
            </w: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4.36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4"/>
        </w:trPr>
        <w:tc>
          <w:tcPr>
            <w:tcW w:w="4020" w:type="dxa"/>
            <w:vAlign w:val="bottom"/>
          </w:tcPr>
          <w:p>
            <w:pPr>
              <w:ind w:left="160"/>
              <w:spacing w:after="0"/>
              <w:rPr>
                <w:sz w:val="20"/>
                <w:szCs w:val="20"/>
                <w:color w:val="auto"/>
              </w:rPr>
            </w:pPr>
            <w:r>
              <w:rPr>
                <w:rFonts w:ascii="Arial" w:cs="Arial" w:eastAsia="Arial" w:hAnsi="Arial"/>
                <w:sz w:val="15"/>
                <w:szCs w:val="15"/>
                <w:color w:val="auto"/>
              </w:rPr>
              <w:t>Forfeited . . . . . . . . . . . . . . . . . . . . . . . . . . . . . . . .</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(272,679)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5"/>
                <w:szCs w:val="15"/>
                <w:color w:val="auto"/>
                <w:w w:val="79"/>
              </w:rPr>
              <w:t>14.65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3.59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as of December 31, 2020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3,577,252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6.38</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1.72</w:t>
            </w: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7.6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7"/>
        </w:trPr>
        <w:tc>
          <w:tcPr>
            <w:tcW w:w="4020" w:type="dxa"/>
            <w:vAlign w:val="bottom"/>
          </w:tcPr>
          <w:p>
            <w:pPr>
              <w:spacing w:after="0" w:line="167" w:lineRule="exact"/>
              <w:rPr>
                <w:sz w:val="20"/>
                <w:szCs w:val="20"/>
                <w:color w:val="auto"/>
              </w:rPr>
            </w:pPr>
            <w:r>
              <w:rPr>
                <w:rFonts w:ascii="Arial" w:cs="Arial" w:eastAsia="Arial" w:hAnsi="Arial"/>
                <w:sz w:val="15"/>
                <w:szCs w:val="15"/>
                <w:color w:val="auto"/>
              </w:rPr>
              <w:t>Exercisable as of December 31, 2020 . . . . . . . . . . . . .</w:t>
            </w:r>
          </w:p>
        </w:tc>
        <w:tc>
          <w:tcPr>
            <w:tcW w:w="800" w:type="dxa"/>
            <w:vAlign w:val="bottom"/>
            <w:gridSpan w:val="2"/>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80"/>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260"/>
              <w:spacing w:after="0" w:line="167"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1"/>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or expected to vest, December 31, 2020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-459740</wp:posOffset>
            </wp:positionV>
            <wp:extent cx="4241800"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-1338580</wp:posOffset>
            </wp:positionV>
            <wp:extent cx="111760"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-1338580</wp:posOffset>
            </wp:positionV>
            <wp:extent cx="11176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-1338580</wp:posOffset>
            </wp:positionV>
            <wp:extent cx="111760" cy="69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-1338580</wp:posOffset>
            </wp:positionV>
            <wp:extent cx="55880"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67" w:lineRule="exact"/>
        <w:rPr>
          <w:sz w:val="20"/>
          <w:szCs w:val="20"/>
          <w:color w:val="auto"/>
        </w:rPr>
      </w:pPr>
    </w:p>
    <w:p>
      <w:pPr>
        <w:ind w:left="1160" w:right="1319" w:firstLine="293"/>
        <w:spacing w:after="0" w:line="269" w:lineRule="auto"/>
        <w:rPr>
          <w:sz w:val="20"/>
          <w:szCs w:val="20"/>
          <w:color w:val="auto"/>
        </w:rPr>
      </w:pPr>
      <w:r>
        <w:rPr>
          <w:rFonts w:ascii="Arial" w:cs="Arial" w:eastAsia="Arial" w:hAnsi="Arial"/>
          <w:sz w:val="14"/>
          <w:szCs w:val="14"/>
          <w:color w:val="auto"/>
        </w:rPr>
        <w:t>Stock compensation expense was $2,110 and $1,888 during the years ended December 31, 2020 and 2019, respectively, and was $373 during the period April 11, 2018 through December 31, 2018. Expense recorded in 2020 includes 30,820 shares of SCA’s common stock which was awarded to employees as part of their annual bonus compensation. As of December 31, 2020, there was $2,760 of total unrecognized compensation expense related to time-based stock options, which is expected to be fully recognized over a weighted average period of approximately 1.5 years.</w:t>
      </w:r>
    </w:p>
    <w:p>
      <w:pPr>
        <w:spacing w:after="0" w:line="93" w:lineRule="exact"/>
        <w:rPr>
          <w:sz w:val="20"/>
          <w:szCs w:val="20"/>
          <w:color w:val="auto"/>
        </w:rPr>
      </w:pPr>
    </w:p>
    <w:p>
      <w:pPr>
        <w:ind w:left="1160" w:right="1279" w:firstLine="293"/>
        <w:spacing w:after="0" w:line="274" w:lineRule="auto"/>
        <w:rPr>
          <w:sz w:val="20"/>
          <w:szCs w:val="20"/>
          <w:color w:val="auto"/>
        </w:rPr>
      </w:pPr>
      <w:r>
        <w:rPr>
          <w:rFonts w:ascii="Arial" w:cs="Arial" w:eastAsia="Arial" w:hAnsi="Arial"/>
          <w:sz w:val="14"/>
          <w:szCs w:val="14"/>
          <w:color w:val="auto"/>
        </w:rPr>
        <w:t>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 stock on the grant date.</w:t>
      </w:r>
    </w:p>
    <w:p>
      <w:pPr>
        <w:spacing w:after="0" w:line="78"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fair value of the time-based stock options granted was estimated using the Black-Scholes option-pricing model with the following weighted-average assumptions used for grants:</w:t>
      </w:r>
    </w:p>
    <w:p>
      <w:pPr>
        <w:spacing w:after="0" w:line="10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620" w:type="dxa"/>
            <w:vAlign w:val="bottom"/>
          </w:tcPr>
          <w:p>
            <w:pPr>
              <w:spacing w:after="0"/>
              <w:rPr>
                <w:sz w:val="13"/>
                <w:szCs w:val="13"/>
                <w:color w:val="auto"/>
              </w:rPr>
            </w:pPr>
          </w:p>
        </w:tc>
        <w:tc>
          <w:tcPr>
            <w:tcW w:w="640" w:type="dxa"/>
            <w:vAlign w:val="bottom"/>
          </w:tcPr>
          <w:p>
            <w:pPr>
              <w:jc w:val="right"/>
              <w:ind w:right="13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640" w:type="dxa"/>
            <w:vAlign w:val="bottom"/>
          </w:tcPr>
          <w:p>
            <w:pPr>
              <w:jc w:val="right"/>
              <w:ind w:right="130"/>
              <w:spacing w:after="0"/>
              <w:rPr>
                <w:sz w:val="20"/>
                <w:szCs w:val="20"/>
                <w:color w:val="auto"/>
              </w:rPr>
            </w:pPr>
            <w:r>
              <w:rPr>
                <w:rFonts w:ascii="Arial" w:cs="Arial" w:eastAsia="Arial" w:hAnsi="Arial"/>
                <w:sz w:val="12"/>
                <w:szCs w:val="12"/>
                <w:b w:val="1"/>
                <w:bCs w:val="1"/>
                <w:color w:val="auto"/>
              </w:rPr>
              <w:t>2019</w:t>
            </w:r>
          </w:p>
        </w:tc>
      </w:tr>
      <w:tr>
        <w:trPr>
          <w:trHeight w:val="21"/>
        </w:trPr>
        <w:tc>
          <w:tcPr>
            <w:tcW w:w="4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Expected Term . . . . . . . . . . . . . . . . . . . . . . . . . . . . . . . .</w:t>
            </w:r>
          </w:p>
        </w:tc>
        <w:tc>
          <w:tcPr>
            <w:tcW w:w="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5.59 years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5.67 years</w:t>
            </w:r>
          </w:p>
        </w:tc>
      </w:tr>
      <w:tr>
        <w:trPr>
          <w:trHeight w:val="209"/>
        </w:trPr>
        <w:tc>
          <w:tcPr>
            <w:tcW w:w="4620" w:type="dxa"/>
            <w:vAlign w:val="bottom"/>
          </w:tcPr>
          <w:p>
            <w:pPr>
              <w:spacing w:after="0"/>
              <w:rPr>
                <w:sz w:val="20"/>
                <w:szCs w:val="20"/>
                <w:color w:val="auto"/>
              </w:rPr>
            </w:pPr>
            <w:r>
              <w:rPr>
                <w:rFonts w:ascii="Arial" w:cs="Arial" w:eastAsia="Arial" w:hAnsi="Arial"/>
                <w:sz w:val="15"/>
                <w:szCs w:val="15"/>
                <w:color w:val="auto"/>
              </w:rPr>
              <w:t>Expected Volatility . . . . . . . . . . . . . . . . . . . . . . . . . . . . .</w:t>
            </w:r>
          </w:p>
        </w:tc>
        <w:tc>
          <w:tcPr>
            <w:tcW w:w="640" w:type="dxa"/>
            <w:vAlign w:val="bottom"/>
          </w:tcPr>
          <w:p>
            <w:pPr>
              <w:jc w:val="right"/>
              <w:spacing w:after="0"/>
              <w:rPr>
                <w:sz w:val="20"/>
                <w:szCs w:val="20"/>
                <w:color w:val="auto"/>
              </w:rPr>
            </w:pPr>
            <w:r>
              <w:rPr>
                <w:rFonts w:ascii="Arial" w:cs="Arial" w:eastAsia="Arial" w:hAnsi="Arial"/>
                <w:sz w:val="15"/>
                <w:szCs w:val="15"/>
                <w:color w:val="auto"/>
              </w:rPr>
              <w:t>38.8%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33.9%</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 . . . . . . . . . . . . . . . . . . . . . . . . . .</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220"/>
        </w:trPr>
        <w:tc>
          <w:tcPr>
            <w:tcW w:w="4620" w:type="dxa"/>
            <w:vAlign w:val="bottom"/>
          </w:tcPr>
          <w:p>
            <w:pPr>
              <w:spacing w:after="0"/>
              <w:rPr>
                <w:sz w:val="20"/>
                <w:szCs w:val="20"/>
                <w:color w:val="auto"/>
              </w:rPr>
            </w:pPr>
            <w:r>
              <w:rPr>
                <w:rFonts w:ascii="Arial" w:cs="Arial" w:eastAsia="Arial" w:hAnsi="Arial"/>
                <w:sz w:val="15"/>
                <w:szCs w:val="15"/>
                <w:color w:val="auto"/>
              </w:rPr>
              <w:t>Expected Dividend Yield . . . . . . . . . . . . . . . . . . . . . . . .</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-543560</wp:posOffset>
            </wp:positionV>
            <wp:extent cx="3453130"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53130" cy="6985"/>
                    </a:xfrm>
                    <a:prstGeom prst="rect">
                      <a:avLst/>
                    </a:prstGeom>
                    <a:noFill/>
                  </pic:spPr>
                </pic:pic>
              </a:graphicData>
            </a:graphic>
          </wp:anchor>
        </w:drawing>
      </w:r>
    </w:p>
    <w:p>
      <w:pPr>
        <w:spacing w:after="0" w:line="101" w:lineRule="exact"/>
        <w:rPr>
          <w:sz w:val="20"/>
          <w:szCs w:val="20"/>
          <w:color w:val="auto"/>
        </w:rPr>
      </w:pPr>
    </w:p>
    <w:p>
      <w:pPr>
        <w:ind w:left="1160" w:right="1439" w:firstLine="293"/>
        <w:spacing w:after="0" w:line="251" w:lineRule="auto"/>
        <w:rPr>
          <w:sz w:val="20"/>
          <w:szCs w:val="20"/>
          <w:color w:val="auto"/>
        </w:rPr>
      </w:pPr>
      <w:r>
        <w:rPr>
          <w:rFonts w:ascii="Arial" w:cs="Arial" w:eastAsia="Arial" w:hAnsi="Arial"/>
          <w:sz w:val="15"/>
          <w:szCs w:val="15"/>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02" w:lineRule="exact"/>
        <w:rPr>
          <w:sz w:val="20"/>
          <w:szCs w:val="20"/>
          <w:color w:val="auto"/>
        </w:rPr>
      </w:pPr>
    </w:p>
    <w:p>
      <w:pPr>
        <w:ind w:left="1160" w:right="1199" w:firstLine="293"/>
        <w:spacing w:after="0" w:line="291" w:lineRule="auto"/>
        <w:rPr>
          <w:sz w:val="20"/>
          <w:szCs w:val="20"/>
          <w:color w:val="auto"/>
        </w:rPr>
      </w:pPr>
      <w:r>
        <w:rPr>
          <w:rFonts w:ascii="Arial" w:cs="Arial" w:eastAsia="Arial" w:hAnsi="Arial"/>
          <w:sz w:val="14"/>
          <w:szCs w:val="14"/>
          <w:color w:val="auto"/>
        </w:rPr>
        <w:t>The fair value of performance-based stock options granted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1" w:name="page232"/>
    <w:bookmarkEnd w:id="231"/>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12. FUEL DERIVATIVES AND RISK MANAGEMENT</w:t>
      </w:r>
    </w:p>
    <w:p>
      <w:pPr>
        <w:spacing w:after="0" w:line="117"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102"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Fuel derivative contracts are recognized at fair value on the Consolidated Balance Sheets as Derivative Assets, if the fair value is in an asset position, or as Derivative Liabilities, if the fair value is in a liability position. The Company did not have any collateral held by counterparties to these agreements as of December 31, 2020 and 2019. Derivatives where the payment due date is greater than one year from the balance sheet date are classified as long-term.</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Derivative Assets (Liabilities) were as follows: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1320" w:type="dxa"/>
            <w:vAlign w:val="bottom"/>
            <w:gridSpan w:val="8"/>
          </w:tcPr>
          <w:p>
            <w:pPr>
              <w:ind w:left="20"/>
              <w:spacing w:after="0"/>
              <w:rPr>
                <w:sz w:val="20"/>
                <w:szCs w:val="20"/>
                <w:color w:val="auto"/>
              </w:rPr>
            </w:pPr>
            <w:r>
              <w:rPr>
                <w:rFonts w:ascii="Arial" w:cs="Arial" w:eastAsia="Arial" w:hAnsi="Arial"/>
                <w:sz w:val="12"/>
                <w:szCs w:val="12"/>
                <w:b w:val="1"/>
                <w:bCs w:val="1"/>
                <w:color w:val="auto"/>
                <w:w w:val="86"/>
              </w:rPr>
              <w:t>Year Ended December 31,</w:t>
            </w:r>
          </w:p>
        </w:tc>
      </w:tr>
      <w:tr>
        <w:trPr>
          <w:trHeight w:val="21"/>
        </w:trPr>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8"/>
              </w:rPr>
              <w:t>(12,006)</w:t>
            </w:r>
          </w:p>
        </w:tc>
        <w:tc>
          <w:tcPr>
            <w:tcW w:w="40" w:type="dxa"/>
            <w:vAlign w:val="bottom"/>
          </w:tcPr>
          <w:p>
            <w:pPr>
              <w:spacing w:after="0"/>
              <w:rPr>
                <w:sz w:val="17"/>
                <w:szCs w:val="17"/>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5"/>
                <w:szCs w:val="15"/>
                <w:color w:val="auto"/>
              </w:rPr>
              <w:t>Non-cash gains (losses)</w:t>
            </w: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w w:val="85"/>
              </w:rPr>
              <w:t>(12,206)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10,791</w:t>
            </w:r>
          </w:p>
        </w:tc>
        <w:tc>
          <w:tcPr>
            <w:tcW w:w="40" w:type="dxa"/>
            <w:vAlign w:val="bottom"/>
          </w:tcPr>
          <w:p>
            <w:pPr>
              <w:spacing w:after="0"/>
              <w:rPr>
                <w:sz w:val="18"/>
                <w:szCs w:val="18"/>
                <w:color w:val="auto"/>
              </w:rPr>
            </w:pPr>
          </w:p>
        </w:tc>
      </w:tr>
      <w:tr>
        <w:trPr>
          <w:trHeight w:val="21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Contract settlements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8,800</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3,448</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5"/>
                <w:szCs w:val="15"/>
                <w:color w:val="auto"/>
              </w:rPr>
              <w:t>Balance—December 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(1,173)</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2,233</w:t>
            </w:r>
          </w:p>
        </w:tc>
        <w:tc>
          <w:tcPr>
            <w:tcW w:w="4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-173990</wp:posOffset>
            </wp:positionV>
            <wp:extent cx="6985" cy="69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-585470</wp:posOffset>
            </wp:positionV>
            <wp:extent cx="3509010"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Fuel Derivative Gains (Losses) consisted of the following:</w:t>
      </w:r>
    </w:p>
    <w:p>
      <w:pPr>
        <w:spacing w:after="0" w:line="13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2"/>
                <w:szCs w:val="12"/>
                <w:b w:val="1"/>
                <w:bCs w:val="1"/>
                <w:color w:val="auto"/>
                <w:w w:val="82"/>
              </w:rPr>
              <w:t>Year Ended December 31,</w:t>
            </w: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370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940" w:type="dxa"/>
            <w:vAlign w:val="bottom"/>
            <w:gridSpan w:val="3"/>
            <w:vMerge w:val="restart"/>
          </w:tcPr>
          <w:p>
            <w:pPr>
              <w:jc w:val="center"/>
              <w:ind w:right="40"/>
              <w:spacing w:after="0" w:line="112" w:lineRule="exact"/>
              <w:rPr>
                <w:sz w:val="20"/>
                <w:szCs w:val="20"/>
                <w:color w:val="auto"/>
              </w:rPr>
            </w:pPr>
            <w:r>
              <w:rPr>
                <w:rFonts w:ascii="Arial" w:cs="Arial" w:eastAsia="Arial" w:hAnsi="Arial"/>
                <w:sz w:val="12"/>
                <w:szCs w:val="12"/>
                <w:b w:val="1"/>
                <w:bCs w:val="1"/>
                <w:color w:val="auto"/>
                <w:w w:val="84"/>
              </w:rPr>
              <w:t>April 11, 2018 to</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50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Non-cash gains (losses)</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$(12,206)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$10,791</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$(12,006)</w:t>
            </w:r>
          </w:p>
        </w:tc>
        <w:tc>
          <w:tcPr>
            <w:tcW w:w="0" w:type="dxa"/>
            <w:vAlign w:val="bottom"/>
          </w:tcPr>
          <w:p>
            <w:pPr>
              <w:spacing w:after="0"/>
              <w:rPr>
                <w:sz w:val="1"/>
                <w:szCs w:val="1"/>
                <w:color w:val="auto"/>
              </w:rPr>
            </w:pPr>
          </w:p>
        </w:tc>
      </w:tr>
      <w:tr>
        <w:trPr>
          <w:trHeight w:val="214"/>
        </w:trPr>
        <w:tc>
          <w:tcPr>
            <w:tcW w:w="3700" w:type="dxa"/>
            <w:vAlign w:val="bottom"/>
          </w:tcPr>
          <w:p>
            <w:pPr>
              <w:spacing w:after="0"/>
              <w:rPr>
                <w:sz w:val="20"/>
                <w:szCs w:val="20"/>
                <w:color w:val="auto"/>
              </w:rPr>
            </w:pPr>
            <w:r>
              <w:rPr>
                <w:rFonts w:ascii="Arial" w:cs="Arial" w:eastAsia="Arial" w:hAnsi="Arial"/>
                <w:sz w:val="15"/>
                <w:szCs w:val="15"/>
                <w:color w:val="auto"/>
              </w:rPr>
              <w:t>Cash Premiums Paid</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(2,053)</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(665)</w:t>
            </w: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(2,280)</w:t>
            </w:r>
          </w:p>
        </w:tc>
        <w:tc>
          <w:tcPr>
            <w:tcW w:w="0" w:type="dxa"/>
            <w:vAlign w:val="bottom"/>
          </w:tcPr>
          <w:p>
            <w:pPr>
              <w:spacing w:after="0"/>
              <w:rPr>
                <w:sz w:val="1"/>
                <w:szCs w:val="1"/>
                <w:color w:val="auto"/>
              </w:rPr>
            </w:pPr>
          </w:p>
        </w:tc>
      </w:tr>
      <w:tr>
        <w:trPr>
          <w:trHeight w:val="20"/>
        </w:trPr>
        <w:tc>
          <w:tcPr>
            <w:tcW w:w="37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Fuel Derivative gains (losses)</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$(14,259)</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$10,126</w:t>
            </w: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$(14,286)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-173990</wp:posOffset>
            </wp:positionV>
            <wp:extent cx="132715" cy="69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390265"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39026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3258185" cy="69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258185" cy="6985"/>
                    </a:xfrm>
                    <a:prstGeom prst="rect">
                      <a:avLst/>
                    </a:prstGeom>
                    <a:noFill/>
                  </pic:spPr>
                </pic:pic>
              </a:graphicData>
            </a:graphic>
          </wp:anchor>
        </w:drawing>
      </w:r>
    </w:p>
    <w:p>
      <w:pPr>
        <w:spacing w:after="0" w:line="156"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There were fuel derivative gains in the second, third and fourth quarters of 2020, primarily due to the partial recovery of oil prices following the decline during the first quarter of 2020. There were no fuel derivatives outstanding during the period January 1, 2018 through April 10, 2018. Fuel derivative gains and losses are recognized in Aircraft Fuel expense on the Consolidated Statements of Operations.</w:t>
      </w:r>
    </w:p>
    <w:p>
      <w:pPr>
        <w:spacing w:after="0" w:line="8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As of December 31, 2020, the Company had outstanding fuel derivative contracts covering 21.0 million gallons of crude oil and jet fuel that will settle between January 2021 and September 2021.</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Fuel Consortia</w:t>
      </w:r>
    </w:p>
    <w:p>
      <w:pPr>
        <w:spacing w:after="0" w:line="117"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The Company currently participates in fuel consortia at multiple airports. These agreements generally include cost-sharing provisions and environmental indemnities that are generally joint and several among the participating airlines. To the extent the consortium are legal entities, they meet the definition of a VIE and must be considered for consolidation in the Company’s Consolidated Financial Statements. The company concluded that it is not the primary beneficiary of any fuel consortia as SCA’s participation generally represents a small percentage of the overall fuel consortia interests and SCA does not have the ability to direct the activities of the consortia.</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FAIR VALUE MEASUREMENTS</w:t>
      </w:r>
    </w:p>
    <w:p>
      <w:pPr>
        <w:spacing w:after="0" w:line="128" w:lineRule="exact"/>
        <w:rPr>
          <w:sz w:val="20"/>
          <w:szCs w:val="20"/>
          <w:color w:val="auto"/>
        </w:rPr>
      </w:pPr>
    </w:p>
    <w:p>
      <w:pPr>
        <w:ind w:left="1160" w:right="1179" w:firstLine="293"/>
        <w:spacing w:after="0" w:line="283" w:lineRule="auto"/>
        <w:rPr>
          <w:sz w:val="20"/>
          <w:szCs w:val="20"/>
          <w:color w:val="auto"/>
        </w:rPr>
      </w:pPr>
      <w:r>
        <w:rPr>
          <w:rFonts w:ascii="Arial" w:cs="Arial" w:eastAsia="Arial" w:hAnsi="Arial"/>
          <w:sz w:val="14"/>
          <w:szCs w:val="14"/>
          <w:color w:val="auto"/>
        </w:rPr>
        <w:t>Accounting standards define fair value as the exchange price that would be received for an asset or paid to transfer a liability (an exit price) in the principal or most advantageous market for the asset or</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2" w:name="page233"/>
    <w:bookmarkEnd w:id="232"/>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FAIR VALUE MEASUREMENTS (continued)</w:t>
      </w:r>
    </w:p>
    <w:p>
      <w:pPr>
        <w:spacing w:after="0" w:line="183" w:lineRule="exact"/>
        <w:rPr>
          <w:sz w:val="20"/>
          <w:szCs w:val="20"/>
          <w:color w:val="auto"/>
        </w:rPr>
      </w:pPr>
    </w:p>
    <w:p>
      <w:pPr>
        <w:ind w:left="1160" w:right="1279"/>
        <w:spacing w:after="0" w:line="236" w:lineRule="auto"/>
        <w:rPr>
          <w:sz w:val="20"/>
          <w:szCs w:val="20"/>
          <w:color w:val="auto"/>
        </w:rPr>
      </w:pPr>
      <w:r>
        <w:rPr>
          <w:rFonts w:ascii="Arial" w:cs="Arial" w:eastAsia="Arial" w:hAnsi="Arial"/>
          <w:sz w:val="15"/>
          <w:szCs w:val="15"/>
          <w:color w:val="auto"/>
        </w:rPr>
        <w:t>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69" w:lineRule="exact"/>
        <w:rPr>
          <w:sz w:val="20"/>
          <w:szCs w:val="20"/>
          <w:color w:val="auto"/>
        </w:rPr>
      </w:pPr>
    </w:p>
    <w:p>
      <w:pPr>
        <w:ind w:left="146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rPr>
        <w:t>—Quoted prices for identical assets or liabilities in active markets.</w:t>
      </w:r>
    </w:p>
    <w:p>
      <w:pPr>
        <w:spacing w:after="0" w:line="91" w:lineRule="exact"/>
        <w:rPr>
          <w:sz w:val="20"/>
          <w:szCs w:val="20"/>
          <w:color w:val="auto"/>
        </w:rPr>
      </w:pPr>
    </w:p>
    <w:p>
      <w:pPr>
        <w:ind w:left="2040" w:right="1559" w:hanging="585"/>
        <w:spacing w:after="0" w:line="274" w:lineRule="auto"/>
        <w:rPr>
          <w:sz w:val="20"/>
          <w:szCs w:val="20"/>
          <w:color w:val="auto"/>
        </w:rPr>
      </w:pPr>
      <w:r>
        <w:rPr>
          <w:rFonts w:ascii="Arial" w:cs="Arial" w:eastAsia="Arial" w:hAnsi="Arial"/>
          <w:sz w:val="14"/>
          <w:szCs w:val="14"/>
          <w:u w:val="single" w:color="auto"/>
          <w:color w:val="auto"/>
        </w:rPr>
        <w:t>Level 2</w:t>
      </w:r>
      <w:r>
        <w:rPr>
          <w:rFonts w:ascii="Arial" w:cs="Arial" w:eastAsia="Arial" w:hAnsi="Arial"/>
          <w:sz w:val="14"/>
          <w:szCs w:val="14"/>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2040" w:right="1279" w:hanging="585"/>
        <w:spacing w:after="0" w:line="264" w:lineRule="auto"/>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9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The Company uses the following valuation methodologies for financial instruments measured at fair value on a recurring basis.</w:t>
      </w:r>
    </w:p>
    <w:p>
      <w:pPr>
        <w:spacing w:after="0" w:line="90" w:lineRule="exact"/>
        <w:rPr>
          <w:sz w:val="20"/>
          <w:szCs w:val="20"/>
          <w:color w:val="auto"/>
        </w:rPr>
      </w:pPr>
    </w:p>
    <w:p>
      <w:pPr>
        <w:ind w:left="1160" w:right="1299" w:firstLine="293"/>
        <w:spacing w:after="0" w:line="260" w:lineRule="auto"/>
        <w:rPr>
          <w:sz w:val="20"/>
          <w:szCs w:val="20"/>
          <w:color w:val="auto"/>
        </w:rPr>
      </w:pPr>
      <w:r>
        <w:rPr>
          <w:rFonts w:ascii="Arial" w:cs="Arial" w:eastAsia="Arial" w:hAnsi="Arial"/>
          <w:sz w:val="14"/>
          <w:szCs w:val="14"/>
          <w:b w:val="1"/>
          <w:bCs w:val="1"/>
          <w:color w:val="auto"/>
        </w:rPr>
        <w:t>Derivative Instruments—</w:t>
      </w:r>
      <w:r>
        <w:rPr>
          <w:rFonts w:ascii="Arial" w:cs="Arial" w:eastAsia="Arial" w:hAnsi="Arial"/>
          <w:sz w:val="14"/>
          <w:szCs w:val="14"/>
          <w:color w:val="auto"/>
        </w:rPr>
        <w:t>Derivative instruments are accounted for as either assets or liabilities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carried 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7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following table summarizes the assets and liabilities measured at fair value on a recurring basis:</w:t>
      </w:r>
    </w:p>
    <w:p>
      <w:pPr>
        <w:spacing w:after="0" w:line="151"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December 31, 2020</w:t>
            </w:r>
          </w:p>
        </w:tc>
        <w:tc>
          <w:tcPr>
            <w:tcW w:w="400" w:type="dxa"/>
            <w:vAlign w:val="bottom"/>
          </w:tcPr>
          <w:p>
            <w:pPr>
              <w:spacing w:after="0"/>
              <w:rPr>
                <w:sz w:val="13"/>
                <w:szCs w:val="13"/>
                <w:color w:val="auto"/>
              </w:rPr>
            </w:pPr>
          </w:p>
        </w:tc>
      </w:tr>
      <w:tr>
        <w:trPr>
          <w:trHeight w:val="21"/>
        </w:trPr>
        <w:tc>
          <w:tcPr>
            <w:tcW w:w="40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3"/>
              </w:rPr>
              <w:t>Level 1</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Level 2</w:t>
            </w:r>
          </w:p>
        </w:tc>
        <w:tc>
          <w:tcPr>
            <w:tcW w:w="240" w:type="dxa"/>
            <w:vAlign w:val="bottom"/>
          </w:tcPr>
          <w:p>
            <w:pPr>
              <w:spacing w:after="0"/>
              <w:rPr>
                <w:sz w:val="13"/>
                <w:szCs w:val="13"/>
                <w:color w:val="auto"/>
              </w:rPr>
            </w:pPr>
          </w:p>
        </w:tc>
        <w:tc>
          <w:tcPr>
            <w:tcW w:w="4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74"/>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Liabilities</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14"/>
        </w:trPr>
        <w:tc>
          <w:tcPr>
            <w:tcW w:w="4060" w:type="dxa"/>
            <w:vAlign w:val="bottom"/>
          </w:tcPr>
          <w:p>
            <w:pPr>
              <w:ind w:left="14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c>
          <w:tcPr>
            <w:tcW w:w="24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0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306"/>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December 31, 2019</w:t>
            </w:r>
          </w:p>
        </w:tc>
        <w:tc>
          <w:tcPr>
            <w:tcW w:w="400" w:type="dxa"/>
            <w:vAlign w:val="bottom"/>
          </w:tcPr>
          <w:p>
            <w:pPr>
              <w:spacing w:after="0"/>
              <w:rPr>
                <w:sz w:val="24"/>
                <w:szCs w:val="24"/>
                <w:color w:val="auto"/>
              </w:rPr>
            </w:pPr>
          </w:p>
        </w:tc>
      </w:tr>
      <w:tr>
        <w:trPr>
          <w:trHeight w:val="21"/>
        </w:trPr>
        <w:tc>
          <w:tcPr>
            <w:tcW w:w="40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3"/>
              </w:rPr>
              <w:t>Level 1</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Level 2</w:t>
            </w:r>
          </w:p>
        </w:tc>
        <w:tc>
          <w:tcPr>
            <w:tcW w:w="240" w:type="dxa"/>
            <w:vAlign w:val="bottom"/>
          </w:tcPr>
          <w:p>
            <w:pPr>
              <w:spacing w:after="0"/>
              <w:rPr>
                <w:sz w:val="13"/>
                <w:szCs w:val="13"/>
                <w:color w:val="auto"/>
              </w:rPr>
            </w:pPr>
          </w:p>
        </w:tc>
        <w:tc>
          <w:tcPr>
            <w:tcW w:w="4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74"/>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Assets</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14"/>
        </w:trPr>
        <w:tc>
          <w:tcPr>
            <w:tcW w:w="4060" w:type="dxa"/>
            <w:vAlign w:val="bottom"/>
          </w:tcPr>
          <w:p>
            <w:pPr>
              <w:ind w:left="14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$2,233</w:t>
            </w:r>
          </w:p>
        </w:tc>
        <w:tc>
          <w:tcPr>
            <w:tcW w:w="24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$2,233</w:t>
            </w:r>
          </w:p>
        </w:tc>
      </w:tr>
      <w:tr>
        <w:trPr>
          <w:trHeight w:val="20"/>
        </w:trPr>
        <w:tc>
          <w:tcPr>
            <w:tcW w:w="40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$2,233</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$2,233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-975995</wp:posOffset>
            </wp:positionV>
            <wp:extent cx="3606800"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-1248410</wp:posOffset>
            </wp:positionV>
            <wp:extent cx="111760"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-1248410</wp:posOffset>
            </wp:positionV>
            <wp:extent cx="111760"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-1248410</wp:posOffset>
            </wp:positionV>
            <wp:extent cx="111760"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-1248410</wp:posOffset>
            </wp:positionV>
            <wp:extent cx="48895"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606800"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-445770</wp:posOffset>
            </wp:positionV>
            <wp:extent cx="111760" cy="69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-445770</wp:posOffset>
            </wp:positionV>
            <wp:extent cx="111760"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-445770</wp:posOffset>
            </wp:positionV>
            <wp:extent cx="111760"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-445770</wp:posOffset>
            </wp:positionV>
            <wp:extent cx="55880"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34"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may not be recoverable, non-financial assets are assessed for impairment and, if applicable, written down to fair value using significant unobservable inputs, classified as Level 3.</w:t>
      </w:r>
    </w:p>
    <w:p>
      <w:pPr>
        <w:spacing w:after="0" w:line="90"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Company’s debt portfolio consists of EETC certificates and notes payable. See Note 9 for debt fair values.</w:t>
      </w:r>
    </w:p>
    <w:p>
      <w:pPr>
        <w:spacing w:after="0" w:line="11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w:t>
      </w:r>
    </w:p>
    <w:p>
      <w:pPr>
        <w:spacing w:after="0" w:line="117" w:lineRule="exact"/>
        <w:rPr>
          <w:sz w:val="20"/>
          <w:szCs w:val="20"/>
          <w:color w:val="auto"/>
        </w:rPr>
      </w:pPr>
    </w:p>
    <w:p>
      <w:pPr>
        <w:ind w:left="1160" w:right="1439" w:firstLine="293"/>
        <w:spacing w:after="0" w:line="236" w:lineRule="auto"/>
        <w:rPr>
          <w:sz w:val="20"/>
          <w:szCs w:val="20"/>
          <w:color w:val="auto"/>
        </w:rPr>
      </w:pPr>
      <w:r>
        <w:rPr>
          <w:rFonts w:ascii="Arial" w:cs="Arial" w:eastAsia="Arial" w:hAnsi="Arial"/>
          <w:sz w:val="15"/>
          <w:szCs w:val="15"/>
          <w:color w:val="auto"/>
        </w:rPr>
        <w:t>The Company’s effective tax rate for the years ended December 31, 2020 and 2019 were 16.6% and 23.5%, respectively, and for the period from April 11, 2018 to December 31, 2018 it was (77.9)%. The effective tax rate represents a blend of federal and state taxes and includes the impact of certain nondeductible items.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3" w:name="page234"/>
    <w:bookmarkEnd w:id="233"/>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 (continued)</w:t>
      </w:r>
    </w:p>
    <w:p>
      <w:pPr>
        <w:spacing w:after="0" w:line="183"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5"/>
          <w:szCs w:val="15"/>
          <w:color w:val="auto"/>
        </w:rPr>
        <w:t>The following table summarizes the significant components of the provision for income taxes from continuing operations: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160"/>
              <w:spacing w:after="0"/>
              <w:rPr>
                <w:sz w:val="20"/>
                <w:szCs w:val="20"/>
                <w:color w:val="auto"/>
              </w:rPr>
            </w:pPr>
            <w:r>
              <w:rPr>
                <w:rFonts w:ascii="Arial" w:cs="Arial" w:eastAsia="Arial" w:hAnsi="Arial"/>
                <w:sz w:val="12"/>
                <w:szCs w:val="12"/>
                <w:b w:val="1"/>
                <w:bCs w:val="1"/>
                <w:color w:val="auto"/>
                <w:w w:val="78"/>
              </w:rPr>
              <w:t>Successor</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7"/>
            <w:vMerge w:val="restart"/>
          </w:tcPr>
          <w:p>
            <w:pPr>
              <w:spacing w:after="0"/>
              <w:rPr>
                <w:sz w:val="20"/>
                <w:szCs w:val="20"/>
                <w:color w:val="auto"/>
              </w:rPr>
            </w:pPr>
            <w:r>
              <w:rPr>
                <w:rFonts w:ascii="Arial" w:cs="Arial" w:eastAsia="Arial" w:hAnsi="Arial"/>
                <w:sz w:val="12"/>
                <w:szCs w:val="12"/>
                <w:b w:val="1"/>
                <w:bCs w:val="1"/>
                <w:color w:val="auto"/>
                <w:w w:val="93"/>
              </w:rPr>
              <w:t>Year Ended December 31,</w:t>
            </w: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84"/>
        </w:trPr>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gridSpan w:val="7"/>
            <w:vMerge w:val="continue"/>
          </w:tcPr>
          <w:p>
            <w:pPr>
              <w:spacing w:after="0"/>
              <w:rPr>
                <w:sz w:val="7"/>
                <w:szCs w:val="7"/>
                <w:color w:val="auto"/>
              </w:rPr>
            </w:pPr>
          </w:p>
        </w:tc>
        <w:tc>
          <w:tcPr>
            <w:tcW w:w="940" w:type="dxa"/>
            <w:vAlign w:val="bottom"/>
            <w:gridSpan w:val="3"/>
            <w:vMerge w:val="restart"/>
          </w:tcPr>
          <w:p>
            <w:pPr>
              <w:jc w:val="center"/>
              <w:ind w:right="40"/>
              <w:spacing w:after="0" w:line="96" w:lineRule="exact"/>
              <w:rPr>
                <w:sz w:val="20"/>
                <w:szCs w:val="20"/>
                <w:color w:val="auto"/>
              </w:rPr>
            </w:pPr>
            <w:r>
              <w:rPr>
                <w:rFonts w:ascii="Arial" w:cs="Arial" w:eastAsia="Arial" w:hAnsi="Arial"/>
                <w:sz w:val="11"/>
                <w:szCs w:val="11"/>
                <w:b w:val="1"/>
                <w:bCs w:val="1"/>
                <w:color w:val="auto"/>
                <w:w w:val="92"/>
              </w:rPr>
              <w:t>April 11, 2018 to</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66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5"/>
                <w:szCs w:val="15"/>
                <w:color w:val="auto"/>
              </w:rPr>
              <w:t>Federal</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14"/>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State and Local</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5"/>
                <w:szCs w:val="15"/>
                <w:color w:val="auto"/>
              </w:rPr>
              <w:t>Total Current Tax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3"/>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right w:val="single" w:sz="8" w:color="CCEEFF"/>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5"/>
                <w:szCs w:val="15"/>
                <w:color w:val="auto"/>
              </w:rPr>
              <w:t>Federal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(597)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12,509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 and Local</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(191)</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5"/>
                <w:szCs w:val="15"/>
                <w:color w:val="auto"/>
              </w:rPr>
              <w:t>Total Deferred Tax Expense / (Benefit)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(788)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14,022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161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Total Income Tax Expense / (Benefit)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(778)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14,088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-153035</wp:posOffset>
            </wp:positionV>
            <wp:extent cx="3865245"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-767080</wp:posOffset>
            </wp:positionV>
            <wp:extent cx="3865245" cy="69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-1317625</wp:posOffset>
            </wp:positionV>
            <wp:extent cx="111760" cy="698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-1317625</wp:posOffset>
            </wp:positionV>
            <wp:extent cx="55880" cy="69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-1317625</wp:posOffset>
            </wp:positionV>
            <wp:extent cx="111760" cy="69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78" w:lineRule="exact"/>
        <w:rPr>
          <w:sz w:val="20"/>
          <w:szCs w:val="20"/>
          <w:color w:val="auto"/>
        </w:rPr>
      </w:pPr>
    </w:p>
    <w:p>
      <w:pPr>
        <w:ind w:left="1160" w:right="1599" w:firstLine="293"/>
        <w:spacing w:after="0" w:line="264" w:lineRule="auto"/>
        <w:rPr>
          <w:sz w:val="20"/>
          <w:szCs w:val="20"/>
          <w:color w:val="auto"/>
        </w:rPr>
      </w:pPr>
      <w:r>
        <w:rPr>
          <w:rFonts w:ascii="Arial" w:cs="Arial" w:eastAsia="Arial" w:hAnsi="Arial"/>
          <w:sz w:val="15"/>
          <w:szCs w:val="15"/>
          <w:color w:val="auto"/>
        </w:rPr>
        <w:t>The income tax provision differs from that computed at the federal statutory corporate tax rate as follows: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b w:val="1"/>
                <w:bCs w:val="1"/>
                <w:color w:val="auto"/>
                <w:w w:val="75"/>
              </w:rPr>
              <w:t>Successor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440" w:type="dxa"/>
            <w:vAlign w:val="bottom"/>
            <w:gridSpan w:val="4"/>
            <w:vMerge w:val="restart"/>
          </w:tcPr>
          <w:p>
            <w:pPr>
              <w:spacing w:after="0"/>
              <w:rPr>
                <w:sz w:val="20"/>
                <w:szCs w:val="20"/>
                <w:color w:val="auto"/>
              </w:rPr>
            </w:pPr>
            <w:r>
              <w:rPr>
                <w:rFonts w:ascii="Arial" w:cs="Arial" w:eastAsia="Arial" w:hAnsi="Arial"/>
                <w:sz w:val="12"/>
                <w:szCs w:val="12"/>
                <w:b w:val="1"/>
                <w:bCs w:val="1"/>
                <w:color w:val="auto"/>
                <w:w w:val="96"/>
              </w:rPr>
              <w:t>Year Ended December 31,</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84"/>
        </w:trPr>
        <w:tc>
          <w:tcPr>
            <w:tcW w:w="370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940" w:type="dxa"/>
            <w:vAlign w:val="bottom"/>
            <w:vMerge w:val="restart"/>
          </w:tcPr>
          <w:p>
            <w:pPr>
              <w:jc w:val="center"/>
              <w:spacing w:after="0" w:line="96" w:lineRule="exact"/>
              <w:rPr>
                <w:sz w:val="20"/>
                <w:szCs w:val="20"/>
                <w:color w:val="auto"/>
              </w:rPr>
            </w:pPr>
            <w:r>
              <w:rPr>
                <w:rFonts w:ascii="Arial" w:cs="Arial" w:eastAsia="Arial" w:hAnsi="Arial"/>
                <w:sz w:val="11"/>
                <w:szCs w:val="11"/>
                <w:b w:val="1"/>
                <w:bCs w:val="1"/>
                <w:color w:val="auto"/>
                <w:w w:val="94"/>
              </w:rPr>
              <w:t>April 11, 2018 to</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Expected Provision at Federal Statutory</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300"/>
              <w:spacing w:after="0"/>
              <w:rPr>
                <w:sz w:val="20"/>
                <w:szCs w:val="20"/>
                <w:color w:val="auto"/>
              </w:rPr>
            </w:pPr>
            <w:r>
              <w:rPr>
                <w:rFonts w:ascii="Arial" w:cs="Arial" w:eastAsia="Arial" w:hAnsi="Arial"/>
                <w:sz w:val="15"/>
                <w:szCs w:val="15"/>
                <w:color w:val="auto"/>
              </w:rPr>
              <w:t>Tax Rate</w:t>
            </w:r>
          </w:p>
        </w:tc>
        <w:tc>
          <w:tcPr>
            <w:tcW w:w="540" w:type="dxa"/>
            <w:vAlign w:val="bottom"/>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 Tax, net of Federal Impact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09"/>
        </w:trPr>
        <w:tc>
          <w:tcPr>
            <w:tcW w:w="3700" w:type="dxa"/>
            <w:vAlign w:val="bottom"/>
          </w:tcPr>
          <w:p>
            <w:pPr>
              <w:ind w:left="140"/>
              <w:spacing w:after="0"/>
              <w:rPr>
                <w:sz w:val="20"/>
                <w:szCs w:val="20"/>
                <w:color w:val="auto"/>
              </w:rPr>
            </w:pPr>
            <w:r>
              <w:rPr>
                <w:rFonts w:ascii="Arial" w:cs="Arial" w:eastAsia="Arial" w:hAnsi="Arial"/>
                <w:sz w:val="15"/>
                <w:szCs w:val="15"/>
                <w:color w:val="auto"/>
              </w:rPr>
              <w:t>Employee Parking</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(3.3)%</w:t>
            </w:r>
          </w:p>
        </w:tc>
        <w:tc>
          <w:tcPr>
            <w:tcW w:w="540" w:type="dxa"/>
            <w:vAlign w:val="bottom"/>
          </w:tcPr>
          <w:p>
            <w:pPr>
              <w:jc w:val="right"/>
              <w:spacing w:after="0"/>
              <w:rPr>
                <w:sz w:val="20"/>
                <w:szCs w:val="20"/>
                <w:color w:val="auto"/>
              </w:rPr>
            </w:pPr>
            <w:r>
              <w:rPr>
                <w:rFonts w:ascii="Arial" w:cs="Arial" w:eastAsia="Arial" w:hAnsi="Arial"/>
                <w:sz w:val="15"/>
                <w:szCs w:val="15"/>
                <w:color w:val="auto"/>
              </w:rPr>
              <w:t>0.2%</w:t>
            </w:r>
          </w:p>
        </w:tc>
        <w:tc>
          <w:tcPr>
            <w:tcW w:w="1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Meals and Entertainment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220"/>
        </w:trPr>
        <w:tc>
          <w:tcPr>
            <w:tcW w:w="3700" w:type="dxa"/>
            <w:vAlign w:val="bottom"/>
          </w:tcPr>
          <w:p>
            <w:pPr>
              <w:ind w:left="140"/>
              <w:spacing w:after="0"/>
              <w:rPr>
                <w:sz w:val="20"/>
                <w:szCs w:val="20"/>
                <w:color w:val="auto"/>
              </w:rPr>
            </w:pPr>
            <w:r>
              <w:rPr>
                <w:rFonts w:ascii="Arial" w:cs="Arial" w:eastAsia="Arial" w:hAnsi="Arial"/>
                <w:sz w:val="15"/>
                <w:szCs w:val="15"/>
                <w:color w:val="auto"/>
              </w:rPr>
              <w:t>Other Permanent Adjustments</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(2.0)%</w:t>
            </w:r>
          </w:p>
        </w:tc>
        <w:tc>
          <w:tcPr>
            <w:tcW w:w="540" w:type="dxa"/>
            <w:vAlign w:val="bottom"/>
          </w:tcPr>
          <w:p>
            <w:pPr>
              <w:jc w:val="right"/>
              <w:spacing w:after="0"/>
              <w:rPr>
                <w:sz w:val="20"/>
                <w:szCs w:val="20"/>
                <w:color w:val="auto"/>
              </w:rPr>
            </w:pPr>
            <w:r>
              <w:rPr>
                <w:rFonts w:ascii="Arial" w:cs="Arial" w:eastAsia="Arial" w:hAnsi="Arial"/>
                <w:sz w:val="15"/>
                <w:szCs w:val="15"/>
                <w:color w:val="auto"/>
              </w:rPr>
              <w:t>0.0%</w:t>
            </w:r>
          </w:p>
        </w:tc>
        <w:tc>
          <w:tcPr>
            <w:tcW w:w="1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-948055</wp:posOffset>
            </wp:positionV>
            <wp:extent cx="111760" cy="69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-948055</wp:posOffset>
            </wp:positionV>
            <wp:extent cx="55880"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-948055</wp:posOffset>
            </wp:positionV>
            <wp:extent cx="111760"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4" w:name="page235"/>
    <w:bookmarkEnd w:id="234"/>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summarizes the significant components of the Company’s deferred taxes: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4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2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0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Net Operating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75,389</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24,680</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Operating Lease Obligations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38,629</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Finance Lease Obligations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20,095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45,392</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Goodwill and Other Intangible Assets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15,325</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Loyalty Program Liabilities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5,064</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Maintenance</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7,481</w:t>
            </w:r>
          </w:p>
        </w:tc>
        <w:tc>
          <w:tcPr>
            <w:tcW w:w="60" w:type="dxa"/>
            <w:vAlign w:val="bottom"/>
          </w:tcPr>
          <w:p>
            <w:pPr>
              <w:spacing w:after="0"/>
              <w:rPr>
                <w:sz w:val="18"/>
                <w:szCs w:val="18"/>
                <w:color w:val="auto"/>
              </w:rPr>
            </w:pPr>
          </w:p>
        </w:tc>
      </w:tr>
      <w:tr>
        <w:trPr>
          <w:trHeight w:val="214"/>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2,769</w:t>
            </w:r>
          </w:p>
        </w:tc>
        <w:tc>
          <w:tcPr>
            <w:tcW w:w="60" w:type="dxa"/>
            <w:vAlign w:val="bottom"/>
          </w:tcPr>
          <w:p>
            <w:pPr>
              <w:spacing w:after="0"/>
              <w:rPr>
                <w:sz w:val="18"/>
                <w:szCs w:val="18"/>
                <w:color w:val="auto"/>
              </w:rPr>
            </w:pPr>
          </w:p>
        </w:tc>
      </w:tr>
      <w:tr>
        <w:trPr>
          <w:trHeight w:val="211"/>
        </w:trPr>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Deferred Tax Assets</w:t>
            </w: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154,675</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139,340</w:t>
            </w:r>
          </w:p>
        </w:tc>
        <w:tc>
          <w:tcPr>
            <w:tcW w:w="60" w:type="dxa"/>
            <w:vAlign w:val="bottom"/>
          </w:tcPr>
          <w:p>
            <w:pPr>
              <w:spacing w:after="0"/>
              <w:rPr>
                <w:sz w:val="18"/>
                <w:szCs w:val="18"/>
                <w:color w:val="auto"/>
              </w:rPr>
            </w:pPr>
          </w:p>
        </w:tc>
      </w:tr>
      <w:tr>
        <w:trPr>
          <w:trHeight w:val="293"/>
        </w:trPr>
        <w:tc>
          <w:tcPr>
            <w:tcW w:w="470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Accelerated Depreciation</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(67,105)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(24,858)</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Operating Lease Right-of-use Assets</w:t>
            </w: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(27,892)</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(33,844)</w:t>
            </w:r>
          </w:p>
        </w:tc>
      </w:tr>
      <w:tr>
        <w:trPr>
          <w:trHeight w:val="220"/>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Finance Lease Assets</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(23,462)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(44,696)</w:t>
            </w:r>
          </w:p>
        </w:tc>
        <w:tc>
          <w:tcPr>
            <w:tcW w:w="60" w:type="dxa"/>
            <w:vAlign w:val="bottom"/>
          </w:tcPr>
          <w:p>
            <w:pPr>
              <w:spacing w:after="0"/>
              <w:rPr>
                <w:sz w:val="19"/>
                <w:szCs w:val="19"/>
                <w:color w:val="auto"/>
              </w:rPr>
            </w:pPr>
          </w:p>
        </w:tc>
      </w:tr>
      <w:tr>
        <w:trPr>
          <w:trHeight w:val="225"/>
        </w:trPr>
        <w:tc>
          <w:tcPr>
            <w:tcW w:w="4700" w:type="dxa"/>
            <w:vAlign w:val="bottom"/>
          </w:tcPr>
          <w:p>
            <w:pPr>
              <w:ind w:left="140"/>
              <w:spacing w:after="0"/>
              <w:rPr>
                <w:sz w:val="20"/>
                <w:szCs w:val="20"/>
                <w:color w:val="auto"/>
              </w:rPr>
            </w:pPr>
            <w:r>
              <w:rPr>
                <w:rFonts w:ascii="Arial" w:cs="Arial" w:eastAsia="Arial" w:hAnsi="Arial"/>
                <w:sz w:val="15"/>
                <w:szCs w:val="15"/>
                <w:color w:val="auto"/>
              </w:rPr>
              <w:t>Unrealized Gain on Fuel Derivatives</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(514)</w:t>
            </w:r>
          </w:p>
        </w:tc>
      </w:tr>
      <w:tr>
        <w:trPr>
          <w:trHeight w:val="20"/>
        </w:trPr>
        <w:tc>
          <w:tcPr>
            <w:tcW w:w="47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Deferred Tax Liabilities</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(118,459)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7"/>
              </w:rPr>
              <w:t>(103,912)</w:t>
            </w:r>
          </w:p>
        </w:tc>
        <w:tc>
          <w:tcPr>
            <w:tcW w:w="60" w:type="dxa"/>
            <w:vAlign w:val="bottom"/>
          </w:tcPr>
          <w:p>
            <w:pPr>
              <w:spacing w:after="0"/>
              <w:rPr>
                <w:sz w:val="19"/>
                <w:szCs w:val="19"/>
                <w:color w:val="auto"/>
              </w:rPr>
            </w:pPr>
          </w:p>
        </w:tc>
      </w:tr>
      <w:tr>
        <w:trPr>
          <w:trHeight w:val="227"/>
        </w:trPr>
        <w:tc>
          <w:tcPr>
            <w:tcW w:w="470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Total Net Deferred Tax Assets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36,216</w:t>
            </w: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35,428</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-334010</wp:posOffset>
            </wp:positionV>
            <wp:extent cx="3481070" cy="69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-1227455</wp:posOffset>
            </wp:positionV>
            <wp:extent cx="3481070" cy="69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-2294890</wp:posOffset>
            </wp:positionV>
            <wp:extent cx="111760" cy="69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-2294890</wp:posOffset>
            </wp:positionV>
            <wp:extent cx="55880" cy="69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56" w:lineRule="exact"/>
        <w:rPr>
          <w:sz w:val="20"/>
          <w:szCs w:val="20"/>
          <w:color w:val="auto"/>
        </w:rPr>
      </w:pPr>
    </w:p>
    <w:p>
      <w:pPr>
        <w:jc w:val="both"/>
        <w:ind w:left="1160" w:right="1339" w:firstLine="293"/>
        <w:spacing w:after="0" w:line="281" w:lineRule="auto"/>
        <w:rPr>
          <w:sz w:val="20"/>
          <w:szCs w:val="20"/>
          <w:color w:val="auto"/>
        </w:rPr>
      </w:pPr>
      <w:r>
        <w:rPr>
          <w:rFonts w:ascii="Arial" w:cs="Arial" w:eastAsia="Arial" w:hAnsi="Arial"/>
          <w:sz w:val="14"/>
          <w:szCs w:val="14"/>
          <w:color w:val="auto"/>
        </w:rPr>
        <w:t>As of December 31, 2020, the Company has $73,116 of federal net operating loss and $2,273 of state net operating loss, net of tax effect, available that may be applied against future tax liabilities. There is no expiration of federal net operating losses. The state net operating losses begin to expire in 2025.</w:t>
      </w:r>
    </w:p>
    <w:p>
      <w:pPr>
        <w:spacing w:after="0" w:line="83"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2020, management believes that it is more likely than not that the future results of the operations will generate sufficient taxable income to realize the tax benefits related to its Deferred Tax Assets.</w:t>
      </w:r>
    </w:p>
    <w:p>
      <w:pPr>
        <w:spacing w:after="0" w:line="94"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78" w:lineRule="exact"/>
        <w:rPr>
          <w:sz w:val="20"/>
          <w:szCs w:val="20"/>
          <w:color w:val="auto"/>
        </w:rPr>
      </w:pPr>
    </w:p>
    <w:p>
      <w:pPr>
        <w:ind w:left="1160" w:right="1679" w:firstLine="293"/>
        <w:spacing w:after="0" w:line="264" w:lineRule="auto"/>
        <w:rPr>
          <w:sz w:val="20"/>
          <w:szCs w:val="20"/>
          <w:color w:val="auto"/>
        </w:rPr>
      </w:pPr>
      <w:r>
        <w:rPr>
          <w:rFonts w:ascii="Arial" w:cs="Arial" w:eastAsia="Arial" w:hAnsi="Arial"/>
          <w:sz w:val="15"/>
          <w:szCs w:val="15"/>
          <w:color w:val="auto"/>
        </w:rPr>
        <w:t>As of December 31, 2020 and 2019, the Company had no liability for unrecognized tax benefits recorded in its Consolidated Balance Sheets.</w:t>
      </w:r>
    </w:p>
    <w:p>
      <w:pPr>
        <w:spacing w:after="0" w:line="93"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and state income tax purposes, the Company’s 2018 and 2019 tax returns remain open to examination.</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5" w:name="page236"/>
    <w:bookmarkEnd w:id="235"/>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15. DEFINED CONTRIBUTION 401(K) PLAN</w:t>
      </w:r>
    </w:p>
    <w:p>
      <w:pPr>
        <w:spacing w:after="0" w:line="117"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SCA currently matches 100% of participants contribution up to a maximum of 4% for non-pilot participants’ and 6% for pilot participants’ eligible compensation. SCA is also required to make a non-discretionary 2% Company contribution for pilots based on gross earnings.</w:t>
      </w:r>
    </w:p>
    <w:p>
      <w:pPr>
        <w:spacing w:after="0" w:line="10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made 401(k) contributions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78"/>
              </w:rPr>
              <w:t>Successor</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9"/>
            <w:vMerge w:val="restart"/>
          </w:tcPr>
          <w:p>
            <w:pPr>
              <w:ind w:left="20"/>
              <w:spacing w:after="0"/>
              <w:rPr>
                <w:sz w:val="20"/>
                <w:szCs w:val="20"/>
                <w:color w:val="auto"/>
              </w:rPr>
            </w:pPr>
            <w:r>
              <w:rPr>
                <w:rFonts w:ascii="Arial" w:cs="Arial" w:eastAsia="Arial" w:hAnsi="Arial"/>
                <w:sz w:val="12"/>
                <w:szCs w:val="12"/>
                <w:b w:val="1"/>
                <w:bCs w:val="1"/>
                <w:color w:val="auto"/>
                <w:w w:val="97"/>
              </w:rPr>
              <w:t>Year Ended December 31,</w:t>
            </w:r>
          </w:p>
        </w:tc>
        <w:tc>
          <w:tcPr>
            <w:tcW w:w="10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84"/>
        </w:trPr>
        <w:tc>
          <w:tcPr>
            <w:tcW w:w="3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gridSpan w:val="9"/>
            <w:vMerge w:val="continue"/>
          </w:tcPr>
          <w:p>
            <w:pPr>
              <w:spacing w:after="0"/>
              <w:rPr>
                <w:sz w:val="7"/>
                <w:szCs w:val="7"/>
                <w:color w:val="auto"/>
              </w:rPr>
            </w:pPr>
          </w:p>
        </w:tc>
        <w:tc>
          <w:tcPr>
            <w:tcW w:w="1020" w:type="dxa"/>
            <w:vAlign w:val="bottom"/>
            <w:tcBorders>
              <w:right w:val="single" w:sz="8" w:color="auto"/>
            </w:tcBorders>
            <w:gridSpan w:val="5"/>
            <w:vMerge w:val="restart"/>
          </w:tcPr>
          <w:p>
            <w:pPr>
              <w:jc w:val="center"/>
              <w:ind w:right="120"/>
              <w:spacing w:after="0" w:line="96" w:lineRule="exact"/>
              <w:rPr>
                <w:sz w:val="20"/>
                <w:szCs w:val="20"/>
                <w:color w:val="auto"/>
              </w:rPr>
            </w:pPr>
            <w:r>
              <w:rPr>
                <w:rFonts w:ascii="Arial" w:cs="Arial" w:eastAsia="Arial" w:hAnsi="Arial"/>
                <w:sz w:val="11"/>
                <w:szCs w:val="11"/>
                <w:b w:val="1"/>
                <w:bCs w:val="1"/>
                <w:color w:val="auto"/>
                <w:w w:val="92"/>
              </w:rPr>
              <w:t>April 11, 2018 to</w:t>
            </w:r>
          </w:p>
        </w:tc>
        <w:tc>
          <w:tcPr>
            <w:tcW w:w="80" w:type="dxa"/>
            <w:vAlign w:val="bottom"/>
          </w:tcPr>
          <w:p>
            <w:pPr>
              <w:spacing w:after="0"/>
              <w:rPr>
                <w:sz w:val="7"/>
                <w:szCs w:val="7"/>
                <w:color w:val="auto"/>
              </w:rPr>
            </w:pPr>
          </w:p>
        </w:tc>
        <w:tc>
          <w:tcPr>
            <w:tcW w:w="900" w:type="dxa"/>
            <w:vAlign w:val="bottom"/>
            <w:gridSpan w:val="4"/>
            <w:vMerge w:val="restart"/>
          </w:tcPr>
          <w:p>
            <w:pPr>
              <w:jc w:val="center"/>
              <w:ind w:right="20"/>
              <w:spacing w:after="0" w:line="96" w:lineRule="exact"/>
              <w:rPr>
                <w:sz w:val="20"/>
                <w:szCs w:val="20"/>
                <w:color w:val="auto"/>
              </w:rPr>
            </w:pPr>
            <w:r>
              <w:rPr>
                <w:rFonts w:ascii="Arial" w:cs="Arial" w:eastAsia="Arial" w:hAnsi="Arial"/>
                <w:sz w:val="11"/>
                <w:szCs w:val="11"/>
                <w:b w:val="1"/>
                <w:bCs w:val="1"/>
                <w:color w:val="auto"/>
                <w:w w:val="92"/>
              </w:rPr>
              <w:t>January 1, 2018 to</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right w:val="single" w:sz="8" w:color="auto"/>
            </w:tcBorders>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660" w:type="dxa"/>
            <w:vAlign w:val="bottom"/>
            <w:gridSpan w:val="3"/>
          </w:tcPr>
          <w:p>
            <w:pPr>
              <w:jc w:val="right"/>
              <w:ind w:right="7"/>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December 31, 2018</w:t>
            </w:r>
          </w:p>
        </w:tc>
        <w:tc>
          <w:tcPr>
            <w:tcW w:w="8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Non-Discretionary</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$1,040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908</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592</w:t>
            </w:r>
          </w:p>
        </w:tc>
        <w:tc>
          <w:tcPr>
            <w:tcW w:w="100" w:type="dxa"/>
            <w:vAlign w:val="bottom"/>
            <w:tcBorders>
              <w:right w:val="single" w:sz="8" w:color="auto"/>
            </w:tcBorders>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14"/>
        </w:trPr>
        <w:tc>
          <w:tcPr>
            <w:tcW w:w="3020" w:type="dxa"/>
            <w:vAlign w:val="bottom"/>
          </w:tcPr>
          <w:p>
            <w:pPr>
              <w:spacing w:after="0"/>
              <w:rPr>
                <w:sz w:val="20"/>
                <w:szCs w:val="20"/>
                <w:color w:val="auto"/>
              </w:rPr>
            </w:pPr>
            <w:r>
              <w:rPr>
                <w:rFonts w:ascii="Arial" w:cs="Arial" w:eastAsia="Arial" w:hAnsi="Arial"/>
                <w:sz w:val="15"/>
                <w:szCs w:val="15"/>
                <w:color w:val="auto"/>
              </w:rPr>
              <w:t>Discretionary</w:t>
            </w:r>
          </w:p>
        </w:tc>
        <w:tc>
          <w:tcPr>
            <w:tcW w:w="260" w:type="dxa"/>
            <w:vAlign w:val="bottom"/>
            <w:gridSpan w:val="2"/>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4,263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w w:val="79"/>
              </w:rPr>
              <w:t>4,246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w w:val="79"/>
              </w:rPr>
              <w:t>2,436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w w:val="85"/>
              </w:rPr>
              <w:t>1,026</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401(k) Contributions</w:t>
            </w:r>
          </w:p>
        </w:tc>
        <w:tc>
          <w:tcPr>
            <w:tcW w:w="26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$5,303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9"/>
              </w:rPr>
              <w:t>5,154</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9"/>
              </w:rPr>
              <w:t>3,028</w:t>
            </w:r>
          </w:p>
        </w:tc>
        <w:tc>
          <w:tcPr>
            <w:tcW w:w="10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5"/>
              </w:rPr>
              <w:t>1,334</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-153035</wp:posOffset>
            </wp:positionV>
            <wp:extent cx="160655" cy="69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3823335"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-431800</wp:posOffset>
            </wp:positionV>
            <wp:extent cx="111760" cy="69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-431800</wp:posOffset>
            </wp:positionV>
            <wp:extent cx="55880"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-431800</wp:posOffset>
            </wp:positionV>
            <wp:extent cx="104775" cy="69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-431800</wp:posOffset>
            </wp:positionV>
            <wp:extent cx="111760" cy="69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67" w:lineRule="exact"/>
        <w:rPr>
          <w:sz w:val="20"/>
          <w:szCs w:val="20"/>
          <w:color w:val="auto"/>
        </w:rPr>
      </w:pPr>
    </w:p>
    <w:p>
      <w:pPr>
        <w:ind w:left="1160" w:right="1719" w:firstLine="293"/>
        <w:spacing w:after="0" w:line="264" w:lineRule="auto"/>
        <w:rPr>
          <w:sz w:val="20"/>
          <w:szCs w:val="20"/>
          <w:color w:val="auto"/>
        </w:rPr>
      </w:pPr>
      <w:r>
        <w:rPr>
          <w:rFonts w:ascii="Arial" w:cs="Arial" w:eastAsia="Arial" w:hAnsi="Arial"/>
          <w:sz w:val="15"/>
          <w:szCs w:val="15"/>
          <w:color w:val="auto"/>
        </w:rPr>
        <w:t>Contributions are classified in Salaries, Wages, and Benefits on the Consolidated Statements of Operations.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SPECIAL ITEMS, NET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Special Items, net on the Consolidated Statements of Operations consisted of the following:</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85"/>
              </w:rPr>
              <w:t>Successor</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5"/>
            <w:vMerge w:val="restart"/>
          </w:tcPr>
          <w:p>
            <w:pPr>
              <w:jc w:val="right"/>
              <w:ind w:right="200"/>
              <w:spacing w:after="0"/>
              <w:rPr>
                <w:sz w:val="20"/>
                <w:szCs w:val="20"/>
                <w:color w:val="auto"/>
              </w:rPr>
            </w:pPr>
            <w:r>
              <w:rPr>
                <w:rFonts w:ascii="Arial" w:cs="Arial" w:eastAsia="Arial" w:hAnsi="Arial"/>
                <w:sz w:val="12"/>
                <w:szCs w:val="12"/>
                <w:b w:val="1"/>
                <w:bCs w:val="1"/>
                <w:color w:val="auto"/>
                <w:w w:val="82"/>
              </w:rPr>
              <w:t>Year Ended December 31,</w:t>
            </w: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84"/>
        </w:trPr>
        <w:tc>
          <w:tcPr>
            <w:tcW w:w="7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1040" w:type="dxa"/>
            <w:vAlign w:val="bottom"/>
            <w:tcBorders>
              <w:right w:val="single" w:sz="8" w:color="auto"/>
            </w:tcBorders>
            <w:gridSpan w:val="5"/>
            <w:vMerge w:val="restart"/>
          </w:tcPr>
          <w:p>
            <w:pPr>
              <w:jc w:val="center"/>
              <w:ind w:right="120"/>
              <w:spacing w:after="0" w:line="96" w:lineRule="exact"/>
              <w:rPr>
                <w:sz w:val="20"/>
                <w:szCs w:val="20"/>
                <w:color w:val="auto"/>
              </w:rPr>
            </w:pPr>
            <w:r>
              <w:rPr>
                <w:rFonts w:ascii="Arial" w:cs="Arial" w:eastAsia="Arial" w:hAnsi="Arial"/>
                <w:sz w:val="11"/>
                <w:szCs w:val="11"/>
                <w:b w:val="1"/>
                <w:bCs w:val="1"/>
                <w:color w:val="auto"/>
                <w:w w:val="94"/>
              </w:rPr>
              <w:t>April 11, 2018 to</w:t>
            </w:r>
          </w:p>
        </w:tc>
        <w:tc>
          <w:tcPr>
            <w:tcW w:w="80" w:type="dxa"/>
            <w:vAlign w:val="bottom"/>
          </w:tcPr>
          <w:p>
            <w:pPr>
              <w:spacing w:after="0"/>
              <w:rPr>
                <w:sz w:val="7"/>
                <w:szCs w:val="7"/>
                <w:color w:val="auto"/>
              </w:rPr>
            </w:pPr>
          </w:p>
        </w:tc>
        <w:tc>
          <w:tcPr>
            <w:tcW w:w="900" w:type="dxa"/>
            <w:vAlign w:val="bottom"/>
            <w:gridSpan w:val="3"/>
            <w:vMerge w:val="restart"/>
          </w:tcPr>
          <w:p>
            <w:pPr>
              <w:jc w:val="center"/>
              <w:ind w:right="20"/>
              <w:spacing w:after="0" w:line="96" w:lineRule="exact"/>
              <w:rPr>
                <w:sz w:val="20"/>
                <w:szCs w:val="20"/>
                <w:color w:val="auto"/>
              </w:rPr>
            </w:pPr>
            <w:r>
              <w:rPr>
                <w:rFonts w:ascii="Arial" w:cs="Arial" w:eastAsia="Arial" w:hAnsi="Arial"/>
                <w:sz w:val="11"/>
                <w:szCs w:val="11"/>
                <w:b w:val="1"/>
                <w:bCs w:val="1"/>
                <w:color w:val="auto"/>
                <w:w w:val="92"/>
              </w:rPr>
              <w:t>January 1, 2018 to</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right w:val="single" w:sz="8" w:color="auto"/>
            </w:tcBorders>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60" w:type="dxa"/>
            <w:vAlign w:val="bottom"/>
            <w:gridSpan w:val="2"/>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70"/>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Pr>
          <w:p>
            <w:pPr>
              <w:spacing w:after="0"/>
              <w:rPr>
                <w:sz w:val="14"/>
                <w:szCs w:val="14"/>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3020" w:type="dxa"/>
            <w:vAlign w:val="bottom"/>
            <w:gridSpan w:val="2"/>
            <w:shd w:val="clear" w:color="auto" w:fill="CCEEFF"/>
          </w:tcPr>
          <w:p>
            <w:pPr>
              <w:spacing w:after="0" w:line="211" w:lineRule="exact"/>
              <w:rPr>
                <w:sz w:val="20"/>
                <w:szCs w:val="20"/>
                <w:color w:val="auto"/>
              </w:rPr>
            </w:pPr>
            <w:r>
              <w:rPr>
                <w:rFonts w:ascii="Arial" w:cs="Arial" w:eastAsia="Arial" w:hAnsi="Arial"/>
                <w:sz w:val="15"/>
                <w:szCs w:val="15"/>
                <w:color w:val="auto"/>
              </w:rPr>
              <w:t>CARES Act grant recognition</w:t>
            </w:r>
            <w:r>
              <w:rPr>
                <w:rFonts w:ascii="Arial" w:cs="Arial" w:eastAsia="Arial" w:hAnsi="Arial"/>
                <w:sz w:val="19"/>
                <w:szCs w:val="19"/>
                <w:color w:val="auto"/>
                <w:vertAlign w:val="superscript"/>
              </w:rPr>
              <w:t>(1)</w:t>
            </w:r>
          </w:p>
        </w:tc>
        <w:tc>
          <w:tcPr>
            <w:tcW w:w="9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$(62,312)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31"/>
        </w:trPr>
        <w:tc>
          <w:tcPr>
            <w:tcW w:w="3020" w:type="dxa"/>
            <w:vAlign w:val="bottom"/>
            <w:gridSpan w:val="2"/>
          </w:tcPr>
          <w:p>
            <w:pPr>
              <w:spacing w:after="0"/>
              <w:rPr>
                <w:sz w:val="20"/>
                <w:szCs w:val="20"/>
                <w:color w:val="auto"/>
              </w:rPr>
            </w:pPr>
            <w:r>
              <w:rPr>
                <w:rFonts w:ascii="Arial" w:cs="Arial" w:eastAsia="Arial" w:hAnsi="Arial"/>
                <w:sz w:val="15"/>
                <w:szCs w:val="15"/>
                <w:color w:val="auto"/>
              </w:rPr>
              <w:t>CARES Act employee retention credit</w:t>
            </w:r>
            <w:r>
              <w:rPr>
                <w:rFonts w:ascii="Arial" w:cs="Arial" w:eastAsia="Arial" w:hAnsi="Arial"/>
                <w:sz w:val="19"/>
                <w:szCs w:val="19"/>
                <w:color w:val="auto"/>
                <w:vertAlign w:val="superscript"/>
              </w:rPr>
              <w:t>(2)</w:t>
            </w:r>
          </w:p>
        </w:tc>
        <w:tc>
          <w:tcPr>
            <w:tcW w:w="980" w:type="dxa"/>
            <w:vAlign w:val="bottom"/>
            <w:gridSpan w:val="3"/>
          </w:tcPr>
          <w:p>
            <w:pPr>
              <w:jc w:val="right"/>
              <w:ind w:right="200"/>
              <w:spacing w:after="0"/>
              <w:rPr>
                <w:sz w:val="20"/>
                <w:szCs w:val="20"/>
                <w:color w:val="auto"/>
              </w:rPr>
            </w:pPr>
            <w:r>
              <w:rPr>
                <w:rFonts w:ascii="Arial" w:cs="Arial" w:eastAsia="Arial" w:hAnsi="Arial"/>
                <w:sz w:val="15"/>
                <w:szCs w:val="15"/>
                <w:color w:val="auto"/>
              </w:rPr>
              <w:t>(2,328)</w:t>
            </w:r>
          </w:p>
        </w:tc>
        <w:tc>
          <w:tcPr>
            <w:tcW w:w="8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302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Contractual obligations for retired technology</w:t>
            </w:r>
            <w:r>
              <w:rPr>
                <w:rFonts w:ascii="Arial" w:cs="Arial" w:eastAsia="Arial" w:hAnsi="Arial"/>
                <w:sz w:val="19"/>
                <w:szCs w:val="19"/>
                <w:color w:val="auto"/>
                <w:w w:val="95"/>
                <w:vertAlign w:val="superscript"/>
              </w:rPr>
              <w:t>(3)</w:t>
            </w:r>
          </w:p>
        </w:tc>
        <w:tc>
          <w:tcPr>
            <w:tcW w:w="20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7,578</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3020" w:type="dxa"/>
            <w:vAlign w:val="bottom"/>
            <w:gridSpan w:val="2"/>
          </w:tcPr>
          <w:p>
            <w:pPr>
              <w:spacing w:after="0"/>
              <w:rPr>
                <w:sz w:val="20"/>
                <w:szCs w:val="20"/>
                <w:color w:val="auto"/>
              </w:rPr>
            </w:pPr>
            <w:r>
              <w:rPr>
                <w:rFonts w:ascii="Arial" w:cs="Arial" w:eastAsia="Arial" w:hAnsi="Arial"/>
                <w:sz w:val="15"/>
                <w:szCs w:val="15"/>
                <w:color w:val="auto"/>
              </w:rPr>
              <w:t>Sale of airport slot rights</w:t>
            </w:r>
            <w:r>
              <w:rPr>
                <w:rFonts w:ascii="Arial" w:cs="Arial" w:eastAsia="Arial" w:hAnsi="Arial"/>
                <w:sz w:val="19"/>
                <w:szCs w:val="19"/>
                <w:color w:val="auto"/>
                <w:vertAlign w:val="superscript"/>
              </w:rPr>
              <w:t>(4)</w:t>
            </w:r>
          </w:p>
        </w:tc>
        <w:tc>
          <w:tcPr>
            <w:tcW w:w="2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(1,200)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302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Sun Country Rewards program</w:t>
            </w:r>
          </w:p>
        </w:tc>
        <w:tc>
          <w:tcPr>
            <w:tcW w:w="2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0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modifications</w:t>
            </w:r>
            <w:r>
              <w:rPr>
                <w:rFonts w:ascii="Arial" w:cs="Arial" w:eastAsia="Arial" w:hAnsi="Arial"/>
                <w:sz w:val="19"/>
                <w:szCs w:val="19"/>
                <w:color w:val="auto"/>
                <w:vertAlign w:val="superscript"/>
              </w:rPr>
              <w:t>(5)</w:t>
            </w:r>
          </w:p>
        </w:tc>
        <w:tc>
          <w:tcPr>
            <w:tcW w:w="20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(8,463)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3020" w:type="dxa"/>
            <w:vAlign w:val="bottom"/>
            <w:gridSpan w:val="2"/>
          </w:tcPr>
          <w:p>
            <w:pPr>
              <w:spacing w:after="0" w:line="171" w:lineRule="exact"/>
              <w:rPr>
                <w:sz w:val="20"/>
                <w:szCs w:val="20"/>
                <w:color w:val="auto"/>
              </w:rPr>
            </w:pPr>
            <w:r>
              <w:rPr>
                <w:rFonts w:ascii="Arial" w:cs="Arial" w:eastAsia="Arial" w:hAnsi="Arial"/>
                <w:sz w:val="15"/>
                <w:szCs w:val="15"/>
                <w:color w:val="auto"/>
              </w:rPr>
              <w:t>Early-out payments and other outsourcing</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020" w:type="dxa"/>
            <w:vAlign w:val="bottom"/>
            <w:gridSpan w:val="2"/>
          </w:tcPr>
          <w:p>
            <w:pPr>
              <w:ind w:left="160"/>
              <w:spacing w:after="0"/>
              <w:rPr>
                <w:sz w:val="20"/>
                <w:szCs w:val="20"/>
                <w:color w:val="auto"/>
              </w:rPr>
            </w:pPr>
            <w:r>
              <w:rPr>
                <w:rFonts w:ascii="Arial" w:cs="Arial" w:eastAsia="Arial" w:hAnsi="Arial"/>
                <w:sz w:val="15"/>
                <w:szCs w:val="15"/>
                <w:color w:val="auto"/>
              </w:rPr>
              <w:t>expenses</w:t>
            </w:r>
            <w:r>
              <w:rPr>
                <w:rFonts w:ascii="Arial" w:cs="Arial" w:eastAsia="Arial" w:hAnsi="Arial"/>
                <w:sz w:val="19"/>
                <w:szCs w:val="19"/>
                <w:color w:val="auto"/>
                <w:vertAlign w:val="superscript"/>
              </w:rPr>
              <w:t>(6)</w:t>
            </w:r>
          </w:p>
        </w:tc>
        <w:tc>
          <w:tcPr>
            <w:tcW w:w="2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1,757</w:t>
            </w:r>
          </w:p>
        </w:tc>
        <w:tc>
          <w:tcPr>
            <w:tcW w:w="100" w:type="dxa"/>
            <w:vAlign w:val="bottom"/>
            <w:tcBorders>
              <w:right w:val="single" w:sz="8" w:color="auto"/>
            </w:tcBorders>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r>
              <w:rPr>
                <w:rFonts w:ascii="Arial" w:cs="Arial" w:eastAsia="Arial" w:hAnsi="Arial"/>
                <w:sz w:val="19"/>
                <w:szCs w:val="19"/>
                <w:color w:val="auto"/>
                <w:vertAlign w:val="superscript"/>
              </w:rPr>
              <w:t>(7)</w:t>
            </w:r>
          </w:p>
        </w:tc>
        <w:tc>
          <w:tcPr>
            <w:tcW w:w="200" w:type="dxa"/>
            <w:vAlign w:val="bottom"/>
            <w:tcBorders>
              <w:right w:val="single" w:sz="8" w:color="CCEEFF"/>
            </w:tcBorders>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20" w:type="dxa"/>
            <w:vAlign w:val="bottom"/>
            <w:gridSpan w:val="2"/>
          </w:tcPr>
          <w:p>
            <w:pPr>
              <w:ind w:left="160"/>
              <w:spacing w:after="0"/>
              <w:rPr>
                <w:sz w:val="20"/>
                <w:szCs w:val="20"/>
                <w:color w:val="auto"/>
              </w:rPr>
            </w:pPr>
            <w:r>
              <w:rPr>
                <w:rFonts w:ascii="Arial" w:cs="Arial" w:eastAsia="Arial" w:hAnsi="Arial"/>
                <w:sz w:val="15"/>
                <w:szCs w:val="15"/>
                <w:color w:val="auto"/>
              </w:rPr>
              <w:t>Total Special Items, net</w:t>
            </w:r>
          </w:p>
        </w:tc>
        <w:tc>
          <w:tcPr>
            <w:tcW w:w="980" w:type="dxa"/>
            <w:vAlign w:val="bottom"/>
            <w:gridSpan w:val="3"/>
          </w:tcPr>
          <w:p>
            <w:pPr>
              <w:jc w:val="right"/>
              <w:ind w:right="200"/>
              <w:spacing w:after="0"/>
              <w:rPr>
                <w:sz w:val="20"/>
                <w:szCs w:val="20"/>
                <w:color w:val="auto"/>
              </w:rPr>
            </w:pPr>
            <w:r>
              <w:rPr>
                <w:rFonts w:ascii="Arial" w:cs="Arial" w:eastAsia="Arial" w:hAnsi="Arial"/>
                <w:sz w:val="15"/>
                <w:szCs w:val="15"/>
                <w:color w:val="auto"/>
              </w:rPr>
              <w:t>$(64,563)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95"/>
              </w:rPr>
              <w:t>7,092</w:t>
            </w:r>
          </w:p>
        </w:tc>
        <w:tc>
          <w:tcPr>
            <w:tcW w:w="18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(6,706)</w:t>
            </w:r>
          </w:p>
        </w:tc>
        <w:tc>
          <w:tcPr>
            <w:tcW w:w="100" w:type="dxa"/>
            <w:vAlign w:val="bottom"/>
            <w:tcBorders>
              <w:right w:val="single" w:sz="8" w:color="auto"/>
            </w:tcBorders>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-1485265</wp:posOffset>
            </wp:positionV>
            <wp:extent cx="111760" cy="698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-1485265</wp:posOffset>
            </wp:positionV>
            <wp:extent cx="48895" cy="69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-1485265</wp:posOffset>
            </wp:positionV>
            <wp:extent cx="104775"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-1485265</wp:posOffset>
            </wp:positionV>
            <wp:extent cx="111760"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68" w:lineRule="exact"/>
        <w:rPr>
          <w:sz w:val="20"/>
          <w:szCs w:val="20"/>
          <w:color w:val="auto"/>
        </w:rPr>
      </w:pPr>
    </w:p>
    <w:p>
      <w:pPr>
        <w:ind w:left="1460" w:right="1239" w:hanging="296"/>
        <w:spacing w:after="0" w:line="241" w:lineRule="auto"/>
        <w:tabs>
          <w:tab w:leader="none" w:pos="14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Relates to the credit recognized under the CARES Act Payroll Support Program through December 31, 2020. Under the Payroll Support Program, the United States Department of the Treasury provided the Company with a Payroll Support grant, which was to be used exclusively for the continuation of payments for salaries, wages, and benefits. (see Note 3 for more information).</w:t>
      </w:r>
    </w:p>
    <w:p>
      <w:pPr>
        <w:spacing w:after="0" w:line="23" w:lineRule="exact"/>
        <w:rPr>
          <w:rFonts w:ascii="Arial" w:cs="Arial" w:eastAsia="Arial" w:hAnsi="Arial"/>
          <w:sz w:val="14"/>
          <w:szCs w:val="14"/>
          <w:color w:val="auto"/>
        </w:rPr>
      </w:pPr>
    </w:p>
    <w:p>
      <w:pPr>
        <w:ind w:left="1460" w:right="1179" w:hanging="296"/>
        <w:spacing w:after="0" w:line="236" w:lineRule="auto"/>
        <w:tabs>
          <w:tab w:leader="none" w:pos="14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Relates to the credit recognized under the CARES Act Employee Retention credit which is a refundable tax credit against certain employment taxes (see Note 3 for more information).</w:t>
      </w:r>
    </w:p>
    <w:p>
      <w:pPr>
        <w:spacing w:after="0" w:line="34" w:lineRule="exact"/>
        <w:rPr>
          <w:rFonts w:ascii="Arial" w:cs="Arial" w:eastAsia="Arial" w:hAnsi="Arial"/>
          <w:sz w:val="15"/>
          <w:szCs w:val="15"/>
          <w:color w:val="auto"/>
        </w:rPr>
      </w:pPr>
    </w:p>
    <w:p>
      <w:pPr>
        <w:ind w:left="1460" w:right="1319" w:hanging="296"/>
        <w:spacing w:after="0" w:line="248" w:lineRule="auto"/>
        <w:tabs>
          <w:tab w:leader="none" w:pos="14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This was a charge related to contractual obligations for retired technology. In connection with implementing SCA’s new reservations systems, the Company incurred obligations under the contracts for existing systems that were being phased out ahead of their scheduled contract terms.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6" w:name="page237"/>
    <w:bookmarkEnd w:id="236"/>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SPECIAL ITEMS, NET (continued)</w:t>
      </w:r>
    </w:p>
    <w:p>
      <w:pPr>
        <w:spacing w:after="0" w:line="150" w:lineRule="exact"/>
        <w:rPr>
          <w:sz w:val="20"/>
          <w:szCs w:val="20"/>
          <w:color w:val="auto"/>
        </w:rPr>
      </w:pPr>
    </w:p>
    <w:p>
      <w:pPr>
        <w:ind w:left="1460" w:right="1219" w:hanging="296"/>
        <w:spacing w:after="0" w:line="267" w:lineRule="auto"/>
        <w:tabs>
          <w:tab w:leader="none" w:pos="14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proceeds from the sale of unused airport slot rights. SCA does not hold any other remaining airport slot rights; therefore this gain does not reflect the Company’s continuing operations.</w:t>
      </w:r>
    </w:p>
    <w:p>
      <w:pPr>
        <w:spacing w:after="0" w:line="15" w:lineRule="exact"/>
        <w:rPr>
          <w:rFonts w:ascii="Arial" w:cs="Arial" w:eastAsia="Arial" w:hAnsi="Arial"/>
          <w:sz w:val="14"/>
          <w:szCs w:val="14"/>
          <w:color w:val="auto"/>
        </w:rPr>
      </w:pPr>
    </w:p>
    <w:p>
      <w:pPr>
        <w:jc w:val="both"/>
        <w:ind w:left="1460" w:right="1179" w:hanging="296"/>
        <w:spacing w:after="0" w:line="229" w:lineRule="auto"/>
        <w:tabs>
          <w:tab w:leader="none" w:pos="146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This reduction to expense is associated with changes to the terms of the Sun Country Rewards program. As of November 3, 2018, the Company modified policies within the program which accelerated loyalty point expiration, while making points more valuable for its members.</w:t>
      </w:r>
    </w:p>
    <w:p>
      <w:pPr>
        <w:spacing w:after="0" w:line="44" w:lineRule="exact"/>
        <w:rPr>
          <w:rFonts w:ascii="Arial" w:cs="Arial" w:eastAsia="Arial" w:hAnsi="Arial"/>
          <w:sz w:val="15"/>
          <w:szCs w:val="15"/>
          <w:color w:val="auto"/>
        </w:rPr>
      </w:pPr>
    </w:p>
    <w:p>
      <w:pPr>
        <w:ind w:left="1460" w:right="1499" w:hanging="296"/>
        <w:spacing w:after="0" w:line="229" w:lineRule="auto"/>
        <w:tabs>
          <w:tab w:leader="none" w:pos="146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Related to early-out payments and other expenses incurred in connection with outsourcing certain operations personnel and other employee initiatives. These efforts were primarily related to airport station, flight attendants and ground handling employees.</w:t>
      </w:r>
    </w:p>
    <w:p>
      <w:pPr>
        <w:spacing w:after="0" w:line="33" w:lineRule="exact"/>
        <w:rPr>
          <w:rFonts w:ascii="Arial" w:cs="Arial" w:eastAsia="Arial" w:hAnsi="Arial"/>
          <w:sz w:val="15"/>
          <w:szCs w:val="15"/>
          <w:color w:val="auto"/>
        </w:rPr>
      </w:pPr>
    </w:p>
    <w:p>
      <w:pPr>
        <w:ind w:left="1460" w:right="1739" w:hanging="296"/>
        <w:spacing w:after="0" w:line="236" w:lineRule="auto"/>
        <w:tabs>
          <w:tab w:leader="none" w:pos="146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Consists of employee relocation costs due to closing flight attendant bases and costs to exit the Company’s prior headquarters building.</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17. COMMITMENTS AND CONTINGENCIES</w:t>
      </w:r>
    </w:p>
    <w:p>
      <w:pPr>
        <w:spacing w:after="0" w:line="117" w:lineRule="exact"/>
        <w:rPr>
          <w:sz w:val="20"/>
          <w:szCs w:val="20"/>
          <w:color w:val="auto"/>
        </w:rPr>
      </w:pPr>
    </w:p>
    <w:p>
      <w:pPr>
        <w:ind w:left="1160" w:right="2019" w:firstLine="293"/>
        <w:spacing w:after="0" w:line="264" w:lineRule="auto"/>
        <w:rPr>
          <w:sz w:val="20"/>
          <w:szCs w:val="20"/>
          <w:color w:val="auto"/>
        </w:rPr>
      </w:pPr>
      <w:r>
        <w:rPr>
          <w:rFonts w:ascii="Arial" w:cs="Arial" w:eastAsia="Arial" w:hAnsi="Arial"/>
          <w:sz w:val="15"/>
          <w:szCs w:val="15"/>
          <w:color w:val="auto"/>
        </w:rPr>
        <w:t>The Company has contractual obligations and commitments primarily with regard to lease arrangements (see Note 10) and repayment of debt (see Note 9).</w:t>
      </w:r>
    </w:p>
    <w:p>
      <w:pPr>
        <w:spacing w:after="0" w:line="93"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Company is subject to various legal proceedings in the normal course of business and records legal costs as incurred. Management believes these proceedings will not have a materially adverse effect on the Company.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18. OPERATING SEGMENTS</w:t>
      </w:r>
    </w:p>
    <w:p>
      <w:pPr>
        <w:spacing w:after="0" w:line="12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w:t>
      </w:r>
    </w:p>
    <w:p>
      <w:pPr>
        <w:spacing w:after="0" w:line="98"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For the years ended December 31, 2019 and 2018, the Company was managed as a single business unit that provided air transportation and other services for passengers. The Company has two internal passenger groups (Scheduled and Charter), but since they share resources and expenses are combined, they are considered one Passenger operating segment. The Passenger operating revenues include passenger and other revenue. The Company’s chief operating decision maker reviews discrete financial information on a combined basis for passenger and other revenues. The Company’s Passenger operations are highly concentrated in the U.S. but include service to many international locations, primarily based on scheduled service to Latin America during the winter season and on military charter services.</w:t>
      </w:r>
    </w:p>
    <w:p>
      <w:pPr>
        <w:spacing w:after="0" w:line="94"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May 2020, the Company began providing air cargo services under the Amazon Agreement. Beginning in the fourth quarter of 2020, in conjunction with the full deployment of all 12 cargo aircraft under the Amazon Agreement and when our Chief Operating Decision Maker began to regularly review financial information for Cargo operations, Cargo services was identified as a separate operating segment. Certain operating expenses are directly attributable to this operating segment and certain operating expenses are allocated between the operating segments. Fuel consumed in Cargo operations is directly reimbursed by Amazon and therefore presented net on the Consolidated Statements of Operations. Non-Fuel operating expenses are allocated based on metrics such as block hours, fleet count and departures, which best align with the nature of the respective expense. The Special Items relate to CARES Act credits and are allocated based on the respective segment salaries, wages, and benefits.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7" w:name="page238"/>
    <w:bookmarkEnd w:id="237"/>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18. OPERATING SEGMENTS (continued)</w:t>
      </w:r>
    </w:p>
    <w:p>
      <w:pPr>
        <w:spacing w:after="0" w:line="183"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The following table presents financial information for the Company’s two operating segments: Passenger and Cargo. Assets by segment are not reviewed by the Chief Operating Decision Maker and has not been presented herein.</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7"/>
          </w:tcPr>
          <w:p>
            <w:pPr>
              <w:jc w:val="right"/>
              <w:ind w:right="300"/>
              <w:spacing w:after="0"/>
              <w:rPr>
                <w:sz w:val="20"/>
                <w:szCs w:val="20"/>
                <w:color w:val="auto"/>
              </w:rPr>
            </w:pPr>
            <w:r>
              <w:rPr>
                <w:rFonts w:ascii="Arial" w:cs="Arial" w:eastAsia="Arial" w:hAnsi="Arial"/>
                <w:sz w:val="12"/>
                <w:szCs w:val="12"/>
                <w:b w:val="1"/>
                <w:bCs w:val="1"/>
                <w:color w:val="auto"/>
                <w:w w:val="95"/>
              </w:rPr>
              <w:t>Year Ended December 31, 2020</w:t>
            </w:r>
          </w:p>
        </w:tc>
      </w:tr>
      <w:tr>
        <w:trPr>
          <w:trHeight w:val="21"/>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r>
      <w:tr>
        <w:trPr>
          <w:trHeight w:val="157"/>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2"/>
              </w:rPr>
              <w:t>Passenger</w:t>
            </w: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Cargo</w:t>
            </w:r>
          </w:p>
        </w:tc>
        <w:tc>
          <w:tcPr>
            <w:tcW w:w="600" w:type="dxa"/>
            <w:vAlign w:val="bottom"/>
            <w:gridSpan w:val="3"/>
          </w:tcPr>
          <w:p>
            <w:pPr>
              <w:jc w:val="right"/>
              <w:spacing w:after="0"/>
              <w:rPr>
                <w:sz w:val="20"/>
                <w:szCs w:val="20"/>
                <w:color w:val="auto"/>
              </w:rPr>
            </w:pPr>
            <w:r>
              <w:rPr>
                <w:rFonts w:ascii="Arial" w:cs="Arial" w:eastAsia="Arial" w:hAnsi="Arial"/>
                <w:sz w:val="12"/>
                <w:szCs w:val="12"/>
                <w:b w:val="1"/>
                <w:bCs w:val="1"/>
                <w:color w:val="auto"/>
                <w:w w:val="76"/>
              </w:rPr>
              <w:t>Consolidated</w:t>
            </w:r>
          </w:p>
        </w:tc>
      </w:tr>
      <w:tr>
        <w:trPr>
          <w:trHeight w:val="21"/>
        </w:trPr>
        <w:tc>
          <w:tcPr>
            <w:tcW w:w="4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Operating Revenues . . . . . . . . . . . . . . . . . . . . . . . . .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364,677</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8"/>
              </w:rPr>
              <w:t>$ 36,809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4"/>
              </w:rPr>
              <w:t>401,486</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4380" w:type="dxa"/>
            <w:vAlign w:val="bottom"/>
          </w:tcPr>
          <w:p>
            <w:pPr>
              <w:ind w:left="160"/>
              <w:spacing w:after="0"/>
              <w:rPr>
                <w:sz w:val="20"/>
                <w:szCs w:val="20"/>
                <w:color w:val="auto"/>
              </w:rPr>
            </w:pPr>
            <w:r>
              <w:rPr>
                <w:rFonts w:ascii="Arial" w:cs="Arial" w:eastAsia="Arial" w:hAnsi="Arial"/>
                <w:sz w:val="15"/>
                <w:szCs w:val="15"/>
                <w:color w:val="auto"/>
              </w:rPr>
              <w:t>Non-Fuel Operating Expenses . . . . . . . . . . . . . .</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332,742</w:t>
            </w:r>
          </w:p>
        </w:tc>
        <w:tc>
          <w:tcPr>
            <w:tcW w:w="1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32,530</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w w:val="84"/>
              </w:rPr>
              <w:t>365,272</w:t>
            </w:r>
          </w:p>
        </w:tc>
      </w:tr>
      <w:tr>
        <w:trPr>
          <w:trHeight w:val="209"/>
        </w:trPr>
        <w:tc>
          <w:tcPr>
            <w:tcW w:w="4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Aircraft Fuel . . . . . . . . . . . . . . . . . . . . .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83,392</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83,392</w:t>
            </w:r>
          </w:p>
        </w:tc>
      </w:tr>
      <w:tr>
        <w:trPr>
          <w:trHeight w:val="214"/>
        </w:trPr>
        <w:tc>
          <w:tcPr>
            <w:tcW w:w="4380" w:type="dxa"/>
            <w:vAlign w:val="bottom"/>
          </w:tcPr>
          <w:p>
            <w:pPr>
              <w:ind w:left="160"/>
              <w:spacing w:after="0"/>
              <w:rPr>
                <w:sz w:val="20"/>
                <w:szCs w:val="20"/>
                <w:color w:val="auto"/>
              </w:rPr>
            </w:pPr>
            <w:r>
              <w:rPr>
                <w:rFonts w:ascii="Arial" w:cs="Arial" w:eastAsia="Arial" w:hAnsi="Arial"/>
                <w:sz w:val="15"/>
                <w:szCs w:val="15"/>
                <w:color w:val="auto"/>
              </w:rPr>
              <w:t>Special Items, net . . . . . . . . . .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(53,842)</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(10,721)</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(64,563)</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 . . . . . . . . . . . . . .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362,292</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21,809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4"/>
              </w:rPr>
              <w:t>384,101</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380" w:type="dxa"/>
            <w:vAlign w:val="bottom"/>
          </w:tcPr>
          <w:p>
            <w:pPr>
              <w:spacing w:after="0"/>
              <w:rPr>
                <w:sz w:val="20"/>
                <w:szCs w:val="20"/>
                <w:color w:val="auto"/>
              </w:rPr>
            </w:pPr>
            <w:r>
              <w:rPr>
                <w:rFonts w:ascii="Arial" w:cs="Arial" w:eastAsia="Arial" w:hAnsi="Arial"/>
                <w:sz w:val="15"/>
                <w:szCs w:val="15"/>
                <w:color w:val="auto"/>
              </w:rPr>
              <w:t>Operating Income . . . . . . . . . . . . . . . . . . . . . . . . . . . .</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2,385</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w w:val="88"/>
              </w:rPr>
              <w:t>$ 15,000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17,385</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 . . . . . . . . . . . . . . . . . . . . . . . . . . . . .</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377</w:t>
            </w:r>
          </w:p>
        </w:tc>
      </w:tr>
      <w:tr>
        <w:trPr>
          <w:trHeight w:val="209"/>
        </w:trPr>
        <w:tc>
          <w:tcPr>
            <w:tcW w:w="4380" w:type="dxa"/>
            <w:vAlign w:val="bottom"/>
          </w:tcPr>
          <w:p>
            <w:pPr>
              <w:spacing w:after="0"/>
              <w:rPr>
                <w:sz w:val="20"/>
                <w:szCs w:val="20"/>
                <w:color w:val="auto"/>
              </w:rPr>
            </w:pPr>
            <w:r>
              <w:rPr>
                <w:rFonts w:ascii="Arial" w:cs="Arial" w:eastAsia="Arial" w:hAnsi="Arial"/>
                <w:sz w:val="15"/>
                <w:szCs w:val="15"/>
                <w:color w:val="auto"/>
              </w:rPr>
              <w:t>Interest Expense . . . . . . . . . . . . . . .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(22,073)</w:t>
            </w:r>
          </w:p>
        </w:tc>
      </w:tr>
      <w:tr>
        <w:trPr>
          <w:trHeight w:val="214"/>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Other Non-operating Income (Expense), net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5"/>
                <w:szCs w:val="15"/>
                <w:color w:val="auto"/>
              </w:rPr>
              <w:t>Income / (Loss) before Income Tax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(4,682)</w:t>
            </w:r>
          </w:p>
        </w:tc>
      </w:tr>
      <w:tr>
        <w:trPr>
          <w:trHeight w:val="20"/>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4953000</wp:posOffset>
            </wp:positionH>
            <wp:positionV relativeFrom="paragraph">
              <wp:posOffset>-173990</wp:posOffset>
            </wp:positionV>
            <wp:extent cx="27940" cy="698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-585470</wp:posOffset>
            </wp:positionV>
            <wp:extent cx="27940" cy="69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3858260" cy="69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-732155</wp:posOffset>
            </wp:positionV>
            <wp:extent cx="27940" cy="69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-878205</wp:posOffset>
            </wp:positionV>
            <wp:extent cx="27940"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-878205</wp:posOffset>
            </wp:positionV>
            <wp:extent cx="3858260" cy="69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-1290320</wp:posOffset>
            </wp:positionV>
            <wp:extent cx="27940" cy="698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-1436370</wp:posOffset>
            </wp:positionV>
            <wp:extent cx="111760" cy="69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-1436370</wp:posOffset>
            </wp:positionV>
            <wp:extent cx="111760" cy="69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-1436370</wp:posOffset>
            </wp:positionV>
            <wp:extent cx="55880" cy="69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w:t>
      </w:r>
    </w:p>
    <w:p>
      <w:pPr>
        <w:spacing w:after="0" w:line="128"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color w:val="auto"/>
        </w:rPr>
        <w:t>The following condensed parent company financial information is presented to show only the parent company, Sun Country Airlines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8" w:name="page239"/>
    <w:bookmarkEnd w:id="238"/>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3700" w:right="2739" w:hanging="2536"/>
        <w:spacing w:after="0" w:line="489" w:lineRule="auto"/>
        <w:tabs>
          <w:tab w:leader="none" w:pos="1363"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CONDENSED PARENT COMPANY FINANCIAL INFORMATION (continued) Condensed Balance Sheets</w:t>
      </w:r>
    </w:p>
    <w:tbl>
      <w:tblPr>
        <w:tblLayout w:type="fixed"/>
        <w:tblInd w:w="1160" w:type="dxa"/>
        <w:tblCellMar>
          <w:top w:w="0" w:type="dxa"/>
          <w:left w:w="0" w:type="dxa"/>
          <w:bottom w:w="0" w:type="dxa"/>
          <w:right w:w="0" w:type="dxa"/>
        </w:tblCellMar>
      </w:tblPr>
      <w:tr>
        <w:trPr>
          <w:trHeight w:val="150"/>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Equivalents . . . . . . . . . . . . . . . . . .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60" w:type="dxa"/>
            <w:vAlign w:val="bottom"/>
          </w:tcPr>
          <w:p>
            <w:pPr>
              <w:spacing w:after="0"/>
              <w:rPr>
                <w:sz w:val="18"/>
                <w:szCs w:val="18"/>
                <w:color w:val="auto"/>
              </w:rPr>
            </w:pPr>
          </w:p>
        </w:tc>
      </w:tr>
      <w:tr>
        <w:trPr>
          <w:trHeight w:val="205"/>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Current Assets . . . . . . . . . . . . . . . . . .</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Investment in Subsidiary . . . . . . . . . . . . . . . . . .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282,569</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284,185</w:t>
            </w:r>
          </w:p>
        </w:tc>
      </w:tr>
      <w:tr>
        <w:trPr>
          <w:trHeight w:val="21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 . . . . . . . . . . . . . . . . . . . . . . . . .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11"/>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Other Assets . . . . . . . . . . . . . . . . . . . .</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284,185</w:t>
            </w:r>
          </w:p>
        </w:tc>
      </w:tr>
      <w:tr>
        <w:trPr>
          <w:trHeight w:val="211"/>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 . . . . . . . . . . . . . . . . . . . . . . . . . .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284,192</w:t>
            </w:r>
          </w:p>
        </w:tc>
        <w:tc>
          <w:tcPr>
            <w:tcW w:w="60" w:type="dxa"/>
            <w:vAlign w:val="bottom"/>
          </w:tcPr>
          <w:p>
            <w:pPr>
              <w:spacing w:after="0"/>
              <w:rPr>
                <w:sz w:val="18"/>
                <w:szCs w:val="18"/>
                <w:color w:val="auto"/>
              </w:rPr>
            </w:pPr>
          </w:p>
        </w:tc>
      </w:tr>
      <w:tr>
        <w:trPr>
          <w:trHeight w:val="205"/>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Other Current Liabilities . . . . . . . . . .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181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468</w:t>
            </w:r>
          </w:p>
        </w:tc>
      </w:tr>
      <w:tr>
        <w:trPr>
          <w:trHeight w:val="211"/>
        </w:trPr>
        <w:tc>
          <w:tcPr>
            <w:tcW w:w="53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Current Liabilities . . . . . . . . . . . . . . .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w:t>
            </w:r>
          </w:p>
        </w:tc>
        <w:tc>
          <w:tcPr>
            <w:tcW w:w="60" w:type="dxa"/>
            <w:vAlign w:val="bottom"/>
          </w:tcPr>
          <w:p>
            <w:pPr>
              <w:spacing w:after="0"/>
              <w:rPr>
                <w:sz w:val="18"/>
                <w:szCs w:val="18"/>
                <w:color w:val="auto"/>
              </w:rPr>
            </w:pPr>
          </w:p>
        </w:tc>
      </w:tr>
      <w:tr>
        <w:trPr>
          <w:trHeight w:val="205"/>
        </w:trPr>
        <w:tc>
          <w:tcPr>
            <w:tcW w:w="5380" w:type="dxa"/>
            <w:vAlign w:val="bottom"/>
            <w:gridSpan w:val="2"/>
          </w:tcPr>
          <w:p>
            <w:pPr>
              <w:spacing w:after="0"/>
              <w:rPr>
                <w:sz w:val="20"/>
                <w:szCs w:val="20"/>
                <w:color w:val="auto"/>
              </w:rPr>
            </w:pPr>
            <w:r>
              <w:rPr>
                <w:rFonts w:ascii="Arial" w:cs="Arial" w:eastAsia="Arial" w:hAnsi="Arial"/>
                <w:sz w:val="15"/>
                <w:szCs w:val="15"/>
                <w:color w:val="auto"/>
              </w:rPr>
              <w:t>Total Liabilities . . . . . . . . . . . . . . . . . . . . . . . . . . . . . . .</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181</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468</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Common Stock . . . . . . . . . . . . . . . . . . . . . . . . . .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239,162</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239,141</w:t>
            </w:r>
          </w:p>
        </w:tc>
      </w:tr>
      <w:tr>
        <w:trPr>
          <w:trHeight w:val="20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Loans to Stockholders . . . . . . . . . . . . . . . . . . . . . .</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(3,500)</w:t>
            </w:r>
          </w:p>
        </w:tc>
        <w:tc>
          <w:tcPr>
            <w:tcW w:w="60" w:type="dxa"/>
            <w:vAlign w:val="bottom"/>
          </w:tcPr>
          <w:p>
            <w:pPr>
              <w:spacing w:after="0"/>
              <w:rPr>
                <w:sz w:val="18"/>
                <w:szCs w:val="18"/>
                <w:color w:val="auto"/>
              </w:rPr>
            </w:pPr>
          </w:p>
        </w:tc>
      </w:tr>
      <w:tr>
        <w:trPr>
          <w:trHeight w:val="220"/>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Additional Paid In Capital . . . . . . . . . . . . . . . . . . .</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9,831</w:t>
            </w: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5,855</w:t>
            </w:r>
          </w:p>
        </w:tc>
      </w:tr>
      <w:tr>
        <w:trPr>
          <w:trHeight w:val="225"/>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Retained Earnings . . . . . . . . . . . . . . . . . . . . .</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38,324</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42,228</w:t>
            </w:r>
          </w:p>
        </w:tc>
        <w:tc>
          <w:tcPr>
            <w:tcW w:w="60" w:type="dxa"/>
            <w:vAlign w:val="bottom"/>
          </w:tcPr>
          <w:p>
            <w:pPr>
              <w:spacing w:after="0"/>
              <w:rPr>
                <w:sz w:val="19"/>
                <w:szCs w:val="19"/>
                <w:color w:val="auto"/>
              </w:rPr>
            </w:pPr>
          </w:p>
        </w:tc>
      </w:tr>
      <w:tr>
        <w:trPr>
          <w:trHeight w:val="222"/>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Stockholders’ Equity . . . . . . . . . . . . . .</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283,817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283,724</w:t>
            </w:r>
          </w:p>
        </w:tc>
      </w:tr>
      <w:tr>
        <w:trPr>
          <w:trHeight w:val="222"/>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and Stockholders’ Equity . . . . . . .</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284,192</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-160020</wp:posOffset>
            </wp:positionV>
            <wp:extent cx="3886200" cy="69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-1283335</wp:posOffset>
            </wp:positionV>
            <wp:extent cx="3886200" cy="69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3886200" cy="69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-2936240</wp:posOffset>
            </wp:positionV>
            <wp:extent cx="111760" cy="69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-2936240</wp:posOffset>
            </wp:positionV>
            <wp:extent cx="55880" cy="69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9" w:name="page240"/>
    <w:bookmarkEnd w:id="239"/>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 (continued)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Statements of Operations</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9"/>
            <w:vMerge w:val="restart"/>
          </w:tcPr>
          <w:p>
            <w:pPr>
              <w:spacing w:after="0"/>
              <w:rPr>
                <w:sz w:val="20"/>
                <w:szCs w:val="20"/>
                <w:color w:val="auto"/>
              </w:rPr>
            </w:pPr>
            <w:r>
              <w:rPr>
                <w:rFonts w:ascii="Arial" w:cs="Arial" w:eastAsia="Arial" w:hAnsi="Arial"/>
                <w:sz w:val="12"/>
                <w:szCs w:val="12"/>
                <w:b w:val="1"/>
                <w:bCs w:val="1"/>
                <w:color w:val="auto"/>
                <w:w w:val="88"/>
              </w:rPr>
              <w:t>Year Ended December 31,</w:t>
            </w:r>
          </w:p>
        </w:tc>
        <w:tc>
          <w:tcPr>
            <w:tcW w:w="94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9"/>
            <w:vMerge w:val="continue"/>
          </w:tcPr>
          <w:p>
            <w:pPr>
              <w:spacing w:after="0"/>
              <w:rPr>
                <w:sz w:val="6"/>
                <w:szCs w:val="6"/>
                <w:color w:val="auto"/>
              </w:rPr>
            </w:pPr>
          </w:p>
        </w:tc>
        <w:tc>
          <w:tcPr>
            <w:tcW w:w="940" w:type="dxa"/>
            <w:vAlign w:val="bottom"/>
            <w:gridSpan w:val="6"/>
            <w:vMerge w:val="restart"/>
          </w:tcPr>
          <w:p>
            <w:pPr>
              <w:jc w:val="center"/>
              <w:ind w:right="20"/>
              <w:spacing w:after="0" w:line="112" w:lineRule="exact"/>
              <w:rPr>
                <w:sz w:val="20"/>
                <w:szCs w:val="20"/>
                <w:color w:val="auto"/>
              </w:rPr>
            </w:pPr>
            <w:r>
              <w:rPr>
                <w:rFonts w:ascii="Arial" w:cs="Arial" w:eastAsia="Arial" w:hAnsi="Arial"/>
                <w:sz w:val="12"/>
                <w:szCs w:val="12"/>
                <w:b w:val="1"/>
                <w:bCs w:val="1"/>
                <w:color w:val="auto"/>
                <w:w w:val="86"/>
              </w:rPr>
              <w:t>April 11, 2018 to</w:t>
            </w:r>
          </w:p>
        </w:tc>
        <w:tc>
          <w:tcPr>
            <w:tcW w:w="0" w:type="dxa"/>
            <w:vAlign w:val="bottom"/>
          </w:tcPr>
          <w:p>
            <w:pPr>
              <w:spacing w:after="0"/>
              <w:rPr>
                <w:sz w:val="1"/>
                <w:szCs w:val="1"/>
                <w:color w:val="auto"/>
              </w:rPr>
            </w:pPr>
          </w:p>
        </w:tc>
      </w:tr>
      <w:tr>
        <w:trPr>
          <w:trHeight w:val="38"/>
        </w:trPr>
        <w:tc>
          <w:tcPr>
            <w:tcW w:w="4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6"/>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color w:val="auto"/>
                <w:w w:val="93"/>
              </w:rPr>
              <w:t>Other Operating, net . . . . . . . . . . . . . . . . . . . . . . . . . . . . . . . . . . .</w:t>
            </w:r>
          </w:p>
        </w:tc>
        <w:tc>
          <w:tcPr>
            <w:tcW w:w="680" w:type="dxa"/>
            <w:vAlign w:val="bottom"/>
            <w:gridSpan w:val="4"/>
          </w:tcPr>
          <w:p>
            <w:pPr>
              <w:jc w:val="right"/>
              <w:ind w:right="40"/>
              <w:spacing w:after="0"/>
              <w:rPr>
                <w:sz w:val="20"/>
                <w:szCs w:val="20"/>
                <w:color w:val="auto"/>
              </w:rPr>
            </w:pPr>
            <w:r>
              <w:rPr>
                <w:rFonts w:ascii="Arial" w:cs="Arial" w:eastAsia="Arial" w:hAnsi="Arial"/>
                <w:sz w:val="15"/>
                <w:szCs w:val="15"/>
                <w:color w:val="auto"/>
              </w:rPr>
              <w:t>$  179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   439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96"/>
              </w:rPr>
              <w:t>Total Operating Expenses . . . . . . . . . . . . . . . . . . . . . . . . . . .</w:t>
            </w: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179</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564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spacing w:after="0"/>
              <w:rPr>
                <w:sz w:val="20"/>
                <w:szCs w:val="20"/>
                <w:color w:val="auto"/>
              </w:rPr>
            </w:pPr>
            <w:r>
              <w:rPr>
                <w:rFonts w:ascii="Arial" w:cs="Arial" w:eastAsia="Arial" w:hAnsi="Arial"/>
                <w:sz w:val="15"/>
                <w:szCs w:val="15"/>
                <w:color w:val="auto"/>
              </w:rPr>
              <w:t>Operating Income / (Loss)</w:t>
            </w:r>
          </w:p>
        </w:tc>
        <w:tc>
          <w:tcPr>
            <w:tcW w:w="240" w:type="dxa"/>
            <w:vAlign w:val="bottom"/>
            <w:gridSpan w:val="2"/>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(179)</w:t>
            </w:r>
          </w:p>
        </w:tc>
        <w:tc>
          <w:tcPr>
            <w:tcW w:w="6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5"/>
                <w:szCs w:val="15"/>
                <w:color w:val="auto"/>
              </w:rPr>
              <w:t>(439)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Equity in Income / (Loss) of Subsidiaries</w:t>
            </w:r>
          </w:p>
        </w:tc>
        <w:tc>
          <w:tcPr>
            <w:tcW w:w="840" w:type="dxa"/>
            <w:vAlign w:val="bottom"/>
            <w:gridSpan w:val="5"/>
          </w:tcPr>
          <w:p>
            <w:pPr>
              <w:jc w:val="right"/>
              <w:ind w:right="160"/>
              <w:spacing w:after="0"/>
              <w:rPr>
                <w:sz w:val="20"/>
                <w:szCs w:val="20"/>
                <w:color w:val="auto"/>
              </w:rPr>
            </w:pPr>
            <w:r>
              <w:rPr>
                <w:rFonts w:ascii="Arial" w:cs="Arial" w:eastAsia="Arial" w:hAnsi="Arial"/>
                <w:sz w:val="15"/>
                <w:szCs w:val="15"/>
                <w:color w:val="auto"/>
              </w:rPr>
              <w:t>(3,725)</w:t>
            </w:r>
          </w:p>
        </w:tc>
        <w:tc>
          <w:tcPr>
            <w:tcW w:w="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46,283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CEEFF"/>
            </w:tcBorders>
            <w:gridSpan w:val="2"/>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80" w:type="dxa"/>
            <w:vAlign w:val="bottom"/>
            <w:gridSpan w:val="2"/>
          </w:tcPr>
          <w:p>
            <w:pPr>
              <w:ind w:left="300"/>
              <w:spacing w:after="0"/>
              <w:rPr>
                <w:sz w:val="20"/>
                <w:szCs w:val="20"/>
                <w:color w:val="auto"/>
              </w:rPr>
            </w:pPr>
            <w:r>
              <w:rPr>
                <w:rFonts w:ascii="Arial" w:cs="Arial" w:eastAsia="Arial" w:hAnsi="Arial"/>
                <w:sz w:val="15"/>
                <w:szCs w:val="15"/>
                <w:color w:val="auto"/>
                <w:w w:val="98"/>
              </w:rPr>
              <w:t>Total Non-operating Income/ (Expense), net . . . . . . . . . . . .</w:t>
            </w:r>
          </w:p>
        </w:tc>
        <w:tc>
          <w:tcPr>
            <w:tcW w:w="240" w:type="dxa"/>
            <w:vAlign w:val="bottom"/>
            <w:gridSpan w:val="2"/>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w w:val="88"/>
              </w:rPr>
              <w:t>(3,725)</w:t>
            </w:r>
          </w:p>
        </w:tc>
        <w:tc>
          <w:tcPr>
            <w:tcW w:w="6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46,511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 (Loss) before Income Tax</w:t>
            </w: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8"/>
              </w:rPr>
              <w:t>(3,904)</w:t>
            </w: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46,072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(367)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ind w:left="160"/>
              <w:spacing w:after="0"/>
              <w:rPr>
                <w:sz w:val="20"/>
                <w:szCs w:val="20"/>
                <w:color w:val="auto"/>
              </w:rPr>
            </w:pPr>
            <w:r>
              <w:rPr>
                <w:rFonts w:ascii="Arial" w:cs="Arial" w:eastAsia="Arial" w:hAnsi="Arial"/>
                <w:sz w:val="15"/>
                <w:szCs w:val="15"/>
                <w:color w:val="auto"/>
                <w:w w:val="93"/>
              </w:rPr>
              <w:t>Income Tax Expense / (Benefit) . . . . . . . . . . . . . . . . . . . . . . . . .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 (Loss)</w:t>
            </w:r>
          </w:p>
        </w:tc>
        <w:tc>
          <w:tcPr>
            <w:tcW w:w="840" w:type="dxa"/>
            <w:vAlign w:val="bottom"/>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$(3,904)</w:t>
            </w:r>
          </w:p>
        </w:tc>
        <w:tc>
          <w:tcPr>
            <w:tcW w:w="60" w:type="dxa"/>
            <w:vAlign w:val="bottom"/>
            <w:tcBorders>
              <w:right w:val="single" w:sz="8" w:color="CCEEFF"/>
            </w:tcBorders>
            <w:shd w:val="clear" w:color="auto" w:fill="CCEEFF"/>
          </w:tcPr>
          <w:p>
            <w:pPr>
              <w:spacing w:after="0"/>
              <w:rPr>
                <w:sz w:val="20"/>
                <w:szCs w:val="20"/>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w w:val="84"/>
              </w:rPr>
              <w:t>$46,072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(367)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080" w:type="dxa"/>
            <w:vAlign w:val="bottom"/>
            <w:gridSpan w:val="8"/>
          </w:tcPr>
          <w:p>
            <w:pPr>
              <w:ind w:left="2220"/>
              <w:spacing w:after="0"/>
              <w:rPr>
                <w:sz w:val="20"/>
                <w:szCs w:val="20"/>
                <w:color w:val="auto"/>
              </w:rPr>
            </w:pPr>
            <w:r>
              <w:rPr>
                <w:rFonts w:ascii="Arial" w:cs="Arial" w:eastAsia="Arial" w:hAnsi="Arial"/>
                <w:sz w:val="15"/>
                <w:szCs w:val="15"/>
                <w:b w:val="1"/>
                <w:bCs w:val="1"/>
                <w:color w:val="auto"/>
              </w:rPr>
              <w:t>Condensed Statements of Cash Flows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10"/>
            <w:vMerge w:val="restart"/>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94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10"/>
            <w:vMerge w:val="continue"/>
          </w:tcPr>
          <w:p>
            <w:pPr>
              <w:spacing w:after="0"/>
              <w:rPr>
                <w:sz w:val="6"/>
                <w:szCs w:val="6"/>
                <w:color w:val="auto"/>
              </w:rPr>
            </w:pPr>
          </w:p>
        </w:tc>
        <w:tc>
          <w:tcPr>
            <w:tcW w:w="940" w:type="dxa"/>
            <w:vAlign w:val="bottom"/>
            <w:gridSpan w:val="6"/>
            <w:vMerge w:val="restart"/>
          </w:tcPr>
          <w:p>
            <w:pPr>
              <w:jc w:val="center"/>
              <w:ind w:right="40"/>
              <w:spacing w:after="0" w:line="112" w:lineRule="exact"/>
              <w:rPr>
                <w:sz w:val="20"/>
                <w:szCs w:val="20"/>
                <w:color w:val="auto"/>
              </w:rPr>
            </w:pPr>
            <w:r>
              <w:rPr>
                <w:rFonts w:ascii="Arial" w:cs="Arial" w:eastAsia="Arial" w:hAnsi="Arial"/>
                <w:sz w:val="12"/>
                <w:szCs w:val="12"/>
                <w:b w:val="1"/>
                <w:bCs w:val="1"/>
                <w:color w:val="auto"/>
                <w:w w:val="84"/>
              </w:rPr>
              <w:t>April 11, 2018 to</w:t>
            </w:r>
          </w:p>
        </w:tc>
        <w:tc>
          <w:tcPr>
            <w:tcW w:w="0" w:type="dxa"/>
            <w:vAlign w:val="bottom"/>
          </w:tcPr>
          <w:p>
            <w:pPr>
              <w:spacing w:after="0"/>
              <w:rPr>
                <w:sz w:val="1"/>
                <w:szCs w:val="1"/>
                <w:color w:val="auto"/>
              </w:rPr>
            </w:pPr>
          </w:p>
        </w:tc>
      </w:tr>
      <w:tr>
        <w:trPr>
          <w:trHeight w:val="38"/>
        </w:trPr>
        <w:tc>
          <w:tcPr>
            <w:tcW w:w="4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6"/>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b w:val="1"/>
                <w:bCs w:val="1"/>
                <w:color w:val="auto"/>
              </w:rPr>
              <w:t>Net Cash Provided by Operating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5"/>
                <w:szCs w:val="15"/>
                <w:color w:val="auto"/>
                <w:w w:val="94"/>
              </w:rPr>
              <w:t>$ —</w:t>
            </w:r>
          </w:p>
        </w:tc>
        <w:tc>
          <w:tcPr>
            <w:tcW w:w="10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w w:val="85"/>
              </w:rPr>
              <w:t>$—</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Net Payments to Subsidiary</w:t>
            </w:r>
          </w:p>
        </w:tc>
        <w:tc>
          <w:tcPr>
            <w:tcW w:w="240" w:type="dxa"/>
            <w:vAlign w:val="bottom"/>
            <w:gridSpan w:val="2"/>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5"/>
                <w:szCs w:val="15"/>
                <w:color w:val="auto"/>
                <w:w w:val="82"/>
              </w:rPr>
              <w:t>(47,866)</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ind w:left="300"/>
              <w:spacing w:after="0"/>
              <w:rPr>
                <w:sz w:val="20"/>
                <w:szCs w:val="20"/>
                <w:color w:val="auto"/>
              </w:rPr>
            </w:pPr>
            <w:r>
              <w:rPr>
                <w:rFonts w:ascii="Arial" w:cs="Arial" w:eastAsia="Arial" w:hAnsi="Arial"/>
                <w:sz w:val="15"/>
                <w:szCs w:val="15"/>
                <w:b w:val="1"/>
                <w:bCs w:val="1"/>
                <w:color w:val="auto"/>
              </w:rPr>
              <w:t>Net Cash Used in Investing Activities</w:t>
            </w: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w w:val="82"/>
              </w:rPr>
              <w:t>(47,866)</w:t>
            </w: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Cash Contributions from Stockholders</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w w:val="91"/>
              </w:rPr>
              <w:t>47,866</w:t>
            </w:r>
          </w:p>
        </w:tc>
        <w:tc>
          <w:tcPr>
            <w:tcW w:w="0" w:type="dxa"/>
            <w:vAlign w:val="bottom"/>
          </w:tcPr>
          <w:p>
            <w:pPr>
              <w:spacing w:after="0"/>
              <w:rPr>
                <w:sz w:val="1"/>
                <w:szCs w:val="1"/>
                <w:color w:val="auto"/>
              </w:rPr>
            </w:pPr>
          </w:p>
        </w:tc>
      </w:tr>
      <w:tr>
        <w:trPr>
          <w:trHeight w:val="209"/>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Net Payments from Subsidiary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5"/>
                <w:szCs w:val="15"/>
                <w:color w:val="auto"/>
              </w:rPr>
              <w:t>—</w:t>
            </w:r>
          </w:p>
        </w:tc>
        <w:tc>
          <w:tcPr>
            <w:tcW w:w="520" w:type="dxa"/>
            <w:vAlign w:val="bottom"/>
            <w:gridSpan w:val="3"/>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Received from Exercise of Apollo Warrants</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ind w:left="300"/>
              <w:spacing w:after="0"/>
              <w:rPr>
                <w:sz w:val="20"/>
                <w:szCs w:val="20"/>
                <w:color w:val="auto"/>
              </w:rPr>
            </w:pPr>
            <w:r>
              <w:rPr>
                <w:rFonts w:ascii="Arial" w:cs="Arial" w:eastAsia="Arial" w:hAnsi="Arial"/>
                <w:sz w:val="15"/>
                <w:szCs w:val="15"/>
                <w:b w:val="1"/>
                <w:bCs w:val="1"/>
                <w:color w:val="auto"/>
              </w:rPr>
              <w:t>Net Cash Provided by Financing Activities</w:t>
            </w:r>
          </w:p>
        </w:tc>
        <w:tc>
          <w:tcPr>
            <w:tcW w:w="24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5"/>
                <w:szCs w:val="15"/>
                <w:color w:val="auto"/>
                <w:w w:val="91"/>
              </w:rPr>
              <w:t>47,866</w:t>
            </w:r>
          </w:p>
        </w:tc>
        <w:tc>
          <w:tcPr>
            <w:tcW w:w="0" w:type="dxa"/>
            <w:vAlign w:val="bottom"/>
          </w:tcPr>
          <w:p>
            <w:pPr>
              <w:spacing w:after="0"/>
              <w:rPr>
                <w:sz w:val="1"/>
                <w:szCs w:val="1"/>
                <w:color w:val="auto"/>
              </w:rPr>
            </w:pPr>
          </w:p>
        </w:tc>
      </w:tr>
      <w:tr>
        <w:trPr>
          <w:trHeight w:val="180"/>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86"/>
              </w:rPr>
              <w:t>Net Increase / (Decrease) in Cash, Cash Equivalents and Restricted</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Cash</w:t>
            </w:r>
          </w:p>
        </w:tc>
        <w:tc>
          <w:tcPr>
            <w:tcW w:w="6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(7)</w:t>
            </w: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180" w:type="dxa"/>
            <w:vAlign w:val="bottom"/>
            <w:gridSpan w:val="2"/>
          </w:tcPr>
          <w:p>
            <w:pPr>
              <w:spacing w:after="0"/>
              <w:rPr>
                <w:sz w:val="20"/>
                <w:szCs w:val="20"/>
                <w:color w:val="auto"/>
              </w:rPr>
            </w:pPr>
            <w:r>
              <w:rPr>
                <w:rFonts w:ascii="Arial" w:cs="Arial" w:eastAsia="Arial" w:hAnsi="Arial"/>
                <w:sz w:val="15"/>
                <w:szCs w:val="15"/>
                <w:b w:val="1"/>
                <w:bCs w:val="1"/>
                <w:color w:val="auto"/>
                <w:w w:val="91"/>
              </w:rPr>
              <w:t>Cash, Cash Equivalents and Restricted Cash—Beginning of the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gridSpan w:val="2"/>
          </w:tcPr>
          <w:p>
            <w:pPr>
              <w:ind w:left="160"/>
              <w:spacing w:after="0"/>
              <w:rPr>
                <w:sz w:val="20"/>
                <w:szCs w:val="20"/>
                <w:color w:val="auto"/>
              </w:rPr>
            </w:pPr>
            <w:r>
              <w:rPr>
                <w:rFonts w:ascii="Arial" w:cs="Arial" w:eastAsia="Arial" w:hAnsi="Arial"/>
                <w:sz w:val="15"/>
                <w:szCs w:val="15"/>
                <w:b w:val="1"/>
                <w:bCs w:val="1"/>
                <w:color w:val="auto"/>
              </w:rPr>
              <w:t>Period</w:t>
            </w:r>
          </w:p>
        </w:tc>
        <w:tc>
          <w:tcPr>
            <w:tcW w:w="680" w:type="dxa"/>
            <w:vAlign w:val="bottom"/>
            <w:gridSpan w:val="4"/>
          </w:tcPr>
          <w:p>
            <w:pPr>
              <w:jc w:val="right"/>
              <w:ind w:right="160"/>
              <w:spacing w:after="0"/>
              <w:rPr>
                <w:sz w:val="20"/>
                <w:szCs w:val="20"/>
                <w:color w:val="auto"/>
              </w:rPr>
            </w:pPr>
            <w:r>
              <w:rPr>
                <w:rFonts w:ascii="Arial" w:cs="Arial" w:eastAsia="Arial" w:hAnsi="Arial"/>
                <w:sz w:val="15"/>
                <w:szCs w:val="15"/>
                <w:color w:val="auto"/>
              </w:rPr>
              <w:t>7</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90"/>
              </w:rPr>
              <w:t>Cash, Cash Equivalents and Restricted Cash—End of the Period</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5"/>
                <w:szCs w:val="15"/>
                <w:color w:val="auto"/>
                <w:w w:val="94"/>
              </w:rPr>
              <w:t>$ —</w:t>
            </w:r>
          </w:p>
        </w:tc>
        <w:tc>
          <w:tcPr>
            <w:tcW w:w="520" w:type="dxa"/>
            <w:vAlign w:val="bottom"/>
            <w:tcBorders>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rPr>
              <w:t>$ 7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4792345</wp:posOffset>
            </wp:positionH>
            <wp:positionV relativeFrom="paragraph">
              <wp:posOffset>-2880360</wp:posOffset>
            </wp:positionV>
            <wp:extent cx="188595" cy="69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-2880360</wp:posOffset>
            </wp:positionV>
            <wp:extent cx="3830320" cy="698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-3717925</wp:posOffset>
            </wp:positionV>
            <wp:extent cx="188595" cy="698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-3717925</wp:posOffset>
            </wp:positionV>
            <wp:extent cx="3830320" cy="698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-4010660</wp:posOffset>
            </wp:positionV>
            <wp:extent cx="188595" cy="69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-4010660</wp:posOffset>
            </wp:positionV>
            <wp:extent cx="3830320" cy="698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-4290060</wp:posOffset>
            </wp:positionV>
            <wp:extent cx="3641725" cy="69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-173990</wp:posOffset>
            </wp:positionV>
            <wp:extent cx="132715" cy="698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767455" cy="69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-676275</wp:posOffset>
            </wp:positionV>
            <wp:extent cx="132715" cy="69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-676275</wp:posOffset>
            </wp:positionV>
            <wp:extent cx="3767455" cy="698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-1513205</wp:posOffset>
            </wp:positionV>
            <wp:extent cx="132715" cy="698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-1513205</wp:posOffset>
            </wp:positionV>
            <wp:extent cx="3767455" cy="698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-1792605</wp:posOffset>
            </wp:positionV>
            <wp:extent cx="132715" cy="698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-1792605</wp:posOffset>
            </wp:positionV>
            <wp:extent cx="3767455"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-2071370</wp:posOffset>
            </wp:positionV>
            <wp:extent cx="3634740" cy="698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of Presentation</w:t>
      </w:r>
    </w:p>
    <w:p>
      <w:pPr>
        <w:spacing w:after="0" w:line="117"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These condensed Parent company-only financial statements are not general-purpose financial statements and should be read in conjunction with the consolidated financial statements. The Parent’s significant accounting policies are consistent with those described in the consolidated financial statements, except that all subsidiaries are accounted for as equity method investments.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0" w:name="page241"/>
    <w:bookmarkEnd w:id="240"/>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Restrictions and Covenants</w:t>
      </w:r>
    </w:p>
    <w:p>
      <w:pPr>
        <w:spacing w:after="0" w:line="117"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20. SUBSEQUENT EVENTS</w:t>
      </w:r>
    </w:p>
    <w:p>
      <w:pPr>
        <w:spacing w:after="0" w:line="128" w:lineRule="exact"/>
        <w:rPr>
          <w:sz w:val="20"/>
          <w:szCs w:val="20"/>
          <w:color w:val="auto"/>
        </w:rPr>
      </w:pPr>
    </w:p>
    <w:p>
      <w:pPr>
        <w:ind w:left="1160" w:right="1759" w:firstLine="293"/>
        <w:spacing w:after="0" w:line="341" w:lineRule="auto"/>
        <w:rPr>
          <w:sz w:val="20"/>
          <w:szCs w:val="20"/>
          <w:color w:val="auto"/>
        </w:rPr>
      </w:pPr>
      <w:r>
        <w:rPr>
          <w:rFonts w:ascii="Arial" w:cs="Arial" w:eastAsia="Arial" w:hAnsi="Arial"/>
          <w:sz w:val="13"/>
          <w:szCs w:val="13"/>
          <w:color w:val="auto"/>
        </w:rPr>
        <w:t>The Company evaluated subsequent events for the period from the Balance Sheet date through March 8, 2021, the date that the Consolidated Financial Statements were available to be issued.</w:t>
      </w:r>
    </w:p>
    <w:p>
      <w:pPr>
        <w:spacing w:after="0" w:line="48"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Other than the subsequent events disclosed below, no subsequent events were identified that require recognition in the Consolidated Financial Statements or disclosure in the Notes to the Consolidated Financial Statements, with the exception of the January 2021 grant from the United States Department of the Treasury as discussed in Note 3, the February 2021 credit agreement as disclosed in Note 9, and the repayment of stockholder promissory notes in February 2021 as discussed in the “Stockholders’ Equity” section of Note 2.</w:t>
      </w:r>
    </w:p>
    <w:p>
      <w:pPr>
        <w:spacing w:after="0" w:line="95" w:lineRule="exact"/>
        <w:rPr>
          <w:sz w:val="20"/>
          <w:szCs w:val="20"/>
          <w:color w:val="auto"/>
        </w:rPr>
      </w:pPr>
    </w:p>
    <w:p>
      <w:pPr>
        <w:jc w:val="both"/>
        <w:ind w:left="1160" w:right="1359" w:firstLine="293"/>
        <w:spacing w:after="0" w:line="254" w:lineRule="auto"/>
        <w:rPr>
          <w:sz w:val="20"/>
          <w:szCs w:val="20"/>
          <w:color w:val="auto"/>
        </w:rPr>
      </w:pPr>
      <w:r>
        <w:rPr>
          <w:rFonts w:ascii="Arial" w:cs="Arial" w:eastAsia="Arial" w:hAnsi="Arial"/>
          <w:sz w:val="15"/>
          <w:szCs w:val="15"/>
          <w:color w:val="auto"/>
        </w:rPr>
        <w:t>In March 2021, the Company borrowed $68,000 under the Delayed Draw Term Loan Facility for the purpose of financing the acquisition of five additional aircraft that it presently leases, three of which have been acquired, with the remainder under purchase agreements.</w:t>
      </w:r>
    </w:p>
    <w:p>
      <w:pPr>
        <w:spacing w:after="0" w:line="101"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4"/>
          <w:szCs w:val="14"/>
          <w:color w:val="auto"/>
        </w:rPr>
        <w:t>In March 2021, the Company effected an approximately 18.8886 for 1 stock split of its common stock (the “Stock Split”), with exercise prices for outstanding warrants and options adjusted accordingly by dividing such prices by the approximately 18.8886 Stock Split ratio. The par value of the common stock was not adjusted as a result of the Stock Split. As a result of the Stock Split, the Company issued an additional 44,226,587 shares of common stock, which includes 44,359,873 shares that relate to shares outstanding as of December 31, 2020. No fractional shares of the Company’s common stock were issued in connection with the Stock Split. Any fractional share resulting from the Stock Split was rounded down to the nearest whole share, and any stockholder entitled to fractional shares as a result of the Stock Split will receive a cash payment in lieu of receiving fractional shares. All references to common stock, warrants to purchase common stock, stock options, per share amounts and related information contained in the accompanying Consolidated Financial Statements and applicable disclosures have been retroactively adjusted to reflect the effect of the Stock Split for all Successor periods. Due to the change in the basis of accounting resulting from the Acquisition, the financial information for the Predecessor periods was not adjusted for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1" w:name="page242"/>
    <w:bookmarkEnd w:id="241"/>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21. QUARTERLY FINANCIAL DATA (UNAUDITED)</w:t>
      </w:r>
    </w:p>
    <w:p>
      <w:pPr>
        <w:spacing w:after="0" w:line="117"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Quarterly results of operations for the years ended December 31, 2020 and 2019 are summarized below:</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2"/>
              </w:rPr>
              <w:t>First</w:t>
            </w:r>
          </w:p>
        </w:tc>
        <w:tc>
          <w:tcPr>
            <w:tcW w:w="160" w:type="dxa"/>
            <w:vAlign w:val="bottom"/>
          </w:tcPr>
          <w:p>
            <w:pPr>
              <w:spacing w:after="0"/>
              <w:rPr>
                <w:sz w:val="12"/>
                <w:szCs w:val="12"/>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7"/>
              </w:rPr>
              <w:t>Second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Fourth</w:t>
            </w:r>
          </w:p>
        </w:tc>
      </w:tr>
      <w:tr>
        <w:trPr>
          <w:trHeight w:val="150"/>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Quarter</w:t>
            </w:r>
          </w:p>
        </w:tc>
        <w:tc>
          <w:tcPr>
            <w:tcW w:w="160" w:type="dxa"/>
            <w:vAlign w:val="bottom"/>
          </w:tcPr>
          <w:p>
            <w:pPr>
              <w:spacing w:after="0"/>
              <w:rPr>
                <w:sz w:val="13"/>
                <w:szCs w:val="13"/>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6"/>
              </w:rPr>
              <w:t>Quarter</w:t>
            </w:r>
          </w:p>
        </w:tc>
        <w:tc>
          <w:tcPr>
            <w:tcW w:w="8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Quarter</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2020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Operating Revenues</w:t>
            </w:r>
          </w:p>
        </w:tc>
        <w:tc>
          <w:tcPr>
            <w:tcW w:w="740" w:type="dxa"/>
            <w:vAlign w:val="bottom"/>
            <w:gridSpan w:val="5"/>
          </w:tcPr>
          <w:p>
            <w:pPr>
              <w:jc w:val="right"/>
              <w:ind w:right="20"/>
              <w:spacing w:after="0"/>
              <w:rPr>
                <w:sz w:val="20"/>
                <w:szCs w:val="20"/>
                <w:color w:val="auto"/>
              </w:rPr>
            </w:pPr>
            <w:r>
              <w:rPr>
                <w:rFonts w:ascii="Arial" w:cs="Arial" w:eastAsia="Arial" w:hAnsi="Arial"/>
                <w:sz w:val="15"/>
                <w:szCs w:val="15"/>
                <w:color w:val="auto"/>
              </w:rPr>
              <w:t>$180,330</w:t>
            </w:r>
          </w:p>
        </w:tc>
        <w:tc>
          <w:tcPr>
            <w:tcW w:w="740" w:type="dxa"/>
            <w:vAlign w:val="bottom"/>
            <w:gridSpan w:val="5"/>
          </w:tcPr>
          <w:p>
            <w:pPr>
              <w:jc w:val="right"/>
              <w:ind w:right="100"/>
              <w:spacing w:after="0"/>
              <w:rPr>
                <w:sz w:val="20"/>
                <w:szCs w:val="20"/>
                <w:color w:val="auto"/>
              </w:rPr>
            </w:pPr>
            <w:r>
              <w:rPr>
                <w:rFonts w:ascii="Arial" w:cs="Arial" w:eastAsia="Arial" w:hAnsi="Arial"/>
                <w:sz w:val="15"/>
                <w:szCs w:val="15"/>
                <w:color w:val="auto"/>
              </w:rPr>
              <w:t>$35,376</w:t>
            </w:r>
          </w:p>
        </w:tc>
        <w:tc>
          <w:tcPr>
            <w:tcW w:w="760" w:type="dxa"/>
            <w:vAlign w:val="bottom"/>
            <w:gridSpan w:val="4"/>
          </w:tcPr>
          <w:p>
            <w:pPr>
              <w:jc w:val="right"/>
              <w:ind w:right="180"/>
              <w:spacing w:after="0"/>
              <w:rPr>
                <w:sz w:val="20"/>
                <w:szCs w:val="20"/>
                <w:color w:val="auto"/>
              </w:rPr>
            </w:pPr>
            <w:r>
              <w:rPr>
                <w:rFonts w:ascii="Arial" w:cs="Arial" w:eastAsia="Arial" w:hAnsi="Arial"/>
                <w:sz w:val="15"/>
                <w:szCs w:val="15"/>
                <w:color w:val="auto"/>
              </w:rPr>
              <w:t>$77,973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107,807</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15,230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2"/>
              </w:rPr>
              <w:t>(2,234)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8,817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(4,428)</w:t>
            </w:r>
          </w:p>
        </w:tc>
        <w:tc>
          <w:tcPr>
            <w:tcW w:w="60" w:type="dxa"/>
            <w:vAlign w:val="bottom"/>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Net Income / (Loss)</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7,251</w:t>
            </w:r>
          </w:p>
        </w:tc>
        <w:tc>
          <w:tcPr>
            <w:tcW w:w="740" w:type="dxa"/>
            <w:vAlign w:val="bottom"/>
            <w:gridSpan w:val="5"/>
          </w:tcPr>
          <w:p>
            <w:pPr>
              <w:jc w:val="right"/>
              <w:ind w:right="40"/>
              <w:spacing w:after="0"/>
              <w:rPr>
                <w:sz w:val="20"/>
                <w:szCs w:val="20"/>
                <w:color w:val="auto"/>
              </w:rPr>
            </w:pPr>
            <w:r>
              <w:rPr>
                <w:rFonts w:ascii="Arial" w:cs="Arial" w:eastAsia="Arial" w:hAnsi="Arial"/>
                <w:sz w:val="15"/>
                <w:szCs w:val="15"/>
                <w:color w:val="auto"/>
              </w:rPr>
              <w:t>$ (6,040)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2,927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(8,042)</w:t>
            </w:r>
          </w:p>
        </w:tc>
      </w:tr>
      <w:tr>
        <w:trPr>
          <w:trHeight w:val="220"/>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Earnings / (Loss) Per Share: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880" w:type="dxa"/>
            <w:vAlign w:val="bottom"/>
          </w:tcPr>
          <w:p>
            <w:pPr>
              <w:ind w:left="160"/>
              <w:spacing w:after="0"/>
              <w:rPr>
                <w:sz w:val="20"/>
                <w:szCs w:val="20"/>
                <w:color w:val="auto"/>
              </w:rPr>
            </w:pPr>
            <w:r>
              <w:rPr>
                <w:rFonts w:ascii="Arial" w:cs="Arial" w:eastAsia="Arial" w:hAnsi="Arial"/>
                <w:sz w:val="15"/>
                <w:szCs w:val="15"/>
                <w:color w:val="auto"/>
              </w:rPr>
              <w:t>Basic</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0.16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5"/>
                <w:szCs w:val="15"/>
                <w:color w:val="auto"/>
              </w:rPr>
              <w:t>(0.13)</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(0.17)</w:t>
            </w:r>
          </w:p>
        </w:tc>
      </w:tr>
      <w:tr>
        <w:trPr>
          <w:trHeight w:val="220"/>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(0.13)</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(0.17)</w:t>
            </w:r>
          </w:p>
        </w:tc>
        <w:tc>
          <w:tcPr>
            <w:tcW w:w="60" w:type="dxa"/>
            <w:vAlign w:val="bottom"/>
          </w:tcPr>
          <w:p>
            <w:pPr>
              <w:spacing w:after="0"/>
              <w:rPr>
                <w:sz w:val="19"/>
                <w:szCs w:val="19"/>
                <w:color w:val="auto"/>
              </w:rPr>
            </w:pPr>
          </w:p>
        </w:tc>
      </w:tr>
      <w:tr>
        <w:trPr>
          <w:trHeight w:val="301"/>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First</w:t>
            </w:r>
          </w:p>
        </w:tc>
        <w:tc>
          <w:tcPr>
            <w:tcW w:w="74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w w:val="96"/>
              </w:rPr>
              <w:t>Second</w:t>
            </w:r>
          </w:p>
        </w:tc>
        <w:tc>
          <w:tcPr>
            <w:tcW w:w="80" w:type="dxa"/>
            <w:vAlign w:val="bottom"/>
          </w:tcPr>
          <w:p>
            <w:pPr>
              <w:spacing w:after="0"/>
              <w:rPr>
                <w:sz w:val="24"/>
                <w:szCs w:val="2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Fourth</w:t>
            </w:r>
          </w:p>
        </w:tc>
      </w:tr>
      <w:tr>
        <w:trPr>
          <w:trHeight w:val="150"/>
        </w:trPr>
        <w:tc>
          <w:tcPr>
            <w:tcW w:w="3880" w:type="dxa"/>
            <w:vAlign w:val="bottom"/>
          </w:tcPr>
          <w:p>
            <w:pPr>
              <w:spacing w:after="0"/>
              <w:rPr>
                <w:sz w:val="13"/>
                <w:szCs w:val="13"/>
                <w:color w:val="auto"/>
              </w:rPr>
            </w:pPr>
          </w:p>
        </w:tc>
        <w:tc>
          <w:tcPr>
            <w:tcW w:w="740" w:type="dxa"/>
            <w:vAlign w:val="bottom"/>
            <w:gridSpan w:val="5"/>
          </w:tcPr>
          <w:p>
            <w:pPr>
              <w:ind w:left="80"/>
              <w:spacing w:after="0"/>
              <w:rPr>
                <w:sz w:val="20"/>
                <w:szCs w:val="20"/>
                <w:color w:val="auto"/>
              </w:rPr>
            </w:pPr>
            <w:r>
              <w:rPr>
                <w:rFonts w:ascii="Arial" w:cs="Arial" w:eastAsia="Arial" w:hAnsi="Arial"/>
                <w:sz w:val="12"/>
                <w:szCs w:val="12"/>
                <w:b w:val="1"/>
                <w:bCs w:val="1"/>
                <w:color w:val="auto"/>
              </w:rPr>
              <w:t>Quarter</w:t>
            </w:r>
          </w:p>
        </w:tc>
        <w:tc>
          <w:tcPr>
            <w:tcW w:w="740" w:type="dxa"/>
            <w:vAlign w:val="bottom"/>
            <w:gridSpan w:val="5"/>
          </w:tcPr>
          <w:p>
            <w:pPr>
              <w:jc w:val="right"/>
              <w:ind w:right="26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Quarter</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Operating Revenues</w:t>
            </w:r>
          </w:p>
        </w:tc>
        <w:tc>
          <w:tcPr>
            <w:tcW w:w="720" w:type="dxa"/>
            <w:vAlign w:val="bottom"/>
            <w:gridSpan w:val="4"/>
          </w:tcPr>
          <w:p>
            <w:pPr>
              <w:jc w:val="right"/>
              <w:ind w:right="160"/>
              <w:spacing w:after="0"/>
              <w:rPr>
                <w:sz w:val="20"/>
                <w:szCs w:val="20"/>
                <w:color w:val="auto"/>
              </w:rPr>
            </w:pPr>
            <w:r>
              <w:rPr>
                <w:rFonts w:ascii="Arial" w:cs="Arial" w:eastAsia="Arial" w:hAnsi="Arial"/>
                <w:sz w:val="15"/>
                <w:szCs w:val="15"/>
                <w:color w:val="auto"/>
                <w:w w:val="86"/>
              </w:rPr>
              <w:t>$196,669</w:t>
            </w:r>
          </w:p>
        </w:tc>
        <w:tc>
          <w:tcPr>
            <w:tcW w:w="2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5"/>
                <w:szCs w:val="15"/>
                <w:color w:val="auto"/>
                <w:w w:val="89"/>
              </w:rPr>
              <w:t>$169,373</w:t>
            </w:r>
          </w:p>
        </w:tc>
        <w:tc>
          <w:tcPr>
            <w:tcW w:w="100" w:type="dxa"/>
            <w:vAlign w:val="bottom"/>
          </w:tcPr>
          <w:p>
            <w:pPr>
              <w:spacing w:after="0"/>
              <w:rPr>
                <w:sz w:val="18"/>
                <w:szCs w:val="18"/>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5"/>
                <w:szCs w:val="15"/>
                <w:color w:val="auto"/>
                <w:w w:val="89"/>
              </w:rPr>
              <w:t>$171,478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163,864</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46,502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9,541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2"/>
              </w:rPr>
              <w:t>10,475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11,604</w:t>
            </w:r>
          </w:p>
        </w:tc>
        <w:tc>
          <w:tcPr>
            <w:tcW w:w="60" w:type="dxa"/>
            <w:vAlign w:val="bottom"/>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Net Income</w:t>
            </w:r>
          </w:p>
        </w:tc>
        <w:tc>
          <w:tcPr>
            <w:tcW w:w="720" w:type="dxa"/>
            <w:vAlign w:val="bottom"/>
            <w:gridSpan w:val="4"/>
          </w:tcPr>
          <w:p>
            <w:pPr>
              <w:jc w:val="right"/>
              <w:ind w:right="160"/>
              <w:spacing w:after="0"/>
              <w:rPr>
                <w:sz w:val="20"/>
                <w:szCs w:val="20"/>
                <w:color w:val="auto"/>
              </w:rPr>
            </w:pPr>
            <w:r>
              <w:rPr>
                <w:rFonts w:ascii="Arial" w:cs="Arial" w:eastAsia="Arial" w:hAnsi="Arial"/>
                <w:sz w:val="15"/>
                <w:szCs w:val="15"/>
                <w:color w:val="auto"/>
                <w:w w:val="92"/>
              </w:rPr>
              <w:t>$ 33,368</w:t>
            </w:r>
          </w:p>
        </w:tc>
        <w:tc>
          <w:tcPr>
            <w:tcW w:w="2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3,713</w:t>
            </w:r>
          </w:p>
        </w:tc>
        <w:tc>
          <w:tcPr>
            <w:tcW w:w="100" w:type="dxa"/>
            <w:vAlign w:val="bottom"/>
          </w:tcPr>
          <w:p>
            <w:pPr>
              <w:spacing w:after="0"/>
              <w:rPr>
                <w:sz w:val="18"/>
                <w:szCs w:val="18"/>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3,973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5,018</w:t>
            </w:r>
          </w:p>
        </w:tc>
      </w:tr>
      <w:tr>
        <w:trPr>
          <w:trHeight w:val="220"/>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880" w:type="dxa"/>
            <w:vAlign w:val="bottom"/>
          </w:tcPr>
          <w:p>
            <w:pPr>
              <w:ind w:left="160"/>
              <w:spacing w:after="0"/>
              <w:rPr>
                <w:sz w:val="20"/>
                <w:szCs w:val="20"/>
                <w:color w:val="auto"/>
              </w:rPr>
            </w:pPr>
            <w:r>
              <w:rPr>
                <w:rFonts w:ascii="Arial" w:cs="Arial" w:eastAsia="Arial" w:hAnsi="Arial"/>
                <w:sz w:val="15"/>
                <w:szCs w:val="15"/>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5"/>
                <w:szCs w:val="15"/>
                <w:color w:val="auto"/>
              </w:rPr>
              <w:t>0.71</w:t>
            </w:r>
          </w:p>
        </w:tc>
        <w:tc>
          <w:tcPr>
            <w:tcW w:w="20" w:type="dxa"/>
            <w:vAlign w:val="bottom"/>
          </w:tcPr>
          <w:p>
            <w:pPr>
              <w:spacing w:after="0"/>
              <w:rPr>
                <w:sz w:val="19"/>
                <w:szCs w:val="19"/>
                <w:color w:val="auto"/>
              </w:rPr>
            </w:pPr>
          </w:p>
        </w:tc>
        <w:tc>
          <w:tcPr>
            <w:tcW w:w="16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9"/>
                <w:szCs w:val="19"/>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0.11</w:t>
            </w:r>
          </w:p>
        </w:tc>
      </w:tr>
      <w:tr>
        <w:trPr>
          <w:trHeight w:val="220"/>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0.71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0.08</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-2211070</wp:posOffset>
            </wp:positionV>
            <wp:extent cx="111760" cy="69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-2211070</wp:posOffset>
            </wp:positionV>
            <wp:extent cx="3453130" cy="69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45313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-955040</wp:posOffset>
            </wp:positionV>
            <wp:extent cx="111760"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-955040</wp:posOffset>
            </wp:positionV>
            <wp:extent cx="3404235"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pacing w:after="0" w:line="90"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sum of the quarterly net income (loss) per common stock share amounts does not equal the annual amount reported since per share amounts are computed independently for each quarter and for the full year based on respective weighted-average common shares outstanding and other dilutive potential common shares.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2" w:name="page243"/>
    <w:bookmarkEnd w:id="242"/>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88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June 30, 2021</w:t>
            </w:r>
          </w:p>
        </w:tc>
        <w:tc>
          <w:tcPr>
            <w:tcW w:w="9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8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57"/>
        </w:trPr>
        <w:tc>
          <w:tcPr>
            <w:tcW w:w="4880" w:type="dxa"/>
            <w:vAlign w:val="bottom"/>
          </w:tcPr>
          <w:p>
            <w:pPr>
              <w:spacing w:after="0"/>
              <w:rPr>
                <w:sz w:val="13"/>
                <w:szCs w:val="13"/>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(Unaudited)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4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8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310,723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62,028</w:t>
            </w:r>
          </w:p>
        </w:tc>
      </w:tr>
      <w:tr>
        <w:trPr>
          <w:trHeight w:val="209"/>
        </w:trPr>
        <w:tc>
          <w:tcPr>
            <w:tcW w:w="488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4,762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8,335</w:t>
            </w:r>
          </w:p>
        </w:tc>
      </w:tr>
      <w:tr>
        <w:trPr>
          <w:trHeight w:val="209"/>
        </w:trPr>
        <w:tc>
          <w:tcPr>
            <w:tcW w:w="48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5,624</w:t>
            </w:r>
          </w:p>
        </w:tc>
      </w:tr>
      <w:tr>
        <w:trPr>
          <w:trHeight w:val="187"/>
        </w:trPr>
        <w:tc>
          <w:tcPr>
            <w:tcW w:w="4880" w:type="dxa"/>
            <w:vAlign w:val="bottom"/>
          </w:tcPr>
          <w:p>
            <w:pPr>
              <w:ind w:left="160"/>
              <w:spacing w:after="0"/>
              <w:rPr>
                <w:sz w:val="20"/>
                <w:szCs w:val="20"/>
                <w:color w:val="auto"/>
              </w:rPr>
            </w:pPr>
            <w:r>
              <w:rPr>
                <w:rFonts w:ascii="Arial" w:cs="Arial" w:eastAsia="Arial" w:hAnsi="Arial"/>
                <w:sz w:val="15"/>
                <w:szCs w:val="15"/>
                <w:color w:val="auto"/>
                <w:w w:val="99"/>
              </w:rPr>
              <w:t>Accounts Receivable, net of an allowance for credit losses of $297 and</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4880" w:type="dxa"/>
            <w:vAlign w:val="bottom"/>
          </w:tcPr>
          <w:p>
            <w:pPr>
              <w:ind w:left="300"/>
              <w:spacing w:after="0"/>
              <w:rPr>
                <w:sz w:val="20"/>
                <w:szCs w:val="20"/>
                <w:color w:val="auto"/>
              </w:rPr>
            </w:pPr>
            <w:r>
              <w:rPr>
                <w:rFonts w:ascii="Arial" w:cs="Arial" w:eastAsia="Arial" w:hAnsi="Arial"/>
                <w:sz w:val="15"/>
                <w:szCs w:val="15"/>
                <w:color w:val="auto"/>
              </w:rPr>
              <w:t>$224, respectively</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25,989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28,690</w:t>
            </w:r>
          </w:p>
        </w:tc>
      </w:tr>
      <w:tr>
        <w:trPr>
          <w:trHeight w:val="214"/>
        </w:trPr>
        <w:tc>
          <w:tcPr>
            <w:tcW w:w="48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Short-term Lessor Maintenance Deposits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3,101</w:t>
            </w:r>
          </w:p>
        </w:tc>
      </w:tr>
      <w:tr>
        <w:trPr>
          <w:trHeight w:val="187"/>
        </w:trPr>
        <w:tc>
          <w:tcPr>
            <w:tcW w:w="4880" w:type="dxa"/>
            <w:vAlign w:val="bottom"/>
          </w:tcPr>
          <w:p>
            <w:pPr>
              <w:ind w:left="160"/>
              <w:spacing w:after="0"/>
              <w:rPr>
                <w:sz w:val="20"/>
                <w:szCs w:val="20"/>
                <w:color w:val="auto"/>
              </w:rPr>
            </w:pPr>
            <w:r>
              <w:rPr>
                <w:rFonts w:ascii="Arial" w:cs="Arial" w:eastAsia="Arial" w:hAnsi="Arial"/>
                <w:sz w:val="15"/>
                <w:szCs w:val="15"/>
                <w:color w:val="auto"/>
              </w:rPr>
              <w:t>Inventory, net of a reserve for obsolescence of $1,188 and $996,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4880" w:type="dxa"/>
            <w:vAlign w:val="bottom"/>
          </w:tcPr>
          <w:p>
            <w:pPr>
              <w:ind w:left="300"/>
              <w:spacing w:after="0"/>
              <w:rPr>
                <w:sz w:val="20"/>
                <w:szCs w:val="20"/>
                <w:color w:val="auto"/>
              </w:rPr>
            </w:pPr>
            <w:r>
              <w:rPr>
                <w:rFonts w:ascii="Arial" w:cs="Arial" w:eastAsia="Arial" w:hAnsi="Arial"/>
                <w:sz w:val="15"/>
                <w:szCs w:val="15"/>
                <w:color w:val="auto"/>
              </w:rPr>
              <w:t>respectively</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5,382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5,407</w:t>
            </w:r>
          </w:p>
        </w:tc>
      </w:tr>
      <w:tr>
        <w:trPr>
          <w:trHeight w:val="214"/>
        </w:trPr>
        <w:tc>
          <w:tcPr>
            <w:tcW w:w="48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Prepaid Expenses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14,447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8,002</w:t>
            </w:r>
          </w:p>
        </w:tc>
      </w:tr>
      <w:tr>
        <w:trPr>
          <w:trHeight w:val="209"/>
        </w:trPr>
        <w:tc>
          <w:tcPr>
            <w:tcW w:w="4880" w:type="dxa"/>
            <w:vAlign w:val="bottom"/>
          </w:tcPr>
          <w:p>
            <w:pPr>
              <w:ind w:left="160"/>
              <w:spacing w:after="0"/>
              <w:rPr>
                <w:sz w:val="20"/>
                <w:szCs w:val="20"/>
                <w:color w:val="auto"/>
              </w:rPr>
            </w:pPr>
            <w:r>
              <w:rPr>
                <w:rFonts w:ascii="Arial" w:cs="Arial" w:eastAsia="Arial" w:hAnsi="Arial"/>
                <w:sz w:val="15"/>
                <w:szCs w:val="15"/>
                <w:color w:val="auto"/>
              </w:rPr>
              <w:t>Derivative Assets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14"/>
        </w:trPr>
        <w:tc>
          <w:tcPr>
            <w:tcW w:w="48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Assets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5,553</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5"/>
        </w:trPr>
        <w:tc>
          <w:tcPr>
            <w:tcW w:w="488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371,246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126,740</w:t>
            </w:r>
          </w:p>
        </w:tc>
      </w:tr>
      <w:tr>
        <w:trPr>
          <w:trHeight w:val="209"/>
        </w:trPr>
        <w:tc>
          <w:tcPr>
            <w:tcW w:w="4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Property &amp; Equipment, net: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4880" w:type="dxa"/>
            <w:vAlign w:val="bottom"/>
          </w:tcPr>
          <w:p>
            <w:pPr>
              <w:ind w:left="160"/>
              <w:spacing w:after="0"/>
              <w:rPr>
                <w:sz w:val="20"/>
                <w:szCs w:val="20"/>
                <w:color w:val="auto"/>
              </w:rPr>
            </w:pPr>
            <w:r>
              <w:rPr>
                <w:rFonts w:ascii="Arial" w:cs="Arial" w:eastAsia="Arial" w:hAnsi="Arial"/>
                <w:sz w:val="15"/>
                <w:szCs w:val="15"/>
                <w:color w:val="auto"/>
              </w:rPr>
              <w:t>Aircraft and Flight Equipment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395,646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331,685</w:t>
            </w:r>
          </w:p>
        </w:tc>
      </w:tr>
      <w:tr>
        <w:trPr>
          <w:trHeight w:val="220"/>
        </w:trPr>
        <w:tc>
          <w:tcPr>
            <w:tcW w:w="48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Leasehold Improvements and Ground Equipment</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14,025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13,526</w:t>
            </w:r>
          </w:p>
        </w:tc>
      </w:tr>
      <w:tr>
        <w:trPr>
          <w:trHeight w:val="220"/>
        </w:trPr>
        <w:tc>
          <w:tcPr>
            <w:tcW w:w="4880" w:type="dxa"/>
            <w:vAlign w:val="bottom"/>
          </w:tcPr>
          <w:p>
            <w:pPr>
              <w:ind w:left="160"/>
              <w:spacing w:after="0"/>
              <w:rPr>
                <w:sz w:val="20"/>
                <w:szCs w:val="20"/>
                <w:color w:val="auto"/>
              </w:rPr>
            </w:pPr>
            <w:r>
              <w:rPr>
                <w:rFonts w:ascii="Arial" w:cs="Arial" w:eastAsia="Arial" w:hAnsi="Arial"/>
                <w:sz w:val="15"/>
                <w:szCs w:val="15"/>
                <w:color w:val="auto"/>
              </w:rPr>
              <w:t>Computer Hardware and Software</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8,331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7,845</w:t>
            </w:r>
          </w:p>
        </w:tc>
      </w:tr>
      <w:tr>
        <w:trPr>
          <w:trHeight w:val="220"/>
        </w:trPr>
        <w:tc>
          <w:tcPr>
            <w:tcW w:w="48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Assets</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161,649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117,833</w:t>
            </w:r>
          </w:p>
        </w:tc>
      </w:tr>
      <w:tr>
        <w:trPr>
          <w:trHeight w:val="225"/>
        </w:trPr>
        <w:tc>
          <w:tcPr>
            <w:tcW w:w="4880" w:type="dxa"/>
            <w:vAlign w:val="bottom"/>
          </w:tcPr>
          <w:p>
            <w:pPr>
              <w:ind w:left="160"/>
              <w:spacing w:after="0"/>
              <w:rPr>
                <w:sz w:val="20"/>
                <w:szCs w:val="20"/>
                <w:color w:val="auto"/>
              </w:rPr>
            </w:pPr>
            <w:r>
              <w:rPr>
                <w:rFonts w:ascii="Arial" w:cs="Arial" w:eastAsia="Arial" w:hAnsi="Arial"/>
                <w:sz w:val="15"/>
                <w:szCs w:val="15"/>
                <w:color w:val="auto"/>
              </w:rPr>
              <w:t>Rotable Parts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9,094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8,691</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8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Property &amp; Equipment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588,745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479,580</w:t>
            </w:r>
          </w:p>
        </w:tc>
      </w:tr>
      <w:tr>
        <w:trPr>
          <w:trHeight w:val="225"/>
        </w:trPr>
        <w:tc>
          <w:tcPr>
            <w:tcW w:w="4880" w:type="dxa"/>
            <w:vAlign w:val="bottom"/>
          </w:tcPr>
          <w:p>
            <w:pPr>
              <w:ind w:left="160"/>
              <w:spacing w:after="0"/>
              <w:rPr>
                <w:sz w:val="20"/>
                <w:szCs w:val="20"/>
                <w:color w:val="auto"/>
              </w:rPr>
            </w:pPr>
            <w:r>
              <w:rPr>
                <w:rFonts w:ascii="Arial" w:cs="Arial" w:eastAsia="Arial" w:hAnsi="Arial"/>
                <w:sz w:val="15"/>
                <w:szCs w:val="15"/>
                <w:color w:val="auto"/>
              </w:rPr>
              <w:t>Accumulated Depreciation &amp; Amortization</w:t>
            </w: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(88,704)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(65,065)</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8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Property &amp; Equipment, net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500,041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414,515</w:t>
            </w:r>
          </w:p>
        </w:tc>
      </w:tr>
      <w:tr>
        <w:trPr>
          <w:trHeight w:val="220"/>
        </w:trPr>
        <w:tc>
          <w:tcPr>
            <w:tcW w:w="488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8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222,223</w:t>
            </w:r>
          </w:p>
        </w:tc>
      </w:tr>
      <w:tr>
        <w:trPr>
          <w:trHeight w:val="220"/>
        </w:trPr>
        <w:tc>
          <w:tcPr>
            <w:tcW w:w="4880" w:type="dxa"/>
            <w:vAlign w:val="bottom"/>
          </w:tcPr>
          <w:p>
            <w:pPr>
              <w:ind w:left="160"/>
              <w:spacing w:after="0"/>
              <w:rPr>
                <w:sz w:val="20"/>
                <w:szCs w:val="20"/>
                <w:color w:val="auto"/>
              </w:rPr>
            </w:pPr>
            <w:r>
              <w:rPr>
                <w:rFonts w:ascii="Arial" w:cs="Arial" w:eastAsia="Arial" w:hAnsi="Arial"/>
                <w:sz w:val="15"/>
                <w:szCs w:val="15"/>
                <w:color w:val="auto"/>
              </w:rPr>
              <w:t>Other Intangible Assets, net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91,110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93,110</w:t>
            </w:r>
          </w:p>
        </w:tc>
      </w:tr>
      <w:tr>
        <w:trPr>
          <w:trHeight w:val="220"/>
        </w:trPr>
        <w:tc>
          <w:tcPr>
            <w:tcW w:w="48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Right-of-use Assets</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70,715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121,269</w:t>
            </w:r>
          </w:p>
        </w:tc>
      </w:tr>
      <w:tr>
        <w:trPr>
          <w:trHeight w:val="220"/>
        </w:trPr>
        <w:tc>
          <w:tcPr>
            <w:tcW w:w="488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7,657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10,253</w:t>
            </w:r>
          </w:p>
        </w:tc>
      </w:tr>
      <w:tr>
        <w:trPr>
          <w:trHeight w:val="220"/>
        </w:trPr>
        <w:tc>
          <w:tcPr>
            <w:tcW w:w="48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Long-term Lessor Maintenance Deposits</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19,493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22,584</w:t>
            </w:r>
          </w:p>
        </w:tc>
      </w:tr>
      <w:tr>
        <w:trPr>
          <w:trHeight w:val="220"/>
        </w:trPr>
        <w:tc>
          <w:tcPr>
            <w:tcW w:w="4880" w:type="dxa"/>
            <w:vAlign w:val="bottom"/>
          </w:tcPr>
          <w:p>
            <w:pPr>
              <w:ind w:left="160"/>
              <w:spacing w:after="0"/>
              <w:rPr>
                <w:sz w:val="20"/>
                <w:szCs w:val="20"/>
                <w:color w:val="auto"/>
              </w:rPr>
            </w:pPr>
            <w:r>
              <w:rPr>
                <w:rFonts w:ascii="Arial" w:cs="Arial" w:eastAsia="Arial" w:hAnsi="Arial"/>
                <w:sz w:val="15"/>
                <w:szCs w:val="15"/>
                <w:color w:val="auto"/>
              </w:rPr>
              <w:t>Deferred Tax Asset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21,342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36,216</w:t>
            </w:r>
          </w:p>
        </w:tc>
      </w:tr>
      <w:tr>
        <w:trPr>
          <w:trHeight w:val="225"/>
        </w:trPr>
        <w:tc>
          <w:tcPr>
            <w:tcW w:w="48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6,137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6,357</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880" w:type="dxa"/>
            <w:vAlign w:val="bottom"/>
          </w:tcPr>
          <w:p>
            <w:pPr>
              <w:ind w:left="300"/>
              <w:spacing w:after="0"/>
              <w:rPr>
                <w:sz w:val="20"/>
                <w:szCs w:val="20"/>
                <w:color w:val="auto"/>
              </w:rPr>
            </w:pPr>
            <w:r>
              <w:rPr>
                <w:rFonts w:ascii="Arial" w:cs="Arial" w:eastAsia="Arial" w:hAnsi="Arial"/>
                <w:sz w:val="15"/>
                <w:szCs w:val="15"/>
                <w:color w:val="auto"/>
              </w:rPr>
              <w:t>Total Other Assets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438,677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512,012</w:t>
            </w:r>
          </w:p>
        </w:tc>
      </w:t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7"/>
        </w:trPr>
        <w:tc>
          <w:tcPr>
            <w:tcW w:w="4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3"/>
              </w:rPr>
              <w:t>1,309,964</w:t>
            </w:r>
          </w:p>
        </w:tc>
        <w:tc>
          <w:tcPr>
            <w:tcW w:w="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3"/>
              </w:rPr>
              <w:t>1,053,267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69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-1604010</wp:posOffset>
            </wp:positionV>
            <wp:extent cx="4241800" cy="69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-1896745</wp:posOffset>
            </wp:positionV>
            <wp:extent cx="4241800" cy="698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3" w:name="page244"/>
    <w:bookmarkEnd w:id="243"/>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1760" w:type="dxa"/>
            <w:vAlign w:val="bottom"/>
            <w:gridSpan w:val="7"/>
          </w:tcPr>
          <w:p>
            <w:pPr>
              <w:spacing w:after="0"/>
              <w:rPr>
                <w:sz w:val="20"/>
                <w:szCs w:val="20"/>
                <w:color w:val="auto"/>
              </w:rPr>
            </w:pPr>
            <w:r>
              <w:rPr>
                <w:rFonts w:ascii="Arial" w:cs="Arial" w:eastAsia="Arial" w:hAnsi="Arial"/>
                <w:sz w:val="12"/>
                <w:szCs w:val="12"/>
                <w:b w:val="1"/>
                <w:bCs w:val="1"/>
                <w:color w:val="auto"/>
                <w:w w:val="88"/>
              </w:rPr>
              <w:t>June 30, 2021   December 31, 2020</w:t>
            </w:r>
          </w:p>
        </w:tc>
      </w:tr>
      <w:tr>
        <w:trPr>
          <w:trHeight w:val="21"/>
        </w:trPr>
        <w:tc>
          <w:tcPr>
            <w:tcW w:w="49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57"/>
        </w:trPr>
        <w:tc>
          <w:tcPr>
            <w:tcW w:w="4920" w:type="dxa"/>
            <w:vAlign w:val="bottom"/>
          </w:tcPr>
          <w:p>
            <w:pPr>
              <w:spacing w:after="0"/>
              <w:rPr>
                <w:sz w:val="13"/>
                <w:szCs w:val="13"/>
                <w:color w:val="auto"/>
              </w:rPr>
            </w:pPr>
          </w:p>
        </w:tc>
        <w:tc>
          <w:tcPr>
            <w:tcW w:w="960" w:type="dxa"/>
            <w:vAlign w:val="bottom"/>
            <w:gridSpan w:val="4"/>
          </w:tcPr>
          <w:p>
            <w:pPr>
              <w:ind w:left="40"/>
              <w:spacing w:after="0"/>
              <w:rPr>
                <w:sz w:val="20"/>
                <w:szCs w:val="20"/>
                <w:color w:val="auto"/>
              </w:rPr>
            </w:pPr>
            <w:r>
              <w:rPr>
                <w:rFonts w:ascii="Arial" w:cs="Arial" w:eastAsia="Arial" w:hAnsi="Arial"/>
                <w:sz w:val="12"/>
                <w:szCs w:val="12"/>
                <w:b w:val="1"/>
                <w:bCs w:val="1"/>
                <w:color w:val="auto"/>
              </w:rPr>
              <w:t>(Unaudited)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36,847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34,035</w:t>
            </w:r>
          </w:p>
        </w:tc>
      </w:tr>
      <w:tr>
        <w:trPr>
          <w:trHeight w:val="209"/>
        </w:trPr>
        <w:tc>
          <w:tcPr>
            <w:tcW w:w="4920" w:type="dxa"/>
            <w:vAlign w:val="bottom"/>
          </w:tcPr>
          <w:p>
            <w:pPr>
              <w:ind w:left="160"/>
              <w:spacing w:after="0"/>
              <w:rPr>
                <w:sz w:val="20"/>
                <w:szCs w:val="20"/>
                <w:color w:val="auto"/>
              </w:rPr>
            </w:pPr>
            <w:r>
              <w:rPr>
                <w:rFonts w:ascii="Arial" w:cs="Arial" w:eastAsia="Arial" w:hAnsi="Arial"/>
                <w:sz w:val="15"/>
                <w:szCs w:val="15"/>
                <w:color w:val="auto"/>
              </w:rPr>
              <w:t>Accrued Salaries, Wages, and Benefits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17,855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16,368</w:t>
            </w:r>
          </w:p>
        </w:tc>
      </w:tr>
      <w:tr>
        <w:trPr>
          <w:trHeight w:val="209"/>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5,883</w:t>
            </w:r>
          </w:p>
        </w:tc>
      </w:tr>
      <w:tr>
        <w:trPr>
          <w:trHeight w:val="209"/>
        </w:trPr>
        <w:tc>
          <w:tcPr>
            <w:tcW w:w="492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113,771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101,075</w:t>
            </w:r>
          </w:p>
        </w:tc>
      </w:tr>
      <w:tr>
        <w:trPr>
          <w:trHeight w:val="209"/>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Derivative Liabilities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1,174</w:t>
            </w:r>
          </w:p>
        </w:tc>
      </w:tr>
      <w:tr>
        <w:trPr>
          <w:trHeight w:val="209"/>
        </w:trPr>
        <w:tc>
          <w:tcPr>
            <w:tcW w:w="492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9,281</w:t>
            </w:r>
          </w:p>
        </w:tc>
      </w:tr>
      <w:tr>
        <w:trPr>
          <w:trHeight w:val="209"/>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11,460</w:t>
            </w:r>
          </w:p>
        </w:tc>
      </w:tr>
      <w:tr>
        <w:trPr>
          <w:trHeight w:val="209"/>
        </w:trPr>
        <w:tc>
          <w:tcPr>
            <w:tcW w:w="492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12,337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7,016</w:t>
            </w:r>
          </w:p>
        </w:tc>
      </w:tr>
      <w:tr>
        <w:trPr>
          <w:trHeight w:val="209"/>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18,239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34,492</w:t>
            </w:r>
          </w:p>
        </w:tc>
      </w:tr>
      <w:tr>
        <w:trPr>
          <w:trHeight w:val="209"/>
        </w:trPr>
        <w:tc>
          <w:tcPr>
            <w:tcW w:w="4920" w:type="dxa"/>
            <w:vAlign w:val="bottom"/>
          </w:tcPr>
          <w:p>
            <w:pPr>
              <w:ind w:left="160"/>
              <w:spacing w:after="0"/>
              <w:rPr>
                <w:sz w:val="20"/>
                <w:szCs w:val="20"/>
                <w:color w:val="auto"/>
              </w:rPr>
            </w:pPr>
            <w:r>
              <w:rPr>
                <w:rFonts w:ascii="Arial" w:cs="Arial" w:eastAsia="Arial" w:hAnsi="Arial"/>
                <w:sz w:val="15"/>
                <w:szCs w:val="15"/>
                <w:color w:val="auto"/>
              </w:rPr>
              <w:t>Current Maturities of Long-term Debt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19,795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26,118</w:t>
            </w:r>
          </w:p>
        </w:tc>
      </w:tr>
      <w:tr>
        <w:trPr>
          <w:trHeight w:val="214"/>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Liabilities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6,841</w:t>
            </w:r>
          </w:p>
        </w:tc>
      </w:tr>
      <w:tr>
        <w:trPr>
          <w:trHeight w:val="20"/>
        </w:trPr>
        <w:tc>
          <w:tcPr>
            <w:tcW w:w="4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5"/>
        </w:trPr>
        <w:tc>
          <w:tcPr>
            <w:tcW w:w="492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250,806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253,743</w:t>
            </w:r>
          </w:p>
        </w:tc>
      </w:tr>
      <w:tr>
        <w:trPr>
          <w:trHeight w:val="220"/>
        </w:trPr>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Long-term Liabilities:</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0"/>
        </w:trPr>
        <w:tc>
          <w:tcPr>
            <w:tcW w:w="492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12,583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28,128</w:t>
            </w:r>
          </w:p>
        </w:tc>
      </w:tr>
      <w:tr>
        <w:trPr>
          <w:trHeight w:val="220"/>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135,091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95,710</w:t>
            </w:r>
          </w:p>
        </w:tc>
      </w:tr>
      <w:tr>
        <w:trPr>
          <w:trHeight w:val="220"/>
        </w:trPr>
        <w:tc>
          <w:tcPr>
            <w:tcW w:w="492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8,540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15,053</w:t>
            </w:r>
          </w:p>
        </w:tc>
      </w:tr>
      <w:tr>
        <w:trPr>
          <w:trHeight w:val="220"/>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68,408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112,707</w:t>
            </w:r>
          </w:p>
        </w:tc>
      </w:tr>
      <w:tr>
        <w:trPr>
          <w:trHeight w:val="220"/>
        </w:trPr>
        <w:tc>
          <w:tcPr>
            <w:tcW w:w="4920" w:type="dxa"/>
            <w:vAlign w:val="bottom"/>
          </w:tcPr>
          <w:p>
            <w:pPr>
              <w:ind w:left="160"/>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267,684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256,345</w:t>
            </w:r>
          </w:p>
        </w:tc>
      </w:tr>
      <w:tr>
        <w:trPr>
          <w:trHeight w:val="220"/>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Receivable Agreement Liability</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225"/>
        </w:trPr>
        <w:tc>
          <w:tcPr>
            <w:tcW w:w="4920" w:type="dxa"/>
            <w:vAlign w:val="bottom"/>
          </w:tcPr>
          <w:p>
            <w:pPr>
              <w:ind w:left="160"/>
              <w:spacing w:after="0"/>
              <w:rPr>
                <w:sz w:val="20"/>
                <w:szCs w:val="20"/>
                <w:color w:val="auto"/>
              </w:rPr>
            </w:pPr>
            <w:r>
              <w:rPr>
                <w:rFonts w:ascii="Arial" w:cs="Arial" w:eastAsia="Arial" w:hAnsi="Arial"/>
                <w:sz w:val="15"/>
                <w:szCs w:val="15"/>
                <w:color w:val="auto"/>
              </w:rPr>
              <w:t>Other Long-term Liabilities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7,764</w:t>
            </w:r>
          </w:p>
        </w:tc>
      </w:tr>
      <w:tr>
        <w:trPr>
          <w:trHeight w:val="20"/>
        </w:trPr>
        <w:tc>
          <w:tcPr>
            <w:tcW w:w="4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9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Long-term Liabilities</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594,925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515,707</w:t>
            </w:r>
          </w:p>
        </w:tc>
      </w:tr>
      <w:tr>
        <w:trPr>
          <w:trHeight w:val="20"/>
        </w:trPr>
        <w:tc>
          <w:tcPr>
            <w:tcW w:w="4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5"/>
                <w:szCs w:val="15"/>
                <w:color w:val="auto"/>
              </w:rPr>
              <w:t>Total Liabilities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845,731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769,450</w:t>
            </w:r>
          </w:p>
        </w:tc>
      </w:tr>
      <w:tr>
        <w:trPr>
          <w:trHeight w:val="220"/>
        </w:trPr>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Commitments and Contingencies</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0"/>
        </w:trPr>
        <w:tc>
          <w:tcPr>
            <w:tcW w:w="4920" w:type="dxa"/>
            <w:vAlign w:val="bottom"/>
          </w:tcPr>
          <w:p>
            <w:pPr>
              <w:spacing w:after="0"/>
              <w:rPr>
                <w:sz w:val="20"/>
                <w:szCs w:val="20"/>
                <w:color w:val="auto"/>
              </w:rPr>
            </w:pPr>
            <w:r>
              <w:rPr>
                <w:rFonts w:ascii="Arial" w:cs="Arial" w:eastAsia="Arial" w:hAnsi="Arial"/>
                <w:sz w:val="15"/>
                <w:szCs w:val="15"/>
                <w:b w:val="1"/>
                <w:bCs w:val="1"/>
                <w:color w:val="auto"/>
              </w:rPr>
              <w:t>Stockholders’ Equity:</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Common Stock</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468</w:t>
            </w:r>
          </w:p>
        </w:tc>
      </w:tr>
      <w:tr>
        <w:trPr>
          <w:trHeight w:val="198"/>
        </w:trPr>
        <w:tc>
          <w:tcPr>
            <w:tcW w:w="4920" w:type="dxa"/>
            <w:vAlign w:val="bottom"/>
          </w:tcPr>
          <w:p>
            <w:pPr>
              <w:ind w:left="300"/>
              <w:spacing w:after="0"/>
              <w:rPr>
                <w:sz w:val="20"/>
                <w:szCs w:val="20"/>
                <w:color w:val="auto"/>
              </w:rPr>
            </w:pPr>
            <w:r>
              <w:rPr>
                <w:rFonts w:ascii="Arial" w:cs="Arial" w:eastAsia="Arial" w:hAnsi="Arial"/>
                <w:sz w:val="15"/>
                <w:szCs w:val="15"/>
                <w:color w:val="auto"/>
              </w:rPr>
              <w:t>Common stock with $0.01 par value, 995,000,000 shares authorized,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76"/>
        </w:trPr>
        <w:tc>
          <w:tcPr>
            <w:tcW w:w="4920" w:type="dxa"/>
            <w:vAlign w:val="bottom"/>
          </w:tcPr>
          <w:p>
            <w:pPr>
              <w:ind w:left="440"/>
              <w:spacing w:after="0"/>
              <w:rPr>
                <w:sz w:val="20"/>
                <w:szCs w:val="20"/>
                <w:color w:val="auto"/>
              </w:rPr>
            </w:pPr>
            <w:r>
              <w:rPr>
                <w:rFonts w:ascii="Arial" w:cs="Arial" w:eastAsia="Arial" w:hAnsi="Arial"/>
                <w:sz w:val="15"/>
                <w:szCs w:val="15"/>
                <w:color w:val="auto"/>
                <w:w w:val="93"/>
              </w:rPr>
              <w:t>57,158,467 and 46,839,659 issued at June 30, 2021 and December 31,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4920" w:type="dxa"/>
            <w:vAlign w:val="bottom"/>
          </w:tcPr>
          <w:p>
            <w:pPr>
              <w:ind w:left="440"/>
              <w:spacing w:after="0"/>
              <w:rPr>
                <w:sz w:val="20"/>
                <w:szCs w:val="20"/>
                <w:color w:val="auto"/>
              </w:rPr>
            </w:pPr>
            <w:r>
              <w:rPr>
                <w:rFonts w:ascii="Arial" w:cs="Arial" w:eastAsia="Arial" w:hAnsi="Arial"/>
                <w:sz w:val="15"/>
                <w:szCs w:val="15"/>
                <w:color w:val="auto"/>
              </w:rPr>
              <w:t>2020, respectively.</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5"/>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Loans to Stockholders</w:t>
            </w:r>
          </w:p>
        </w:tc>
        <w:tc>
          <w:tcPr>
            <w:tcW w:w="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(3,500)</w:t>
            </w:r>
          </w:p>
        </w:tc>
      </w:tr>
      <w:tr>
        <w:trPr>
          <w:trHeight w:val="220"/>
        </w:trPr>
        <w:tc>
          <w:tcPr>
            <w:tcW w:w="4920" w:type="dxa"/>
            <w:vAlign w:val="bottom"/>
          </w:tcPr>
          <w:p>
            <w:pPr>
              <w:ind w:left="160"/>
              <w:spacing w:after="0"/>
              <w:rPr>
                <w:sz w:val="20"/>
                <w:szCs w:val="20"/>
                <w:color w:val="auto"/>
              </w:rPr>
            </w:pPr>
            <w:r>
              <w:rPr>
                <w:rFonts w:ascii="Arial" w:cs="Arial" w:eastAsia="Arial" w:hAnsi="Arial"/>
                <w:sz w:val="15"/>
                <w:szCs w:val="15"/>
                <w:color w:val="auto"/>
              </w:rPr>
              <w:t>Additional Paid In Capital</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476,368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248,525</w:t>
            </w:r>
          </w:p>
        </w:tc>
      </w:tr>
      <w:tr>
        <w:trPr>
          <w:trHeight w:val="225"/>
        </w:trPr>
        <w:tc>
          <w:tcPr>
            <w:tcW w:w="49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Retained Earnings (Deficit)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(12,707)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38,324</w:t>
            </w:r>
          </w:p>
        </w:tc>
      </w:tr>
      <w:tr>
        <w:trPr>
          <w:trHeight w:val="20"/>
        </w:trPr>
        <w:tc>
          <w:tcPr>
            <w:tcW w:w="4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920" w:type="dxa"/>
            <w:vAlign w:val="bottom"/>
          </w:tcPr>
          <w:p>
            <w:pPr>
              <w:ind w:left="300"/>
              <w:spacing w:after="0"/>
              <w:rPr>
                <w:sz w:val="20"/>
                <w:szCs w:val="20"/>
                <w:color w:val="auto"/>
              </w:rPr>
            </w:pPr>
            <w:r>
              <w:rPr>
                <w:rFonts w:ascii="Arial" w:cs="Arial" w:eastAsia="Arial" w:hAnsi="Arial"/>
                <w:sz w:val="15"/>
                <w:szCs w:val="15"/>
                <w:color w:val="auto"/>
              </w:rPr>
              <w:t>Total Stockholders’ Equity</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464,233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283,817</w:t>
            </w:r>
          </w:p>
        </w:tc>
      </w:tr>
      <w:tr>
        <w:trPr>
          <w:trHeight w:val="20"/>
        </w:trPr>
        <w:tc>
          <w:tcPr>
            <w:tcW w:w="49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7"/>
        </w:trPr>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and Stockholders’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3"/>
              </w:rPr>
              <w:t>1,309,964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3"/>
              </w:rPr>
              <w:t>1,053,267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69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4241800"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4" w:name="page245"/>
    <w:bookmarkEnd w:id="244"/>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w w:val="84"/>
              </w:rPr>
              <w:t>Three Months Ended June 30,</w:t>
            </w:r>
          </w:p>
        </w:tc>
        <w:tc>
          <w:tcPr>
            <w:tcW w:w="80" w:type="dxa"/>
            <w:vAlign w:val="bottom"/>
          </w:tcPr>
          <w:p>
            <w:pPr>
              <w:spacing w:after="0"/>
              <w:rPr>
                <w:sz w:val="13"/>
                <w:szCs w:val="13"/>
                <w:color w:val="auto"/>
              </w:rPr>
            </w:pPr>
          </w:p>
        </w:tc>
        <w:tc>
          <w:tcPr>
            <w:tcW w:w="1640" w:type="dxa"/>
            <w:vAlign w:val="bottom"/>
            <w:gridSpan w:val="5"/>
          </w:tcPr>
          <w:p>
            <w:pPr>
              <w:jc w:val="right"/>
              <w:ind w:right="240"/>
              <w:spacing w:after="0"/>
              <w:rPr>
                <w:sz w:val="20"/>
                <w:szCs w:val="20"/>
                <w:color w:val="auto"/>
              </w:rPr>
            </w:pPr>
            <w:r>
              <w:rPr>
                <w:rFonts w:ascii="Arial" w:cs="Arial" w:eastAsia="Arial" w:hAnsi="Arial"/>
                <w:sz w:val="12"/>
                <w:szCs w:val="12"/>
                <w:b w:val="1"/>
                <w:bCs w:val="1"/>
                <w:color w:val="auto"/>
                <w:w w:val="88"/>
              </w:rPr>
              <w:t>Six Months Ended June 30,</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8"/>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8"/>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7"/>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125,130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31,341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229,325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209,827</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22,098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3,219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43,684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tcPr>
          <w:p>
            <w:pPr>
              <w:ind w:left="16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3,793</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2,660</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149,189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276,802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8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29,709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677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53,984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42,316</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32,484</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86,392</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70,575</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3,815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5,934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9,414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Maintenance</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11,300</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2,426</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20,510</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8,904</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5,822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1,630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10,932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13,460</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12,175</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26,075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22,702</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6,551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1,614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11,781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Landing Fees and Airport Rent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8,752</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2,667</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17,537</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13,781</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(38,520)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(31,481)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(65,392)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16,746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9,484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31,397</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23,917</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99,951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37,610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202,630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5"/>
                <w:szCs w:val="15"/>
                <w:color w:val="auto"/>
              </w:rPr>
              <w:t>Operating Income (Loss)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49,238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(2,234)</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74,172</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12,996</w:t>
            </w: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314</w:t>
            </w:r>
          </w:p>
        </w:tc>
        <w:tc>
          <w:tcPr>
            <w:tcW w:w="0" w:type="dxa"/>
            <w:vAlign w:val="bottom"/>
          </w:tcPr>
          <w:p>
            <w:pPr>
              <w:spacing w:after="0"/>
              <w:rPr>
                <w:sz w:val="1"/>
                <w:szCs w:val="1"/>
                <w:color w:val="auto"/>
              </w:rPr>
            </w:pPr>
          </w:p>
        </w:tc>
      </w:tr>
      <w:tr>
        <w:trPr>
          <w:trHeight w:val="220"/>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(6,080)</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(5,442)</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(13,201)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18,054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(325)</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18,049</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w w:val="98"/>
              </w:rPr>
              <w:t>Total Non-operating Income (Expense), net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(5,704)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4,872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80" w:type="dxa"/>
            <w:vAlign w:val="bottom"/>
          </w:tcPr>
          <w:p>
            <w:pPr>
              <w:spacing w:after="0"/>
              <w:rPr>
                <w:sz w:val="20"/>
                <w:szCs w:val="20"/>
                <w:color w:val="auto"/>
              </w:rPr>
            </w:pPr>
            <w:r>
              <w:rPr>
                <w:rFonts w:ascii="Arial" w:cs="Arial" w:eastAsia="Arial" w:hAnsi="Arial"/>
                <w:sz w:val="15"/>
                <w:szCs w:val="15"/>
                <w:color w:val="auto"/>
              </w:rPr>
              <w:t>Income (Loss) before Income Tax</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61,221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(7,938)</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79,044</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1,758</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Expense (Benefit)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9,468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(1,898)</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14,875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180" w:type="dxa"/>
            <w:vAlign w:val="bottom"/>
          </w:tcPr>
          <w:p>
            <w:pPr>
              <w:spacing w:after="0"/>
              <w:rPr>
                <w:sz w:val="20"/>
                <w:szCs w:val="20"/>
                <w:color w:val="auto"/>
              </w:rPr>
            </w:pPr>
            <w:r>
              <w:rPr>
                <w:rFonts w:ascii="Arial" w:cs="Arial" w:eastAsia="Arial" w:hAnsi="Arial"/>
                <w:sz w:val="15"/>
                <w:szCs w:val="15"/>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51,753</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(6,040)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64,169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1,211</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80" w:type="dxa"/>
            <w:vAlign w:val="bottom"/>
            <w:tcBorders>
              <w:right w:val="single" w:sz="8" w:color="CCEEFF"/>
            </w:tcBorders>
            <w:shd w:val="clear" w:color="auto" w:fill="CCEEFF"/>
          </w:tcPr>
          <w:p>
            <w:pPr>
              <w:spacing w:after="0" w:line="172" w:lineRule="exact"/>
              <w:rPr>
                <w:sz w:val="20"/>
                <w:szCs w:val="20"/>
                <w:color w:val="auto"/>
              </w:rPr>
            </w:pPr>
            <w:r>
              <w:rPr>
                <w:rFonts w:ascii="Arial" w:cs="Arial" w:eastAsia="Arial" w:hAnsi="Arial"/>
                <w:sz w:val="15"/>
                <w:szCs w:val="15"/>
                <w:color w:val="auto"/>
              </w:rPr>
              <w:t>Net Income (Loss) per share to common</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stockholders: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180" w:type="dxa"/>
            <w:vAlign w:val="bottom"/>
          </w:tcPr>
          <w:p>
            <w:pPr>
              <w:ind w:left="160"/>
              <w:spacing w:after="0"/>
              <w:rPr>
                <w:sz w:val="20"/>
                <w:szCs w:val="20"/>
                <w:color w:val="auto"/>
              </w:rPr>
            </w:pPr>
            <w:r>
              <w:rPr>
                <w:rFonts w:ascii="Arial" w:cs="Arial" w:eastAsia="Arial" w:hAnsi="Arial"/>
                <w:sz w:val="15"/>
                <w:szCs w:val="15"/>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0.03</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Shares used for computation: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57,156,159</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46,805,950</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52,850,041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46,805,950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61,982,441</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46,805,950</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57,403,593</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48,243,146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-1318260</wp:posOffset>
            </wp:positionV>
            <wp:extent cx="118745" cy="69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-1318260</wp:posOffset>
            </wp:positionV>
            <wp:extent cx="118745" cy="69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-1318260</wp:posOffset>
            </wp:positionV>
            <wp:extent cx="2602230"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602230" cy="698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-1610995</wp:posOffset>
            </wp:positionV>
            <wp:extent cx="118745"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-1610995</wp:posOffset>
            </wp:positionV>
            <wp:extent cx="118745" cy="69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-1610995</wp:posOffset>
            </wp:positionV>
            <wp:extent cx="2602230" cy="69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602230" cy="698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-2183130</wp:posOffset>
            </wp:positionV>
            <wp:extent cx="118745"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-2183130</wp:posOffset>
            </wp:positionV>
            <wp:extent cx="118745" cy="698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-2183130</wp:posOffset>
            </wp:positionV>
            <wp:extent cx="2602230" cy="69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602230" cy="698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-2489835</wp:posOffset>
            </wp:positionV>
            <wp:extent cx="118745" cy="698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-2489835</wp:posOffset>
            </wp:positionV>
            <wp:extent cx="118745" cy="698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-2489835</wp:posOffset>
            </wp:positionV>
            <wp:extent cx="2602230" cy="698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602230" cy="698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-4108450</wp:posOffset>
            </wp:positionV>
            <wp:extent cx="118745" cy="698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-4108450</wp:posOffset>
            </wp:positionV>
            <wp:extent cx="118745" cy="698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-4108450</wp:posOffset>
            </wp:positionV>
            <wp:extent cx="2602230" cy="698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602230" cy="698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-4652645</wp:posOffset>
            </wp:positionV>
            <wp:extent cx="111760" cy="69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-4652645</wp:posOffset>
            </wp:positionV>
            <wp:extent cx="111760" cy="698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-4652645</wp:posOffset>
            </wp:positionV>
            <wp:extent cx="2595245" cy="698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595245" cy="6985"/>
                    </a:xfrm>
                    <a:prstGeom prst="rect">
                      <a:avLst/>
                    </a:prstGeom>
                    <a:noFill/>
                  </pic:spPr>
                </pic:pic>
              </a:graphicData>
            </a:graphic>
          </wp:anchor>
        </w:drawing>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5" w:name="page246"/>
    <w:bookmarkEnd w:id="245"/>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CHANGES IN STOCKHOLDERS’ EQUITY</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(Dollars in thousands)</w:t>
      </w:r>
    </w:p>
    <w:p>
      <w:pPr>
        <w:spacing w:after="0" w:line="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0" w:type="dxa"/>
            <w:vAlign w:val="bottom"/>
            <w:gridSpan w:val="11"/>
          </w:tcPr>
          <w:p>
            <w:pPr>
              <w:jc w:val="right"/>
              <w:ind w:right="400"/>
              <w:spacing w:after="0"/>
              <w:rPr>
                <w:sz w:val="20"/>
                <w:szCs w:val="20"/>
                <w:color w:val="auto"/>
              </w:rPr>
            </w:pPr>
            <w:r>
              <w:rPr>
                <w:rFonts w:ascii="Arial" w:cs="Arial" w:eastAsia="Arial" w:hAnsi="Arial"/>
                <w:sz w:val="12"/>
                <w:szCs w:val="12"/>
                <w:b w:val="1"/>
                <w:bCs w:val="1"/>
                <w:color w:val="auto"/>
                <w:w w:val="85"/>
              </w:rPr>
              <w:t>Six Months Ended June 30, 2020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189"/>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w w:val="79"/>
              </w:rPr>
              <w:t>Loans to</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w w:val="85"/>
              </w:rPr>
              <w:t>Additional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restart"/>
          </w:tcPr>
          <w:p>
            <w:pPr>
              <w:jc w:val="right"/>
              <w:ind w:right="89"/>
              <w:spacing w:after="0"/>
              <w:rPr>
                <w:sz w:val="20"/>
                <w:szCs w:val="20"/>
                <w:color w:val="auto"/>
              </w:rPr>
            </w:pPr>
            <w:r>
              <w:rPr>
                <w:rFonts w:ascii="Arial" w:cs="Arial" w:eastAsia="Arial" w:hAnsi="Arial"/>
                <w:sz w:val="12"/>
                <w:szCs w:val="12"/>
                <w:b w:val="1"/>
                <w:bCs w:val="1"/>
                <w:color w:val="auto"/>
                <w:w w:val="82"/>
              </w:rPr>
              <w:t>Retained</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rPr>
              <w:t>Warrants</w:t>
            </w:r>
          </w:p>
        </w:tc>
        <w:tc>
          <w:tcPr>
            <w:tcW w:w="800" w:type="dxa"/>
            <w:vAlign w:val="bottom"/>
          </w:tcPr>
          <w:p>
            <w:pPr>
              <w:jc w:val="right"/>
              <w:ind w:right="249"/>
              <w:spacing w:after="0"/>
              <w:rPr>
                <w:sz w:val="20"/>
                <w:szCs w:val="20"/>
                <w:color w:val="auto"/>
              </w:rPr>
            </w:pPr>
            <w:r>
              <w:rPr>
                <w:rFonts w:ascii="Arial" w:cs="Arial" w:eastAsia="Arial" w:hAnsi="Arial"/>
                <w:sz w:val="12"/>
                <w:szCs w:val="12"/>
                <w:b w:val="1"/>
                <w:bCs w:val="1"/>
                <w:color w:val="auto"/>
              </w:rPr>
              <w:t>Shares</w:t>
            </w: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w w:val="74"/>
              </w:rPr>
              <w:t>Amount</w:t>
            </w:r>
          </w:p>
        </w:tc>
        <w:tc>
          <w:tcPr>
            <w:tcW w:w="8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w w:val="81"/>
              </w:rPr>
              <w:t>Stockholders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jc w:val="right"/>
              <w:ind w:right="17"/>
              <w:spacing w:after="0"/>
              <w:rPr>
                <w:sz w:val="20"/>
                <w:szCs w:val="20"/>
                <w:color w:val="auto"/>
              </w:rPr>
            </w:pPr>
            <w:r>
              <w:rPr>
                <w:rFonts w:ascii="Arial" w:cs="Arial" w:eastAsia="Arial" w:hAnsi="Arial"/>
                <w:sz w:val="12"/>
                <w:szCs w:val="12"/>
                <w:b w:val="1"/>
                <w:bCs w:val="1"/>
                <w:color w:val="auto"/>
                <w:w w:val="86"/>
              </w:rPr>
              <w:t>Paid-in Capital</w:t>
            </w:r>
          </w:p>
        </w:tc>
        <w:tc>
          <w:tcPr>
            <w:tcW w:w="60" w:type="dxa"/>
            <w:vAlign w:val="bottom"/>
          </w:tcPr>
          <w:p>
            <w:pPr>
              <w:spacing w:after="0"/>
              <w:rPr>
                <w:sz w:val="13"/>
                <w:szCs w:val="13"/>
                <w:color w:val="auto"/>
              </w:rPr>
            </w:pPr>
          </w:p>
        </w:tc>
        <w:tc>
          <w:tcPr>
            <w:tcW w:w="600" w:type="dxa"/>
            <w:vAlign w:val="bottom"/>
          </w:tcPr>
          <w:p>
            <w:pPr>
              <w:jc w:val="right"/>
              <w:ind w:right="69"/>
              <w:spacing w:after="0"/>
              <w:rPr>
                <w:sz w:val="20"/>
                <w:szCs w:val="20"/>
                <w:color w:val="auto"/>
              </w:rPr>
            </w:pPr>
            <w:r>
              <w:rPr>
                <w:rFonts w:ascii="Arial" w:cs="Arial" w:eastAsia="Arial" w:hAnsi="Arial"/>
                <w:sz w:val="12"/>
                <w:szCs w:val="12"/>
                <w:b w:val="1"/>
                <w:bCs w:val="1"/>
                <w:color w:val="auto"/>
                <w:w w:val="85"/>
              </w:rPr>
              <w:t>Earnings</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1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8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5"/>
                <w:szCs w:val="15"/>
                <w:color w:val="auto"/>
                <w:w w:val="90"/>
              </w:rPr>
              <w:t>40,005,885</w:t>
            </w:r>
          </w:p>
        </w:tc>
        <w:tc>
          <w:tcPr>
            <w:tcW w:w="80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w w:val="92"/>
              </w:rPr>
              <w:t>6,800,065</w:t>
            </w:r>
          </w:p>
        </w:tc>
        <w:tc>
          <w:tcPr>
            <w:tcW w:w="4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w w:val="95"/>
              </w:rPr>
              <w:t>$ 68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$(3,500)</w:t>
            </w:r>
          </w:p>
        </w:tc>
        <w:tc>
          <w:tcPr>
            <w:tcW w:w="86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5"/>
                <w:szCs w:val="15"/>
                <w:color w:val="auto"/>
              </w:rPr>
              <w:t>$244,928</w:t>
            </w:r>
          </w:p>
        </w:tc>
        <w:tc>
          <w:tcPr>
            <w:tcW w:w="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95"/>
              </w:rPr>
              <w:t>$42,228</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$283,724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6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Exercise of Apollo</w:t>
            </w: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760" w:type="dxa"/>
            <w:vAlign w:val="bottom"/>
          </w:tcPr>
          <w:p>
            <w:pPr>
              <w:ind w:left="160"/>
              <w:spacing w:after="0"/>
              <w:rPr>
                <w:sz w:val="20"/>
                <w:szCs w:val="20"/>
                <w:color w:val="auto"/>
              </w:rPr>
            </w:pPr>
            <w:r>
              <w:rPr>
                <w:rFonts w:ascii="Arial" w:cs="Arial" w:eastAsia="Arial" w:hAnsi="Arial"/>
                <w:sz w:val="15"/>
                <w:szCs w:val="15"/>
                <w:color w:val="auto"/>
              </w:rPr>
              <w:t>Warrants</w:t>
            </w:r>
          </w:p>
        </w:tc>
        <w:tc>
          <w:tcPr>
            <w:tcW w:w="1640" w:type="dxa"/>
            <w:vAlign w:val="bottom"/>
            <w:gridSpan w:val="5"/>
          </w:tcPr>
          <w:p>
            <w:pPr>
              <w:jc w:val="right"/>
              <w:ind w:right="89"/>
              <w:spacing w:after="0"/>
              <w:rPr>
                <w:sz w:val="20"/>
                <w:szCs w:val="20"/>
                <w:color w:val="auto"/>
              </w:rPr>
            </w:pPr>
            <w:r>
              <w:rPr>
                <w:rFonts w:ascii="Arial" w:cs="Arial" w:eastAsia="Arial" w:hAnsi="Arial"/>
                <w:sz w:val="15"/>
                <w:szCs w:val="15"/>
                <w:color w:val="auto"/>
                <w:w w:val="88"/>
              </w:rPr>
              <w:t>(40,005,885) 40,005,885</w:t>
            </w:r>
          </w:p>
        </w:tc>
        <w:tc>
          <w:tcPr>
            <w:tcW w:w="400" w:type="dxa"/>
            <w:vAlign w:val="bottom"/>
          </w:tcPr>
          <w:p>
            <w:pPr>
              <w:jc w:val="right"/>
              <w:ind w:right="29"/>
              <w:spacing w:after="0"/>
              <w:rPr>
                <w:sz w:val="20"/>
                <w:szCs w:val="20"/>
                <w:color w:val="auto"/>
              </w:rPr>
            </w:pPr>
            <w:r>
              <w:rPr>
                <w:rFonts w:ascii="Arial" w:cs="Arial" w:eastAsia="Arial" w:hAnsi="Arial"/>
                <w:sz w:val="15"/>
                <w:szCs w:val="15"/>
                <w:color w:val="auto"/>
              </w:rPr>
              <w:t>400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60" w:type="dxa"/>
            <w:vAlign w:val="bottom"/>
            <w:gridSpan w:val="5"/>
          </w:tcPr>
          <w:p>
            <w:pPr>
              <w:jc w:val="right"/>
              <w:ind w:right="60"/>
              <w:spacing w:after="0"/>
              <w:rPr>
                <w:sz w:val="20"/>
                <w:szCs w:val="20"/>
                <w:color w:val="auto"/>
              </w:rPr>
            </w:pPr>
            <w:r>
              <w:rPr>
                <w:rFonts w:ascii="Arial" w:cs="Arial" w:eastAsia="Arial" w:hAnsi="Arial"/>
                <w:sz w:val="15"/>
                <w:szCs w:val="15"/>
                <w:color w:val="auto"/>
              </w:rPr>
              <w:t>(379)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5"/>
                <w:szCs w:val="15"/>
                <w:color w:val="auto"/>
              </w:rPr>
              <w:t>7,251</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760" w:type="dxa"/>
            <w:vAlign w:val="bottom"/>
          </w:tcPr>
          <w:p>
            <w:pPr>
              <w:spacing w:after="0"/>
              <w:rPr>
                <w:sz w:val="20"/>
                <w:szCs w:val="20"/>
                <w:color w:val="auto"/>
              </w:rPr>
            </w:pPr>
            <w:r>
              <w:rPr>
                <w:rFonts w:ascii="Arial" w:cs="Arial" w:eastAsia="Arial" w:hAnsi="Arial"/>
                <w:sz w:val="15"/>
                <w:szCs w:val="15"/>
                <w:color w:val="auto"/>
              </w:rPr>
              <w:t>Stock-based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60" w:type="dxa"/>
            <w:vAlign w:val="bottom"/>
          </w:tcPr>
          <w:p>
            <w:pPr>
              <w:ind w:left="160"/>
              <w:spacing w:after="0"/>
              <w:rPr>
                <w:sz w:val="20"/>
                <w:szCs w:val="20"/>
                <w:color w:val="auto"/>
              </w:rPr>
            </w:pPr>
            <w:r>
              <w:rPr>
                <w:rFonts w:ascii="Arial" w:cs="Arial" w:eastAsia="Arial" w:hAnsi="Arial"/>
                <w:sz w:val="15"/>
                <w:szCs w:val="15"/>
                <w:color w:val="auto"/>
              </w:rPr>
              <w:t>Compensation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89"/>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60" w:type="dxa"/>
            <w:vAlign w:val="bottom"/>
            <w:gridSpan w:val="5"/>
          </w:tcPr>
          <w:p>
            <w:pPr>
              <w:jc w:val="right"/>
              <w:ind w:right="100"/>
              <w:spacing w:after="0"/>
              <w:rPr>
                <w:sz w:val="20"/>
                <w:szCs w:val="20"/>
                <w:color w:val="auto"/>
              </w:rPr>
            </w:pPr>
            <w:r>
              <w:rPr>
                <w:rFonts w:ascii="Arial" w:cs="Arial" w:eastAsia="Arial" w:hAnsi="Arial"/>
                <w:sz w:val="15"/>
                <w:szCs w:val="15"/>
                <w:color w:val="auto"/>
              </w:rPr>
              <w:t>369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369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March 31, 2020</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w w:val="82"/>
              </w:rPr>
              <w:t>46,805,950</w:t>
            </w:r>
          </w:p>
        </w:tc>
        <w:tc>
          <w:tcPr>
            <w:tcW w:w="4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w w:val="83"/>
              </w:rPr>
              <w:t>$468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$(3,500)</w:t>
            </w:r>
          </w:p>
        </w:tc>
        <w:tc>
          <w:tcPr>
            <w:tcW w:w="86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5"/>
                <w:szCs w:val="15"/>
                <w:color w:val="auto"/>
              </w:rPr>
              <w:t>$244,918</w:t>
            </w:r>
          </w:p>
        </w:tc>
        <w:tc>
          <w:tcPr>
            <w:tcW w:w="6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95"/>
              </w:rPr>
              <w:t>$49,479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$291,365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89"/>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jc w:val="right"/>
              <w:ind w:right="29"/>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6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(6,040)</w:t>
            </w: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(6,040)</w:t>
            </w:r>
          </w:p>
        </w:tc>
        <w:tc>
          <w:tcPr>
            <w:tcW w:w="0" w:type="dxa"/>
            <w:vAlign w:val="bottom"/>
          </w:tcPr>
          <w:p>
            <w:pPr>
              <w:spacing w:after="0"/>
              <w:rPr>
                <w:sz w:val="1"/>
                <w:szCs w:val="1"/>
                <w:color w:val="auto"/>
              </w:rPr>
            </w:pPr>
          </w:p>
        </w:tc>
      </w:tr>
      <w:tr>
        <w:trPr>
          <w:trHeight w:val="187"/>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Stock-based</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6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Compensation</w:t>
            </w: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right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5"/>
                <w:szCs w:val="15"/>
                <w:color w:val="auto"/>
              </w:rPr>
              <w:t>388</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right w:val="single" w:sz="8" w:color="CCEEFF"/>
            </w:tcBorders>
            <w:shd w:val="clear" w:color="auto" w:fill="CCEEFF"/>
          </w:tcPr>
          <w:p>
            <w:pPr>
              <w:spacing w:after="0"/>
              <w:rPr>
                <w:sz w:val="16"/>
                <w:szCs w:val="16"/>
                <w:color w:val="auto"/>
              </w:rPr>
            </w:pPr>
          </w:p>
        </w:tc>
        <w:tc>
          <w:tcPr>
            <w:tcW w:w="600" w:type="dxa"/>
            <w:vAlign w:val="bottom"/>
            <w:tcBorders>
              <w:bottom w:val="single" w:sz="8" w:color="CCEEFF"/>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760" w:type="dxa"/>
            <w:vAlign w:val="bottom"/>
          </w:tcPr>
          <w:p>
            <w:pPr>
              <w:spacing w:after="0"/>
              <w:rPr>
                <w:sz w:val="20"/>
                <w:szCs w:val="20"/>
                <w:color w:val="auto"/>
              </w:rPr>
            </w:pPr>
            <w:r>
              <w:rPr>
                <w:rFonts w:ascii="Arial" w:cs="Arial" w:eastAsia="Arial" w:hAnsi="Arial"/>
                <w:sz w:val="15"/>
                <w:szCs w:val="15"/>
                <w:color w:val="auto"/>
              </w:rPr>
              <w:t>June 30, 2020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89"/>
              <w:spacing w:after="0"/>
              <w:rPr>
                <w:sz w:val="20"/>
                <w:szCs w:val="20"/>
                <w:color w:val="auto"/>
              </w:rPr>
            </w:pPr>
            <w:r>
              <w:rPr>
                <w:rFonts w:ascii="Arial" w:cs="Arial" w:eastAsia="Arial" w:hAnsi="Arial"/>
                <w:sz w:val="15"/>
                <w:szCs w:val="15"/>
                <w:color w:val="auto"/>
                <w:w w:val="82"/>
              </w:rPr>
              <w:t>46,805,950</w:t>
            </w:r>
          </w:p>
        </w:tc>
        <w:tc>
          <w:tcPr>
            <w:tcW w:w="400" w:type="dxa"/>
            <w:vAlign w:val="bottom"/>
          </w:tcPr>
          <w:p>
            <w:pPr>
              <w:jc w:val="right"/>
              <w:ind w:right="29"/>
              <w:spacing w:after="0"/>
              <w:rPr>
                <w:sz w:val="20"/>
                <w:szCs w:val="20"/>
                <w:color w:val="auto"/>
              </w:rPr>
            </w:pPr>
            <w:r>
              <w:rPr>
                <w:rFonts w:ascii="Arial" w:cs="Arial" w:eastAsia="Arial" w:hAnsi="Arial"/>
                <w:sz w:val="15"/>
                <w:szCs w:val="15"/>
                <w:color w:val="auto"/>
                <w:w w:val="83"/>
              </w:rPr>
              <w:t>$468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$(3,500)</w:t>
            </w:r>
          </w:p>
        </w:tc>
        <w:tc>
          <w:tcPr>
            <w:tcW w:w="860" w:type="dxa"/>
            <w:vAlign w:val="bottom"/>
            <w:gridSpan w:val="5"/>
          </w:tcPr>
          <w:p>
            <w:pPr>
              <w:jc w:val="right"/>
              <w:ind w:right="100"/>
              <w:spacing w:after="0"/>
              <w:rPr>
                <w:sz w:val="20"/>
                <w:szCs w:val="20"/>
                <w:color w:val="auto"/>
              </w:rPr>
            </w:pPr>
            <w:r>
              <w:rPr>
                <w:rFonts w:ascii="Arial" w:cs="Arial" w:eastAsia="Arial" w:hAnsi="Arial"/>
                <w:sz w:val="15"/>
                <w:szCs w:val="15"/>
                <w:color w:val="auto"/>
              </w:rPr>
              <w:t>$245,306</w:t>
            </w:r>
          </w:p>
        </w:tc>
        <w:tc>
          <w:tcPr>
            <w:tcW w:w="60" w:type="dxa"/>
            <w:vAlign w:val="bottom"/>
          </w:tcPr>
          <w:p>
            <w:pPr>
              <w:spacing w:after="0"/>
              <w:rPr>
                <w:sz w:val="18"/>
                <w:szCs w:val="18"/>
                <w:color w:val="auto"/>
              </w:rPr>
            </w:pPr>
          </w:p>
        </w:tc>
        <w:tc>
          <w:tcPr>
            <w:tcW w:w="660" w:type="dxa"/>
            <w:vAlign w:val="bottom"/>
            <w:gridSpan w:val="2"/>
          </w:tcPr>
          <w:p>
            <w:pPr>
              <w:jc w:val="right"/>
              <w:ind w:right="49"/>
              <w:spacing w:after="0"/>
              <w:rPr>
                <w:sz w:val="20"/>
                <w:szCs w:val="20"/>
                <w:color w:val="auto"/>
              </w:rPr>
            </w:pPr>
            <w:r>
              <w:rPr>
                <w:rFonts w:ascii="Arial" w:cs="Arial" w:eastAsia="Arial" w:hAnsi="Arial"/>
                <w:sz w:val="15"/>
                <w:szCs w:val="15"/>
                <w:color w:val="auto"/>
                <w:w w:val="95"/>
              </w:rPr>
              <w:t>$43,439</w:t>
            </w:r>
          </w:p>
        </w:tc>
        <w:tc>
          <w:tcPr>
            <w:tcW w:w="560" w:type="dxa"/>
            <w:vAlign w:val="bottom"/>
          </w:tcPr>
          <w:p>
            <w:pPr>
              <w:jc w:val="right"/>
              <w:spacing w:after="0"/>
              <w:rPr>
                <w:sz w:val="20"/>
                <w:szCs w:val="20"/>
                <w:color w:val="auto"/>
              </w:rPr>
            </w:pPr>
            <w:r>
              <w:rPr>
                <w:rFonts w:ascii="Arial" w:cs="Arial" w:eastAsia="Arial" w:hAnsi="Arial"/>
                <w:sz w:val="15"/>
                <w:szCs w:val="15"/>
                <w:color w:val="auto"/>
                <w:w w:val="86"/>
              </w:rPr>
              <w:t>$285,713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gridSpan w:val="11"/>
          </w:tcPr>
          <w:p>
            <w:pPr>
              <w:jc w:val="right"/>
              <w:ind w:right="260"/>
              <w:spacing w:after="0"/>
              <w:rPr>
                <w:sz w:val="20"/>
                <w:szCs w:val="20"/>
                <w:color w:val="auto"/>
              </w:rPr>
            </w:pPr>
            <w:r>
              <w:rPr>
                <w:rFonts w:ascii="Arial" w:cs="Arial" w:eastAsia="Arial" w:hAnsi="Arial"/>
                <w:sz w:val="12"/>
                <w:szCs w:val="12"/>
                <w:b w:val="1"/>
                <w:bCs w:val="1"/>
                <w:color w:val="auto"/>
                <w:w w:val="92"/>
              </w:rPr>
              <w:t>Six Months Ended June 30, 2021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189"/>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right"/>
              <w:ind w:right="169"/>
              <w:spacing w:after="0"/>
              <w:rPr>
                <w:sz w:val="20"/>
                <w:szCs w:val="20"/>
                <w:color w:val="auto"/>
              </w:rPr>
            </w:pPr>
            <w:r>
              <w:rPr>
                <w:rFonts w:ascii="Arial" w:cs="Arial" w:eastAsia="Arial" w:hAnsi="Arial"/>
                <w:sz w:val="12"/>
                <w:szCs w:val="12"/>
                <w:b w:val="1"/>
                <w:bCs w:val="1"/>
                <w:color w:val="auto"/>
                <w:w w:val="90"/>
              </w:rPr>
              <w:t>Retained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gridSpan w:val="3"/>
            <w:vMerge w:val="restart"/>
          </w:tcPr>
          <w:p>
            <w:pPr>
              <w:spacing w:after="0" w:line="114" w:lineRule="exact"/>
              <w:rPr>
                <w:sz w:val="20"/>
                <w:szCs w:val="20"/>
                <w:color w:val="auto"/>
              </w:rPr>
            </w:pPr>
            <w:r>
              <w:rPr>
                <w:rFonts w:ascii="Arial" w:cs="Arial" w:eastAsia="Arial" w:hAnsi="Arial"/>
                <w:sz w:val="12"/>
                <w:szCs w:val="12"/>
                <w:b w:val="1"/>
                <w:bCs w:val="1"/>
                <w:color w:val="auto"/>
              </w:rPr>
              <w:t>Loans to</w:t>
            </w:r>
          </w:p>
        </w:tc>
        <w:tc>
          <w:tcPr>
            <w:tcW w:w="80" w:type="dxa"/>
            <w:vAlign w:val="bottom"/>
          </w:tcPr>
          <w:p>
            <w:pPr>
              <w:spacing w:after="0"/>
              <w:rPr>
                <w:sz w:val="4"/>
                <w:szCs w:val="4"/>
                <w:color w:val="auto"/>
              </w:rPr>
            </w:pPr>
          </w:p>
        </w:tc>
        <w:tc>
          <w:tcPr>
            <w:tcW w:w="780" w:type="dxa"/>
            <w:vAlign w:val="bottom"/>
            <w:gridSpan w:val="4"/>
            <w:vMerge w:val="restart"/>
          </w:tcPr>
          <w:p>
            <w:pPr>
              <w:jc w:val="right"/>
              <w:ind w:right="260"/>
              <w:spacing w:after="0" w:line="114" w:lineRule="exact"/>
              <w:rPr>
                <w:sz w:val="20"/>
                <w:szCs w:val="20"/>
                <w:color w:val="auto"/>
              </w:rPr>
            </w:pPr>
            <w:r>
              <w:rPr>
                <w:rFonts w:ascii="Arial" w:cs="Arial" w:eastAsia="Arial" w:hAnsi="Arial"/>
                <w:sz w:val="12"/>
                <w:szCs w:val="12"/>
                <w:b w:val="1"/>
                <w:bCs w:val="1"/>
                <w:color w:val="auto"/>
                <w:w w:val="85"/>
              </w:rPr>
              <w:t>Additional</w:t>
            </w:r>
          </w:p>
        </w:tc>
        <w:tc>
          <w:tcPr>
            <w:tcW w:w="720" w:type="dxa"/>
            <w:vAlign w:val="bottom"/>
            <w:gridSpan w:val="3"/>
            <w:vMerge w:val="restart"/>
          </w:tcPr>
          <w:p>
            <w:pPr>
              <w:jc w:val="right"/>
              <w:ind w:right="169"/>
              <w:spacing w:after="0" w:line="114" w:lineRule="exact"/>
              <w:rPr>
                <w:sz w:val="20"/>
                <w:szCs w:val="20"/>
                <w:color w:val="auto"/>
              </w:rPr>
            </w:pPr>
            <w:r>
              <w:rPr>
                <w:rFonts w:ascii="Arial" w:cs="Arial" w:eastAsia="Arial" w:hAnsi="Arial"/>
                <w:sz w:val="12"/>
                <w:szCs w:val="12"/>
                <w:b w:val="1"/>
                <w:bCs w:val="1"/>
                <w:color w:val="auto"/>
                <w:w w:val="89"/>
              </w:rPr>
              <w:t>Earnings</w:t>
            </w: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88"/>
              </w:rPr>
              <w:t>Warrants</w:t>
            </w:r>
          </w:p>
        </w:tc>
        <w:tc>
          <w:tcPr>
            <w:tcW w:w="800" w:type="dxa"/>
            <w:vAlign w:val="bottom"/>
          </w:tcPr>
          <w:p>
            <w:pPr>
              <w:jc w:val="right"/>
              <w:ind w:right="249"/>
              <w:spacing w:after="0"/>
              <w:rPr>
                <w:sz w:val="20"/>
                <w:szCs w:val="20"/>
                <w:color w:val="auto"/>
              </w:rPr>
            </w:pPr>
            <w:r>
              <w:rPr>
                <w:rFonts w:ascii="Arial" w:cs="Arial" w:eastAsia="Arial" w:hAnsi="Arial"/>
                <w:sz w:val="12"/>
                <w:szCs w:val="12"/>
                <w:b w:val="1"/>
                <w:bCs w:val="1"/>
                <w:color w:val="auto"/>
              </w:rPr>
              <w:t>Shares</w:t>
            </w:r>
          </w:p>
        </w:tc>
        <w:tc>
          <w:tcPr>
            <w:tcW w:w="400" w:type="dxa"/>
            <w:vAlign w:val="bottom"/>
          </w:tcPr>
          <w:p>
            <w:pPr>
              <w:jc w:val="right"/>
              <w:ind w:right="9"/>
              <w:spacing w:after="0"/>
              <w:rPr>
                <w:sz w:val="20"/>
                <w:szCs w:val="20"/>
                <w:color w:val="auto"/>
              </w:rPr>
            </w:pPr>
            <w:r>
              <w:rPr>
                <w:rFonts w:ascii="Arial" w:cs="Arial" w:eastAsia="Arial" w:hAnsi="Arial"/>
                <w:sz w:val="11"/>
                <w:szCs w:val="11"/>
                <w:b w:val="1"/>
                <w:bCs w:val="1"/>
                <w:color w:val="auto"/>
                <w:w w:val="72"/>
              </w:rPr>
              <w:t>Amount</w:t>
            </w:r>
          </w:p>
        </w:tc>
        <w:tc>
          <w:tcPr>
            <w:tcW w:w="740" w:type="dxa"/>
            <w:vAlign w:val="bottom"/>
            <w:gridSpan w:val="5"/>
          </w:tcPr>
          <w:p>
            <w:pPr>
              <w:jc w:val="right"/>
              <w:ind w:right="100"/>
              <w:spacing w:after="0"/>
              <w:rPr>
                <w:sz w:val="20"/>
                <w:szCs w:val="20"/>
                <w:color w:val="auto"/>
              </w:rPr>
            </w:pPr>
            <w:r>
              <w:rPr>
                <w:rFonts w:ascii="Arial" w:cs="Arial" w:eastAsia="Arial" w:hAnsi="Arial"/>
                <w:sz w:val="12"/>
                <w:szCs w:val="12"/>
                <w:b w:val="1"/>
                <w:bCs w:val="1"/>
                <w:color w:val="auto"/>
                <w:w w:val="81"/>
              </w:rPr>
              <w:t>Stockholders</w:t>
            </w:r>
          </w:p>
        </w:tc>
        <w:tc>
          <w:tcPr>
            <w:tcW w:w="860" w:type="dxa"/>
            <w:vAlign w:val="bottom"/>
            <w:gridSpan w:val="5"/>
          </w:tcPr>
          <w:p>
            <w:pPr>
              <w:jc w:val="right"/>
              <w:ind w:right="140"/>
              <w:spacing w:after="0"/>
              <w:rPr>
                <w:sz w:val="20"/>
                <w:szCs w:val="20"/>
                <w:color w:val="auto"/>
              </w:rPr>
            </w:pPr>
            <w:r>
              <w:rPr>
                <w:rFonts w:ascii="Arial" w:cs="Arial" w:eastAsia="Arial" w:hAnsi="Arial"/>
                <w:sz w:val="12"/>
                <w:szCs w:val="12"/>
                <w:b w:val="1"/>
                <w:bCs w:val="1"/>
                <w:color w:val="auto"/>
                <w:w w:val="83"/>
              </w:rPr>
              <w:t>Paid-in Capital</w:t>
            </w:r>
          </w:p>
        </w:tc>
        <w:tc>
          <w:tcPr>
            <w:tcW w:w="60" w:type="dxa"/>
            <w:vAlign w:val="bottom"/>
          </w:tcPr>
          <w:p>
            <w:pPr>
              <w:spacing w:after="0"/>
              <w:rPr>
                <w:sz w:val="14"/>
                <w:szCs w:val="14"/>
                <w:color w:val="auto"/>
              </w:rPr>
            </w:pPr>
          </w:p>
        </w:tc>
        <w:tc>
          <w:tcPr>
            <w:tcW w:w="660" w:type="dxa"/>
            <w:vAlign w:val="bottom"/>
            <w:gridSpan w:val="2"/>
          </w:tcPr>
          <w:p>
            <w:pPr>
              <w:jc w:val="right"/>
              <w:ind w:right="169"/>
              <w:spacing w:after="0"/>
              <w:rPr>
                <w:sz w:val="20"/>
                <w:szCs w:val="20"/>
                <w:color w:val="auto"/>
              </w:rPr>
            </w:pPr>
            <w:r>
              <w:rPr>
                <w:rFonts w:ascii="Arial" w:cs="Arial" w:eastAsia="Arial" w:hAnsi="Arial"/>
                <w:sz w:val="12"/>
                <w:szCs w:val="12"/>
                <w:b w:val="1"/>
                <w:bCs w:val="1"/>
                <w:color w:val="auto"/>
                <w:w w:val="89"/>
              </w:rPr>
              <w:t>(Deficit)</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1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December 31, 2020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3"/>
              </w:rPr>
              <w:t>—</w:t>
            </w:r>
          </w:p>
        </w:tc>
        <w:tc>
          <w:tcPr>
            <w:tcW w:w="80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5"/>
              </w:rPr>
              <w:t>46,839,659</w:t>
            </w:r>
          </w:p>
        </w:tc>
        <w:tc>
          <w:tcPr>
            <w:tcW w:w="4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77"/>
              </w:rPr>
              <w:t>$468</w:t>
            </w:r>
          </w:p>
        </w:tc>
        <w:tc>
          <w:tcPr>
            <w:tcW w:w="740" w:type="dxa"/>
            <w:vAlign w:val="bottom"/>
            <w:tcBorders>
              <w:right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5"/>
                <w:szCs w:val="15"/>
                <w:color w:val="auto"/>
              </w:rPr>
              <w:t>$(3,500)</w:t>
            </w:r>
          </w:p>
        </w:tc>
        <w:tc>
          <w:tcPr>
            <w:tcW w:w="86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5"/>
                <w:szCs w:val="15"/>
                <w:color w:val="auto"/>
                <w:w w:val="99"/>
              </w:rPr>
              <w:t>$248,525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5"/>
                <w:szCs w:val="15"/>
                <w:color w:val="auto"/>
              </w:rPr>
              <w:t>38,324</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0"/>
              </w:rPr>
              <w:t>$ 283,817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6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Shares Surrendered by</w:t>
            </w: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760" w:type="dxa"/>
            <w:vAlign w:val="bottom"/>
          </w:tcPr>
          <w:p>
            <w:pPr>
              <w:ind w:left="160"/>
              <w:spacing w:after="0"/>
              <w:rPr>
                <w:sz w:val="20"/>
                <w:szCs w:val="20"/>
                <w:color w:val="auto"/>
              </w:rPr>
            </w:pPr>
            <w:r>
              <w:rPr>
                <w:rFonts w:ascii="Arial" w:cs="Arial" w:eastAsia="Arial" w:hAnsi="Arial"/>
                <w:sz w:val="15"/>
                <w:szCs w:val="15"/>
                <w:color w:val="auto"/>
              </w:rPr>
              <w:t>Stockholders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9"/>
              <w:spacing w:after="0"/>
              <w:rPr>
                <w:sz w:val="20"/>
                <w:szCs w:val="20"/>
                <w:color w:val="auto"/>
              </w:rPr>
            </w:pPr>
            <w:r>
              <w:rPr>
                <w:rFonts w:ascii="Arial" w:cs="Arial" w:eastAsia="Arial" w:hAnsi="Arial"/>
                <w:sz w:val="15"/>
                <w:szCs w:val="15"/>
                <w:color w:val="auto"/>
              </w:rPr>
              <w:t>(140,737)</w:t>
            </w:r>
          </w:p>
        </w:tc>
        <w:tc>
          <w:tcPr>
            <w:tcW w:w="400" w:type="dxa"/>
            <w:vAlign w:val="bottom"/>
          </w:tcPr>
          <w:p>
            <w:pPr>
              <w:jc w:val="right"/>
              <w:ind w:right="9"/>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3,500</w:t>
            </w:r>
          </w:p>
        </w:tc>
        <w:tc>
          <w:tcPr>
            <w:tcW w:w="860" w:type="dxa"/>
            <w:vAlign w:val="bottom"/>
            <w:gridSpan w:val="5"/>
          </w:tcPr>
          <w:p>
            <w:pPr>
              <w:jc w:val="right"/>
              <w:ind w:right="180"/>
              <w:spacing w:after="0"/>
              <w:rPr>
                <w:sz w:val="20"/>
                <w:szCs w:val="20"/>
                <w:color w:val="auto"/>
              </w:rPr>
            </w:pPr>
            <w:r>
              <w:rPr>
                <w:rFonts w:ascii="Arial" w:cs="Arial" w:eastAsia="Arial" w:hAnsi="Arial"/>
                <w:sz w:val="15"/>
                <w:szCs w:val="15"/>
                <w:color w:val="auto"/>
              </w:rPr>
              <w:t>(3,499)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Initial Public Offering</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3"/>
              </w:rPr>
              <w:t>—</w:t>
            </w:r>
          </w:p>
        </w:tc>
        <w:tc>
          <w:tcPr>
            <w:tcW w:w="80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5"/>
              </w:rPr>
              <w:t>10,454,545</w:t>
            </w:r>
          </w:p>
        </w:tc>
        <w:tc>
          <w:tcPr>
            <w:tcW w:w="4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5"/>
                <w:szCs w:val="15"/>
                <w:color w:val="auto"/>
              </w:rPr>
              <w:t>224,552</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224,657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5"/>
                <w:szCs w:val="15"/>
                <w:color w:val="auto"/>
              </w:rPr>
              <w:t>Net Income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660" w:type="dxa"/>
            <w:vAlign w:val="bottom"/>
            <w:gridSpan w:val="2"/>
          </w:tcPr>
          <w:p>
            <w:pPr>
              <w:jc w:val="right"/>
              <w:ind w:right="69"/>
              <w:spacing w:after="0"/>
              <w:rPr>
                <w:sz w:val="20"/>
                <w:szCs w:val="20"/>
                <w:color w:val="auto"/>
              </w:rPr>
            </w:pPr>
            <w:r>
              <w:rPr>
                <w:rFonts w:ascii="Arial" w:cs="Arial" w:eastAsia="Arial" w:hAnsi="Arial"/>
                <w:sz w:val="15"/>
                <w:szCs w:val="15"/>
                <w:color w:val="auto"/>
              </w:rPr>
              <w:t>12,416</w:t>
            </w:r>
          </w:p>
        </w:tc>
        <w:tc>
          <w:tcPr>
            <w:tcW w:w="560" w:type="dxa"/>
            <w:vAlign w:val="bottom"/>
          </w:tcPr>
          <w:p>
            <w:pPr>
              <w:jc w:val="right"/>
              <w:spacing w:after="0"/>
              <w:rPr>
                <w:sz w:val="20"/>
                <w:szCs w:val="20"/>
                <w:color w:val="auto"/>
              </w:rPr>
            </w:pPr>
            <w:r>
              <w:rPr>
                <w:rFonts w:ascii="Arial" w:cs="Arial" w:eastAsia="Arial" w:hAnsi="Arial"/>
                <w:sz w:val="15"/>
                <w:szCs w:val="15"/>
                <w:color w:val="auto"/>
              </w:rPr>
              <w:t>12,416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Tax Receivable</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Agreement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3"/>
              </w:rPr>
              <w:t>—</w:t>
            </w:r>
          </w:p>
        </w:tc>
        <w:tc>
          <w:tcPr>
            <w:tcW w:w="80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84"/>
              </w:rPr>
              <w:t>(115,200)</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(115,200)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5"/>
                <w:szCs w:val="15"/>
                <w:color w:val="auto"/>
              </w:rPr>
              <w:t>Amazon Warrants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5"/>
          </w:tcPr>
          <w:p>
            <w:pPr>
              <w:jc w:val="right"/>
              <w:ind w:right="220"/>
              <w:spacing w:after="0"/>
              <w:rPr>
                <w:sz w:val="20"/>
                <w:szCs w:val="20"/>
                <w:color w:val="auto"/>
              </w:rPr>
            </w:pPr>
            <w:r>
              <w:rPr>
                <w:rFonts w:ascii="Arial" w:cs="Arial" w:eastAsia="Arial" w:hAnsi="Arial"/>
                <w:sz w:val="15"/>
                <w:szCs w:val="15"/>
                <w:color w:val="auto"/>
              </w:rPr>
              <w:t>1,400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w w:val="93"/>
              </w:rPr>
              <w:t>Stock-based Compensation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2,870</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5"/>
                <w:szCs w:val="15"/>
                <w:color w:val="auto"/>
              </w:rPr>
              <w:t>March 31, 2021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40" w:type="dxa"/>
            <w:vAlign w:val="bottom"/>
          </w:tcPr>
          <w:p>
            <w:pPr>
              <w:spacing w:after="0"/>
              <w:rPr>
                <w:sz w:val="18"/>
                <w:szCs w:val="18"/>
                <w:color w:val="auto"/>
              </w:rPr>
            </w:pPr>
          </w:p>
        </w:tc>
        <w:tc>
          <w:tcPr>
            <w:tcW w:w="800" w:type="dxa"/>
            <w:vAlign w:val="bottom"/>
          </w:tcPr>
          <w:p>
            <w:pPr>
              <w:jc w:val="right"/>
              <w:ind w:right="69"/>
              <w:spacing w:after="0"/>
              <w:rPr>
                <w:sz w:val="20"/>
                <w:szCs w:val="20"/>
                <w:color w:val="auto"/>
              </w:rPr>
            </w:pPr>
            <w:r>
              <w:rPr>
                <w:rFonts w:ascii="Arial" w:cs="Arial" w:eastAsia="Arial" w:hAnsi="Arial"/>
                <w:sz w:val="15"/>
                <w:szCs w:val="15"/>
                <w:color w:val="auto"/>
                <w:w w:val="85"/>
              </w:rPr>
              <w:t>57,153,467</w:t>
            </w:r>
          </w:p>
        </w:tc>
        <w:tc>
          <w:tcPr>
            <w:tcW w:w="400" w:type="dxa"/>
            <w:vAlign w:val="bottom"/>
          </w:tcPr>
          <w:p>
            <w:pPr>
              <w:jc w:val="right"/>
              <w:ind w:right="49"/>
              <w:spacing w:after="0"/>
              <w:rPr>
                <w:sz w:val="20"/>
                <w:szCs w:val="20"/>
                <w:color w:val="auto"/>
              </w:rPr>
            </w:pPr>
            <w:r>
              <w:rPr>
                <w:rFonts w:ascii="Arial" w:cs="Arial" w:eastAsia="Arial" w:hAnsi="Arial"/>
                <w:sz w:val="15"/>
                <w:szCs w:val="15"/>
                <w:color w:val="auto"/>
                <w:w w:val="77"/>
              </w:rPr>
              <w:t>$572</w:t>
            </w: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5"/>
          </w:tcPr>
          <w:p>
            <w:pPr>
              <w:jc w:val="right"/>
              <w:ind w:right="220"/>
              <w:spacing w:after="0"/>
              <w:rPr>
                <w:sz w:val="20"/>
                <w:szCs w:val="20"/>
                <w:color w:val="auto"/>
              </w:rPr>
            </w:pPr>
            <w:r>
              <w:rPr>
                <w:rFonts w:ascii="Arial" w:cs="Arial" w:eastAsia="Arial" w:hAnsi="Arial"/>
                <w:sz w:val="15"/>
                <w:szCs w:val="15"/>
                <w:color w:val="auto"/>
                <w:w w:val="99"/>
              </w:rPr>
              <w:t>$473,848</w:t>
            </w:r>
          </w:p>
        </w:tc>
        <w:tc>
          <w:tcPr>
            <w:tcW w:w="720" w:type="dxa"/>
            <w:vAlign w:val="bottom"/>
            <w:gridSpan w:val="3"/>
          </w:tcPr>
          <w:p>
            <w:pPr>
              <w:jc w:val="right"/>
              <w:ind w:right="29"/>
              <w:spacing w:after="0"/>
              <w:rPr>
                <w:sz w:val="20"/>
                <w:szCs w:val="20"/>
                <w:color w:val="auto"/>
              </w:rPr>
            </w:pPr>
            <w:r>
              <w:rPr>
                <w:rFonts w:ascii="Arial" w:cs="Arial" w:eastAsia="Arial" w:hAnsi="Arial"/>
                <w:sz w:val="15"/>
                <w:szCs w:val="15"/>
                <w:color w:val="auto"/>
                <w:w w:val="87"/>
              </w:rPr>
              <w:t>$ (64,460)</w:t>
            </w:r>
          </w:p>
        </w:tc>
        <w:tc>
          <w:tcPr>
            <w:tcW w:w="560" w:type="dxa"/>
            <w:vAlign w:val="bottom"/>
          </w:tcPr>
          <w:p>
            <w:pPr>
              <w:jc w:val="right"/>
              <w:spacing w:after="0"/>
              <w:rPr>
                <w:sz w:val="20"/>
                <w:szCs w:val="20"/>
                <w:color w:val="auto"/>
              </w:rPr>
            </w:pPr>
            <w:r>
              <w:rPr>
                <w:rFonts w:ascii="Arial" w:cs="Arial" w:eastAsia="Arial" w:hAnsi="Arial"/>
                <w:sz w:val="15"/>
                <w:szCs w:val="15"/>
                <w:color w:val="auto"/>
                <w:w w:val="80"/>
              </w:rPr>
              <w:t>$ 409,960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200" w:type="dxa"/>
            <w:vAlign w:val="bottom"/>
            <w:gridSpan w:val="3"/>
            <w:shd w:val="clear" w:color="auto" w:fill="CCEEFF"/>
          </w:tcPr>
          <w:p>
            <w:pPr>
              <w:spacing w:after="0" w:line="138" w:lineRule="exact"/>
              <w:rPr>
                <w:sz w:val="20"/>
                <w:szCs w:val="20"/>
                <w:color w:val="auto"/>
              </w:rPr>
            </w:pPr>
            <w:r>
              <w:rPr>
                <w:rFonts w:ascii="Arial" w:cs="Arial" w:eastAsia="Arial" w:hAnsi="Arial"/>
                <w:sz w:val="15"/>
                <w:szCs w:val="15"/>
                <w:color w:val="auto"/>
              </w:rPr>
              <w:t>Initial Public Offering Expense</w:t>
            </w:r>
          </w:p>
        </w:tc>
        <w:tc>
          <w:tcPr>
            <w:tcW w:w="1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7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Adjustment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3"/>
              </w:rPr>
              <w:t>—</w:t>
            </w:r>
          </w:p>
        </w:tc>
        <w:tc>
          <w:tcPr>
            <w:tcW w:w="80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5"/>
                <w:szCs w:val="15"/>
                <w:color w:val="auto"/>
              </w:rPr>
              <w:t>349</w:t>
            </w:r>
          </w:p>
        </w:tc>
        <w:tc>
          <w:tcPr>
            <w:tcW w:w="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69"/>
              <w:spacing w:after="0"/>
              <w:rPr>
                <w:sz w:val="20"/>
                <w:szCs w:val="20"/>
                <w:color w:val="auto"/>
              </w:rPr>
            </w:pPr>
            <w:r>
              <w:rPr>
                <w:rFonts w:ascii="Arial" w:cs="Arial" w:eastAsia="Arial" w:hAnsi="Arial"/>
                <w:sz w:val="15"/>
                <w:szCs w:val="15"/>
                <w:color w:val="auto"/>
              </w:rPr>
              <w:t>5,000</w:t>
            </w:r>
          </w:p>
        </w:tc>
        <w:tc>
          <w:tcPr>
            <w:tcW w:w="40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5"/>
          </w:tcPr>
          <w:p>
            <w:pPr>
              <w:jc w:val="right"/>
              <w:ind w:right="220"/>
              <w:spacing w:after="0"/>
              <w:rPr>
                <w:sz w:val="20"/>
                <w:szCs w:val="20"/>
                <w:color w:val="auto"/>
              </w:rPr>
            </w:pPr>
            <w:r>
              <w:rPr>
                <w:rFonts w:ascii="Arial" w:cs="Arial" w:eastAsia="Arial" w:hAnsi="Arial"/>
                <w:sz w:val="15"/>
                <w:szCs w:val="15"/>
                <w:color w:val="auto"/>
              </w:rPr>
              <w:t>27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3"/>
              </w:rPr>
              <w:t>—</w:t>
            </w:r>
          </w:p>
        </w:tc>
        <w:tc>
          <w:tcPr>
            <w:tcW w:w="80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5"/>
                <w:szCs w:val="15"/>
                <w:color w:val="auto"/>
              </w:rPr>
              <w:t>51,753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5"/>
                <w:szCs w:val="15"/>
                <w:color w:val="auto"/>
              </w:rPr>
              <w:t>Amazon Warrants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5"/>
          </w:tcPr>
          <w:p>
            <w:pPr>
              <w:jc w:val="right"/>
              <w:ind w:right="220"/>
              <w:spacing w:after="0"/>
              <w:rPr>
                <w:sz w:val="20"/>
                <w:szCs w:val="20"/>
                <w:color w:val="auto"/>
              </w:rPr>
            </w:pPr>
            <w:r>
              <w:rPr>
                <w:rFonts w:ascii="Arial" w:cs="Arial" w:eastAsia="Arial" w:hAnsi="Arial"/>
                <w:sz w:val="15"/>
                <w:szCs w:val="15"/>
                <w:color w:val="auto"/>
              </w:rPr>
              <w:t>1,400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w w:val="93"/>
              </w:rPr>
              <w:t>Stock-based Compensation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4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760" w:type="dxa"/>
            <w:vAlign w:val="bottom"/>
          </w:tcPr>
          <w:p>
            <w:pPr>
              <w:spacing w:after="0"/>
              <w:rPr>
                <w:sz w:val="20"/>
                <w:szCs w:val="20"/>
                <w:color w:val="auto"/>
              </w:rPr>
            </w:pPr>
            <w:r>
              <w:rPr>
                <w:rFonts w:ascii="Arial" w:cs="Arial" w:eastAsia="Arial" w:hAnsi="Arial"/>
                <w:sz w:val="15"/>
                <w:szCs w:val="15"/>
                <w:color w:val="auto"/>
              </w:rPr>
              <w:t>June 30, 2021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40" w:type="dxa"/>
            <w:vAlign w:val="bottom"/>
          </w:tcPr>
          <w:p>
            <w:pPr>
              <w:spacing w:after="0"/>
              <w:rPr>
                <w:sz w:val="19"/>
                <w:szCs w:val="19"/>
                <w:color w:val="auto"/>
              </w:rPr>
            </w:pPr>
          </w:p>
        </w:tc>
        <w:tc>
          <w:tcPr>
            <w:tcW w:w="800" w:type="dxa"/>
            <w:vAlign w:val="bottom"/>
          </w:tcPr>
          <w:p>
            <w:pPr>
              <w:jc w:val="right"/>
              <w:ind w:right="69"/>
              <w:spacing w:after="0"/>
              <w:rPr>
                <w:sz w:val="20"/>
                <w:szCs w:val="20"/>
                <w:color w:val="auto"/>
              </w:rPr>
            </w:pPr>
            <w:r>
              <w:rPr>
                <w:rFonts w:ascii="Arial" w:cs="Arial" w:eastAsia="Arial" w:hAnsi="Arial"/>
                <w:sz w:val="15"/>
                <w:szCs w:val="15"/>
                <w:color w:val="auto"/>
                <w:w w:val="85"/>
              </w:rPr>
              <w:t>57,158,467</w:t>
            </w:r>
          </w:p>
        </w:tc>
        <w:tc>
          <w:tcPr>
            <w:tcW w:w="400" w:type="dxa"/>
            <w:vAlign w:val="bottom"/>
          </w:tcPr>
          <w:p>
            <w:pPr>
              <w:jc w:val="right"/>
              <w:ind w:right="49"/>
              <w:spacing w:after="0"/>
              <w:rPr>
                <w:sz w:val="20"/>
                <w:szCs w:val="20"/>
                <w:color w:val="auto"/>
              </w:rPr>
            </w:pPr>
            <w:r>
              <w:rPr>
                <w:rFonts w:ascii="Arial" w:cs="Arial" w:eastAsia="Arial" w:hAnsi="Arial"/>
                <w:sz w:val="15"/>
                <w:szCs w:val="15"/>
                <w:color w:val="auto"/>
                <w:w w:val="77"/>
              </w:rPr>
              <w:t>$572</w:t>
            </w: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5"/>
          </w:tcPr>
          <w:p>
            <w:pPr>
              <w:jc w:val="right"/>
              <w:ind w:right="220"/>
              <w:spacing w:after="0"/>
              <w:rPr>
                <w:sz w:val="20"/>
                <w:szCs w:val="20"/>
                <w:color w:val="auto"/>
              </w:rPr>
            </w:pPr>
            <w:r>
              <w:rPr>
                <w:rFonts w:ascii="Arial" w:cs="Arial" w:eastAsia="Arial" w:hAnsi="Arial"/>
                <w:sz w:val="15"/>
                <w:szCs w:val="15"/>
                <w:color w:val="auto"/>
                <w:w w:val="99"/>
              </w:rPr>
              <w:t>$476,368</w:t>
            </w:r>
          </w:p>
        </w:tc>
        <w:tc>
          <w:tcPr>
            <w:tcW w:w="720" w:type="dxa"/>
            <w:vAlign w:val="bottom"/>
            <w:gridSpan w:val="3"/>
          </w:tcPr>
          <w:p>
            <w:pPr>
              <w:jc w:val="right"/>
              <w:ind w:right="29"/>
              <w:spacing w:after="0"/>
              <w:rPr>
                <w:sz w:val="20"/>
                <w:szCs w:val="20"/>
                <w:color w:val="auto"/>
              </w:rPr>
            </w:pPr>
            <w:r>
              <w:rPr>
                <w:rFonts w:ascii="Arial" w:cs="Arial" w:eastAsia="Arial" w:hAnsi="Arial"/>
                <w:sz w:val="15"/>
                <w:szCs w:val="15"/>
                <w:color w:val="auto"/>
                <w:w w:val="87"/>
              </w:rPr>
              <w:t>$ (12,707)</w:t>
            </w:r>
          </w:p>
        </w:tc>
        <w:tc>
          <w:tcPr>
            <w:tcW w:w="560" w:type="dxa"/>
            <w:vAlign w:val="bottom"/>
          </w:tcPr>
          <w:p>
            <w:pPr>
              <w:jc w:val="right"/>
              <w:spacing w:after="0"/>
              <w:rPr>
                <w:sz w:val="20"/>
                <w:szCs w:val="20"/>
                <w:color w:val="auto"/>
              </w:rPr>
            </w:pPr>
            <w:r>
              <w:rPr>
                <w:rFonts w:ascii="Arial" w:cs="Arial" w:eastAsia="Arial" w:hAnsi="Arial"/>
                <w:sz w:val="15"/>
                <w:szCs w:val="15"/>
                <w:color w:val="auto"/>
                <w:w w:val="80"/>
              </w:rPr>
              <w:t>$ 464,233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-3557270</wp:posOffset>
            </wp:positionV>
            <wp:extent cx="76835" cy="698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-3557270</wp:posOffset>
            </wp:positionV>
            <wp:extent cx="139700" cy="698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-3557270</wp:posOffset>
            </wp:positionV>
            <wp:extent cx="195580" cy="698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9558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-3557270</wp:posOffset>
            </wp:positionV>
            <wp:extent cx="167640" cy="698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-3557270</wp:posOffset>
            </wp:positionV>
            <wp:extent cx="104775" cy="698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-3557270</wp:posOffset>
            </wp:positionV>
            <wp:extent cx="76835" cy="698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-3557270</wp:posOffset>
            </wp:positionV>
            <wp:extent cx="1109345" cy="698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109345" cy="698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-4338955</wp:posOffset>
            </wp:positionV>
            <wp:extent cx="69850" cy="698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-4338955</wp:posOffset>
            </wp:positionV>
            <wp:extent cx="69850" cy="698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-4338955</wp:posOffset>
            </wp:positionV>
            <wp:extent cx="1102360" cy="698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102360"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-4338955</wp:posOffset>
            </wp:positionV>
            <wp:extent cx="69850" cy="69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-4338955</wp:posOffset>
            </wp:positionV>
            <wp:extent cx="69850" cy="69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-4338955</wp:posOffset>
            </wp:positionV>
            <wp:extent cx="69850" cy="698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-4338955</wp:posOffset>
            </wp:positionV>
            <wp:extent cx="69850" cy="69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2804160</wp:posOffset>
            </wp:positionH>
            <wp:positionV relativeFrom="paragraph">
              <wp:posOffset>-2294890</wp:posOffset>
            </wp:positionV>
            <wp:extent cx="41910" cy="69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-2294890</wp:posOffset>
            </wp:positionV>
            <wp:extent cx="1639570" cy="69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639570"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-2294890</wp:posOffset>
            </wp:positionV>
            <wp:extent cx="55880" cy="698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-2294890</wp:posOffset>
            </wp:positionV>
            <wp:extent cx="55880" cy="69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-2294890</wp:posOffset>
            </wp:positionV>
            <wp:extent cx="41910" cy="698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-2294890</wp:posOffset>
            </wp:positionV>
            <wp:extent cx="41910" cy="698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41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6" w:name="page247"/>
    <w:bookmarkEnd w:id="246"/>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(Dollars in thousands)</w:t>
      </w:r>
    </w:p>
    <w:p>
      <w:pPr>
        <w:spacing w:after="0" w:line="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(Unaudited)</w:t>
      </w:r>
    </w:p>
    <w:p>
      <w:pPr>
        <w:spacing w:after="0" w:line="129" w:lineRule="exact"/>
        <w:rPr>
          <w:sz w:val="20"/>
          <w:szCs w:val="20"/>
          <w:color w:val="auto"/>
        </w:rPr>
      </w:pPr>
    </w:p>
    <w:tbl>
      <w:tblPr>
        <w:tblLayout w:type="fixed"/>
        <w:tblInd w:w="1160" w:type="dxa"/>
        <w:tblCellMar>
          <w:top w:w="0" w:type="dxa"/>
          <w:left w:w="0" w:type="dxa"/>
          <w:bottom w:w="0" w:type="dxa"/>
          <w:right w:w="0" w:type="dxa"/>
        </w:tblCellMar>
      </w:tblPr>
      <w:tr>
        <w:trPr>
          <w:trHeight w:val="155"/>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w w:val="83"/>
              </w:rPr>
              <w:t>Six Months Ended June 30,</w:t>
            </w:r>
          </w:p>
        </w:tc>
        <w:tc>
          <w:tcPr>
            <w:tcW w:w="0" w:type="dxa"/>
            <w:vAlign w:val="bottom"/>
          </w:tcPr>
          <w:p>
            <w:pPr>
              <w:spacing w:after="0"/>
              <w:rPr>
                <w:sz w:val="1"/>
                <w:szCs w:val="1"/>
                <w:color w:val="auto"/>
              </w:rPr>
            </w:pPr>
          </w:p>
        </w:tc>
      </w:tr>
      <w:tr>
        <w:trPr>
          <w:trHeight w:val="167"/>
        </w:trPr>
        <w:tc>
          <w:tcPr>
            <w:tcW w:w="5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top w:val="single" w:sz="8" w:color="auto"/>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$ 64,169</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  1,211</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160"/>
              <w:spacing w:after="0"/>
              <w:rPr>
                <w:sz w:val="20"/>
                <w:szCs w:val="20"/>
                <w:color w:val="auto"/>
              </w:rPr>
            </w:pPr>
            <w:r>
              <w:rPr>
                <w:rFonts w:ascii="Arial" w:cs="Arial" w:eastAsia="Arial" w:hAnsi="Arial"/>
                <w:sz w:val="15"/>
                <w:szCs w:val="15"/>
                <w:b w:val="1"/>
                <w:bCs w:val="1"/>
                <w:color w:val="auto"/>
              </w:rPr>
              <w:t>Adjustments to reconcile Net Income to Cash from Operating Activities: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Depreciation and Amortization</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26,075</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22,702</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Tax Receivable Agreement Adjustment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(18,700)</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Reduction in Operating Lease Right-of-use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9,419</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13,585</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Non-Cash (Gain) Loss on Asset Transactions, net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(12,668)</w:t>
            </w:r>
          </w:p>
        </w:tc>
        <w:tc>
          <w:tcPr>
            <w:tcW w:w="560" w:type="dxa"/>
            <w:vAlign w:val="bottom"/>
          </w:tcPr>
          <w:p>
            <w:pPr>
              <w:jc w:val="right"/>
              <w:spacing w:after="0"/>
              <w:rPr>
                <w:sz w:val="20"/>
                <w:szCs w:val="20"/>
                <w:color w:val="auto"/>
              </w:rPr>
            </w:pPr>
            <w:r>
              <w:rPr>
                <w:rFonts w:ascii="Arial" w:cs="Arial" w:eastAsia="Arial" w:hAnsi="Arial"/>
                <w:sz w:val="15"/>
                <w:szCs w:val="15"/>
                <w:color w:val="auto"/>
              </w:rPr>
              <w:t>381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Unrealized (Gain) Loss on Fuel Derivatives</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(3,599)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16,056</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Amortization of Over-market Liabilities</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(3,081)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(5,781)</w:t>
            </w:r>
          </w:p>
        </w:tc>
        <w:tc>
          <w:tcPr>
            <w:tcW w:w="0" w:type="dxa"/>
            <w:vAlign w:val="bottom"/>
          </w:tcPr>
          <w:p>
            <w:pPr>
              <w:spacing w:after="0"/>
              <w:rPr>
                <w:sz w:val="1"/>
                <w:szCs w:val="1"/>
                <w:color w:val="auto"/>
              </w:rPr>
            </w:pPr>
          </w:p>
        </w:tc>
      </w:tr>
      <w:tr>
        <w:trPr>
          <w:trHeight w:val="198"/>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Deferred Income Taxes</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14,875</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Amazon Warrants Vested</w:t>
            </w:r>
          </w:p>
        </w:tc>
        <w:tc>
          <w:tcPr>
            <w:tcW w:w="560" w:type="dxa"/>
            <w:vAlign w:val="bottom"/>
          </w:tcPr>
          <w:p>
            <w:pPr>
              <w:jc w:val="right"/>
              <w:spacing w:after="0"/>
              <w:rPr>
                <w:sz w:val="20"/>
                <w:szCs w:val="20"/>
                <w:color w:val="auto"/>
              </w:rPr>
            </w:pPr>
            <w:r>
              <w:rPr>
                <w:rFonts w:ascii="Arial" w:cs="Arial" w:eastAsia="Arial" w:hAnsi="Arial"/>
                <w:sz w:val="15"/>
                <w:szCs w:val="15"/>
                <w:color w:val="auto"/>
              </w:rPr>
              <w:t>2,800</w:t>
            </w:r>
          </w:p>
        </w:tc>
        <w:tc>
          <w:tcPr>
            <w:tcW w:w="22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Stock-based Compensation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3,613</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Amortization of Debt Issuance Costs</w:t>
            </w:r>
          </w:p>
        </w:tc>
        <w:tc>
          <w:tcPr>
            <w:tcW w:w="560" w:type="dxa"/>
            <w:vAlign w:val="bottom"/>
          </w:tcPr>
          <w:p>
            <w:pPr>
              <w:jc w:val="right"/>
              <w:spacing w:after="0"/>
              <w:rPr>
                <w:sz w:val="20"/>
                <w:szCs w:val="20"/>
                <w:color w:val="auto"/>
              </w:rPr>
            </w:pPr>
            <w:r>
              <w:rPr>
                <w:rFonts w:ascii="Arial" w:cs="Arial" w:eastAsia="Arial" w:hAnsi="Arial"/>
                <w:sz w:val="15"/>
                <w:szCs w:val="15"/>
                <w:color w:val="auto"/>
              </w:rPr>
              <w:t>1,911</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Changes in Operating Assets and Liabilities:</w:t>
            </w:r>
          </w:p>
        </w:tc>
        <w:tc>
          <w:tcPr>
            <w:tcW w:w="56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Accounts Receivable</w:t>
            </w:r>
          </w:p>
        </w:tc>
        <w:tc>
          <w:tcPr>
            <w:tcW w:w="560" w:type="dxa"/>
            <w:vAlign w:val="bottom"/>
          </w:tcPr>
          <w:p>
            <w:pPr>
              <w:jc w:val="right"/>
              <w:spacing w:after="0"/>
              <w:rPr>
                <w:sz w:val="20"/>
                <w:szCs w:val="20"/>
                <w:color w:val="auto"/>
              </w:rPr>
            </w:pPr>
            <w:r>
              <w:rPr>
                <w:rFonts w:ascii="Arial" w:cs="Arial" w:eastAsia="Arial" w:hAnsi="Arial"/>
                <w:sz w:val="15"/>
                <w:szCs w:val="15"/>
                <w:color w:val="auto"/>
              </w:rPr>
              <w:t>4,265</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Inventory</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(224)</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Prepaid Expenses</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(6,446)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(797)</w:t>
            </w:r>
          </w:p>
        </w:tc>
        <w:tc>
          <w:tcPr>
            <w:tcW w:w="0" w:type="dxa"/>
            <w:vAlign w:val="bottom"/>
          </w:tcPr>
          <w:p>
            <w:pPr>
              <w:spacing w:after="0"/>
              <w:rPr>
                <w:sz w:val="1"/>
                <w:szCs w:val="1"/>
                <w:color w:val="auto"/>
              </w:rPr>
            </w:pPr>
          </w:p>
        </w:tc>
      </w:tr>
      <w:tr>
        <w:trPr>
          <w:trHeight w:val="198"/>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Lessor Maintenance Deposits</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(3,220)</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(6,946)</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Aircraft Lease Deposits</w:t>
            </w:r>
          </w:p>
        </w:tc>
        <w:tc>
          <w:tcPr>
            <w:tcW w:w="560" w:type="dxa"/>
            <w:vAlign w:val="bottom"/>
          </w:tcPr>
          <w:p>
            <w:pPr>
              <w:jc w:val="right"/>
              <w:spacing w:after="0"/>
              <w:rPr>
                <w:sz w:val="20"/>
                <w:szCs w:val="20"/>
                <w:color w:val="auto"/>
              </w:rPr>
            </w:pPr>
            <w:r>
              <w:rPr>
                <w:rFonts w:ascii="Arial" w:cs="Arial" w:eastAsia="Arial" w:hAnsi="Arial"/>
                <w:sz w:val="15"/>
                <w:szCs w:val="15"/>
                <w:color w:val="auto"/>
              </w:rPr>
              <w:t>1,496</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Other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(3,033)</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Accounts Payable</w:t>
            </w:r>
          </w:p>
        </w:tc>
        <w:tc>
          <w:tcPr>
            <w:tcW w:w="560" w:type="dxa"/>
            <w:vAlign w:val="bottom"/>
          </w:tcPr>
          <w:p>
            <w:pPr>
              <w:jc w:val="right"/>
              <w:spacing w:after="0"/>
              <w:rPr>
                <w:sz w:val="20"/>
                <w:szCs w:val="20"/>
                <w:color w:val="auto"/>
              </w:rPr>
            </w:pPr>
            <w:r>
              <w:rPr>
                <w:rFonts w:ascii="Arial" w:cs="Arial" w:eastAsia="Arial" w:hAnsi="Arial"/>
                <w:sz w:val="15"/>
                <w:szCs w:val="15"/>
                <w:color w:val="auto"/>
              </w:rPr>
              <w:t>3,546</w:t>
            </w:r>
          </w:p>
        </w:tc>
        <w:tc>
          <w:tcPr>
            <w:tcW w:w="2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(13,144)</w:t>
            </w:r>
          </w:p>
        </w:tc>
        <w:tc>
          <w:tcPr>
            <w:tcW w:w="0" w:type="dxa"/>
            <w:vAlign w:val="bottom"/>
          </w:tcPr>
          <w:p>
            <w:pPr>
              <w:spacing w:after="0"/>
              <w:rPr>
                <w:sz w:val="1"/>
                <w:szCs w:val="1"/>
                <w:color w:val="auto"/>
              </w:rPr>
            </w:pPr>
          </w:p>
        </w:tc>
      </w:tr>
      <w:tr>
        <w:trPr>
          <w:trHeight w:val="198"/>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Accrued Transportation Taxes</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7,024</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(11,779)</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Air Traffic Liabilities</w:t>
            </w:r>
          </w:p>
        </w:tc>
        <w:tc>
          <w:tcPr>
            <w:tcW w:w="560" w:type="dxa"/>
            <w:vAlign w:val="bottom"/>
          </w:tcPr>
          <w:p>
            <w:pPr>
              <w:jc w:val="right"/>
              <w:spacing w:after="0"/>
              <w:rPr>
                <w:sz w:val="20"/>
                <w:szCs w:val="20"/>
                <w:color w:val="auto"/>
              </w:rPr>
            </w:pPr>
            <w:r>
              <w:rPr>
                <w:rFonts w:ascii="Arial" w:cs="Arial" w:eastAsia="Arial" w:hAnsi="Arial"/>
                <w:sz w:val="15"/>
                <w:szCs w:val="15"/>
                <w:color w:val="auto"/>
              </w:rPr>
              <w:t>12,695</w:t>
            </w:r>
          </w:p>
        </w:tc>
        <w:tc>
          <w:tcPr>
            <w:tcW w:w="2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(20,587)</w:t>
            </w:r>
          </w:p>
        </w:tc>
        <w:tc>
          <w:tcPr>
            <w:tcW w:w="0" w:type="dxa"/>
            <w:vAlign w:val="bottom"/>
          </w:tcPr>
          <w:p>
            <w:pPr>
              <w:spacing w:after="0"/>
              <w:rPr>
                <w:sz w:val="1"/>
                <w:szCs w:val="1"/>
                <w:color w:val="auto"/>
              </w:rPr>
            </w:pPr>
          </w:p>
        </w:tc>
      </w:tr>
      <w:tr>
        <w:trPr>
          <w:trHeight w:val="198"/>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Loyalty Program Liabilities</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(1,192)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Reduction in Operating Lease Obligations</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(15,826)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(9,718)</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Liabilities</w:t>
            </w:r>
          </w:p>
        </w:tc>
        <w:tc>
          <w:tcPr>
            <w:tcW w:w="20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1,615</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20" w:type="dxa"/>
            <w:vAlign w:val="bottom"/>
            <w:gridSpan w:val="2"/>
          </w:tcPr>
          <w:p>
            <w:pPr>
              <w:ind w:left="440"/>
              <w:spacing w:after="0"/>
              <w:rPr>
                <w:sz w:val="20"/>
                <w:szCs w:val="20"/>
                <w:color w:val="auto"/>
              </w:rPr>
            </w:pPr>
            <w:r>
              <w:rPr>
                <w:rFonts w:ascii="Arial" w:cs="Arial" w:eastAsia="Arial" w:hAnsi="Arial"/>
                <w:sz w:val="15"/>
                <w:szCs w:val="15"/>
                <w:b w:val="1"/>
                <w:bCs w:val="1"/>
                <w:color w:val="auto"/>
              </w:rPr>
              <w:t>Net Cash Provided by (Used in) Operating Activities</w:t>
            </w:r>
          </w:p>
        </w:tc>
        <w:tc>
          <w:tcPr>
            <w:tcW w:w="560" w:type="dxa"/>
            <w:vAlign w:val="bottom"/>
          </w:tcPr>
          <w:p>
            <w:pPr>
              <w:jc w:val="right"/>
              <w:spacing w:after="0"/>
              <w:rPr>
                <w:sz w:val="20"/>
                <w:szCs w:val="20"/>
                <w:color w:val="auto"/>
              </w:rPr>
            </w:pPr>
            <w:r>
              <w:rPr>
                <w:rFonts w:ascii="Arial" w:cs="Arial" w:eastAsia="Arial" w:hAnsi="Arial"/>
                <w:sz w:val="15"/>
                <w:szCs w:val="15"/>
                <w:color w:val="auto"/>
              </w:rPr>
              <w:t>89,841</w:t>
            </w:r>
          </w:p>
        </w:tc>
        <w:tc>
          <w:tcPr>
            <w:tcW w:w="2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(12,895)</w:t>
            </w:r>
          </w:p>
        </w:tc>
        <w:tc>
          <w:tcPr>
            <w:tcW w:w="0" w:type="dxa"/>
            <w:vAlign w:val="bottom"/>
          </w:tcPr>
          <w:p>
            <w:pPr>
              <w:spacing w:after="0"/>
              <w:rPr>
                <w:sz w:val="1"/>
                <w:szCs w:val="1"/>
                <w:color w:val="auto"/>
              </w:rPr>
            </w:pPr>
          </w:p>
        </w:tc>
      </w:tr>
      <w:tr>
        <w:trPr>
          <w:trHeight w:val="178"/>
        </w:trPr>
        <w:tc>
          <w:tcPr>
            <w:tcW w:w="5320" w:type="dxa"/>
            <w:vAlign w:val="bottom"/>
            <w:tcBorders>
              <w:top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Cash Flows from Investing Activities:</w:t>
            </w: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Purchases of Property &amp; Equipment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(66,736)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(93,677)</w:t>
            </w:r>
          </w:p>
        </w:tc>
        <w:tc>
          <w:tcPr>
            <w:tcW w:w="0" w:type="dxa"/>
            <w:vAlign w:val="bottom"/>
          </w:tcPr>
          <w:p>
            <w:pPr>
              <w:spacing w:after="0"/>
              <w:rPr>
                <w:sz w:val="1"/>
                <w:szCs w:val="1"/>
                <w:color w:val="auto"/>
              </w:rPr>
            </w:pPr>
          </w:p>
        </w:tc>
      </w:tr>
      <w:tr>
        <w:trPr>
          <w:trHeight w:val="209"/>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Purchase of Investments</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(1,436)</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Proceeds from the Sale of Investments</w:t>
            </w:r>
          </w:p>
        </w:tc>
        <w:tc>
          <w:tcPr>
            <w:tcW w:w="560" w:type="dxa"/>
            <w:vAlign w:val="bottom"/>
          </w:tcPr>
          <w:p>
            <w:pPr>
              <w:jc w:val="right"/>
              <w:spacing w:after="0"/>
              <w:rPr>
                <w:sz w:val="20"/>
                <w:szCs w:val="20"/>
                <w:color w:val="auto"/>
              </w:rPr>
            </w:pPr>
            <w:r>
              <w:rPr>
                <w:rFonts w:ascii="Arial" w:cs="Arial" w:eastAsia="Arial" w:hAnsi="Arial"/>
                <w:sz w:val="15"/>
                <w:szCs w:val="15"/>
                <w:color w:val="auto"/>
              </w:rPr>
              <w:t>984</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CCEEFF"/>
          </w:tcPr>
          <w:p>
            <w:pPr>
              <w:ind w:left="440"/>
              <w:spacing w:after="0"/>
              <w:rPr>
                <w:sz w:val="20"/>
                <w:szCs w:val="20"/>
                <w:color w:val="auto"/>
              </w:rPr>
            </w:pPr>
            <w:r>
              <w:rPr>
                <w:rFonts w:ascii="Arial" w:cs="Arial" w:eastAsia="Arial" w:hAnsi="Arial"/>
                <w:sz w:val="15"/>
                <w:szCs w:val="15"/>
                <w:b w:val="1"/>
                <w:bCs w:val="1"/>
                <w:color w:val="auto"/>
              </w:rPr>
              <w:t>Net Cash Used in Investing Activities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2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(67,188)</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(93,640)</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20" w:type="dxa"/>
            <w:vAlign w:val="bottom"/>
            <w:tcBorders>
              <w:top w:val="single" w:sz="8" w:color="CCEEFF"/>
            </w:tcBorders>
            <w:gridSpan w:val="2"/>
          </w:tcPr>
          <w:p>
            <w:pPr>
              <w:ind w:left="160"/>
              <w:spacing w:after="0"/>
              <w:rPr>
                <w:sz w:val="20"/>
                <w:szCs w:val="20"/>
                <w:color w:val="auto"/>
              </w:rPr>
            </w:pPr>
            <w:r>
              <w:rPr>
                <w:rFonts w:ascii="Arial" w:cs="Arial" w:eastAsia="Arial" w:hAnsi="Arial"/>
                <w:sz w:val="15"/>
                <w:szCs w:val="15"/>
                <w:b w:val="1"/>
                <w:bCs w:val="1"/>
                <w:color w:val="auto"/>
              </w:rPr>
              <w:t>Cash Flows from Financing Activities:</w:t>
            </w: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Cash Received from Stock Offering</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235,894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Costs of Stock Offering</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(8,669)</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Proceeds from Stock Option and Warrant Exercises</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Proceeds from Borrowings</w:t>
            </w:r>
          </w:p>
        </w:tc>
        <w:tc>
          <w:tcPr>
            <w:tcW w:w="560" w:type="dxa"/>
            <w:vAlign w:val="bottom"/>
          </w:tcPr>
          <w:p>
            <w:pPr>
              <w:jc w:val="right"/>
              <w:spacing w:after="0"/>
              <w:rPr>
                <w:sz w:val="20"/>
                <w:szCs w:val="20"/>
                <w:color w:val="auto"/>
              </w:rPr>
            </w:pPr>
            <w:r>
              <w:rPr>
                <w:rFonts w:ascii="Arial" w:cs="Arial" w:eastAsia="Arial" w:hAnsi="Arial"/>
                <w:sz w:val="15"/>
                <w:szCs w:val="15"/>
                <w:color w:val="auto"/>
              </w:rPr>
              <w:t>80,500</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220,307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Repayment of Finance Lease Obligations</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(7,864)</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(85,976)</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ind w:left="300"/>
              <w:spacing w:after="0"/>
              <w:rPr>
                <w:sz w:val="20"/>
                <w:szCs w:val="20"/>
                <w:color w:val="auto"/>
              </w:rPr>
            </w:pPr>
            <w:r>
              <w:rPr>
                <w:rFonts w:ascii="Arial" w:cs="Arial" w:eastAsia="Arial" w:hAnsi="Arial"/>
                <w:sz w:val="15"/>
                <w:szCs w:val="15"/>
                <w:color w:val="auto"/>
              </w:rPr>
              <w:t>Repayment of Borrowings</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(74,709)</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(54,879)</w:t>
            </w:r>
          </w:p>
        </w:tc>
        <w:tc>
          <w:tcPr>
            <w:tcW w:w="0" w:type="dxa"/>
            <w:vAlign w:val="bottom"/>
          </w:tcPr>
          <w:p>
            <w:pPr>
              <w:spacing w:after="0"/>
              <w:rPr>
                <w:sz w:val="1"/>
                <w:szCs w:val="1"/>
                <w:color w:val="auto"/>
              </w:rPr>
            </w:pPr>
          </w:p>
        </w:tc>
      </w:tr>
      <w:tr>
        <w:trPr>
          <w:trHeight w:val="231"/>
        </w:trPr>
        <w:tc>
          <w:tcPr>
            <w:tcW w:w="51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Debt Issuance Costs</w:t>
            </w:r>
          </w:p>
        </w:tc>
        <w:tc>
          <w:tcPr>
            <w:tcW w:w="20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(2,709)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(2,764)</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gridSpan w:val="2"/>
          </w:tcPr>
          <w:p>
            <w:pPr>
              <w:ind w:left="440"/>
              <w:spacing w:after="0"/>
              <w:rPr>
                <w:sz w:val="20"/>
                <w:szCs w:val="20"/>
                <w:color w:val="auto"/>
              </w:rPr>
            </w:pPr>
            <w:r>
              <w:rPr>
                <w:rFonts w:ascii="Arial" w:cs="Arial" w:eastAsia="Arial" w:hAnsi="Arial"/>
                <w:sz w:val="15"/>
                <w:szCs w:val="15"/>
                <w:b w:val="1"/>
                <w:bCs w:val="1"/>
                <w:color w:val="auto"/>
              </w:rPr>
              <w:t>Net Cash Provided by Financing Activities</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222,469</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76,709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-153035</wp:posOffset>
            </wp:positionV>
            <wp:extent cx="13970" cy="698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-1227455</wp:posOffset>
            </wp:positionV>
            <wp:extent cx="13970"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-1373505</wp:posOffset>
            </wp:positionV>
            <wp:extent cx="4241800"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-1910715</wp:posOffset>
            </wp:positionV>
            <wp:extent cx="4241800" cy="69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-2050415</wp:posOffset>
            </wp:positionV>
            <wp:extent cx="13970" cy="698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-5203825</wp:posOffset>
            </wp:positionV>
            <wp:extent cx="3858260" cy="69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858260"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7" w:name="page248"/>
    <w:bookmarkEnd w:id="247"/>
    <w:tbl>
      <w:tblPr>
        <w:tblLayout w:type="fixed"/>
        <w:tblInd w:w="140" w:type="dxa"/>
        <w:tblCellMar>
          <w:top w:w="0" w:type="dxa"/>
          <w:left w:w="0" w:type="dxa"/>
          <w:bottom w:w="0" w:type="dxa"/>
          <w:right w:w="0" w:type="dxa"/>
        </w:tblCellMar>
      </w:tblPr>
      <w:tr>
        <w:trPr>
          <w:trHeight w:val="139"/>
        </w:trPr>
        <w:tc>
          <w:tcPr>
            <w:tcW w:w="6360" w:type="dxa"/>
            <w:vAlign w:val="bottom"/>
            <w:gridSpan w:val="2"/>
          </w:tcPr>
          <w:p>
            <w:pPr>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4"/>
        </w:trPr>
        <w:tc>
          <w:tcPr>
            <w:tcW w:w="10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w w:val="96"/>
              </w:rPr>
              <w:t>Six Months Ended</w:t>
            </w: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b w:val="1"/>
                <w:bCs w:val="1"/>
                <w:color w:val="auto"/>
              </w:rPr>
              <w:t>June 30,</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1020" w:type="dxa"/>
            <w:vAlign w:val="bottom"/>
          </w:tcPr>
          <w:p>
            <w:pPr>
              <w:spacing w:after="0"/>
              <w:rPr>
                <w:sz w:val="13"/>
                <w:szCs w:val="13"/>
                <w:color w:val="auto"/>
              </w:rPr>
            </w:pPr>
          </w:p>
        </w:tc>
        <w:tc>
          <w:tcPr>
            <w:tcW w:w="53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Increase (Decrease) in Cash, Cash Equivalents and Restricted Cash</w:t>
            </w: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245,122</w:t>
            </w: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2"/>
              </w:rPr>
              <w:t>(29,826)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5"/>
                <w:szCs w:val="15"/>
                <w:b w:val="1"/>
                <w:bCs w:val="1"/>
                <w:color w:val="auto"/>
              </w:rPr>
              <w:t>Cash, Cash Equivalents and Restricted Cash—Beginning of the Period</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70,363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95"/>
              </w:rPr>
              <w:t>64,478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Cash Equivalents and Restricted Cash—End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315,485</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34,652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spacing w:after="0" w:line="169" w:lineRule="exact"/>
              <w:rPr>
                <w:sz w:val="20"/>
                <w:szCs w:val="20"/>
                <w:color w:val="auto"/>
              </w:rPr>
            </w:pPr>
            <w:r>
              <w:rPr>
                <w:rFonts w:ascii="Arial" w:cs="Arial" w:eastAsia="Arial" w:hAnsi="Arial"/>
                <w:sz w:val="15"/>
                <w:szCs w:val="15"/>
                <w:b w:val="1"/>
                <w:bCs w:val="1"/>
                <w:color w:val="auto"/>
              </w:rPr>
              <w:t>Supplemental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tcPr>
          <w:p>
            <w:pPr>
              <w:spacing w:after="0"/>
              <w:rPr>
                <w:sz w:val="11"/>
                <w:szCs w:val="11"/>
                <w:color w:val="auto"/>
              </w:rPr>
            </w:pPr>
          </w:p>
        </w:tc>
        <w:tc>
          <w:tcPr>
            <w:tcW w:w="5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5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Payments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11,040</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10,115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5340" w:type="dxa"/>
            <w:vAlign w:val="bottom"/>
          </w:tcPr>
          <w:p>
            <w:pPr>
              <w:ind w:left="160"/>
              <w:spacing w:after="0"/>
              <w:rPr>
                <w:sz w:val="20"/>
                <w:szCs w:val="20"/>
                <w:color w:val="auto"/>
              </w:rPr>
            </w:pPr>
            <w:r>
              <w:rPr>
                <w:rFonts w:ascii="Arial" w:cs="Arial" w:eastAsia="Arial" w:hAnsi="Arial"/>
                <w:sz w:val="15"/>
                <w:szCs w:val="15"/>
                <w:color w:val="auto"/>
              </w:rPr>
              <w:t>Cash Payments (Receipts) for Income Taxes,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Non-cash transactions:</w:t>
            </w: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5"/>
                <w:szCs w:val="15"/>
                <w:color w:val="auto"/>
              </w:rPr>
              <w:t>Lease Deposits Applied Against the Purchase of Aircraft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3,296</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and Flight Equipment Acquired through Finance Leases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42,911</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5"/>
                <w:szCs w:val="15"/>
                <w:color w:val="auto"/>
              </w:rPr>
              <w:t>Purchases of Property &amp; Equipment in 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555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Costs of Stock Offering in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-1178560</wp:posOffset>
            </wp:positionV>
            <wp:extent cx="4241800" cy="69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-1436370</wp:posOffset>
            </wp:positionV>
            <wp:extent cx="3872230"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872230" cy="6985"/>
                    </a:xfrm>
                    <a:prstGeom prst="rect">
                      <a:avLst/>
                    </a:prstGeom>
                    <a:noFill/>
                  </pic:spPr>
                </pic:pic>
              </a:graphicData>
            </a:graphic>
          </wp:anchor>
        </w:drawing>
      </w:r>
    </w:p>
    <w:p>
      <w:pPr>
        <w:spacing w:after="0" w:line="20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following provides a reconciliation of Cash, Cash Equivalents and Restricted Cash to the amounts reported on the Consolidated Balance Sheets: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2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w w:val="99"/>
              </w:rPr>
              <w:t>June 30, 2021</w:t>
            </w:r>
          </w:p>
        </w:tc>
        <w:tc>
          <w:tcPr>
            <w:tcW w:w="680" w:type="dxa"/>
            <w:vAlign w:val="bottom"/>
            <w:gridSpan w:val="3"/>
          </w:tcPr>
          <w:p>
            <w:pPr>
              <w:jc w:val="right"/>
              <w:spacing w:after="0"/>
              <w:rPr>
                <w:sz w:val="20"/>
                <w:szCs w:val="20"/>
                <w:color w:val="auto"/>
              </w:rPr>
            </w:pPr>
            <w:r>
              <w:rPr>
                <w:rFonts w:ascii="Arial" w:cs="Arial" w:eastAsia="Arial" w:hAnsi="Arial"/>
                <w:sz w:val="12"/>
                <w:szCs w:val="12"/>
                <w:b w:val="1"/>
                <w:bCs w:val="1"/>
                <w:color w:val="auto"/>
                <w:w w:val="84"/>
              </w:rPr>
              <w:t>June 30, 2020</w:t>
            </w:r>
          </w:p>
        </w:tc>
      </w:tr>
      <w:tr>
        <w:trPr>
          <w:trHeight w:val="21"/>
        </w:trPr>
        <w:tc>
          <w:tcPr>
            <w:tcW w:w="5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0"/>
        </w:trPr>
        <w:tc>
          <w:tcPr>
            <w:tcW w:w="5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$310,723</w:t>
            </w: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$32,084</w:t>
            </w:r>
          </w:p>
        </w:tc>
      </w:tr>
      <w:tr>
        <w:trPr>
          <w:trHeight w:val="214"/>
        </w:trPr>
        <w:tc>
          <w:tcPr>
            <w:tcW w:w="5200" w:type="dxa"/>
            <w:vAlign w:val="bottom"/>
          </w:tcPr>
          <w:p>
            <w:pPr>
              <w:spacing w:after="0"/>
              <w:rPr>
                <w:sz w:val="20"/>
                <w:szCs w:val="20"/>
                <w:color w:val="auto"/>
              </w:rPr>
            </w:pPr>
            <w:r>
              <w:rPr>
                <w:rFonts w:ascii="Arial" w:cs="Arial" w:eastAsia="Arial" w:hAnsi="Arial"/>
                <w:sz w:val="15"/>
                <w:szCs w:val="15"/>
                <w:color w:val="auto"/>
              </w:rPr>
              <w:t>Restricted Cash</w:t>
            </w:r>
          </w:p>
        </w:tc>
        <w:tc>
          <w:tcPr>
            <w:tcW w:w="620" w:type="dxa"/>
            <w:vAlign w:val="bottom"/>
          </w:tcPr>
          <w:p>
            <w:pPr>
              <w:jc w:val="right"/>
              <w:spacing w:after="0"/>
              <w:rPr>
                <w:sz w:val="20"/>
                <w:szCs w:val="20"/>
                <w:color w:val="auto"/>
              </w:rPr>
            </w:pPr>
            <w:r>
              <w:rPr>
                <w:rFonts w:ascii="Arial" w:cs="Arial" w:eastAsia="Arial" w:hAnsi="Arial"/>
                <w:sz w:val="15"/>
                <w:szCs w:val="15"/>
                <w:color w:val="auto"/>
              </w:rPr>
              <w:t>4,762</w:t>
            </w:r>
          </w:p>
        </w:tc>
        <w:tc>
          <w:tcPr>
            <w:tcW w:w="1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5"/>
                <w:szCs w:val="15"/>
                <w:color w:val="auto"/>
              </w:rPr>
              <w:t>2,568</w:t>
            </w:r>
          </w:p>
        </w:tc>
      </w:tr>
      <w:tr>
        <w:trPr>
          <w:trHeight w:val="20"/>
        </w:trPr>
        <w:tc>
          <w:tcPr>
            <w:tcW w:w="52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52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Total Cash, Cash Equivalents and Restricted Cash</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$315,485</w:t>
            </w:r>
          </w:p>
        </w:tc>
        <w:tc>
          <w:tcPr>
            <w:tcW w:w="1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$34,652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809365"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8" w:name="page249"/>
    <w:bookmarkEnd w:id="248"/>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w:t>
      </w:r>
    </w:p>
    <w:p>
      <w:pPr>
        <w:spacing w:after="0" w:line="117"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Sun Country Airlines Holdings, Inc. is the parent company of Sun Country, Inc., which is a certificated air carrier providing scheduled passenger service, air cargo service, charter air transportation and related services. Services are provided to the general public, cargo customers, military branches, wholesale tour operators, individual entities, schools and companies for air transportation to various U.S. and international destinations. Except as otherwise stated, the financial information, accounting policies, and activities of Sun Country Airlines Holdings, Inc. are referred to as those of the Company (the “Company” or “Sun Country”).</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Split</w:t>
      </w:r>
    </w:p>
    <w:p>
      <w:pPr>
        <w:spacing w:after="0" w:line="12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In March 2021, the Company effected an approximately 18.8886 for 1 stock split of its common stock (the “Stock Split”), with exercise prices for outstanding warrants and options adjusted accordingly by dividing such prices by the Stock Split ratio. The par value of the common stock was not adjusted as a result of the Stock Split. As a result of the Stock Split, the Company issued an additional 44,226,587 shares of common stock. All references to common stock, warrants to purchase common stock, stock options, per share amounts and related information contained in the accompanying Condensed Consolidated Financial Statements and applicable disclosures have been retroactively adjusted to reflect the effect of the Stock Split for all periods.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Approval of the Omnibus Incentive Plan</w:t>
      </w:r>
    </w:p>
    <w:p>
      <w:pPr>
        <w:spacing w:after="0" w:line="128"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In March 2021, the stockholders approved the Sun Country Airlines Holdings, Inc. 2021 Omnibus Incentive Plan (the “Plan”). The Plan authorizes that no more than 3,600,000 shares of Common Stock may be delivered in the aggregate pursuant to Awards granted under the Plan. An “Award” means any Incentive Stock Option, Nonqualified Stock Option, Stock Appreciation Right, Restricted Stock, Restricted Stock Unit, Other Stock-Based Award, or Other Cash-Based Award granted under the Plan.</w:t>
      </w:r>
    </w:p>
    <w:p>
      <w:pPr>
        <w:spacing w:after="0" w:line="80" w:lineRule="exact"/>
        <w:rPr>
          <w:sz w:val="20"/>
          <w:szCs w:val="20"/>
          <w:color w:val="auto"/>
        </w:rPr>
      </w:pPr>
    </w:p>
    <w:p>
      <w:pPr>
        <w:ind w:left="1160" w:right="1599" w:firstLine="293"/>
        <w:spacing w:after="0" w:line="300" w:lineRule="auto"/>
        <w:rPr>
          <w:sz w:val="20"/>
          <w:szCs w:val="20"/>
          <w:color w:val="auto"/>
        </w:rPr>
      </w:pPr>
      <w:r>
        <w:rPr>
          <w:rFonts w:ascii="Arial" w:cs="Arial" w:eastAsia="Arial" w:hAnsi="Arial"/>
          <w:sz w:val="14"/>
          <w:szCs w:val="14"/>
          <w:color w:val="auto"/>
        </w:rPr>
        <w:t>Upon implementation of this new Plan, there were no more grants under the October 2018 equity incentive plan. Awards already issued under the 2018 plan are not impacted by the new Plan.</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Initial Public Offering of Common Stock and Other Stock Sales</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$225,006 after deducting underwriting discounts and commissions, and other offering expenses.</w:t>
      </w:r>
    </w:p>
    <w:p>
      <w:pPr>
        <w:spacing w:after="0" w:line="106"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Concurrently with the closing of the initial public offering, SCA Horus Holdings, LLC, an affiliate of investment funds managed by affiliates of Apollo Global Management (the “Apollo Stockholder”), also completed a concurrent private placement in which the Apollo Stockholder sold 2,216,312 and 2,216,308 shares of common stock to PAR Investment Partners, L.P. and certain funds or accounts managed by an investment adviser subsidiary of Blackrock, Inc., respectively. Each of the two sales was based on an aggregate purchase price of $50,000 and a price per share equal to 94% of the initial public offering price of $24.00 per share.</w:t>
      </w:r>
    </w:p>
    <w:p>
      <w:pPr>
        <w:spacing w:after="0" w:line="98"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In May 2021, the Apollo Stockholder sold 7,250,000 shares of the Company’s common stock at a public offering price of $34.50 per share. The underwriters in this offering exercised their option to purchase an additional 1,087,500 shares at the public offering price, bringing the total offering to 8,337,500 shares.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9" w:name="page250"/>
    <w:bookmarkEnd w:id="249"/>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 (continued)</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The Company incurred offering expenses of $640 and did not receive any of the proceeds from the offering.</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All proceeds went to the Apollo Stockholder.</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Amazon Agreement</w:t>
      </w:r>
    </w:p>
    <w:p>
      <w:pPr>
        <w:spacing w:after="0" w:line="117"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On December 13, 2019, the Company signed a six-year contract (with two, two -year extension options, for a maximum term of 10 years) with Amazon.com Services, Inc. (together with its affiliates, “Amazon”) to provide cargo services under an Air Transportation Services Agreement (the “ATSA”). The agreement is structured for the Company to provide crew, maintenance, and insurance (“CMI”) services to Amazon. Sun Country began flying for Amazon in May 2020. On June 27, 2020, Amazon and the Company signed an amendment to the December 2019 agreement that increased the number of aircraft Sun Country operates from 10 to 12.</w:t>
      </w:r>
    </w:p>
    <w:p>
      <w:pPr>
        <w:spacing w:after="0" w:line="102"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4"/>
          <w:szCs w:val="14"/>
          <w:color w:val="auto"/>
        </w:rPr>
        <w:t>In December 2019, in connection with the ATSA, the Company issued warrants to Amazon to purchase an aggregate of up to 9,482,606 shares of common stock at an exercise price of approximately $15.17 per share. The exercise period of these warrants is through the eighth anniversary of the issue date. Of the 9,482,606 total Amazon warrants issued, 632,183 vested upon execution of the ATSA in December 2019. Thereafter, an additional 63,217 warrants will vest for each milestone of $ 8,000 in qualifying payments made by Amazon to the Company. During the three and six months ended June 30, 2021, 189,652 and 379,304 warrants vested, respectively. The cumulative warrants vested as of June 30, 2021 were 1,264,356. No warrants vested during the six months ended June 30, 2020.</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w:t>
      </w:r>
    </w:p>
    <w:p>
      <w:pPr>
        <w:spacing w:after="0" w:line="128"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The accompanying unaudited Condensed Consolidated Financial Statements of Sun Country Airlines Holdings, Inc. should be read in conjunction with the consolidated financial statements contained in the Company’s Annual Report for the year ended December 31, 2020, which is included in the Company’s Final Prospectus dated March 16, 2021. During the six months ended June 30, 2021, there were no significant changes to the Company’s critical accounting policies.</w:t>
      </w:r>
    </w:p>
    <w:p>
      <w:pPr>
        <w:spacing w:after="0" w:line="89"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Certain prior period Stockholders’ Equity amounts were reclassified to conform to the current period presentation. This involved reducing the Common Stock values to $0.01 times the shares outstanding and reclassifying those dollars to Additional Paid-In Capital. These reclasses were $238,694 as of December 31, 2020, June 30, 2020 and March 31, 2020. The reclass as of December 31, 2019 was $239,073.</w:t>
      </w:r>
    </w:p>
    <w:p>
      <w:pPr>
        <w:spacing w:after="0" w:line="88"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Management believes that all adjustments necessary for the fair presentation of results, consisting of normally recurring items, have been included in the unaudited Condensed Consolidated Financial Statements for the interim periods presented. All material intercompany balances and transactions have been eliminated in consolidation.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Significant areas of judgment relate to passenger revenue recognition, maintenance under the built-in overhaul method, equity-based compensation, tax receivable agreement, lease accounting, impairment of goodwill, impairment of long-lived and intangible assets, air traffic liabilities, the loyalty program, as well as the valuation of Amazon warrants.</w:t>
      </w:r>
    </w:p>
    <w:p>
      <w:pPr>
        <w:spacing w:after="0" w:line="96"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Due to severe impacts from the global coronavirus (“COVID-19”) pandemic, seasonal variations in the demand for air travel, the volatility of aircraft fuel prices and other factors, operating results for the three and six months ended June 30, 2021 are not necessarily indicative of operating results for future quarters or for the year ended December 31, 2021. Air travel is also significantly impacted by general economic</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0" w:name="page251"/>
    <w:bookmarkEnd w:id="250"/>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 (continued)</w:t>
      </w:r>
    </w:p>
    <w:p>
      <w:pPr>
        <w:spacing w:after="0" w:line="183" w:lineRule="exact"/>
        <w:rPr>
          <w:sz w:val="20"/>
          <w:szCs w:val="20"/>
          <w:color w:val="auto"/>
        </w:rPr>
      </w:pPr>
    </w:p>
    <w:p>
      <w:pPr>
        <w:ind w:left="1160" w:right="1219"/>
        <w:spacing w:after="0" w:line="239" w:lineRule="auto"/>
        <w:rPr>
          <w:sz w:val="20"/>
          <w:szCs w:val="20"/>
          <w:color w:val="auto"/>
        </w:rPr>
      </w:pPr>
      <w:r>
        <w:rPr>
          <w:rFonts w:ascii="Arial" w:cs="Arial" w:eastAsia="Arial" w:hAnsi="Arial"/>
          <w:sz w:val="15"/>
          <w:szCs w:val="15"/>
          <w:color w:val="auto"/>
        </w:rPr>
        <w:t>conditions, the amount of disposable income available to consumers, unemployment levels, corporate travel budgets, extreme or severe weather and natural disasters, disease outbreaks, fears of terrorism or war, and other factors beyond the Company’s control.</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operates its fiscal year on a calendar year basis.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Adopted Accounting Standards</w:t>
      </w:r>
    </w:p>
    <w:p>
      <w:pPr>
        <w:spacing w:after="0" w:line="128" w:lineRule="exact"/>
        <w:rPr>
          <w:sz w:val="20"/>
          <w:szCs w:val="20"/>
          <w:color w:val="auto"/>
        </w:rPr>
      </w:pPr>
    </w:p>
    <w:p>
      <w:pPr>
        <w:ind w:left="1160" w:right="1219" w:firstLine="293"/>
        <w:spacing w:after="0" w:line="274" w:lineRule="auto"/>
        <w:rPr>
          <w:sz w:val="20"/>
          <w:szCs w:val="20"/>
          <w:color w:val="auto"/>
        </w:rPr>
      </w:pPr>
      <w:r>
        <w:rPr>
          <w:rFonts w:ascii="Arial" w:cs="Arial" w:eastAsia="Arial" w:hAnsi="Arial"/>
          <w:sz w:val="13"/>
          <w:szCs w:val="13"/>
          <w:b w:val="1"/>
          <w:bCs w:val="1"/>
          <w:i w:val="1"/>
          <w:iCs w:val="1"/>
          <w:color w:val="auto"/>
        </w:rPr>
        <w:t>Income Taxes—Simplifying the Accounting for Income Taxes—</w:t>
      </w:r>
      <w:r>
        <w:rPr>
          <w:rFonts w:ascii="Arial" w:cs="Arial" w:eastAsia="Arial" w:hAnsi="Arial"/>
          <w:sz w:val="13"/>
          <w:szCs w:val="13"/>
          <w:color w:val="auto"/>
        </w:rPr>
        <w:t>In December 2019, the FASB issued ASU</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it did not have a material impact on the Company’s Condensed Consolidated Financial Statements.</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w:t>
      </w:r>
    </w:p>
    <w:p>
      <w:pPr>
        <w:spacing w:after="0" w:line="128"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On March 11, 2020 the World Health Organization declared COVID-19 a global pandemic causing a massive market disruption to the aviation industry. While U.S. domestic passenger volumes have increased to date, those levels are still down when compared to the same time frame in 2019. The growth in the U.S. domestic air traffic since the trough in April 2020 has been led by leisure and visiting family and relatives (“VFR”) travelers as business travel remains more subdued with corporate workforces continuing to “work-from-home” and in-person meetings continuing to be conducted via videoconferencing and other virtual channels. Equity research analysts and other industry executives believe that the positive trends in leisure and VFR travel will continue as COVID-19 vaccines continue to become more widely distributed in 2021. COVID-19 vaccines have become widely available in the US according to the Centers for Disease Control and Prevention (“the CDC”). The initial beneficiaries of the travel rebound are expected to be leisure and VFR focused Low-Cost Carriers (“LCCs”) and Ultra Low-Cost Carriers (“ULCCs”), while the more international and business travel exposed legacy network airlines are expected to lag behind.</w:t>
      </w:r>
    </w:p>
    <w:p>
      <w:pPr>
        <w:spacing w:after="0" w:line="83"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As COVID- 19 has spread globally, many countries have imposed strict international travel restrictions. The U.S. market has recovered markedly faster than most other countries as a result of widespread vaccine distribution igniting the leisure travel recovery. However, given the uncertainty regarding COVID-19 variants, including but not limited to the Delta variant, the demand recovery may be impacted in both international and domestic travel.</w:t>
      </w:r>
    </w:p>
    <w:p>
      <w:pPr>
        <w:spacing w:after="0" w:line="100"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Coronavirus Aid, Relief, and Economic Security Act (“CARES Act”)</w:t>
      </w:r>
    </w:p>
    <w:p>
      <w:pPr>
        <w:spacing w:after="0" w:line="128"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and has received certain benefits outlined in the CARES Act including but not limited to payroll tax breaks, government grants and government loans.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1" w:name="page252"/>
    <w:bookmarkEnd w:id="251"/>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83"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The grant amount recognized under the CARES Act Payroll Support Program for the year ended December 31, 2020 was $62,312 and was recorded in Special Items, net. During the first quarter of 2021, the Company received $32,208 from the Treasury under the Payroll Support Program Extension (“PSP2”). During the second quarter of 2021, the Company received an additional $4,831 from the Treasury as a top-off grant under PSP2.</w:t>
      </w:r>
    </w:p>
    <w:p>
      <w:pPr>
        <w:spacing w:after="0" w:line="9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Further, in the second quarter, the Company received a grant of $34,547 under the American Rescue Plan Act of 2021 (“PSP3”) which was enacted on March 11, 2021, and authorizes Treasury to provide additional assistance to passenger air carriers and contractors that received financial assistance under the CARES Act. The grant amount recognized under PSP3 of $34,547 was recorded in Special Items, net during the second quarter.</w:t>
      </w:r>
    </w:p>
    <w:p>
      <w:pPr>
        <w:spacing w:after="0" w:line="105"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The CARES Act provides an employee retention credit (“CARES Employee Retention Credit”) which is a refundable tax credit against certain employment taxes. During the year ended December 31, 2020, the Company recorded $2,328 related to the CARES Employee Retention Credit within Special Items, net. In the first and second quarters of 2021, an additional $334 and $446, respectively, was recognized within Special Items, net.</w:t>
      </w:r>
    </w:p>
    <w:p>
      <w:pPr>
        <w:spacing w:after="0" w:line="10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Under the CARES Act Loan Program, the Company received a $45,000 loan (the “CARES Act Loan”)</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from the Treasury on October 26, 2020, which was repaid in full on March 24, 2021.</w:t>
      </w:r>
    </w:p>
    <w:p>
      <w:pPr>
        <w:spacing w:after="0" w:line="102"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w:t>
      </w:r>
    </w:p>
    <w:p>
      <w:pPr>
        <w:spacing w:after="0" w:line="128"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ATSA. Other revenue consists primarily of revenue from services in connection with Sun Country Vacation products.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significant categories comprising Operating Revenues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2" w:name="page253"/>
    <w:bookmarkEnd w:id="252"/>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7"/>
          </w:tcPr>
          <w:p>
            <w:pPr>
              <w:spacing w:after="0"/>
              <w:rPr>
                <w:sz w:val="20"/>
                <w:szCs w:val="20"/>
                <w:color w:val="auto"/>
              </w:rPr>
            </w:pPr>
            <w:r>
              <w:rPr>
                <w:rFonts w:ascii="Arial" w:cs="Arial" w:eastAsia="Arial" w:hAnsi="Arial"/>
                <w:sz w:val="12"/>
                <w:szCs w:val="12"/>
                <w:b w:val="1"/>
                <w:bCs w:val="1"/>
                <w:color w:val="auto"/>
                <w:w w:val="92"/>
              </w:rPr>
              <w:t>Three Months Ended June 30,</w:t>
            </w:r>
          </w:p>
        </w:tc>
        <w:tc>
          <w:tcPr>
            <w:tcW w:w="136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83"/>
              </w:rPr>
              <w:t>Six Months Ended June 30,</w:t>
            </w:r>
          </w:p>
        </w:tc>
      </w:tr>
      <w:tr>
        <w:trPr>
          <w:trHeight w:val="21"/>
        </w:trPr>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7"/>
        </w:trPr>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80" w:type="dxa"/>
            <w:vAlign w:val="bottom"/>
          </w:tcPr>
          <w:p>
            <w:pPr>
              <w:jc w:val="right"/>
              <w:ind w:right="110"/>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Scheduled service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67,073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$17,882</w:t>
            </w:r>
          </w:p>
        </w:tc>
        <w:tc>
          <w:tcPr>
            <w:tcW w:w="20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$121,693</w:t>
            </w:r>
          </w:p>
        </w:tc>
        <w:tc>
          <w:tcPr>
            <w:tcW w:w="20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6"/>
              </w:rPr>
              <w:t>$132,110</w:t>
            </w: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Charter service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28,898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8,491</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54,703</w:t>
            </w: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37,718</w:t>
            </w: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Ancillary</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29,159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4,968</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52,929</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39,999</w:t>
            </w:r>
          </w:p>
        </w:tc>
      </w:tr>
      <w:tr>
        <w:trPr>
          <w:trHeight w:val="20"/>
        </w:trPr>
        <w:tc>
          <w:tcPr>
            <w:tcW w:w="3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346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125,130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31,341</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9"/>
              </w:rPr>
              <w:t>229,325</w:t>
            </w:r>
          </w:p>
        </w:tc>
        <w:tc>
          <w:tcPr>
            <w:tcW w:w="2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w w:val="99"/>
              </w:rPr>
              <w:t>209,827</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Cargo</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22,098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3,219</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43,684</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3,219</w:t>
            </w:r>
          </w:p>
        </w:tc>
      </w:tr>
      <w:tr>
        <w:trPr>
          <w:trHeight w:val="214"/>
        </w:trPr>
        <w:tc>
          <w:tcPr>
            <w:tcW w:w="3460" w:type="dxa"/>
            <w:vAlign w:val="bottom"/>
          </w:tcPr>
          <w:p>
            <w:pPr>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1,961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816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3,793</w:t>
            </w: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2,660</w:t>
            </w:r>
          </w:p>
        </w:tc>
      </w:tr>
      <w:tr>
        <w:trPr>
          <w:trHeight w:val="20"/>
        </w:trPr>
        <w:tc>
          <w:tcPr>
            <w:tcW w:w="3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36"/>
        </w:trPr>
        <w:tc>
          <w:tcPr>
            <w:tcW w:w="3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Operating Revenue</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149,189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$35,376</w:t>
            </w:r>
          </w:p>
        </w:tc>
        <w:tc>
          <w:tcPr>
            <w:tcW w:w="200" w:type="dxa"/>
            <w:vAlign w:val="bottom"/>
            <w:tcBorders>
              <w:right w:val="single" w:sz="8" w:color="CCEEFF"/>
            </w:tcBorders>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$276,802</w:t>
            </w:r>
          </w:p>
        </w:tc>
        <w:tc>
          <w:tcPr>
            <w:tcW w:w="200" w:type="dxa"/>
            <w:vAlign w:val="bottom"/>
            <w:tcBorders>
              <w:right w:val="single" w:sz="8" w:color="CCEEFF"/>
            </w:tcBorders>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6"/>
              </w:rPr>
              <w:t>$215,706</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-173990</wp:posOffset>
            </wp:positionV>
            <wp:extent cx="13970" cy="698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-173990</wp:posOffset>
            </wp:positionV>
            <wp:extent cx="139700" cy="69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376295" cy="698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376295"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-585470</wp:posOffset>
            </wp:positionV>
            <wp:extent cx="13970" cy="698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-996950</wp:posOffset>
            </wp:positionV>
            <wp:extent cx="111760" cy="698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-996950</wp:posOffset>
            </wp:positionV>
            <wp:extent cx="111760" cy="698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-996950</wp:posOffset>
            </wp:positionV>
            <wp:extent cx="2860040" cy="698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860040" cy="6985"/>
                    </a:xfrm>
                    <a:prstGeom prst="rect">
                      <a:avLst/>
                    </a:prstGeom>
                    <a:noFill/>
                  </pic:spPr>
                </pic:pic>
              </a:graphicData>
            </a:graphic>
          </wp:anchor>
        </w:drawing>
      </w:r>
    </w:p>
    <w:p>
      <w:pPr>
        <w:spacing w:after="0" w:line="156"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The Company attributes and measures its Operating Revenue by geographic region as defined by the Department of Transportation for airline reporting based upon the origin of each passenger and cargo flight segment.</w:t>
      </w:r>
    </w:p>
    <w:p>
      <w:pPr>
        <w:spacing w:after="0" w:line="101"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Total Operating Revenue by geographic region are as follows: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6"/>
          </w:tcPr>
          <w:p>
            <w:pPr>
              <w:spacing w:after="0"/>
              <w:rPr>
                <w:sz w:val="20"/>
                <w:szCs w:val="20"/>
                <w:color w:val="auto"/>
              </w:rPr>
            </w:pPr>
            <w:r>
              <w:rPr>
                <w:rFonts w:ascii="Arial" w:cs="Arial" w:eastAsia="Arial" w:hAnsi="Arial"/>
                <w:sz w:val="12"/>
                <w:szCs w:val="12"/>
                <w:b w:val="1"/>
                <w:bCs w:val="1"/>
                <w:color w:val="auto"/>
                <w:w w:val="92"/>
              </w:rPr>
              <w:t>Three Months Ended June 30,</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w w:val="84"/>
              </w:rPr>
              <w:t>Six Months Ended June 30,</w:t>
            </w:r>
          </w:p>
        </w:tc>
      </w:tr>
      <w:tr>
        <w:trPr>
          <w:trHeight w:val="21"/>
        </w:trPr>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7"/>
        </w:trPr>
        <w:tc>
          <w:tcPr>
            <w:tcW w:w="3460" w:type="dxa"/>
            <w:vAlign w:val="bottom"/>
          </w:tcPr>
          <w:p>
            <w:pPr>
              <w:spacing w:after="0"/>
              <w:rPr>
                <w:sz w:val="13"/>
                <w:szCs w:val="13"/>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80" w:type="dxa"/>
            <w:vAlign w:val="bottom"/>
          </w:tcPr>
          <w:p>
            <w:pPr>
              <w:jc w:val="right"/>
              <w:ind w:right="112"/>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Domestic</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$142,774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$34,307</w:t>
            </w:r>
          </w:p>
        </w:tc>
        <w:tc>
          <w:tcPr>
            <w:tcW w:w="20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$262,020</w:t>
            </w:r>
          </w:p>
        </w:tc>
        <w:tc>
          <w:tcPr>
            <w:tcW w:w="2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$197,345</w:t>
            </w:r>
          </w:p>
        </w:tc>
        <w:tc>
          <w:tcPr>
            <w:tcW w:w="20" w:type="dxa"/>
            <w:vAlign w:val="bottom"/>
            <w:shd w:val="clear" w:color="auto" w:fill="CCEEFF"/>
          </w:tcPr>
          <w:p>
            <w:pPr>
              <w:spacing w:after="0"/>
              <w:rPr>
                <w:sz w:val="17"/>
                <w:szCs w:val="17"/>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Latin America</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6,266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1,038</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14,228</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18,114</w:t>
            </w:r>
          </w:p>
        </w:tc>
        <w:tc>
          <w:tcPr>
            <w:tcW w:w="20" w:type="dxa"/>
            <w:vAlign w:val="bottom"/>
          </w:tcPr>
          <w:p>
            <w:pPr>
              <w:spacing w:after="0"/>
              <w:rPr>
                <w:sz w:val="18"/>
                <w:szCs w:val="18"/>
                <w:color w:val="auto"/>
              </w:rPr>
            </w:pPr>
          </w:p>
        </w:tc>
      </w:tr>
      <w:tr>
        <w:trPr>
          <w:trHeight w:val="214"/>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554</w:t>
            </w: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20" w:type="dxa"/>
            <w:vAlign w:val="bottom"/>
            <w:shd w:val="clear" w:color="auto" w:fill="CCEEFF"/>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3460" w:type="dxa"/>
            <w:vAlign w:val="bottom"/>
          </w:tcPr>
          <w:p>
            <w:pPr>
              <w:ind w:left="160"/>
              <w:spacing w:after="0"/>
              <w:rPr>
                <w:sz w:val="20"/>
                <w:szCs w:val="20"/>
                <w:color w:val="auto"/>
              </w:rPr>
            </w:pPr>
            <w:r>
              <w:rPr>
                <w:rFonts w:ascii="Arial" w:cs="Arial" w:eastAsia="Arial" w:hAnsi="Arial"/>
                <w:sz w:val="15"/>
                <w:szCs w:val="15"/>
                <w:color w:val="auto"/>
              </w:rPr>
              <w:t>Total Operating Revenue</w:t>
            </w:r>
          </w:p>
        </w:tc>
        <w:tc>
          <w:tcPr>
            <w:tcW w:w="2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$149,189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4"/>
              </w:rPr>
              <w:t>$35,376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86"/>
              </w:rPr>
              <w:t>$276,802</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86"/>
              </w:rPr>
              <w:t>$215,706</w:t>
            </w:r>
          </w:p>
        </w:tc>
        <w:tc>
          <w:tcPr>
            <w:tcW w:w="2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4966970</wp:posOffset>
            </wp:positionH>
            <wp:positionV relativeFrom="paragraph">
              <wp:posOffset>-173990</wp:posOffset>
            </wp:positionV>
            <wp:extent cx="13970" cy="69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-585470</wp:posOffset>
            </wp:positionV>
            <wp:extent cx="111760" cy="698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-585470</wp:posOffset>
            </wp:positionV>
            <wp:extent cx="111760" cy="698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2860040" cy="698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860040" cy="6985"/>
                    </a:xfrm>
                    <a:prstGeom prst="rect">
                      <a:avLst/>
                    </a:prstGeom>
                    <a:noFill/>
                  </pic:spPr>
                </pic:pic>
              </a:graphicData>
            </a:graphic>
          </wp:anchor>
        </w:drawing>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Contract Balances</w:t>
      </w:r>
    </w:p>
    <w:p>
      <w:pPr>
        <w:spacing w:after="0" w:line="128" w:lineRule="exact"/>
        <w:rPr>
          <w:sz w:val="20"/>
          <w:szCs w:val="20"/>
          <w:color w:val="auto"/>
        </w:rPr>
      </w:pPr>
    </w:p>
    <w:p>
      <w:pPr>
        <w:jc w:val="both"/>
        <w:ind w:left="1160" w:right="1339" w:firstLine="293"/>
        <w:spacing w:after="0" w:line="297" w:lineRule="auto"/>
        <w:rPr>
          <w:sz w:val="20"/>
          <w:szCs w:val="20"/>
          <w:color w:val="auto"/>
        </w:rPr>
      </w:pPr>
      <w:r>
        <w:rPr>
          <w:rFonts w:ascii="Arial" w:cs="Arial" w:eastAsia="Arial" w:hAnsi="Arial"/>
          <w:sz w:val="13"/>
          <w:szCs w:val="13"/>
          <w:color w:val="auto"/>
        </w:rPr>
        <w:t>The Company’s contract assets primarily relate to costs incurred to get the 12 Amazon cargo aircraft ready for service. The balances are included in Other Current Assets and Other Assets on the Condensed Consolidated Balance Sheets. The amount expensed during the three and six months ended June 30, 2021 was $169 and $307, respectively, and is included in Maintenance expense. There was nothing expensed in the six months ended June 30, 2020, since the Amazon cargo services were just getting started.</w:t>
      </w:r>
    </w:p>
    <w:p>
      <w:pPr>
        <w:spacing w:after="0" w:line="75"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(reported within Other Liabilities on the Condensed Consolidated Balance Sheets).</w:t>
      </w:r>
    </w:p>
    <w:p>
      <w:pPr>
        <w:spacing w:after="0" w:line="9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Contract Assets and Liabilities are as follows: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3" w:name="page254"/>
    <w:bookmarkEnd w:id="253"/>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8"/>
          </w:tcPr>
          <w:p>
            <w:pPr>
              <w:spacing w:after="0"/>
              <w:rPr>
                <w:sz w:val="20"/>
                <w:szCs w:val="20"/>
                <w:color w:val="auto"/>
              </w:rPr>
            </w:pPr>
            <w:r>
              <w:rPr>
                <w:rFonts w:ascii="Arial" w:cs="Arial" w:eastAsia="Arial" w:hAnsi="Arial"/>
                <w:sz w:val="12"/>
                <w:szCs w:val="12"/>
                <w:b w:val="1"/>
                <w:bCs w:val="1"/>
                <w:color w:val="auto"/>
                <w:w w:val="87"/>
              </w:rPr>
              <w:t>June 30, 2021    December 31, 2020</w:t>
            </w:r>
          </w:p>
        </w:tc>
      </w:tr>
      <w:tr>
        <w:trPr>
          <w:trHeight w:val="21"/>
        </w:trPr>
        <w:tc>
          <w:tcPr>
            <w:tcW w:w="4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Contract Assets</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0"/>
        </w:trPr>
        <w:tc>
          <w:tcPr>
            <w:tcW w:w="4680" w:type="dxa"/>
            <w:vAlign w:val="bottom"/>
          </w:tcPr>
          <w:p>
            <w:pPr>
              <w:spacing w:after="0"/>
              <w:rPr>
                <w:sz w:val="20"/>
                <w:szCs w:val="20"/>
                <w:color w:val="auto"/>
              </w:rPr>
            </w:pPr>
            <w:r>
              <w:rPr>
                <w:rFonts w:ascii="Arial" w:cs="Arial" w:eastAsia="Arial" w:hAnsi="Arial"/>
                <w:sz w:val="15"/>
                <w:szCs w:val="15"/>
                <w:color w:val="auto"/>
              </w:rPr>
              <w:t>Costs to fulfill contract with Amazon</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3,203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3,614</w:t>
            </w:r>
          </w:p>
        </w:tc>
        <w:tc>
          <w:tcPr>
            <w:tcW w:w="200" w:type="dxa"/>
            <w:vAlign w:val="bottom"/>
          </w:tcPr>
          <w:p>
            <w:pPr>
              <w:spacing w:after="0"/>
              <w:rPr>
                <w:sz w:val="19"/>
                <w:szCs w:val="19"/>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Air Traffic Liabilities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113,771</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101,075</w:t>
            </w:r>
          </w:p>
        </w:tc>
        <w:tc>
          <w:tcPr>
            <w:tcW w:w="200" w:type="dxa"/>
            <w:vAlign w:val="bottom"/>
            <w:shd w:val="clear" w:color="auto" w:fill="CCEEFF"/>
          </w:tcPr>
          <w:p>
            <w:pPr>
              <w:spacing w:after="0"/>
              <w:rPr>
                <w:sz w:val="15"/>
                <w:szCs w:val="15"/>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5"/>
                <w:szCs w:val="15"/>
                <w:color w:val="auto"/>
              </w:rPr>
              <w:t>Loyalty Program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20,877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22,069</w:t>
            </w:r>
          </w:p>
        </w:tc>
        <w:tc>
          <w:tcPr>
            <w:tcW w:w="200" w:type="dxa"/>
            <w:vAlign w:val="bottom"/>
          </w:tcPr>
          <w:p>
            <w:pPr>
              <w:spacing w:after="0"/>
              <w:rPr>
                <w:sz w:val="18"/>
                <w:szCs w:val="18"/>
                <w:color w:val="auto"/>
              </w:rPr>
            </w:pPr>
          </w:p>
        </w:tc>
      </w:tr>
      <w:tr>
        <w:trPr>
          <w:trHeight w:val="214"/>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Amazon Deferred Up-front Payment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4,772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5,240</w:t>
            </w:r>
          </w:p>
        </w:tc>
        <w:tc>
          <w:tcPr>
            <w:tcW w:w="200" w:type="dxa"/>
            <w:vAlign w:val="bottom"/>
            <w:shd w:val="clear" w:color="auto" w:fill="CCEEFF"/>
          </w:tcPr>
          <w:p>
            <w:pPr>
              <w:spacing w:after="0"/>
              <w:rPr>
                <w:sz w:val="18"/>
                <w:szCs w:val="18"/>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4680" w:type="dxa"/>
            <w:vAlign w:val="bottom"/>
          </w:tcPr>
          <w:p>
            <w:pPr>
              <w:ind w:left="160"/>
              <w:spacing w:after="0"/>
              <w:rPr>
                <w:sz w:val="20"/>
                <w:szCs w:val="20"/>
                <w:color w:val="auto"/>
              </w:rPr>
            </w:pPr>
            <w:r>
              <w:rPr>
                <w:rFonts w:ascii="Arial" w:cs="Arial" w:eastAsia="Arial" w:hAnsi="Arial"/>
                <w:sz w:val="15"/>
                <w:szCs w:val="15"/>
                <w:color w:val="auto"/>
              </w:rPr>
              <w:t>Total Contract Liabilities</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139,420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128,384</w:t>
            </w:r>
          </w:p>
        </w:tc>
        <w:tc>
          <w:tcPr>
            <w:tcW w:w="2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-878205</wp:posOffset>
            </wp:positionV>
            <wp:extent cx="3634740" cy="69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balance in the Air Traffic Liabilities fluctuates with seasonal travel patterns. Most tickets can be</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purchased no more than twelve months in advance, therefore any revenue associated with tickets sold for</w:t>
      </w:r>
    </w:p>
    <w:p>
      <w:pPr>
        <w:ind w:left="1160"/>
        <w:spacing w:after="0" w:line="234" w:lineRule="auto"/>
        <w:rPr>
          <w:sz w:val="20"/>
          <w:szCs w:val="20"/>
          <w:color w:val="auto"/>
        </w:rPr>
      </w:pPr>
      <w:r>
        <w:rPr>
          <w:rFonts w:ascii="Arial" w:cs="Arial" w:eastAsia="Arial" w:hAnsi="Arial"/>
          <w:sz w:val="15"/>
          <w:szCs w:val="15"/>
          <w:color w:val="auto"/>
        </w:rPr>
        <w:t>future travel will be recognized within that timeframe. For the six month period ended June 30, 2021,</w:t>
      </w:r>
    </w:p>
    <w:p>
      <w:pPr>
        <w:ind w:left="1160"/>
        <w:spacing w:after="0"/>
        <w:rPr>
          <w:sz w:val="20"/>
          <w:szCs w:val="20"/>
          <w:color w:val="auto"/>
        </w:rPr>
      </w:pPr>
      <w:r>
        <w:rPr>
          <w:rFonts w:ascii="Arial" w:cs="Arial" w:eastAsia="Arial" w:hAnsi="Arial"/>
          <w:sz w:val="14"/>
          <w:szCs w:val="14"/>
          <w:color w:val="auto"/>
        </w:rPr>
        <w:t>$82,206 of revenue was recognized in Passenger revenue that was included in the Air Traffic Liabilities as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of December 31, 2020.</w:t>
      </w:r>
    </w:p>
    <w:p>
      <w:pPr>
        <w:spacing w:after="0" w:line="101"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was recorded in Other Liabilities on the Company’s Condensed Consolidated Balance Sheet. This deferred up- front payment is being amortized into revenue on a pro -rata basis over the initial six years of the ATSA. For the three and six months ended June 30, 2021, $237 and $468 was amortized into Cargo revenue, respectively. For each of the three and six months ended June 30, 2020, $38 was amortized into Cargo revenue.</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17" w:lineRule="exact"/>
        <w:rPr>
          <w:sz w:val="20"/>
          <w:szCs w:val="20"/>
          <w:color w:val="auto"/>
        </w:rPr>
      </w:pPr>
    </w:p>
    <w:p>
      <w:pPr>
        <w:ind w:left="1160" w:right="1199" w:firstLine="293"/>
        <w:spacing w:after="0" w:line="279" w:lineRule="auto"/>
        <w:rPr>
          <w:sz w:val="20"/>
          <w:szCs w:val="20"/>
          <w:color w:val="auto"/>
        </w:rPr>
      </w:pPr>
      <w:r>
        <w:rPr>
          <w:rFonts w:ascii="Arial" w:cs="Arial" w:eastAsia="Arial" w:hAnsi="Arial"/>
          <w:sz w:val="13"/>
          <w:szCs w:val="13"/>
          <w:color w:val="auto"/>
        </w:rPr>
        <w:t>The Sun Country Rewards program provides loyalty awards to program members based on accumulated loyalty points. Loyalty points are earned as a result of travel and purchases using the Company’s co- 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7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the Loyalty Program Liabilities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70"/>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5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5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$22,069</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$22,892</w:t>
            </w:r>
          </w:p>
        </w:tc>
        <w:tc>
          <w:tcPr>
            <w:tcW w:w="60" w:type="dxa"/>
            <w:vAlign w:val="bottom"/>
          </w:tcPr>
          <w:p>
            <w:pPr>
              <w:spacing w:after="0"/>
              <w:rPr>
                <w:sz w:val="17"/>
                <w:szCs w:val="17"/>
                <w:color w:val="auto"/>
              </w:rPr>
            </w:pPr>
          </w:p>
        </w:tc>
      </w:tr>
      <w:tr>
        <w:trPr>
          <w:trHeight w:val="209"/>
        </w:trPr>
        <w:tc>
          <w:tcPr>
            <w:tcW w:w="5540" w:type="dxa"/>
            <w:vAlign w:val="bottom"/>
            <w:gridSpan w:val="3"/>
          </w:tcPr>
          <w:p>
            <w:pPr>
              <w:spacing w:after="0"/>
              <w:rPr>
                <w:sz w:val="20"/>
                <w:szCs w:val="20"/>
                <w:color w:val="auto"/>
              </w:rPr>
            </w:pPr>
            <w:r>
              <w:rPr>
                <w:rFonts w:ascii="Arial" w:cs="Arial" w:eastAsia="Arial" w:hAnsi="Arial"/>
                <w:sz w:val="15"/>
                <w:szCs w:val="15"/>
                <w:color w:val="auto"/>
              </w:rPr>
              <w:t>Loyalty Points Earned</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1,904</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2,621</w:t>
            </w:r>
          </w:p>
        </w:tc>
        <w:tc>
          <w:tcPr>
            <w:tcW w:w="60" w:type="dxa"/>
            <w:vAlign w:val="bottom"/>
          </w:tcPr>
          <w:p>
            <w:pPr>
              <w:spacing w:after="0"/>
              <w:rPr>
                <w:sz w:val="18"/>
                <w:szCs w:val="18"/>
                <w:color w:val="auto"/>
              </w:rPr>
            </w:pPr>
          </w:p>
        </w:tc>
      </w:tr>
      <w:tr>
        <w:trPr>
          <w:trHeight w:val="242"/>
        </w:trPr>
        <w:tc>
          <w:tcPr>
            <w:tcW w:w="5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Loyalty Points Redeemed</w:t>
            </w:r>
            <w:r>
              <w:rPr>
                <w:rFonts w:ascii="Arial" w:cs="Arial" w:eastAsia="Arial" w:hAnsi="Arial"/>
                <w:sz w:val="19"/>
                <w:szCs w:val="19"/>
                <w:color w:val="auto"/>
                <w:vertAlign w:val="superscript"/>
              </w:rPr>
              <w:t>(1)</w:t>
            </w:r>
          </w:p>
        </w:tc>
        <w:tc>
          <w:tcPr>
            <w:tcW w:w="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(3,096)</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(3,395)</w:t>
            </w:r>
          </w:p>
        </w:tc>
        <w:tc>
          <w:tcPr>
            <w:tcW w:w="60" w:type="dxa"/>
            <w:vAlign w:val="bottom"/>
          </w:tcPr>
          <w:p>
            <w:pPr>
              <w:spacing w:after="0"/>
              <w:rPr>
                <w:sz w:val="21"/>
                <w:szCs w:val="21"/>
                <w:color w:val="auto"/>
              </w:rPr>
            </w:pPr>
          </w:p>
        </w:tc>
      </w:tr>
      <w:tr>
        <w:trPr>
          <w:trHeight w:val="211"/>
        </w:trPr>
        <w:tc>
          <w:tcPr>
            <w:tcW w:w="5540" w:type="dxa"/>
            <w:vAlign w:val="bottom"/>
            <w:tcBorders>
              <w:top w:val="single" w:sz="8" w:color="CCEEFF"/>
            </w:tcBorders>
            <w:gridSpan w:val="3"/>
          </w:tcPr>
          <w:p>
            <w:pPr>
              <w:spacing w:after="0"/>
              <w:rPr>
                <w:sz w:val="20"/>
                <w:szCs w:val="20"/>
                <w:color w:val="auto"/>
              </w:rPr>
            </w:pPr>
            <w:r>
              <w:rPr>
                <w:rFonts w:ascii="Arial" w:cs="Arial" w:eastAsia="Arial" w:hAnsi="Arial"/>
                <w:sz w:val="15"/>
                <w:szCs w:val="15"/>
                <w:color w:val="auto"/>
              </w:rPr>
              <w:t>Balance—June 30</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4"/>
              </w:rPr>
              <w:t>$20,877</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4"/>
              </w:rPr>
              <w:t>$22,118</w:t>
            </w:r>
          </w:p>
        </w:tc>
        <w:tc>
          <w:tcPr>
            <w:tcW w:w="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-669290</wp:posOffset>
            </wp:positionV>
            <wp:extent cx="3927475" cy="69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3927475" cy="6985"/>
                    </a:xfrm>
                    <a:prstGeom prst="rect">
                      <a:avLst/>
                    </a:prstGeom>
                    <a:noFill/>
                  </pic:spPr>
                </pic:pic>
              </a:graphicData>
            </a:graphic>
          </wp:anchor>
        </w:drawing>
      </w:r>
    </w:p>
    <w:p>
      <w:pPr>
        <w:spacing w:after="0" w:line="57" w:lineRule="exact"/>
        <w:rPr>
          <w:sz w:val="20"/>
          <w:szCs w:val="20"/>
          <w:color w:val="auto"/>
        </w:rPr>
      </w:pPr>
    </w:p>
    <w:p>
      <w:pPr>
        <w:ind w:left="1460" w:right="1199" w:hanging="296"/>
        <w:spacing w:after="0" w:line="266" w:lineRule="auto"/>
        <w:tabs>
          <w:tab w:leader="none" w:pos="14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Principally relates to revenue recognized from the redemption of loyalty points for both air and non-air travel awards. Loyalty points are combined in one homogenous pool and are not separately identifiable. As such, the revenue recognized is comprised of points that were part of the Loyalty Program Liabilities balance at the beginning of the period, as well as points that were earned during the period.</w:t>
      </w:r>
    </w:p>
    <w:p>
      <w:pPr>
        <w:spacing w:after="0" w:line="84" w:lineRule="exact"/>
        <w:rPr>
          <w:sz w:val="20"/>
          <w:szCs w:val="20"/>
          <w:color w:val="auto"/>
        </w:rPr>
      </w:pPr>
    </w:p>
    <w:p>
      <w:pPr>
        <w:ind w:left="1160" w:right="1319" w:firstLine="293"/>
        <w:spacing w:after="0" w:line="281" w:lineRule="auto"/>
        <w:rPr>
          <w:sz w:val="20"/>
          <w:szCs w:val="20"/>
          <w:color w:val="auto"/>
        </w:rPr>
      </w:pPr>
      <w:r>
        <w:rPr>
          <w:rFonts w:ascii="Arial" w:cs="Arial" w:eastAsia="Arial" w:hAnsi="Arial"/>
          <w:sz w:val="14"/>
          <w:szCs w:val="14"/>
          <w:color w:val="auto"/>
        </w:rPr>
        <w:t>The timing of loyalty point redemptions can vary significantly, however most new points, that are not left to expire, are redeemed within two years. Given the inherent uncertainty of the current operating environment due to COVID-19, the Company will continue to monitor redemption patterns and will adjust</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4" w:name="page255"/>
    <w:bookmarkEnd w:id="254"/>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estimates in the future, which could be material.</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EARNINGS PER SHARE</w:t>
      </w:r>
    </w:p>
    <w:p>
      <w:pPr>
        <w:spacing w:after="0" w:line="117" w:lineRule="exact"/>
        <w:rPr>
          <w:sz w:val="20"/>
          <w:szCs w:val="20"/>
          <w:color w:val="auto"/>
        </w:rPr>
      </w:pPr>
    </w:p>
    <w:p>
      <w:pPr>
        <w:ind w:left="1160" w:right="1439" w:firstLine="293"/>
        <w:spacing w:after="0" w:line="254" w:lineRule="auto"/>
        <w:rPr>
          <w:sz w:val="20"/>
          <w:szCs w:val="20"/>
          <w:color w:val="auto"/>
        </w:rPr>
      </w:pPr>
      <w:r>
        <w:rPr>
          <w:rFonts w:ascii="Arial" w:cs="Arial" w:eastAsia="Arial" w:hAnsi="Arial"/>
          <w:sz w:val="15"/>
          <w:szCs w:val="15"/>
          <w:color w:val="auto"/>
        </w:rPr>
        <w:t>Basic earnings per share, which excludes dilution, is computed by dividing Net Income available to common stockholders by the weighted average number of shares of common stock outstanding for the period.</w:t>
      </w:r>
    </w:p>
    <w:p>
      <w:pPr>
        <w:spacing w:after="0" w:line="101"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computation of basic and diluted earnings per share: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w w:val="84"/>
              </w:rPr>
              <w:t>Three Months Ended June 30,</w:t>
            </w:r>
          </w:p>
        </w:tc>
        <w:tc>
          <w:tcPr>
            <w:tcW w:w="80" w:type="dxa"/>
            <w:vAlign w:val="bottom"/>
          </w:tcPr>
          <w:p>
            <w:pPr>
              <w:spacing w:after="0"/>
              <w:rPr>
                <w:sz w:val="13"/>
                <w:szCs w:val="13"/>
                <w:color w:val="auto"/>
              </w:rPr>
            </w:pPr>
          </w:p>
        </w:tc>
        <w:tc>
          <w:tcPr>
            <w:tcW w:w="1580" w:type="dxa"/>
            <w:vAlign w:val="bottom"/>
            <w:gridSpan w:val="4"/>
          </w:tcPr>
          <w:p>
            <w:pPr>
              <w:jc w:val="right"/>
              <w:ind w:right="109"/>
              <w:spacing w:after="0"/>
              <w:rPr>
                <w:sz w:val="20"/>
                <w:szCs w:val="20"/>
                <w:color w:val="auto"/>
              </w:rPr>
            </w:pPr>
            <w:r>
              <w:rPr>
                <w:rFonts w:ascii="Arial" w:cs="Arial" w:eastAsia="Arial" w:hAnsi="Arial"/>
                <w:sz w:val="12"/>
                <w:szCs w:val="12"/>
                <w:b w:val="1"/>
                <w:bCs w:val="1"/>
                <w:color w:val="auto"/>
                <w:w w:val="88"/>
              </w:rPr>
              <w:t>Six Months Ended June 30,</w:t>
            </w:r>
          </w:p>
        </w:tc>
      </w:tr>
      <w:tr>
        <w:trPr>
          <w:trHeight w:val="21"/>
        </w:trPr>
        <w:tc>
          <w:tcPr>
            <w:tcW w:w="3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7"/>
        </w:trPr>
        <w:tc>
          <w:tcPr>
            <w:tcW w:w="3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9"/>
              <w:spacing w:after="0"/>
              <w:rPr>
                <w:sz w:val="20"/>
                <w:szCs w:val="20"/>
                <w:color w:val="auto"/>
              </w:rPr>
            </w:pPr>
            <w:r>
              <w:rPr>
                <w:rFonts w:ascii="Arial" w:cs="Arial" w:eastAsia="Arial" w:hAnsi="Arial"/>
                <w:sz w:val="12"/>
                <w:szCs w:val="12"/>
                <w:b w:val="1"/>
                <w:bCs w:val="1"/>
                <w:color w:val="auto"/>
              </w:rPr>
              <w:t>2020</w:t>
            </w:r>
          </w:p>
        </w:tc>
      </w:tr>
      <w:tr>
        <w:trPr>
          <w:trHeight w:val="21"/>
        </w:trPr>
        <w:tc>
          <w:tcPr>
            <w:tcW w:w="3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3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9"/>
        </w:trPr>
        <w:tc>
          <w:tcPr>
            <w:tcW w:w="3180" w:type="dxa"/>
            <w:vAlign w:val="bottom"/>
            <w:gridSpan w:val="2"/>
          </w:tcPr>
          <w:p>
            <w:pPr>
              <w:spacing w:after="0"/>
              <w:rPr>
                <w:sz w:val="20"/>
                <w:szCs w:val="20"/>
                <w:color w:val="auto"/>
              </w:rPr>
            </w:pPr>
            <w:r>
              <w:rPr>
                <w:rFonts w:ascii="Arial" w:cs="Arial" w:eastAsia="Arial" w:hAnsi="Arial"/>
                <w:sz w:val="15"/>
                <w:szCs w:val="15"/>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51,753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(6,040)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64,169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1,211</w:t>
            </w:r>
          </w:p>
        </w:tc>
      </w:tr>
      <w:tr>
        <w:trPr>
          <w:trHeight w:val="209"/>
        </w:trPr>
        <w:tc>
          <w:tcPr>
            <w:tcW w:w="3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5"/>
                <w:szCs w:val="15"/>
                <w:color w:val="auto"/>
                <w:w w:val="97"/>
              </w:rPr>
              <w:t>Weighted Average Common Shares Outstanding</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2"/>
        </w:trPr>
        <w:tc>
          <w:tcPr>
            <w:tcW w:w="3180" w:type="dxa"/>
            <w:vAlign w:val="bottom"/>
            <w:gridSpan w:val="2"/>
          </w:tcPr>
          <w:p>
            <w:pPr>
              <w:ind w:left="160"/>
              <w:spacing w:after="0"/>
              <w:rPr>
                <w:sz w:val="20"/>
                <w:szCs w:val="20"/>
                <w:color w:val="auto"/>
              </w:rPr>
            </w:pPr>
            <w:r>
              <w:rPr>
                <w:rFonts w:ascii="Arial" w:cs="Arial" w:eastAsia="Arial" w:hAnsi="Arial"/>
                <w:sz w:val="15"/>
                <w:szCs w:val="15"/>
                <w:color w:val="auto"/>
              </w:rPr>
              <w:t>—Basic</w:t>
            </w: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57,156,159</w:t>
            </w: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46,805,950</w:t>
            </w: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52,850,041</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46,805,950</w:t>
            </w:r>
          </w:p>
        </w:tc>
      </w:tr>
      <w:tr>
        <w:trPr>
          <w:trHeight w:val="176"/>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Dilutive effect of Stock Options and</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6"/>
        </w:trPr>
        <w:tc>
          <w:tcPr>
            <w:tcW w:w="3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Warrants</w:t>
            </w:r>
            <w:r>
              <w:rPr>
                <w:rFonts w:ascii="Arial" w:cs="Arial" w:eastAsia="Arial" w:hAnsi="Arial"/>
                <w:sz w:val="19"/>
                <w:szCs w:val="19"/>
                <w:color w:val="auto"/>
                <w:vertAlign w:val="superscript"/>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4,826,282</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4,553,552</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1,437,196</w:t>
            </w:r>
          </w:p>
        </w:tc>
      </w:tr>
      <w:tr>
        <w:trPr>
          <w:trHeight w:val="178"/>
        </w:trPr>
        <w:tc>
          <w:tcPr>
            <w:tcW w:w="318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w w:val="97"/>
              </w:rPr>
              <w:t>Weighted Average Common Shares Outstanding</w:t>
            </w: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186"/>
        </w:trPr>
        <w:tc>
          <w:tcPr>
            <w:tcW w:w="3180" w:type="dxa"/>
            <w:vAlign w:val="bottom"/>
            <w:gridSpan w:val="2"/>
          </w:tcPr>
          <w:p>
            <w:pPr>
              <w:ind w:left="160"/>
              <w:spacing w:after="0"/>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61,982,441</w:t>
            </w: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46,805,950</w:t>
            </w:r>
          </w:p>
        </w:tc>
        <w:tc>
          <w:tcPr>
            <w:tcW w:w="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57,403,593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48,243,146</w:t>
            </w:r>
          </w:p>
        </w:tc>
      </w:tr>
      <w:tr>
        <w:trPr>
          <w:trHeight w:val="22"/>
        </w:trPr>
        <w:tc>
          <w:tcPr>
            <w:tcW w:w="3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3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Basic earnings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0.03</w:t>
            </w:r>
          </w:p>
        </w:tc>
      </w:tr>
      <w:tr>
        <w:trPr>
          <w:trHeight w:val="220"/>
        </w:trPr>
        <w:tc>
          <w:tcPr>
            <w:tcW w:w="3180" w:type="dxa"/>
            <w:vAlign w:val="bottom"/>
            <w:gridSpan w:val="2"/>
          </w:tcPr>
          <w:p>
            <w:pPr>
              <w:spacing w:after="0"/>
              <w:rPr>
                <w:sz w:val="20"/>
                <w:szCs w:val="20"/>
                <w:color w:val="auto"/>
              </w:rPr>
            </w:pPr>
            <w:r>
              <w:rPr>
                <w:rFonts w:ascii="Arial" w:cs="Arial" w:eastAsia="Arial" w:hAnsi="Arial"/>
                <w:sz w:val="15"/>
                <w:szCs w:val="15"/>
                <w:color w:val="auto"/>
              </w:rPr>
              <w:t>Diluted earnings (loss)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-278765</wp:posOffset>
            </wp:positionV>
            <wp:extent cx="118745" cy="698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-278765</wp:posOffset>
            </wp:positionV>
            <wp:extent cx="118745" cy="69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-278765</wp:posOffset>
            </wp:positionV>
            <wp:extent cx="2602230" cy="698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602230" cy="698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-1443355</wp:posOffset>
            </wp:positionV>
            <wp:extent cx="111760" cy="698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-1443355</wp:posOffset>
            </wp:positionV>
            <wp:extent cx="111760" cy="69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-1443355</wp:posOffset>
            </wp:positionV>
            <wp:extent cx="2595245" cy="69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5952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132715</wp:posOffset>
            </wp:positionV>
            <wp:extent cx="446405" cy="69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88" w:lineRule="exact"/>
        <w:rPr>
          <w:sz w:val="20"/>
          <w:szCs w:val="20"/>
          <w:color w:val="auto"/>
        </w:rPr>
      </w:pPr>
    </w:p>
    <w:p>
      <w:pPr>
        <w:ind w:left="1460" w:right="1179" w:hanging="296"/>
        <w:spacing w:after="0" w:line="223" w:lineRule="auto"/>
        <w:tabs>
          <w:tab w:leader="none" w:pos="14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There were 3,547,524 and 3,636,773 performance-based stock options outstanding at June 30, 2021 and 2020, respectively. As a result of the Company’s initial public offering, 75% of these options are expected to meet the performance conditions and are included in dilutive options at June 30, 2021. At June 30, 2020, these options were excluded from the calculation of diluted EPS since the performance conditions were not considered likely to be met.</w:t>
      </w:r>
    </w:p>
    <w:p>
      <w:pPr>
        <w:spacing w:after="0" w:line="100" w:lineRule="exact"/>
        <w:rPr>
          <w:sz w:val="20"/>
          <w:szCs w:val="20"/>
          <w:color w:val="auto"/>
        </w:rPr>
      </w:pPr>
    </w:p>
    <w:p>
      <w:pPr>
        <w:ind w:left="1160" w:right="1319" w:firstLine="293"/>
        <w:spacing w:after="0" w:line="281" w:lineRule="auto"/>
        <w:rPr>
          <w:sz w:val="20"/>
          <w:szCs w:val="20"/>
          <w:color w:val="auto"/>
        </w:rPr>
      </w:pPr>
      <w:r>
        <w:rPr>
          <w:rFonts w:ascii="Arial" w:cs="Arial" w:eastAsia="Arial" w:hAnsi="Arial"/>
          <w:sz w:val="14"/>
          <w:szCs w:val="14"/>
          <w:color w:val="auto"/>
        </w:rPr>
        <w:t>Prior to their exercise on January 31, 2020, all 40,005,885 warrants held by the Apollo Stockholder were included in basic and diluted weighted average shares outstanding as they were equity classified, had an exercise price of approximately $0.0005, and all necessary conditions for issuance were met.</w:t>
      </w:r>
    </w:p>
    <w:p>
      <w:pPr>
        <w:spacing w:after="0" w:line="94"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5"/>
          <w:szCs w:val="15"/>
          <w:color w:val="auto"/>
        </w:rPr>
        <w:t>Warrants held by Amazon are included in dilutive weighted average shares outstanding as of the date the warrants vest. The unvested warrants held by Amazon have not been included in dilutive shares as their performance condition had not been satisfied.</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5" w:name="page256"/>
    <w:bookmarkEnd w:id="255"/>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AIRCRAFT</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Fleet</w:t>
      </w:r>
    </w:p>
    <w:p>
      <w:pPr>
        <w:spacing w:after="0" w:line="117" w:lineRule="exact"/>
        <w:rPr>
          <w:sz w:val="20"/>
          <w:szCs w:val="20"/>
          <w:color w:val="auto"/>
        </w:rPr>
      </w:pPr>
    </w:p>
    <w:p>
      <w:pPr>
        <w:jc w:val="right"/>
        <w:ind w:right="1219"/>
        <w:spacing w:after="0"/>
        <w:rPr>
          <w:sz w:val="20"/>
          <w:szCs w:val="20"/>
          <w:color w:val="auto"/>
        </w:rPr>
      </w:pPr>
      <w:r>
        <w:rPr>
          <w:rFonts w:ascii="Arial" w:cs="Arial" w:eastAsia="Arial" w:hAnsi="Arial"/>
          <w:sz w:val="15"/>
          <w:szCs w:val="15"/>
          <w:color w:val="auto"/>
        </w:rPr>
        <w:t>The following tables summarize the Company’s aircraft fleet activity for the six months ended June 30,</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2021 and 2020, respectively:</w:t>
      </w:r>
    </w:p>
    <w:p>
      <w:pPr>
        <w:spacing w:after="0" w:line="116"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660" w:type="dxa"/>
            <w:vAlign w:val="bottom"/>
            <w:gridSpan w:val="4"/>
          </w:tcPr>
          <w:p>
            <w:pPr>
              <w:ind w:left="20"/>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ind w:left="20"/>
              <w:spacing w:after="0"/>
              <w:rPr>
                <w:sz w:val="20"/>
                <w:szCs w:val="20"/>
                <w:color w:val="auto"/>
              </w:rPr>
            </w:pPr>
            <w:r>
              <w:rPr>
                <w:rFonts w:ascii="Arial" w:cs="Arial" w:eastAsia="Arial" w:hAnsi="Arial"/>
                <w:sz w:val="12"/>
                <w:szCs w:val="12"/>
                <w:b w:val="1"/>
                <w:bCs w:val="1"/>
                <w:color w:val="auto"/>
              </w:rPr>
              <w:t>Removals</w:t>
            </w:r>
          </w:p>
        </w:tc>
        <w:tc>
          <w:tcPr>
            <w:tcW w:w="680" w:type="dxa"/>
            <w:vAlign w:val="bottom"/>
            <w:gridSpan w:val="3"/>
          </w:tcPr>
          <w:p>
            <w:pPr>
              <w:jc w:val="right"/>
              <w:spacing w:after="0"/>
              <w:rPr>
                <w:sz w:val="20"/>
                <w:szCs w:val="20"/>
                <w:color w:val="auto"/>
              </w:rPr>
            </w:pPr>
            <w:r>
              <w:rPr>
                <w:rFonts w:ascii="Arial" w:cs="Arial" w:eastAsia="Arial" w:hAnsi="Arial"/>
                <w:sz w:val="12"/>
                <w:szCs w:val="12"/>
                <w:b w:val="1"/>
                <w:bCs w:val="1"/>
                <w:color w:val="auto"/>
                <w:w w:val="84"/>
              </w:rPr>
              <w:t>June 30, 2021</w:t>
            </w:r>
          </w:p>
        </w:tc>
      </w:tr>
      <w:tr>
        <w:trPr>
          <w:trHeight w:val="21"/>
        </w:trPr>
        <w:tc>
          <w:tcPr>
            <w:tcW w:w="3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0"/>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9"/>
        </w:trPr>
        <w:tc>
          <w:tcPr>
            <w:tcW w:w="3380" w:type="dxa"/>
            <w:vAlign w:val="bottom"/>
          </w:tcPr>
          <w:p>
            <w:pPr>
              <w:ind w:left="160"/>
              <w:spacing w:after="0"/>
              <w:rPr>
                <w:sz w:val="20"/>
                <w:szCs w:val="20"/>
                <w:color w:val="auto"/>
              </w:rPr>
            </w:pPr>
            <w:r>
              <w:rPr>
                <w:rFonts w:ascii="Arial" w:cs="Arial" w:eastAsia="Arial" w:hAnsi="Arial"/>
                <w:sz w:val="15"/>
                <w:szCs w:val="15"/>
                <w:color w:val="auto"/>
              </w:rPr>
              <w:t>Owned</w:t>
            </w:r>
          </w:p>
        </w:tc>
        <w:tc>
          <w:tcPr>
            <w:tcW w:w="1120" w:type="dxa"/>
            <w:vAlign w:val="bottom"/>
            <w:gridSpan w:val="4"/>
          </w:tcPr>
          <w:p>
            <w:pPr>
              <w:jc w:val="right"/>
              <w:ind w:right="380"/>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260" w:type="dxa"/>
            <w:vAlign w:val="bottom"/>
          </w:tcPr>
          <w:p>
            <w:pPr>
              <w:spacing w:after="0"/>
              <w:rPr>
                <w:sz w:val="18"/>
                <w:szCs w:val="18"/>
                <w:color w:val="auto"/>
              </w:rPr>
            </w:pPr>
          </w:p>
        </w:tc>
      </w:tr>
      <w:tr>
        <w:trPr>
          <w:trHeight w:val="209"/>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leases</w:t>
            </w:r>
          </w:p>
        </w:tc>
        <w:tc>
          <w:tcPr>
            <w:tcW w:w="1120" w:type="dxa"/>
            <w:vAlign w:val="bottom"/>
            <w:gridSpan w:val="4"/>
            <w:shd w:val="clear" w:color="auto" w:fill="CCEEFF"/>
          </w:tcPr>
          <w:p>
            <w:pPr>
              <w:jc w:val="right"/>
              <w:ind w:right="38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7</w:t>
            </w:r>
          </w:p>
        </w:tc>
      </w:tr>
      <w:tr>
        <w:trPr>
          <w:trHeight w:val="214"/>
        </w:trPr>
        <w:tc>
          <w:tcPr>
            <w:tcW w:w="3380" w:type="dxa"/>
            <w:vAlign w:val="bottom"/>
          </w:tcPr>
          <w:p>
            <w:pPr>
              <w:ind w:left="160"/>
              <w:spacing w:after="0"/>
              <w:rPr>
                <w:sz w:val="20"/>
                <w:szCs w:val="20"/>
                <w:color w:val="auto"/>
              </w:rPr>
            </w:pPr>
            <w:r>
              <w:rPr>
                <w:rFonts w:ascii="Arial" w:cs="Arial" w:eastAsia="Arial" w:hAnsi="Arial"/>
                <w:sz w:val="15"/>
                <w:szCs w:val="15"/>
                <w:color w:val="auto"/>
              </w:rPr>
              <w:t>Operating leases</w:t>
            </w:r>
          </w:p>
        </w:tc>
        <w:tc>
          <w:tcPr>
            <w:tcW w:w="58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83"/>
              </w:rPr>
              <w:t>12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00"/>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5"/>
                <w:szCs w:val="15"/>
                <w:color w:val="auto"/>
              </w:rPr>
              <w:t>6</w:t>
            </w: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05"/>
        </w:trPr>
        <w:tc>
          <w:tcPr>
            <w:tcW w:w="33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Sun Country Airlines’ Fleet</w:t>
            </w:r>
          </w:p>
        </w:tc>
        <w:tc>
          <w:tcPr>
            <w:tcW w:w="58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31</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60" w:type="dxa"/>
            <w:vAlign w:val="bottom"/>
            <w:shd w:val="clear" w:color="auto" w:fill="CCEEFF"/>
          </w:tcPr>
          <w:p>
            <w:pPr>
              <w:spacing w:after="0"/>
              <w:rPr>
                <w:sz w:val="17"/>
                <w:szCs w:val="17"/>
                <w:color w:val="auto"/>
              </w:rPr>
            </w:pPr>
          </w:p>
        </w:tc>
      </w:tr>
      <w:tr>
        <w:trPr>
          <w:trHeight w:val="209"/>
        </w:trPr>
        <w:tc>
          <w:tcPr>
            <w:tcW w:w="3380" w:type="dxa"/>
            <w:vAlign w:val="bottom"/>
          </w:tcPr>
          <w:p>
            <w:pPr>
              <w:spacing w:after="0"/>
              <w:rPr>
                <w:sz w:val="20"/>
                <w:szCs w:val="20"/>
                <w:color w:val="auto"/>
              </w:rPr>
            </w:pPr>
            <w:r>
              <w:rPr>
                <w:rFonts w:ascii="Arial" w:cs="Arial" w:eastAsia="Arial" w:hAnsi="Arial"/>
                <w:sz w:val="15"/>
                <w:szCs w:val="15"/>
                <w:color w:val="auto"/>
              </w:rPr>
              <w:t>Cargo:</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4"/>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Aircraft Operated for Amazon</w:t>
            </w:r>
          </w:p>
        </w:tc>
        <w:tc>
          <w:tcPr>
            <w:tcW w:w="5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60" w:type="dxa"/>
            <w:vAlign w:val="bottom"/>
            <w:shd w:val="clear" w:color="auto" w:fill="CCEEFF"/>
          </w:tcPr>
          <w:p>
            <w:pPr>
              <w:spacing w:after="0"/>
              <w:rPr>
                <w:sz w:val="18"/>
                <w:szCs w:val="18"/>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6"/>
        </w:trPr>
        <w:tc>
          <w:tcPr>
            <w:tcW w:w="3380" w:type="dxa"/>
            <w:vAlign w:val="bottom"/>
          </w:tcPr>
          <w:p>
            <w:pPr>
              <w:ind w:left="300"/>
              <w:spacing w:after="0"/>
              <w:rPr>
                <w:sz w:val="20"/>
                <w:szCs w:val="20"/>
                <w:color w:val="auto"/>
              </w:rPr>
            </w:pPr>
            <w:r>
              <w:rPr>
                <w:rFonts w:ascii="Arial" w:cs="Arial" w:eastAsia="Arial" w:hAnsi="Arial"/>
                <w:sz w:val="15"/>
                <w:szCs w:val="15"/>
                <w:color w:val="auto"/>
              </w:rPr>
              <w:t>Total Aircraft Operated</w:t>
            </w:r>
          </w:p>
        </w:tc>
        <w:tc>
          <w:tcPr>
            <w:tcW w:w="58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83"/>
              </w:rPr>
              <w:t>43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8</w:t>
            </w:r>
          </w:p>
        </w:tc>
        <w:tc>
          <w:tcPr>
            <w:tcW w:w="18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45</w:t>
            </w:r>
          </w:p>
        </w:tc>
        <w:tc>
          <w:tcPr>
            <w:tcW w:w="26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4241800" cy="698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-1129665</wp:posOffset>
            </wp:positionV>
            <wp:extent cx="111760" cy="698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-1129665</wp:posOffset>
            </wp:positionV>
            <wp:extent cx="111760" cy="698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-1129665</wp:posOffset>
            </wp:positionV>
            <wp:extent cx="2971800" cy="698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971800" cy="6985"/>
                    </a:xfrm>
                    <a:prstGeom prst="rect">
                      <a:avLst/>
                    </a:prstGeom>
                    <a:noFill/>
                  </pic:spPr>
                </pic:pic>
              </a:graphicData>
            </a:graphic>
          </wp:anchor>
        </w:drawing>
      </w:r>
    </w:p>
    <w:p>
      <w:pPr>
        <w:spacing w:after="0" w:line="156"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4"/>
          <w:szCs w:val="14"/>
          <w:color w:val="auto"/>
        </w:rPr>
        <w:t>The six aircraft purchased during the six months ended June 30, 2021 were financed through the Delayed Draw Term Loan Facility (see Note 7). All six of these were previously under operating leases. During June 2021, the Company obtained an additional two aircraft under finance leases.</w:t>
      </w:r>
    </w:p>
    <w:p>
      <w:pPr>
        <w:spacing w:after="0" w:line="8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2019</w:t>
            </w:r>
          </w:p>
        </w:tc>
        <w:tc>
          <w:tcPr>
            <w:tcW w:w="660" w:type="dxa"/>
            <w:vAlign w:val="bottom"/>
            <w:gridSpan w:val="4"/>
          </w:tcPr>
          <w:p>
            <w:pPr>
              <w:ind w:left="20"/>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ind w:left="20"/>
              <w:spacing w:after="0"/>
              <w:rPr>
                <w:sz w:val="20"/>
                <w:szCs w:val="20"/>
                <w:color w:val="auto"/>
              </w:rPr>
            </w:pPr>
            <w:r>
              <w:rPr>
                <w:rFonts w:ascii="Arial" w:cs="Arial" w:eastAsia="Arial" w:hAnsi="Arial"/>
                <w:sz w:val="12"/>
                <w:szCs w:val="12"/>
                <w:b w:val="1"/>
                <w:bCs w:val="1"/>
                <w:color w:val="auto"/>
              </w:rPr>
              <w:t>Removals</w:t>
            </w:r>
          </w:p>
        </w:tc>
        <w:tc>
          <w:tcPr>
            <w:tcW w:w="680" w:type="dxa"/>
            <w:vAlign w:val="bottom"/>
            <w:gridSpan w:val="3"/>
          </w:tcPr>
          <w:p>
            <w:pPr>
              <w:jc w:val="right"/>
              <w:spacing w:after="0"/>
              <w:rPr>
                <w:sz w:val="20"/>
                <w:szCs w:val="20"/>
                <w:color w:val="auto"/>
              </w:rPr>
            </w:pPr>
            <w:r>
              <w:rPr>
                <w:rFonts w:ascii="Arial" w:cs="Arial" w:eastAsia="Arial" w:hAnsi="Arial"/>
                <w:sz w:val="12"/>
                <w:szCs w:val="12"/>
                <w:b w:val="1"/>
                <w:bCs w:val="1"/>
                <w:color w:val="auto"/>
                <w:w w:val="84"/>
              </w:rPr>
              <w:t>June 30, 2020</w:t>
            </w:r>
          </w:p>
        </w:tc>
      </w:tr>
      <w:tr>
        <w:trPr>
          <w:trHeight w:val="21"/>
        </w:trPr>
        <w:tc>
          <w:tcPr>
            <w:tcW w:w="3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0"/>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9"/>
        </w:trPr>
        <w:tc>
          <w:tcPr>
            <w:tcW w:w="3380" w:type="dxa"/>
            <w:vAlign w:val="bottom"/>
          </w:tcPr>
          <w:p>
            <w:pPr>
              <w:ind w:left="160"/>
              <w:spacing w:after="0"/>
              <w:rPr>
                <w:sz w:val="20"/>
                <w:szCs w:val="20"/>
                <w:color w:val="auto"/>
              </w:rPr>
            </w:pPr>
            <w:r>
              <w:rPr>
                <w:rFonts w:ascii="Arial" w:cs="Arial" w:eastAsia="Arial" w:hAnsi="Arial"/>
                <w:sz w:val="15"/>
                <w:szCs w:val="15"/>
                <w:color w:val="auto"/>
              </w:rPr>
              <w:t>Owned</w:t>
            </w:r>
          </w:p>
        </w:tc>
        <w:tc>
          <w:tcPr>
            <w:tcW w:w="1120" w:type="dxa"/>
            <w:vAlign w:val="bottom"/>
            <w:gridSpan w:val="4"/>
          </w:tcPr>
          <w:p>
            <w:pPr>
              <w:jc w:val="right"/>
              <w:ind w:right="38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680" w:type="dxa"/>
            <w:vAlign w:val="bottom"/>
            <w:gridSpan w:val="3"/>
          </w:tcPr>
          <w:p>
            <w:pPr>
              <w:jc w:val="right"/>
              <w:ind w:right="260"/>
              <w:spacing w:after="0"/>
              <w:rPr>
                <w:sz w:val="20"/>
                <w:szCs w:val="20"/>
                <w:color w:val="auto"/>
              </w:rPr>
            </w:pPr>
            <w:r>
              <w:rPr>
                <w:rFonts w:ascii="Arial" w:cs="Arial" w:eastAsia="Arial" w:hAnsi="Arial"/>
                <w:sz w:val="15"/>
                <w:szCs w:val="15"/>
                <w:color w:val="auto"/>
              </w:rPr>
              <w:t>14</w:t>
            </w:r>
          </w:p>
        </w:tc>
      </w:tr>
      <w:tr>
        <w:trPr>
          <w:trHeight w:val="209"/>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leases</w:t>
            </w:r>
          </w:p>
        </w:tc>
        <w:tc>
          <w:tcPr>
            <w:tcW w:w="1120" w:type="dxa"/>
            <w:vAlign w:val="bottom"/>
            <w:gridSpan w:val="4"/>
            <w:shd w:val="clear" w:color="auto" w:fill="CCEEFF"/>
          </w:tcPr>
          <w:p>
            <w:pPr>
              <w:jc w:val="right"/>
              <w:ind w:right="380"/>
              <w:spacing w:after="0"/>
              <w:rPr>
                <w:sz w:val="20"/>
                <w:szCs w:val="20"/>
                <w:color w:val="auto"/>
              </w:rPr>
            </w:pPr>
            <w:r>
              <w:rPr>
                <w:rFonts w:ascii="Arial" w:cs="Arial" w:eastAsia="Arial" w:hAnsi="Arial"/>
                <w:sz w:val="15"/>
                <w:szCs w:val="15"/>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5</w:t>
            </w:r>
          </w:p>
        </w:tc>
      </w:tr>
      <w:tr>
        <w:trPr>
          <w:trHeight w:val="209"/>
        </w:trPr>
        <w:tc>
          <w:tcPr>
            <w:tcW w:w="3380" w:type="dxa"/>
            <w:vAlign w:val="bottom"/>
          </w:tcPr>
          <w:p>
            <w:pPr>
              <w:ind w:left="160"/>
              <w:spacing w:after="0"/>
              <w:rPr>
                <w:sz w:val="20"/>
                <w:szCs w:val="20"/>
                <w:color w:val="auto"/>
              </w:rPr>
            </w:pPr>
            <w:r>
              <w:rPr>
                <w:rFonts w:ascii="Arial" w:cs="Arial" w:eastAsia="Arial" w:hAnsi="Arial"/>
                <w:sz w:val="15"/>
                <w:szCs w:val="15"/>
                <w:color w:val="auto"/>
              </w:rPr>
              <w:t>Operating leases</w:t>
            </w:r>
          </w:p>
        </w:tc>
        <w:tc>
          <w:tcPr>
            <w:tcW w:w="1120" w:type="dxa"/>
            <w:vAlign w:val="bottom"/>
            <w:gridSpan w:val="4"/>
          </w:tcPr>
          <w:p>
            <w:pPr>
              <w:jc w:val="right"/>
              <w:ind w:right="380"/>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0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5"/>
                <w:szCs w:val="15"/>
                <w:color w:val="auto"/>
              </w:rPr>
              <w:t>12</w:t>
            </w:r>
          </w:p>
        </w:tc>
      </w:tr>
      <w:tr>
        <w:trPr>
          <w:trHeight w:val="214"/>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Seasonal leases</w:t>
            </w:r>
          </w:p>
        </w:tc>
        <w:tc>
          <w:tcPr>
            <w:tcW w:w="5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3"/>
              </w:rPr>
              <w:t>—</w:t>
            </w: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05"/>
        </w:trPr>
        <w:tc>
          <w:tcPr>
            <w:tcW w:w="3380" w:type="dxa"/>
            <w:vAlign w:val="bottom"/>
          </w:tcPr>
          <w:p>
            <w:pPr>
              <w:ind w:left="300"/>
              <w:spacing w:after="0"/>
              <w:rPr>
                <w:sz w:val="20"/>
                <w:szCs w:val="20"/>
                <w:color w:val="auto"/>
              </w:rPr>
            </w:pPr>
            <w:r>
              <w:rPr>
                <w:rFonts w:ascii="Arial" w:cs="Arial" w:eastAsia="Arial" w:hAnsi="Arial"/>
                <w:sz w:val="15"/>
                <w:szCs w:val="15"/>
                <w:color w:val="auto"/>
              </w:rPr>
              <w:t>Sun Country Airlines’ Fleet</w:t>
            </w:r>
          </w:p>
        </w:tc>
        <w:tc>
          <w:tcPr>
            <w:tcW w:w="580" w:type="dxa"/>
            <w:vAlign w:val="bottom"/>
            <w:gridSpan w:val="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83"/>
              </w:rPr>
              <w:t>31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7"/>
                <w:szCs w:val="17"/>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7"/>
                <w:szCs w:val="17"/>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5"/>
                <w:szCs w:val="15"/>
                <w:color w:val="auto"/>
              </w:rPr>
              <w:t>31</w:t>
            </w: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Cargo:</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4"/>
        </w:trPr>
        <w:tc>
          <w:tcPr>
            <w:tcW w:w="3380" w:type="dxa"/>
            <w:vAlign w:val="bottom"/>
          </w:tcPr>
          <w:p>
            <w:pPr>
              <w:ind w:left="160"/>
              <w:spacing w:after="0"/>
              <w:rPr>
                <w:sz w:val="20"/>
                <w:szCs w:val="20"/>
                <w:color w:val="auto"/>
              </w:rPr>
            </w:pPr>
            <w:r>
              <w:rPr>
                <w:rFonts w:ascii="Arial" w:cs="Arial" w:eastAsia="Arial" w:hAnsi="Arial"/>
                <w:sz w:val="15"/>
                <w:szCs w:val="15"/>
                <w:color w:val="auto"/>
              </w:rPr>
              <w:t>Aircraft Operated for Amazon</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5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680" w:type="dxa"/>
            <w:vAlign w:val="bottom"/>
            <w:gridSpan w:val="3"/>
          </w:tcPr>
          <w:p>
            <w:pPr>
              <w:jc w:val="right"/>
              <w:ind w:right="260"/>
              <w:spacing w:after="0"/>
              <w:rPr>
                <w:sz w:val="20"/>
                <w:szCs w:val="20"/>
                <w:color w:val="auto"/>
              </w:rPr>
            </w:pPr>
            <w:r>
              <w:rPr>
                <w:rFonts w:ascii="Arial" w:cs="Arial" w:eastAsia="Arial" w:hAnsi="Arial"/>
                <w:sz w:val="15"/>
                <w:szCs w:val="15"/>
                <w:color w:val="auto"/>
              </w:rPr>
              <w:t>7</w:t>
            </w: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36"/>
        </w:trPr>
        <w:tc>
          <w:tcPr>
            <w:tcW w:w="33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Aircraft Operated</w:t>
            </w:r>
          </w:p>
        </w:tc>
        <w:tc>
          <w:tcPr>
            <w:tcW w:w="580" w:type="dxa"/>
            <w:vAlign w:val="bottom"/>
            <w:gridSpan w:val="2"/>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31</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3"/>
              </w:rPr>
              <w:t>16</w:t>
            </w:r>
          </w:p>
        </w:tc>
        <w:tc>
          <w:tcPr>
            <w:tcW w:w="18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(9)</w:t>
            </w:r>
          </w:p>
        </w:tc>
        <w:tc>
          <w:tcPr>
            <w:tcW w:w="1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38</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-1262380</wp:posOffset>
            </wp:positionV>
            <wp:extent cx="111760" cy="698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-1262380</wp:posOffset>
            </wp:positionV>
            <wp:extent cx="111760" cy="698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-1262380</wp:posOffset>
            </wp:positionV>
            <wp:extent cx="2971800" cy="698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971800" cy="6985"/>
                    </a:xfrm>
                    <a:prstGeom prst="rect">
                      <a:avLst/>
                    </a:prstGeom>
                    <a:noFill/>
                  </pic:spPr>
                </pic:pic>
              </a:graphicData>
            </a:graphic>
          </wp:anchor>
        </w:drawing>
      </w:r>
    </w:p>
    <w:p>
      <w:pPr>
        <w:spacing w:after="0" w:line="156"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The nine aircraft purchased during the six months ended June 30, 2020 were financed through equipment trust certificates (see Note 7). Two of these aircraft were previously under operating leases, five were previously under finance leases, and the other two aircraft were new to the Company’s fleet. In addition, the Company refinanced three previously owned and financed aircraft in January 2020 utilizing equipment trust certificates (see Note 7).</w:t>
      </w:r>
    </w:p>
    <w:p>
      <w:pPr>
        <w:spacing w:after="0" w:line="100"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As of June 30, 2021, Sun Country operated a fleet of Boeing 737-NG aircraft, consisting of 44 Boeing 737-800s and 1 Boeing 737-700.</w:t>
      </w:r>
    </w:p>
    <w:p>
      <w:pPr>
        <w:spacing w:after="0" w:line="83" w:lineRule="exact"/>
        <w:rPr>
          <w:sz w:val="20"/>
          <w:szCs w:val="20"/>
          <w:color w:val="auto"/>
        </w:rPr>
      </w:pPr>
    </w:p>
    <w:p>
      <w:pPr>
        <w:ind w:left="1160" w:right="1339" w:firstLine="293"/>
        <w:spacing w:after="0" w:line="258" w:lineRule="auto"/>
        <w:rPr>
          <w:sz w:val="20"/>
          <w:szCs w:val="20"/>
          <w:color w:val="auto"/>
        </w:rPr>
      </w:pPr>
      <w:r>
        <w:rPr>
          <w:rFonts w:ascii="Arial" w:cs="Arial" w:eastAsia="Arial" w:hAnsi="Arial"/>
          <w:sz w:val="14"/>
          <w:szCs w:val="14"/>
          <w:color w:val="auto"/>
        </w:rPr>
        <w:t>The Accumulated Depreciation on owned assets was $ 67,495 and $52,048 as of June 30, 2021 and December 31, 2020, respectively. Depreciation expense on these assets was $9,642 and $6,370 for the three months ended June 30, 2021 and 2020, respectively. Depreciation expense was $18,442 and $11,491 for the six months ended June 30, 2021 and 2020, respectively.</w:t>
      </w:r>
    </w:p>
    <w:p>
      <w:pPr>
        <w:spacing w:after="0" w:line="88" w:lineRule="exact"/>
        <w:rPr>
          <w:sz w:val="20"/>
          <w:szCs w:val="20"/>
          <w:color w:val="auto"/>
        </w:rPr>
      </w:pPr>
    </w:p>
    <w:p>
      <w:pPr>
        <w:ind w:left="1160" w:right="1239" w:firstLine="293"/>
        <w:spacing w:after="0" w:line="323" w:lineRule="auto"/>
        <w:rPr>
          <w:sz w:val="20"/>
          <w:szCs w:val="20"/>
          <w:color w:val="auto"/>
        </w:rPr>
      </w:pPr>
      <w:r>
        <w:rPr>
          <w:rFonts w:ascii="Arial" w:cs="Arial" w:eastAsia="Arial" w:hAnsi="Arial"/>
          <w:sz w:val="13"/>
          <w:szCs w:val="13"/>
          <w:color w:val="auto"/>
        </w:rPr>
        <w:t>The Accumulated Amortization on Finance Lease Assets was $21,209 and $ 13,018 as of June 30, 2021 and December 31, 2020, respectively. Amortization Expense on these assets was $2,692 and $4,665 for the</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6" w:name="page257"/>
    <w:bookmarkEnd w:id="256"/>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AIRCRAFT (continued)</w:t>
      </w:r>
    </w:p>
    <w:p>
      <w:pPr>
        <w:spacing w:after="0" w:line="183" w:lineRule="exact"/>
        <w:rPr>
          <w:sz w:val="20"/>
          <w:szCs w:val="20"/>
          <w:color w:val="auto"/>
        </w:rPr>
      </w:pPr>
    </w:p>
    <w:p>
      <w:pPr>
        <w:ind w:left="1160" w:right="1219"/>
        <w:spacing w:after="0" w:line="264" w:lineRule="auto"/>
        <w:rPr>
          <w:sz w:val="20"/>
          <w:szCs w:val="20"/>
          <w:color w:val="auto"/>
        </w:rPr>
      </w:pPr>
      <w:r>
        <w:rPr>
          <w:rFonts w:ascii="Arial" w:cs="Arial" w:eastAsia="Arial" w:hAnsi="Arial"/>
          <w:sz w:val="15"/>
          <w:szCs w:val="15"/>
          <w:color w:val="auto"/>
        </w:rPr>
        <w:t>three months ended June 30, 2021 and 2020, respectively. Amortization Expense was $5,384 and $8,955 for the six months ended June 30, 2021 and 2020, respectively.</w:t>
      </w:r>
    </w:p>
    <w:p>
      <w:pPr>
        <w:spacing w:after="0" w:line="82" w:lineRule="exact"/>
        <w:rPr>
          <w:sz w:val="20"/>
          <w:szCs w:val="20"/>
          <w:color w:val="auto"/>
        </w:rPr>
      </w:pPr>
    </w:p>
    <w:p>
      <w:pPr>
        <w:ind w:left="1160" w:right="1499" w:firstLine="293"/>
        <w:spacing w:after="0" w:line="341" w:lineRule="auto"/>
        <w:rPr>
          <w:sz w:val="20"/>
          <w:szCs w:val="20"/>
          <w:color w:val="auto"/>
        </w:rPr>
      </w:pPr>
      <w:r>
        <w:rPr>
          <w:rFonts w:ascii="Arial" w:cs="Arial" w:eastAsia="Arial" w:hAnsi="Arial"/>
          <w:sz w:val="13"/>
          <w:szCs w:val="13"/>
          <w:color w:val="auto"/>
        </w:rPr>
        <w:t>Depreciation expense on owned assets and amortization expense on Finance Lease Assets are each classified in Depreciation and Amortization on the Condensed Consolidated Statements of Operations.</w:t>
      </w:r>
    </w:p>
    <w:p>
      <w:pPr>
        <w:spacing w:after="0" w:line="9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Lease Payment Deferrals</w:t>
      </w:r>
    </w:p>
    <w:p>
      <w:pPr>
        <w:spacing w:after="0" w:line="128"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During the year ended December 31, 2020 the Company negotiated rent payment deferrals with a majority of its aircraft lessors due to COVID-19 cash flow impacts. There were no amounts deferred as of June 30, 2021 since the final payments were made in the second quarter of 2021. The amount deferred as of December 31, 2020 was $7,569, consisting of $2,133 under finance leases and $5,436 under operating leases. These deferrals were classified within the current portion of the respective lease liabilities on the Condensed Consolidated Balance Sheet as of December 31, 2020.</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Maintenance Deposits Contra-Assets</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At April 11, 2018 (the “Acquisition Date”), the Company established a deposit contra-asset to represent the Company’s obligation to perform planned maintenance events on leased aircraft held as of the Acquisition Date. As of June 30, 2021 and December 31, 2020, the remaining balance of the contra-asset was $22,792 and $36,729, respectively. Of the $13,937 reduction in the contra-asset during the six months ended June 30, 2021, $12,749 related to the purchase of six aircrafts previously leased, whereupon the contra-assets and related maintenance deposits were written-off concurrently to Aircraft lease buy-out expense in Special Items, net (see Note 11). For the three months ended June 30, 2021 and 2020, the Company recognized $850 and none respectively, of the contra-asset as a reduction to Maintenance expense on the accompanying Condensed Consolidated Statements of Operations. For the six months ended June 30, 2021 and 2020, the Company recognized $850 and $328, respectively, of the contra-asset as a reduction to Maintenance expense.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Over-market Liabilities</w:t>
      </w:r>
    </w:p>
    <w:p>
      <w:pPr>
        <w:spacing w:after="0" w:line="117" w:lineRule="exact"/>
        <w:rPr>
          <w:sz w:val="20"/>
          <w:szCs w:val="20"/>
          <w:color w:val="auto"/>
        </w:rPr>
      </w:pPr>
    </w:p>
    <w:p>
      <w:pPr>
        <w:ind w:left="1160" w:right="1499" w:firstLine="293"/>
        <w:spacing w:after="0" w:line="264" w:lineRule="auto"/>
        <w:rPr>
          <w:sz w:val="20"/>
          <w:szCs w:val="20"/>
          <w:color w:val="auto"/>
        </w:rPr>
      </w:pPr>
      <w:r>
        <w:rPr>
          <w:rFonts w:ascii="Arial" w:cs="Arial" w:eastAsia="Arial" w:hAnsi="Arial"/>
          <w:sz w:val="15"/>
          <w:szCs w:val="15"/>
          <w:color w:val="auto"/>
        </w:rPr>
        <w:t>At the Acquisition Date, the Company acquired liabilities related to its over-market lease rates and over-market maintenance reserve payments.</w:t>
      </w:r>
    </w:p>
    <w:p>
      <w:pPr>
        <w:spacing w:after="0" w:line="93" w:lineRule="exact"/>
        <w:rPr>
          <w:sz w:val="20"/>
          <w:szCs w:val="20"/>
          <w:color w:val="auto"/>
        </w:rPr>
      </w:pPr>
    </w:p>
    <w:p>
      <w:pPr>
        <w:ind w:left="1160" w:right="1479" w:firstLine="293"/>
        <w:spacing w:after="0" w:line="290" w:lineRule="auto"/>
        <w:rPr>
          <w:sz w:val="20"/>
          <w:szCs w:val="20"/>
          <w:color w:val="auto"/>
        </w:rPr>
      </w:pPr>
      <w:r>
        <w:rPr>
          <w:rFonts w:ascii="Arial" w:cs="Arial" w:eastAsia="Arial" w:hAnsi="Arial"/>
          <w:sz w:val="13"/>
          <w:szCs w:val="13"/>
          <w:color w:val="auto"/>
        </w:rPr>
        <w:t>As of the Acquisition Date, the Company recognized a liability representing lease terms which are unfavorable compared with market terms of similar leases. Upon adopting ASU 2016-02, Leases (Topic</w:t>
      </w:r>
    </w:p>
    <w:p>
      <w:pPr>
        <w:spacing w:after="0" w:line="1" w:lineRule="exact"/>
        <w:rPr>
          <w:sz w:val="20"/>
          <w:szCs w:val="20"/>
          <w:color w:val="auto"/>
        </w:rPr>
      </w:pPr>
    </w:p>
    <w:p>
      <w:pPr>
        <w:ind w:left="1160" w:right="1339" w:firstLine="4"/>
        <w:spacing w:after="0" w:line="267" w:lineRule="auto"/>
        <w:tabs>
          <w:tab w:leader="none" w:pos="1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effective January 1, 2019, this liability was reclassified as an offset to the Operating Lease Right-of-use Assets. The remaining unamortized balance of this contra-asset as of June 30, 2021 and December 31, 2020 was $11,444 and $16,501, respectively and is recorded within Operating Lease Right-of-Use Assets. During the six months ended June 30, 2021, the Company purchased six aircraft which were previously under leases with unfavorable terms, contributing to $3,765 of the decrease.</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As of the Acquisition Date, Sun Country’s existing leases included payments for maintenance reserves</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 addition to the stated aircraft lease payments. For a substantial portion of these maintenance reserve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payments, the Company does not expect to be reimbursed by the lessor. Therefore, a liability was</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established representing over-market maintenance reserve lease terms compared to market terms of similar</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leases. The remaining balance of this liability at June 30, 2021 and December 31, 2020 was $16,892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$37,409, respectively. Of the $20,517 reduction in the over-market maintenance reserve liabilities during the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six months ended June 30, 2021, $17,435 related to the purchase of six aircrafts previously leased.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over-market liabilities for those aircraft are included in Aircraft lease buy-out expense in Special Items, net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(see Note 11).</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7" w:name="page258"/>
    <w:bookmarkEnd w:id="257"/>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AIRCRAFT (continued)</w:t>
      </w:r>
    </w:p>
    <w:p>
      <w:pPr>
        <w:spacing w:after="0" w:line="183" w:lineRule="exact"/>
        <w:rPr>
          <w:sz w:val="20"/>
          <w:szCs w:val="20"/>
          <w:color w:val="auto"/>
        </w:rPr>
      </w:pPr>
    </w:p>
    <w:p>
      <w:pPr>
        <w:jc w:val="both"/>
        <w:ind w:left="1160" w:right="1279" w:firstLine="293"/>
        <w:spacing w:after="0" w:line="251" w:lineRule="auto"/>
        <w:rPr>
          <w:sz w:val="20"/>
          <w:szCs w:val="20"/>
          <w:color w:val="auto"/>
        </w:rPr>
      </w:pPr>
      <w:r>
        <w:rPr>
          <w:rFonts w:ascii="Arial" w:cs="Arial" w:eastAsia="Arial" w:hAnsi="Arial"/>
          <w:sz w:val="15"/>
          <w:szCs w:val="15"/>
          <w:color w:val="auto"/>
        </w:rPr>
        <w:t>Aircraft Rent expense for the three months ended June 30, 2021 and 2020, includes credits of $1,618 and $3,726, respectively, for the amortization of over-market liabilities established at the Acquisition Date related to lease rates and maintenance reserves. The Aircraft Rent expense credits for the six months ended June 30, 2021 and 2020 were $4,373 and $7,830, respectively.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DEBT</w:t>
      </w:r>
    </w:p>
    <w:p>
      <w:pPr>
        <w:spacing w:after="0" w:line="113"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b w:val="1"/>
          <w:bCs w:val="1"/>
          <w:color w:val="auto"/>
        </w:rPr>
        <w:t>Lines of Credit</w:t>
      </w:r>
      <w:r>
        <w:rPr>
          <w:rFonts w:ascii="Arial" w:cs="Arial" w:eastAsia="Arial" w:hAnsi="Arial"/>
          <w:sz w:val="14"/>
          <w:szCs w:val="14"/>
          <w:color w:val="auto"/>
        </w:rPr>
        <w:t>—On February 10, 2021, the Company executed a five-year credit agreement with a</w:t>
      </w:r>
      <w:r>
        <w:rPr>
          <w:rFonts w:ascii="Arial" w:cs="Arial" w:eastAsia="Arial" w:hAnsi="Arial"/>
          <w:sz w:val="14"/>
          <w:szCs w:val="14"/>
          <w:b w:val="1"/>
          <w:bCs w:val="1"/>
          <w:color w:val="auto"/>
        </w:rPr>
        <w:t xml:space="preserve"> </w:t>
      </w:r>
      <w:r>
        <w:rPr>
          <w:rFonts w:ascii="Arial" w:cs="Arial" w:eastAsia="Arial" w:hAnsi="Arial"/>
          <w:sz w:val="14"/>
          <w:szCs w:val="14"/>
          <w:color w:val="auto"/>
        </w:rPr>
        <w:t>group of lenders that replaced the Company’s prior $25,000 asset-based revolving credit facility (the “ABL Facility”). The agreement provides for a $25,000 Revolving Credit Facility and a $90,000 Delayed Draw Term Loan Facility, which are collectively referred to as the “Credit Facilities.” The interest rate on borrowings is determined by various alternative base rates plus an applicable margin ranging from 4% to 5%. The interest rate currently in effect on the Delayed Draw Term Loan facility is 6%, which is the minimum interest rate allowed under the Credit Facilities agreement. Borrowings on the Delayed Draw Term Loan Facility are subject to possible interest rate adjustment in February 2022. In addition, there is a commitment fee on the unused Revolving Credit Facility of 0.5%. The proceeds from the Revolving Credit Facility can be used for general corporate purposes. The proceeds from the Delayed Draw Term Loan Facility are to be used solely to finance the acquisition of aircraft or engines to be registered in the U.S. During the six months ended June 30, 2021, the Company drew $80,500 on the Delayed Draw Term Loan Facility to purchase six aircrafts, which were previously under operating leases. In June 2021, the Company made its first principal payment on this debt of $1,006, bringing the June 30, 2021 balance to $79,494. The Credit Facilities have financial covenants that require a minimum EBITDAR (ranging from $62,100 as of September 30, 2021, $78,100 as of December 31, 2021, and $87,700 as of March 31, 2022 and beyond) and a minimum liquidity of $30,000 at the close of any business day.</w:t>
      </w:r>
    </w:p>
    <w:p>
      <w:pPr>
        <w:spacing w:after="0" w:line="99" w:lineRule="exact"/>
        <w:rPr>
          <w:sz w:val="20"/>
          <w:szCs w:val="20"/>
          <w:color w:val="auto"/>
        </w:rPr>
      </w:pPr>
    </w:p>
    <w:p>
      <w:pPr>
        <w:jc w:val="both"/>
        <w:ind w:left="1160" w:right="1299" w:firstLine="293"/>
        <w:spacing w:after="0" w:line="290" w:lineRule="auto"/>
        <w:rPr>
          <w:sz w:val="20"/>
          <w:szCs w:val="20"/>
          <w:color w:val="auto"/>
        </w:rPr>
      </w:pPr>
      <w:r>
        <w:rPr>
          <w:rFonts w:ascii="Arial" w:cs="Arial" w:eastAsia="Arial" w:hAnsi="Arial"/>
          <w:sz w:val="13"/>
          <w:szCs w:val="13"/>
          <w:b w:val="1"/>
          <w:bCs w:val="1"/>
          <w:color w:val="auto"/>
        </w:rPr>
        <w:t>Long-term Debt—</w:t>
      </w:r>
      <w:r>
        <w:rPr>
          <w:rFonts w:ascii="Arial" w:cs="Arial" w:eastAsia="Arial" w:hAnsi="Arial"/>
          <w:sz w:val="13"/>
          <w:szCs w:val="13"/>
          <w:color w:val="auto"/>
        </w:rPr>
        <w:t>In December 2019, the Company arranged for the issuance of Class A, Class B and</w:t>
      </w:r>
      <w:r>
        <w:rPr>
          <w:rFonts w:ascii="Arial" w:cs="Arial" w:eastAsia="Arial" w:hAnsi="Arial"/>
          <w:sz w:val="13"/>
          <w:szCs w:val="13"/>
          <w:b w:val="1"/>
          <w:bCs w:val="1"/>
          <w:color w:val="auto"/>
        </w:rPr>
        <w:t xml:space="preserve"> </w:t>
      </w:r>
      <w:r>
        <w:rPr>
          <w:rFonts w:ascii="Arial" w:cs="Arial" w:eastAsia="Arial" w:hAnsi="Arial"/>
          <w:sz w:val="13"/>
          <w:szCs w:val="13"/>
          <w:color w:val="auto"/>
        </w:rPr>
        <w:t>Class C pass-through trust certificates Series 2019-1 (the “2019-1 EETC”), in an aggregate face amount of $248,587 for the purpose of financing or refinancing 13 used aircraft, which was completed in 2020.</w:t>
      </w:r>
    </w:p>
    <w:p>
      <w:pPr>
        <w:ind w:left="1160"/>
        <w:spacing w:after="0"/>
        <w:rPr>
          <w:sz w:val="20"/>
          <w:szCs w:val="20"/>
          <w:color w:val="auto"/>
        </w:rPr>
      </w:pPr>
      <w:r>
        <w:rPr>
          <w:rFonts w:ascii="Arial" w:cs="Arial" w:eastAsia="Arial" w:hAnsi="Arial"/>
          <w:sz w:val="15"/>
          <w:szCs w:val="15"/>
          <w:color w:val="auto"/>
        </w:rPr>
        <w:t>Payments have been made each June and December, which reduced the balance as of June 30, 2021 to</w:t>
      </w:r>
    </w:p>
    <w:p>
      <w:pPr>
        <w:spacing w:after="0" w:line="3" w:lineRule="exact"/>
        <w:rPr>
          <w:sz w:val="20"/>
          <w:szCs w:val="20"/>
          <w:color w:val="auto"/>
        </w:rPr>
      </w:pPr>
    </w:p>
    <w:p>
      <w:pPr>
        <w:ind w:left="1160" w:right="1339"/>
        <w:spacing w:after="0" w:line="249" w:lineRule="auto"/>
        <w:rPr>
          <w:sz w:val="20"/>
          <w:szCs w:val="20"/>
          <w:color w:val="auto"/>
        </w:rPr>
      </w:pPr>
      <w:r>
        <w:rPr>
          <w:rFonts w:ascii="Arial" w:cs="Arial" w:eastAsia="Arial" w:hAnsi="Arial"/>
          <w:sz w:val="15"/>
          <w:szCs w:val="15"/>
          <w:color w:val="auto"/>
        </w:rPr>
        <w:t>$211,605. The 13 aircraft serve as security for the loan and the total appraised value of these aircraft as of December 2019 was approximately $292,450.</w:t>
      </w:r>
    </w:p>
    <w:p>
      <w:pPr>
        <w:spacing w:after="0" w:line="104"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color w:val="auto"/>
        </w:rPr>
        <w:t>Under the CARES Act Loan Program, on October 26, 2020, the Company was awarded a $45,000 loan, which was secured by the Company’s loyalty program and certain cash deposit accounts. The loan bore interest at a rate per annum equal to the Adjusted LIBO Rate plus 6.50% and was due to be repaid on the earlier of (i) October 24, 2025 or (ii) six months prior to the expiration date of any material loyalty program securing the loan. On March 24, 2021, the CARES Act Loan was repaid in full, including outstanding principal and accrued interest for a total repayment amount of $46,260.</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was in compliance with all covenants in its debt agreements at June 30, 2021.</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Long-term Debt included the following:</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Arial" w:cs="Arial" w:eastAsia="Arial" w:hAnsi="Arial"/>
                <w:sz w:val="12"/>
                <w:szCs w:val="12"/>
                <w:b w:val="1"/>
                <w:bCs w:val="1"/>
                <w:color w:val="auto"/>
                <w:w w:val="88"/>
              </w:rPr>
              <w:t>June 30, 2021    December 31, 2020</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Notes payable under the Company’s 2019-1 EETC agreement dated</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December 2019, with original loan amounts of $248,587 payable in bi-</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annual installments, in June and December, through December 2027.</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6"/>
              </w:rPr>
              <w:t>These notes bear interest at an annual rate of between 4.13% and 6.95%</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99"/>
        </w:trPr>
        <w:tc>
          <w:tcPr>
            <w:tcW w:w="1020" w:type="dxa"/>
            <w:vAlign w:val="bottom"/>
          </w:tcPr>
          <w:p>
            <w:pPr>
              <w:spacing w:after="0"/>
              <w:rPr>
                <w:sz w:val="17"/>
                <w:szCs w:val="17"/>
                <w:color w:val="auto"/>
              </w:rPr>
            </w:pPr>
          </w:p>
        </w:tc>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and the weighted average interest rate is 4.78%.</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5"/>
                <w:szCs w:val="15"/>
                <w:color w:val="auto"/>
                <w:w w:val="92"/>
              </w:rPr>
              <w:t>$211,605</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rPr>
              <w:t>$227,347</w:t>
            </w:r>
          </w:p>
        </w:tc>
        <w:tc>
          <w:tcPr>
            <w:tcW w:w="1020" w:type="dxa"/>
            <w:vAlign w:val="bottom"/>
          </w:tcPr>
          <w:p>
            <w:pPr>
              <w:spacing w:after="0"/>
              <w:rPr>
                <w:sz w:val="17"/>
                <w:szCs w:val="17"/>
                <w:color w:val="auto"/>
              </w:rPr>
            </w:pPr>
          </w:p>
        </w:tc>
      </w:tr>
      <w:tr>
        <w:trPr>
          <w:trHeight w:val="505"/>
        </w:trPr>
        <w:tc>
          <w:tcPr>
            <w:tcW w:w="1020" w:type="dxa"/>
            <w:vAlign w:val="bottom"/>
          </w:tcPr>
          <w:p>
            <w:pPr>
              <w:spacing w:after="0"/>
              <w:rPr>
                <w:sz w:val="24"/>
                <w:szCs w:val="24"/>
                <w:color w:val="auto"/>
              </w:rPr>
            </w:pPr>
          </w:p>
        </w:tc>
        <w:tc>
          <w:tcPr>
            <w:tcW w:w="4880" w:type="dxa"/>
            <w:vAlign w:val="bottom"/>
          </w:tcPr>
          <w:p>
            <w:pPr>
              <w:ind w:left="3180"/>
              <w:spacing w:after="0"/>
              <w:rPr>
                <w:sz w:val="20"/>
                <w:szCs w:val="20"/>
                <w:color w:val="auto"/>
              </w:rPr>
            </w:pPr>
            <w:r>
              <w:rPr>
                <w:rFonts w:ascii="Arial" w:cs="Arial" w:eastAsia="Arial" w:hAnsi="Arial"/>
                <w:sz w:val="15"/>
                <w:szCs w:val="15"/>
                <w:color w:val="auto"/>
              </w:rPr>
              <w:t>F-63</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-1136650</wp:posOffset>
            </wp:positionV>
            <wp:extent cx="3634740" cy="698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363474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8" w:name="page259"/>
    <w:bookmarkEnd w:id="258"/>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DEBT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9"/>
          </w:tcPr>
          <w:p>
            <w:pPr>
              <w:spacing w:after="0"/>
              <w:rPr>
                <w:sz w:val="20"/>
                <w:szCs w:val="20"/>
                <w:color w:val="auto"/>
              </w:rPr>
            </w:pPr>
            <w:r>
              <w:rPr>
                <w:rFonts w:ascii="Arial" w:cs="Arial" w:eastAsia="Arial" w:hAnsi="Arial"/>
                <w:sz w:val="12"/>
                <w:szCs w:val="12"/>
                <w:b w:val="1"/>
                <w:bCs w:val="1"/>
                <w:color w:val="auto"/>
                <w:w w:val="87"/>
              </w:rPr>
              <w:t>June 30, 2021    December 31, 2020</w:t>
            </w:r>
          </w:p>
        </w:tc>
        <w:tc>
          <w:tcPr>
            <w:tcW w:w="0" w:type="dxa"/>
            <w:vAlign w:val="bottom"/>
          </w:tcPr>
          <w:p>
            <w:pPr>
              <w:spacing w:after="0"/>
              <w:rPr>
                <w:sz w:val="1"/>
                <w:szCs w:val="1"/>
                <w:color w:val="auto"/>
              </w:rPr>
            </w:pPr>
          </w:p>
        </w:tc>
      </w:tr>
      <w:tr>
        <w:trPr>
          <w:trHeight w:val="21"/>
        </w:trPr>
        <w:tc>
          <w:tcPr>
            <w:tcW w:w="4040" w:type="dxa"/>
            <w:vAlign w:val="bottom"/>
            <w:tcBorders>
              <w:bottom w:val="single" w:sz="8" w:color="CCEEFF"/>
            </w:tcBorders>
            <w:gridSpan w:val="2"/>
          </w:tcPr>
          <w:p>
            <w:pPr>
              <w:spacing w:after="0" w:line="20" w:lineRule="exact"/>
              <w:rPr>
                <w:sz w:val="1"/>
                <w:szCs w:val="1"/>
                <w:color w:val="auto"/>
              </w:rPr>
            </w:pPr>
          </w:p>
        </w:tc>
        <w:tc>
          <w:tcPr>
            <w:tcW w:w="560" w:type="dxa"/>
            <w:vAlign w:val="bottom"/>
            <w:tcBorders>
              <w:bottom w:val="single" w:sz="8" w:color="CCEEFF"/>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6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Delayed Draw Term Loan Facility (see terms and conditions above)</w:t>
            </w:r>
          </w:p>
        </w:tc>
        <w:tc>
          <w:tcPr>
            <w:tcW w:w="880" w:type="dxa"/>
            <w:vAlign w:val="bottom"/>
            <w:gridSpan w:val="6"/>
            <w:shd w:val="clear" w:color="auto" w:fill="CCEEFF"/>
          </w:tcPr>
          <w:p>
            <w:pPr>
              <w:jc w:val="right"/>
              <w:ind w:right="80"/>
              <w:spacing w:after="0"/>
              <w:rPr>
                <w:sz w:val="20"/>
                <w:szCs w:val="20"/>
                <w:color w:val="auto"/>
              </w:rPr>
            </w:pPr>
            <w:r>
              <w:rPr>
                <w:rFonts w:ascii="Arial" w:cs="Arial" w:eastAsia="Arial" w:hAnsi="Arial"/>
                <w:sz w:val="15"/>
                <w:szCs w:val="15"/>
                <w:color w:val="auto"/>
              </w:rPr>
              <w:t>79,494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120" w:type="dxa"/>
            <w:vAlign w:val="bottom"/>
            <w:gridSpan w:val="3"/>
          </w:tcPr>
          <w:p>
            <w:pPr>
              <w:spacing w:after="0"/>
              <w:rPr>
                <w:sz w:val="20"/>
                <w:szCs w:val="20"/>
                <w:color w:val="auto"/>
              </w:rPr>
            </w:pPr>
            <w:r>
              <w:rPr>
                <w:rFonts w:ascii="Arial" w:cs="Arial" w:eastAsia="Arial" w:hAnsi="Arial"/>
                <w:sz w:val="15"/>
                <w:szCs w:val="15"/>
                <w:color w:val="auto"/>
                <w:w w:val="92"/>
              </w:rPr>
              <w:t>U. S. Department of the Treasury CARES Act Loan (see terms and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tcPr>
          <w:p>
            <w:pPr>
              <w:ind w:left="160"/>
              <w:spacing w:after="0"/>
              <w:rPr>
                <w:sz w:val="20"/>
                <w:szCs w:val="20"/>
                <w:color w:val="auto"/>
              </w:rPr>
            </w:pPr>
            <w:r>
              <w:rPr>
                <w:rFonts w:ascii="Arial" w:cs="Arial" w:eastAsia="Arial" w:hAnsi="Arial"/>
                <w:sz w:val="15"/>
                <w:szCs w:val="15"/>
                <w:color w:val="auto"/>
              </w:rPr>
              <w:t>conditions above)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5"/>
          </w:tcPr>
          <w:p>
            <w:pPr>
              <w:jc w:val="right"/>
              <w:ind w:right="46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45,419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80" w:type="dxa"/>
            <w:vAlign w:val="bottom"/>
            <w:gridSpan w:val="5"/>
            <w:shd w:val="clear" w:color="auto" w:fill="CCEEFF"/>
          </w:tcPr>
          <w:p>
            <w:pPr>
              <w:spacing w:after="0"/>
              <w:rPr>
                <w:sz w:val="20"/>
                <w:szCs w:val="20"/>
                <w:color w:val="auto"/>
              </w:rPr>
            </w:pPr>
            <w:r>
              <w:rPr>
                <w:rFonts w:ascii="Arial" w:cs="Arial" w:eastAsia="Arial" w:hAnsi="Arial"/>
                <w:sz w:val="15"/>
                <w:szCs w:val="15"/>
                <w:color w:val="auto"/>
                <w:w w:val="99"/>
              </w:rPr>
              <w:t>Notes payable to Wilmington Trust Company. Notes bear interest at an</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80" w:type="dxa"/>
            <w:vAlign w:val="bottom"/>
            <w:gridSpan w:val="5"/>
            <w:shd w:val="clear" w:color="auto" w:fill="CCEEFF"/>
          </w:tcPr>
          <w:p>
            <w:pPr>
              <w:ind w:left="160"/>
              <w:spacing w:after="0"/>
              <w:rPr>
                <w:sz w:val="20"/>
                <w:szCs w:val="20"/>
                <w:color w:val="auto"/>
              </w:rPr>
            </w:pPr>
            <w:r>
              <w:rPr>
                <w:rFonts w:ascii="Arial" w:cs="Arial" w:eastAsia="Arial" w:hAnsi="Arial"/>
                <w:sz w:val="15"/>
                <w:szCs w:val="15"/>
                <w:color w:val="auto"/>
                <w:w w:val="96"/>
              </w:rPr>
              <w:t>annual rate of 8.45% and were scheduled to mature Nov. 2023 to Feb.</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2024. In April 2021, these notes were repaid.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5"/>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12,506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120" w:type="dxa"/>
            <w:vAlign w:val="bottom"/>
            <w:gridSpan w:val="3"/>
          </w:tcPr>
          <w:p>
            <w:pPr>
              <w:spacing w:after="0"/>
              <w:rPr>
                <w:sz w:val="20"/>
                <w:szCs w:val="20"/>
                <w:color w:val="auto"/>
              </w:rPr>
            </w:pPr>
            <w:r>
              <w:rPr>
                <w:rFonts w:ascii="Arial" w:cs="Arial" w:eastAsia="Arial" w:hAnsi="Arial"/>
                <w:sz w:val="15"/>
                <w:szCs w:val="15"/>
                <w:color w:val="auto"/>
                <w:w w:val="91"/>
              </w:rPr>
              <w:t>Other Notes payable. These notes bear interest at an annual rate of</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60" w:type="dxa"/>
            <w:vAlign w:val="bottom"/>
          </w:tcPr>
          <w:p>
            <w:pPr>
              <w:ind w:left="160"/>
              <w:spacing w:after="0"/>
              <w:rPr>
                <w:sz w:val="20"/>
                <w:szCs w:val="20"/>
                <w:color w:val="auto"/>
              </w:rPr>
            </w:pPr>
            <w:r>
              <w:rPr>
                <w:rFonts w:ascii="Arial" w:cs="Arial" w:eastAsia="Arial" w:hAnsi="Arial"/>
                <w:sz w:val="15"/>
                <w:szCs w:val="15"/>
                <w:color w:val="auto"/>
              </w:rPr>
              <w:t>approximately 5.0% and mature March 2029.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6"/>
          </w:tcPr>
          <w:p>
            <w:pPr>
              <w:jc w:val="right"/>
              <w:ind w:right="80"/>
              <w:spacing w:after="0"/>
              <w:rPr>
                <w:sz w:val="20"/>
                <w:szCs w:val="20"/>
                <w:color w:val="auto"/>
              </w:rPr>
            </w:pPr>
            <w:r>
              <w:rPr>
                <w:rFonts w:ascii="Arial" w:cs="Arial" w:eastAsia="Arial" w:hAnsi="Arial"/>
                <w:sz w:val="15"/>
                <w:szCs w:val="15"/>
                <w:color w:val="auto"/>
              </w:rPr>
              <w:t>493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529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Total Debt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6"/>
            <w:shd w:val="clear" w:color="auto" w:fill="CCEEFF"/>
          </w:tcPr>
          <w:p>
            <w:pPr>
              <w:jc w:val="right"/>
              <w:ind w:right="80"/>
              <w:spacing w:after="0"/>
              <w:rPr>
                <w:sz w:val="20"/>
                <w:szCs w:val="20"/>
                <w:color w:val="auto"/>
              </w:rPr>
            </w:pPr>
            <w:r>
              <w:rPr>
                <w:rFonts w:ascii="Arial" w:cs="Arial" w:eastAsia="Arial" w:hAnsi="Arial"/>
                <w:sz w:val="15"/>
                <w:szCs w:val="15"/>
                <w:color w:val="auto"/>
              </w:rPr>
              <w:t>291,592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285,801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5"/>
                <w:szCs w:val="15"/>
                <w:color w:val="auto"/>
              </w:rPr>
              <w:t>Less: Unamortized debt issuance costs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6"/>
          </w:tcPr>
          <w:p>
            <w:pPr>
              <w:jc w:val="right"/>
              <w:ind w:right="20"/>
              <w:spacing w:after="0"/>
              <w:rPr>
                <w:sz w:val="20"/>
                <w:szCs w:val="20"/>
                <w:color w:val="auto"/>
              </w:rPr>
            </w:pPr>
            <w:r>
              <w:rPr>
                <w:rFonts w:ascii="Arial" w:cs="Arial" w:eastAsia="Arial" w:hAnsi="Arial"/>
                <w:sz w:val="15"/>
                <w:szCs w:val="15"/>
                <w:color w:val="auto"/>
              </w:rPr>
              <w:t>(4,113)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(3,338)</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Less: Current Maturities of Long-term Debt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3"/>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(19,795)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(26,118)</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5"/>
                <w:szCs w:val="15"/>
                <w:color w:val="auto"/>
              </w:rPr>
              <w:t>Total Long-term Debt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5"/>
                <w:szCs w:val="15"/>
                <w:color w:val="auto"/>
                <w:w w:val="86"/>
              </w:rPr>
              <w:t>$267,684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83"/>
              </w:rPr>
              <w:t>$256,345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300"/>
              <w:spacing w:after="0"/>
              <w:rPr>
                <w:sz w:val="20"/>
                <w:szCs w:val="20"/>
                <w:color w:val="auto"/>
              </w:rPr>
            </w:pPr>
            <w:r>
              <w:rPr>
                <w:rFonts w:ascii="Arial" w:cs="Arial" w:eastAsia="Arial" w:hAnsi="Arial"/>
                <w:sz w:val="15"/>
                <w:szCs w:val="15"/>
                <w:color w:val="auto"/>
                <w:w w:val="97"/>
              </w:rPr>
              <w:t>Future maturities of the outstanding Debt are as follows:</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2"/>
                <w:szCs w:val="22"/>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4"/>
              </w:rPr>
              <w:t>Debt Principal</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gridSpan w:val="6"/>
          </w:tcPr>
          <w:p>
            <w:pPr>
              <w:spacing w:after="0"/>
              <w:rPr>
                <w:sz w:val="20"/>
                <w:szCs w:val="20"/>
                <w:color w:val="auto"/>
              </w:rPr>
            </w:pPr>
            <w:r>
              <w:rPr>
                <w:rFonts w:ascii="Arial" w:cs="Arial" w:eastAsia="Arial" w:hAnsi="Arial"/>
                <w:sz w:val="12"/>
                <w:szCs w:val="12"/>
                <w:b w:val="1"/>
                <w:bCs w:val="1"/>
                <w:color w:val="auto"/>
                <w:w w:val="83"/>
              </w:rPr>
              <w:t>Amortization of Debt</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88"/>
              </w:rPr>
              <w:t>Payments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6"/>
          </w:tcPr>
          <w:p>
            <w:pPr>
              <w:ind w:left="140"/>
              <w:spacing w:after="0"/>
              <w:rPr>
                <w:sz w:val="20"/>
                <w:szCs w:val="20"/>
                <w:color w:val="auto"/>
              </w:rPr>
            </w:pPr>
            <w:r>
              <w:rPr>
                <w:rFonts w:ascii="Arial" w:cs="Arial" w:eastAsia="Arial" w:hAnsi="Arial"/>
                <w:sz w:val="12"/>
                <w:szCs w:val="12"/>
                <w:b w:val="1"/>
                <w:bCs w:val="1"/>
                <w:color w:val="auto"/>
                <w:w w:val="95"/>
              </w:rPr>
              <w:t>Issuance Costs</w:t>
            </w:r>
          </w:p>
        </w:tc>
        <w:tc>
          <w:tcPr>
            <w:tcW w:w="18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97"/>
              </w:rPr>
              <w:t>Net Debt</w:t>
            </w:r>
          </w:p>
        </w:tc>
        <w:tc>
          <w:tcPr>
            <w:tcW w:w="0" w:type="dxa"/>
            <w:vAlign w:val="bottom"/>
          </w:tcPr>
          <w:p>
            <w:pPr>
              <w:spacing w:after="0"/>
              <w:rPr>
                <w:sz w:val="1"/>
                <w:szCs w:val="1"/>
                <w:color w:val="auto"/>
              </w:rPr>
            </w:pPr>
          </w:p>
        </w:tc>
      </w:tr>
      <w:tr>
        <w:trPr>
          <w:trHeight w:val="21"/>
        </w:trPr>
        <w:tc>
          <w:tcPr>
            <w:tcW w:w="3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Remainder of 2021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10,661</w:t>
            </w:r>
          </w:p>
        </w:tc>
        <w:tc>
          <w:tcPr>
            <w:tcW w:w="1040" w:type="dxa"/>
            <w:vAlign w:val="bottom"/>
            <w:gridSpan w:val="8"/>
            <w:shd w:val="clear" w:color="auto" w:fill="CCEEFF"/>
          </w:tcPr>
          <w:p>
            <w:pPr>
              <w:jc w:val="right"/>
              <w:ind w:right="40"/>
              <w:spacing w:after="0"/>
              <w:rPr>
                <w:sz w:val="20"/>
                <w:szCs w:val="20"/>
                <w:color w:val="auto"/>
              </w:rPr>
            </w:pPr>
            <w:r>
              <w:rPr>
                <w:rFonts w:ascii="Arial" w:cs="Arial" w:eastAsia="Arial" w:hAnsi="Arial"/>
                <w:sz w:val="15"/>
                <w:szCs w:val="15"/>
                <w:color w:val="auto"/>
              </w:rPr>
              <w:t>$  (509)</w:t>
            </w:r>
          </w:p>
        </w:tc>
        <w:tc>
          <w:tcPr>
            <w:tcW w:w="2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$ 10,152</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5"/>
                <w:szCs w:val="15"/>
                <w:color w:val="auto"/>
              </w:rPr>
              <w:t>2022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30,367</w:t>
            </w:r>
          </w:p>
        </w:tc>
        <w:tc>
          <w:tcPr>
            <w:tcW w:w="1040" w:type="dxa"/>
            <w:vAlign w:val="bottom"/>
            <w:gridSpan w:val="8"/>
          </w:tcPr>
          <w:p>
            <w:pPr>
              <w:jc w:val="right"/>
              <w:ind w:right="40"/>
              <w:spacing w:after="0"/>
              <w:rPr>
                <w:sz w:val="20"/>
                <w:szCs w:val="20"/>
                <w:color w:val="auto"/>
              </w:rPr>
            </w:pPr>
            <w:r>
              <w:rPr>
                <w:rFonts w:ascii="Arial" w:cs="Arial" w:eastAsia="Arial" w:hAnsi="Arial"/>
                <w:sz w:val="15"/>
                <w:szCs w:val="15"/>
                <w:color w:val="auto"/>
              </w:rPr>
              <w:t>(983)</w:t>
            </w:r>
          </w:p>
        </w:tc>
        <w:tc>
          <w:tcPr>
            <w:tcW w:w="2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29,384</w:t>
            </w: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42,358</w:t>
            </w:r>
          </w:p>
        </w:tc>
        <w:tc>
          <w:tcPr>
            <w:tcW w:w="1040" w:type="dxa"/>
            <w:vAlign w:val="bottom"/>
            <w:gridSpan w:val="8"/>
            <w:shd w:val="clear" w:color="auto" w:fill="CCEEFF"/>
          </w:tcPr>
          <w:p>
            <w:pPr>
              <w:jc w:val="right"/>
              <w:ind w:right="40"/>
              <w:spacing w:after="0"/>
              <w:rPr>
                <w:sz w:val="20"/>
                <w:szCs w:val="20"/>
                <w:color w:val="auto"/>
              </w:rPr>
            </w:pPr>
            <w:r>
              <w:rPr>
                <w:rFonts w:ascii="Arial" w:cs="Arial" w:eastAsia="Arial" w:hAnsi="Arial"/>
                <w:sz w:val="15"/>
                <w:szCs w:val="15"/>
                <w:color w:val="auto"/>
              </w:rPr>
              <w:t>(908)</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41,450</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44,000</w:t>
            </w:r>
          </w:p>
        </w:tc>
        <w:tc>
          <w:tcPr>
            <w:tcW w:w="1040" w:type="dxa"/>
            <w:vAlign w:val="bottom"/>
            <w:gridSpan w:val="8"/>
          </w:tcPr>
          <w:p>
            <w:pPr>
              <w:jc w:val="right"/>
              <w:ind w:right="40"/>
              <w:spacing w:after="0"/>
              <w:rPr>
                <w:sz w:val="20"/>
                <w:szCs w:val="20"/>
                <w:color w:val="auto"/>
              </w:rPr>
            </w:pPr>
            <w:r>
              <w:rPr>
                <w:rFonts w:ascii="Arial" w:cs="Arial" w:eastAsia="Arial" w:hAnsi="Arial"/>
                <w:sz w:val="15"/>
                <w:szCs w:val="15"/>
                <w:color w:val="auto"/>
              </w:rPr>
              <w:t>(785)</w:t>
            </w:r>
          </w:p>
        </w:tc>
        <w:tc>
          <w:tcPr>
            <w:tcW w:w="2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43,215</w:t>
            </w: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49,087</w:t>
            </w:r>
          </w:p>
        </w:tc>
        <w:tc>
          <w:tcPr>
            <w:tcW w:w="1040" w:type="dxa"/>
            <w:vAlign w:val="bottom"/>
            <w:gridSpan w:val="8"/>
            <w:shd w:val="clear" w:color="auto" w:fill="CCEEFF"/>
          </w:tcPr>
          <w:p>
            <w:pPr>
              <w:jc w:val="right"/>
              <w:ind w:right="40"/>
              <w:spacing w:after="0"/>
              <w:rPr>
                <w:sz w:val="20"/>
                <w:szCs w:val="20"/>
                <w:color w:val="auto"/>
              </w:rPr>
            </w:pPr>
            <w:r>
              <w:rPr>
                <w:rFonts w:ascii="Arial" w:cs="Arial" w:eastAsia="Arial" w:hAnsi="Arial"/>
                <w:sz w:val="15"/>
                <w:szCs w:val="15"/>
                <w:color w:val="auto"/>
              </w:rPr>
              <w:t>(670)</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48,417</w:t>
            </w:r>
          </w:p>
        </w:tc>
        <w:tc>
          <w:tcPr>
            <w:tcW w:w="0" w:type="dxa"/>
            <w:vAlign w:val="bottom"/>
          </w:tcPr>
          <w:p>
            <w:pPr>
              <w:spacing w:after="0"/>
              <w:rPr>
                <w:sz w:val="1"/>
                <w:szCs w:val="1"/>
                <w:color w:val="auto"/>
              </w:rPr>
            </w:pPr>
          </w:p>
        </w:tc>
      </w:tr>
      <w:tr>
        <w:trPr>
          <w:trHeight w:val="214"/>
        </w:trPr>
        <w:tc>
          <w:tcPr>
            <w:tcW w:w="3960" w:type="dxa"/>
            <w:vAlign w:val="bottom"/>
          </w:tcPr>
          <w:p>
            <w:pPr>
              <w:spacing w:after="0"/>
              <w:rPr>
                <w:sz w:val="20"/>
                <w:szCs w:val="20"/>
                <w:color w:val="auto"/>
              </w:rPr>
            </w:pPr>
            <w:r>
              <w:rPr>
                <w:rFonts w:ascii="Arial" w:cs="Arial" w:eastAsia="Arial" w:hAnsi="Arial"/>
                <w:sz w:val="15"/>
                <w:szCs w:val="15"/>
                <w:color w:val="auto"/>
              </w:rPr>
              <w:t>Thereafter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115,119</w:t>
            </w:r>
          </w:p>
        </w:tc>
        <w:tc>
          <w:tcPr>
            <w:tcW w:w="1040" w:type="dxa"/>
            <w:vAlign w:val="bottom"/>
            <w:gridSpan w:val="8"/>
          </w:tcPr>
          <w:p>
            <w:pPr>
              <w:jc w:val="right"/>
              <w:ind w:right="40"/>
              <w:spacing w:after="0"/>
              <w:rPr>
                <w:sz w:val="20"/>
                <w:szCs w:val="20"/>
                <w:color w:val="auto"/>
              </w:rPr>
            </w:pPr>
            <w:r>
              <w:rPr>
                <w:rFonts w:ascii="Arial" w:cs="Arial" w:eastAsia="Arial" w:hAnsi="Arial"/>
                <w:sz w:val="15"/>
                <w:szCs w:val="15"/>
                <w:color w:val="auto"/>
              </w:rPr>
              <w:t>(258)</w:t>
            </w:r>
          </w:p>
        </w:tc>
        <w:tc>
          <w:tcPr>
            <w:tcW w:w="2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114,861</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Total as of June 30, 2021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291,592</w:t>
            </w:r>
          </w:p>
        </w:tc>
        <w:tc>
          <w:tcPr>
            <w:tcW w:w="1040" w:type="dxa"/>
            <w:vAlign w:val="bottom"/>
            <w:gridSpan w:val="8"/>
            <w:shd w:val="clear" w:color="auto" w:fill="CCEEFF"/>
          </w:tcPr>
          <w:p>
            <w:pPr>
              <w:jc w:val="right"/>
              <w:ind w:right="40"/>
              <w:spacing w:after="0"/>
              <w:rPr>
                <w:sz w:val="20"/>
                <w:szCs w:val="20"/>
                <w:color w:val="auto"/>
              </w:rPr>
            </w:pPr>
            <w:r>
              <w:rPr>
                <w:rFonts w:ascii="Arial" w:cs="Arial" w:eastAsia="Arial" w:hAnsi="Arial"/>
                <w:sz w:val="15"/>
                <w:szCs w:val="15"/>
                <w:color w:val="auto"/>
              </w:rPr>
              <w:t>$(4,113)</w:t>
            </w:r>
          </w:p>
        </w:tc>
        <w:tc>
          <w:tcPr>
            <w:tcW w:w="220" w:type="dxa"/>
            <w:vAlign w:val="bottom"/>
            <w:tcBorders>
              <w:right w:val="single" w:sz="8" w:color="CCEEFF"/>
            </w:tcBorders>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$287,479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680" w:type="dxa"/>
            <w:vAlign w:val="bottom"/>
            <w:gridSpan w:val="5"/>
          </w:tcPr>
          <w:p>
            <w:pPr>
              <w:ind w:left="300"/>
              <w:spacing w:after="0"/>
              <w:rPr>
                <w:sz w:val="20"/>
                <w:szCs w:val="20"/>
                <w:color w:val="auto"/>
              </w:rPr>
            </w:pPr>
            <w:r>
              <w:rPr>
                <w:rFonts w:ascii="Arial" w:cs="Arial" w:eastAsia="Arial" w:hAnsi="Arial"/>
                <w:sz w:val="15"/>
                <w:szCs w:val="15"/>
                <w:color w:val="auto"/>
                <w:w w:val="94"/>
              </w:rPr>
              <w:t>The table below presents the Company’s debt measured at fair value: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60" w:type="dxa"/>
            <w:vAlign w:val="bottom"/>
            <w:gridSpan w:val="9"/>
          </w:tcPr>
          <w:p>
            <w:pPr>
              <w:spacing w:after="0"/>
              <w:rPr>
                <w:sz w:val="20"/>
                <w:szCs w:val="20"/>
                <w:color w:val="auto"/>
              </w:rPr>
            </w:pPr>
            <w:r>
              <w:rPr>
                <w:rFonts w:ascii="Arial" w:cs="Arial" w:eastAsia="Arial" w:hAnsi="Arial"/>
                <w:sz w:val="12"/>
                <w:szCs w:val="12"/>
                <w:b w:val="1"/>
                <w:bCs w:val="1"/>
                <w:color w:val="auto"/>
                <w:w w:val="87"/>
              </w:rPr>
              <w:t>June 30, 2021    December 31, 2020</w:t>
            </w:r>
          </w:p>
        </w:tc>
        <w:tc>
          <w:tcPr>
            <w:tcW w:w="0" w:type="dxa"/>
            <w:vAlign w:val="bottom"/>
          </w:tcPr>
          <w:p>
            <w:pPr>
              <w:spacing w:after="0"/>
              <w:rPr>
                <w:sz w:val="1"/>
                <w:szCs w:val="1"/>
                <w:color w:val="auto"/>
              </w:rPr>
            </w:pPr>
          </w:p>
        </w:tc>
      </w:tr>
      <w:tr>
        <w:trPr>
          <w:trHeight w:val="21"/>
        </w:trPr>
        <w:tc>
          <w:tcPr>
            <w:tcW w:w="3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gridSpan w:val="2"/>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Carrying Amount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right w:val="single" w:sz="8" w:color="CCEEFF"/>
            </w:tcBorders>
            <w:gridSpan w:val="3"/>
            <w:shd w:val="clear" w:color="auto" w:fill="CCEEFF"/>
          </w:tcPr>
          <w:p>
            <w:pPr>
              <w:spacing w:after="0"/>
              <w:rPr>
                <w:sz w:val="20"/>
                <w:szCs w:val="20"/>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86"/>
              </w:rPr>
              <w:t>$291,592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3"/>
              </w:rPr>
              <w:t>$285,801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3"/>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60" w:type="dxa"/>
            <w:vAlign w:val="bottom"/>
          </w:tcPr>
          <w:p>
            <w:pPr>
              <w:spacing w:after="0"/>
              <w:rPr>
                <w:sz w:val="20"/>
                <w:szCs w:val="20"/>
                <w:color w:val="auto"/>
              </w:rPr>
            </w:pPr>
            <w:r>
              <w:rPr>
                <w:rFonts w:ascii="Arial" w:cs="Arial" w:eastAsia="Arial" w:hAnsi="Arial"/>
                <w:sz w:val="15"/>
                <w:szCs w:val="15"/>
                <w:color w:val="auto"/>
              </w:rPr>
              <w:t>Fair Value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6"/>
          </w:tcPr>
          <w:p>
            <w:pPr>
              <w:jc w:val="right"/>
              <w:ind w:right="80"/>
              <w:spacing w:after="0"/>
              <w:rPr>
                <w:sz w:val="20"/>
                <w:szCs w:val="20"/>
                <w:color w:val="auto"/>
              </w:rPr>
            </w:pPr>
            <w:r>
              <w:rPr>
                <w:rFonts w:ascii="Arial" w:cs="Arial" w:eastAsia="Arial" w:hAnsi="Arial"/>
                <w:sz w:val="15"/>
                <w:szCs w:val="15"/>
                <w:color w:val="auto"/>
              </w:rPr>
              <w:t>$281,640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83"/>
              </w:rPr>
              <w:t>$279,119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-2839085</wp:posOffset>
            </wp:positionV>
            <wp:extent cx="4241800" cy="698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-3829685</wp:posOffset>
            </wp:positionV>
            <wp:extent cx="3634740" cy="698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6347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-927100</wp:posOffset>
            </wp:positionV>
            <wp:extent cx="3886200" cy="698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-1736725</wp:posOffset>
            </wp:positionV>
            <wp:extent cx="111760" cy="698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-1736725</wp:posOffset>
            </wp:positionV>
            <wp:extent cx="3090545" cy="698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30905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-334010</wp:posOffset>
            </wp:positionV>
            <wp:extent cx="3634740" cy="698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67" w:lineRule="exact"/>
        <w:rPr>
          <w:sz w:val="20"/>
          <w:szCs w:val="20"/>
          <w:color w:val="auto"/>
        </w:rPr>
      </w:pPr>
    </w:p>
    <w:p>
      <w:pPr>
        <w:ind w:left="1160" w:right="1359" w:firstLine="293"/>
        <w:spacing w:after="0" w:line="254" w:lineRule="auto"/>
        <w:rPr>
          <w:sz w:val="20"/>
          <w:szCs w:val="20"/>
          <w:color w:val="auto"/>
        </w:rPr>
      </w:pPr>
      <w:r>
        <w:rPr>
          <w:rFonts w:ascii="Arial" w:cs="Arial" w:eastAsia="Arial" w:hAnsi="Arial"/>
          <w:sz w:val="15"/>
          <w:szCs w:val="15"/>
          <w:color w:val="auto"/>
        </w:rPr>
        <w:t>The fair value of the Company’s debt was based on the discounted amount of future cash flows using the Company’s end-of-period incremental borrowing rate for similar obligations. The estimates were primarily based on Level 3 inputs.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8. FUEL DERIVATIVES AND RISK MANAGEMENT</w:t>
      </w:r>
    </w:p>
    <w:p>
      <w:pPr>
        <w:spacing w:after="0" w:line="128"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91" w:lineRule="exact"/>
        <w:rPr>
          <w:sz w:val="20"/>
          <w:szCs w:val="20"/>
          <w:color w:val="auto"/>
        </w:rPr>
      </w:pPr>
    </w:p>
    <w:p>
      <w:pPr>
        <w:ind w:left="1160" w:right="1199" w:firstLine="293"/>
        <w:spacing w:after="0" w:line="341" w:lineRule="auto"/>
        <w:rPr>
          <w:sz w:val="20"/>
          <w:szCs w:val="20"/>
          <w:color w:val="auto"/>
        </w:rPr>
      </w:pPr>
      <w:r>
        <w:rPr>
          <w:rFonts w:ascii="Arial" w:cs="Arial" w:eastAsia="Arial" w:hAnsi="Arial"/>
          <w:sz w:val="13"/>
          <w:szCs w:val="13"/>
          <w:color w:val="auto"/>
        </w:rPr>
        <w:t>Fuel derivative contracts are recognized at fair value on the Condensed Consolidated Balance Sheets as Derivative Assets, if the fair value is in an asset position, or as Derivative Liabilities, if the fair value is in a</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9" w:name="page260"/>
    <w:bookmarkEnd w:id="259"/>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8. FUEL DERIVATIVES AND RISK MANAGEMENT (continued)</w:t>
      </w:r>
    </w:p>
    <w:p>
      <w:pPr>
        <w:spacing w:after="0" w:line="183" w:lineRule="exact"/>
        <w:rPr>
          <w:sz w:val="20"/>
          <w:szCs w:val="20"/>
          <w:color w:val="auto"/>
        </w:rPr>
      </w:pPr>
    </w:p>
    <w:p>
      <w:pPr>
        <w:ind w:left="1160" w:right="1239"/>
        <w:spacing w:after="0" w:line="254" w:lineRule="auto"/>
        <w:rPr>
          <w:sz w:val="20"/>
          <w:szCs w:val="20"/>
          <w:color w:val="auto"/>
        </w:rPr>
      </w:pPr>
      <w:r>
        <w:rPr>
          <w:rFonts w:ascii="Arial" w:cs="Arial" w:eastAsia="Arial" w:hAnsi="Arial"/>
          <w:sz w:val="15"/>
          <w:szCs w:val="15"/>
          <w:color w:val="auto"/>
        </w:rPr>
        <w:t>liability position. The Company did not have any collateral held by counterparties to these agreements as of June 30, 2021 and December 31, 2020. Derivatives where the payment due date is greater than one year from the balance sheet date are classified as long-term.</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Derivative Assets (Liabilities) were as follows: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6"/>
          </w:tcPr>
          <w:p>
            <w:pPr>
              <w:jc w:val="right"/>
              <w:ind w:right="40"/>
              <w:spacing w:after="0"/>
              <w:rPr>
                <w:sz w:val="20"/>
                <w:szCs w:val="20"/>
                <w:color w:val="auto"/>
              </w:rPr>
            </w:pPr>
            <w:r>
              <w:rPr>
                <w:rFonts w:ascii="Arial" w:cs="Arial" w:eastAsia="Arial" w:hAnsi="Arial"/>
                <w:sz w:val="12"/>
                <w:szCs w:val="12"/>
                <w:b w:val="1"/>
                <w:bCs w:val="1"/>
                <w:color w:val="auto"/>
                <w:w w:val="81"/>
              </w:rPr>
              <w:t>Six Months Ended June 30,</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113"/>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$(1,174)</w:t>
            </w:r>
          </w:p>
        </w:tc>
        <w:tc>
          <w:tcPr>
            <w:tcW w:w="1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2,233</w:t>
            </w:r>
          </w:p>
        </w:tc>
        <w:tc>
          <w:tcPr>
            <w:tcW w:w="0" w:type="dxa"/>
            <w:vAlign w:val="bottom"/>
          </w:tcPr>
          <w:p>
            <w:pPr>
              <w:spacing w:after="0"/>
              <w:rPr>
                <w:sz w:val="1"/>
                <w:szCs w:val="1"/>
                <w:color w:val="auto"/>
              </w:rPr>
            </w:pPr>
          </w:p>
        </w:tc>
      </w:tr>
      <w:tr>
        <w:trPr>
          <w:trHeight w:val="209"/>
        </w:trPr>
        <w:tc>
          <w:tcPr>
            <w:tcW w:w="3640" w:type="dxa"/>
            <w:vAlign w:val="bottom"/>
          </w:tcPr>
          <w:p>
            <w:pPr>
              <w:spacing w:after="0"/>
              <w:rPr>
                <w:sz w:val="20"/>
                <w:szCs w:val="20"/>
                <w:color w:val="auto"/>
              </w:rPr>
            </w:pPr>
            <w:r>
              <w:rPr>
                <w:rFonts w:ascii="Arial" w:cs="Arial" w:eastAsia="Arial" w:hAnsi="Arial"/>
                <w:sz w:val="15"/>
                <w:szCs w:val="15"/>
                <w:color w:val="auto"/>
              </w:rPr>
              <w:t>Non-cash Gains (Losses)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3,599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(16,056)</w:t>
            </w: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Contract Settlements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(827)</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4,990</w:t>
            </w:r>
          </w:p>
        </w:tc>
        <w:tc>
          <w:tcPr>
            <w:tcW w:w="0" w:type="dxa"/>
            <w:vAlign w:val="bottom"/>
          </w:tcPr>
          <w:p>
            <w:pPr>
              <w:spacing w:after="0"/>
              <w:rPr>
                <w:sz w:val="1"/>
                <w:szCs w:val="1"/>
                <w:color w:val="auto"/>
              </w:rPr>
            </w:pPr>
          </w:p>
        </w:tc>
      </w:tr>
      <w:tr>
        <w:trPr>
          <w:trHeight w:val="20"/>
        </w:trPr>
        <w:tc>
          <w:tcPr>
            <w:tcW w:w="3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5"/>
                <w:szCs w:val="15"/>
                <w:color w:val="auto"/>
              </w:rPr>
              <w:t>Balance—June 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3"/>
              </w:rPr>
              <w:t>$ 1,598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(8,833)</w:t>
            </w:r>
          </w:p>
        </w:tc>
        <w:tc>
          <w:tcPr>
            <w:tcW w:w="0" w:type="dxa"/>
            <w:vAlign w:val="bottom"/>
          </w:tcPr>
          <w:p>
            <w:pPr>
              <w:spacing w:after="0"/>
              <w:rPr>
                <w:sz w:val="1"/>
                <w:szCs w:val="1"/>
                <w:color w:val="auto"/>
              </w:rPr>
            </w:pPr>
          </w:p>
        </w:tc>
      </w:tr>
      <w:tr>
        <w:trPr>
          <w:trHeight w:val="20"/>
        </w:trPr>
        <w:tc>
          <w:tcPr>
            <w:tcW w:w="4560" w:type="dxa"/>
            <w:vAlign w:val="bottom"/>
            <w:gridSpan w:val="6"/>
            <w:vMerge w:val="restart"/>
          </w:tcPr>
          <w:p>
            <w:pPr>
              <w:ind w:left="300"/>
              <w:spacing w:after="0"/>
              <w:rPr>
                <w:sz w:val="20"/>
                <w:szCs w:val="20"/>
                <w:color w:val="auto"/>
              </w:rPr>
            </w:pPr>
            <w:r>
              <w:rPr>
                <w:rFonts w:ascii="Arial" w:cs="Arial" w:eastAsia="Arial" w:hAnsi="Arial"/>
                <w:sz w:val="15"/>
                <w:szCs w:val="15"/>
                <w:color w:val="auto"/>
              </w:rPr>
              <w:t>Fuel Derivative Gains (Losses) consisted of the following:</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60" w:type="dxa"/>
            <w:vAlign w:val="bottom"/>
            <w:gridSpan w:val="6"/>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640" w:type="dxa"/>
            <w:vAlign w:val="bottom"/>
          </w:tcPr>
          <w:p>
            <w:pPr>
              <w:spacing w:after="0"/>
              <w:rPr>
                <w:sz w:val="23"/>
                <w:szCs w:val="23"/>
                <w:color w:val="auto"/>
              </w:rPr>
            </w:pPr>
          </w:p>
        </w:tc>
        <w:tc>
          <w:tcPr>
            <w:tcW w:w="1480" w:type="dxa"/>
            <w:vAlign w:val="bottom"/>
            <w:gridSpan w:val="7"/>
          </w:tcPr>
          <w:p>
            <w:pPr>
              <w:jc w:val="right"/>
              <w:ind w:right="20"/>
              <w:spacing w:after="0"/>
              <w:rPr>
                <w:sz w:val="20"/>
                <w:szCs w:val="20"/>
                <w:color w:val="auto"/>
              </w:rPr>
            </w:pPr>
            <w:r>
              <w:rPr>
                <w:rFonts w:ascii="Arial" w:cs="Arial" w:eastAsia="Arial" w:hAnsi="Arial"/>
                <w:sz w:val="12"/>
                <w:szCs w:val="12"/>
                <w:b w:val="1"/>
                <w:bCs w:val="1"/>
                <w:color w:val="auto"/>
                <w:w w:val="84"/>
              </w:rPr>
              <w:t>Three Months Ended June 30,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6"/>
          </w:tcPr>
          <w:p>
            <w:pPr>
              <w:jc w:val="right"/>
              <w:ind w:right="40"/>
              <w:spacing w:after="0"/>
              <w:rPr>
                <w:sz w:val="20"/>
                <w:szCs w:val="20"/>
                <w:color w:val="auto"/>
              </w:rPr>
            </w:pPr>
            <w:r>
              <w:rPr>
                <w:rFonts w:ascii="Arial" w:cs="Arial" w:eastAsia="Arial" w:hAnsi="Arial"/>
                <w:sz w:val="12"/>
                <w:szCs w:val="12"/>
                <w:b w:val="1"/>
                <w:bCs w:val="1"/>
                <w:color w:val="auto"/>
                <w:w w:val="81"/>
              </w:rPr>
              <w:t>Six Months Ended June 30,</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520" w:type="dxa"/>
            <w:vAlign w:val="bottom"/>
            <w:gridSpan w:val="2"/>
          </w:tcPr>
          <w:p>
            <w:pPr>
              <w:jc w:val="right"/>
              <w:ind w:right="27"/>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5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740" w:type="dxa"/>
            <w:vAlign w:val="bottom"/>
            <w:gridSpan w:val="3"/>
          </w:tcPr>
          <w:p>
            <w:pPr>
              <w:jc w:val="right"/>
              <w:ind w:right="113"/>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Non-cash Gains (Losses)</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$1,213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7"/>
              </w:rPr>
              <w:t>$ 5,695</w:t>
            </w:r>
          </w:p>
        </w:tc>
        <w:tc>
          <w:tcPr>
            <w:tcW w:w="740" w:type="dxa"/>
            <w:vAlign w:val="bottom"/>
            <w:tcBorders>
              <w:right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5"/>
                <w:szCs w:val="15"/>
                <w:color w:val="auto"/>
              </w:rPr>
              <w:t>$3,599</w:t>
            </w:r>
          </w:p>
        </w:tc>
        <w:tc>
          <w:tcPr>
            <w:tcW w:w="1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5"/>
              </w:rPr>
              <w:t>(16,056)</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20"/>
                <w:szCs w:val="20"/>
                <w:color w:val="auto"/>
              </w:rPr>
            </w:pPr>
            <w:r>
              <w:rPr>
                <w:rFonts w:ascii="Arial" w:cs="Arial" w:eastAsia="Arial" w:hAnsi="Arial"/>
                <w:sz w:val="15"/>
                <w:szCs w:val="15"/>
                <w:color w:val="auto"/>
              </w:rPr>
              <w:t>Cash Premiums Paid</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3"/>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(1,617)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(1,901)</w:t>
            </w:r>
          </w:p>
        </w:tc>
        <w:tc>
          <w:tcPr>
            <w:tcW w:w="0" w:type="dxa"/>
            <w:vAlign w:val="bottom"/>
          </w:tcPr>
          <w:p>
            <w:pPr>
              <w:spacing w:after="0"/>
              <w:rPr>
                <w:sz w:val="1"/>
                <w:szCs w:val="1"/>
                <w:color w:val="auto"/>
              </w:rPr>
            </w:pPr>
          </w:p>
        </w:tc>
      </w:tr>
      <w:tr>
        <w:trPr>
          <w:trHeight w:val="20"/>
        </w:trPr>
        <w:tc>
          <w:tcPr>
            <w:tcW w:w="3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Fuel Derivative Gains (Losses)</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$1,213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7"/>
              </w:rPr>
              <w:t>$ 4,078</w:t>
            </w:r>
          </w:p>
        </w:tc>
        <w:tc>
          <w:tcPr>
            <w:tcW w:w="740" w:type="dxa"/>
            <w:vAlign w:val="bottom"/>
            <w:tcBorders>
              <w:right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5"/>
                <w:szCs w:val="15"/>
                <w:color w:val="auto"/>
              </w:rPr>
              <w:t>$3,599</w:t>
            </w:r>
          </w:p>
        </w:tc>
        <w:tc>
          <w:tcPr>
            <w:tcW w:w="16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5"/>
              </w:rPr>
              <w:t>(17,957)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-1178560</wp:posOffset>
            </wp:positionV>
            <wp:extent cx="34925" cy="698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-1590040</wp:posOffset>
            </wp:positionV>
            <wp:extent cx="3830320" cy="698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-173990</wp:posOffset>
            </wp:positionV>
            <wp:extent cx="41910" cy="698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-173990</wp:posOffset>
            </wp:positionV>
            <wp:extent cx="195580" cy="698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955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404235" cy="698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3404235" cy="698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-452755</wp:posOffset>
            </wp:positionV>
            <wp:extent cx="111760" cy="698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-452755</wp:posOffset>
            </wp:positionV>
            <wp:extent cx="111760" cy="698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2818765" cy="698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818765" cy="6985"/>
                    </a:xfrm>
                    <a:prstGeom prst="rect">
                      <a:avLst/>
                    </a:prstGeom>
                    <a:noFill/>
                  </pic:spPr>
                </pic:pic>
              </a:graphicData>
            </a:graphic>
          </wp:anchor>
        </w:drawing>
      </w:r>
    </w:p>
    <w:p>
      <w:pPr>
        <w:spacing w:after="0" w:line="167" w:lineRule="exact"/>
        <w:rPr>
          <w:sz w:val="20"/>
          <w:szCs w:val="20"/>
          <w:color w:val="auto"/>
        </w:rPr>
      </w:pPr>
    </w:p>
    <w:p>
      <w:pPr>
        <w:ind w:left="1160" w:right="1779" w:firstLine="293"/>
        <w:spacing w:after="0" w:line="264" w:lineRule="auto"/>
        <w:rPr>
          <w:sz w:val="20"/>
          <w:szCs w:val="20"/>
          <w:color w:val="auto"/>
        </w:rPr>
      </w:pPr>
      <w:r>
        <w:rPr>
          <w:rFonts w:ascii="Arial" w:cs="Arial" w:eastAsia="Arial" w:hAnsi="Arial"/>
          <w:sz w:val="15"/>
          <w:szCs w:val="15"/>
          <w:color w:val="auto"/>
        </w:rPr>
        <w:t>Fuel derivative gains and losses are classified in Aircraft Fuel on the Condensed Consolidated Statements of Operations.</w:t>
      </w:r>
    </w:p>
    <w:p>
      <w:pPr>
        <w:spacing w:after="0" w:line="93" w:lineRule="exact"/>
        <w:rPr>
          <w:sz w:val="20"/>
          <w:szCs w:val="20"/>
          <w:color w:val="auto"/>
        </w:rPr>
      </w:pPr>
    </w:p>
    <w:p>
      <w:pPr>
        <w:ind w:left="1160" w:right="1599" w:firstLine="293"/>
        <w:spacing w:after="0" w:line="264" w:lineRule="auto"/>
        <w:rPr>
          <w:sz w:val="20"/>
          <w:szCs w:val="20"/>
          <w:color w:val="auto"/>
        </w:rPr>
      </w:pPr>
      <w:r>
        <w:rPr>
          <w:rFonts w:ascii="Arial" w:cs="Arial" w:eastAsia="Arial" w:hAnsi="Arial"/>
          <w:sz w:val="15"/>
          <w:szCs w:val="15"/>
          <w:color w:val="auto"/>
        </w:rPr>
        <w:t>As of June 30, 2021, the Company had outstanding fuel derivative contracts covering 5.8 million gallons of crude oil and jet fuel that will settle between July 2021 and September 2021.</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FAIR VALUE MEASUREMENTS</w:t>
      </w:r>
    </w:p>
    <w:p>
      <w:pPr>
        <w:spacing w:after="0" w:line="11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106" w:lineRule="exact"/>
        <w:rPr>
          <w:sz w:val="20"/>
          <w:szCs w:val="20"/>
          <w:color w:val="auto"/>
        </w:rPr>
      </w:pPr>
    </w:p>
    <w:p>
      <w:pPr>
        <w:ind w:left="146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rPr>
        <w:t>—Quoted prices for identical assets or liabilities in active markets.</w:t>
      </w:r>
    </w:p>
    <w:p>
      <w:pPr>
        <w:spacing w:after="0" w:line="124"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u w:val="single" w:color="auto"/>
          <w:color w:val="auto"/>
        </w:rPr>
        <w:t>Level 2</w:t>
      </w:r>
      <w:r>
        <w:rPr>
          <w:rFonts w:ascii="Arial" w:cs="Arial" w:eastAsia="Arial" w:hAnsi="Arial"/>
          <w:sz w:val="15"/>
          <w:szCs w:val="15"/>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91"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93"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color w:val="auto"/>
        </w:rPr>
        <w:t>The Company uses the following valuation methodologies for financial instruments measured at fair value on a recurring basis.</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0" w:name="page261"/>
    <w:bookmarkEnd w:id="260"/>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FAIR VALUE MEASUREMENTS (continued)</w:t>
      </w:r>
    </w:p>
    <w:p>
      <w:pPr>
        <w:spacing w:after="0" w:line="179" w:lineRule="exact"/>
        <w:rPr>
          <w:sz w:val="20"/>
          <w:szCs w:val="20"/>
          <w:color w:val="auto"/>
        </w:rPr>
      </w:pPr>
    </w:p>
    <w:p>
      <w:pPr>
        <w:ind w:left="1160" w:right="1299" w:firstLine="293"/>
        <w:spacing w:after="0" w:line="276" w:lineRule="auto"/>
        <w:rPr>
          <w:sz w:val="20"/>
          <w:szCs w:val="20"/>
          <w:color w:val="auto"/>
        </w:rPr>
      </w:pPr>
      <w:r>
        <w:rPr>
          <w:rFonts w:ascii="Arial" w:cs="Arial" w:eastAsia="Arial" w:hAnsi="Arial"/>
          <w:sz w:val="14"/>
          <w:szCs w:val="14"/>
          <w:b w:val="1"/>
          <w:bCs w:val="1"/>
          <w:color w:val="auto"/>
        </w:rPr>
        <w:t>Derivative Instruments</w:t>
      </w:r>
      <w:r>
        <w:rPr>
          <w:rFonts w:ascii="Arial" w:cs="Arial" w:eastAsia="Arial" w:hAnsi="Arial"/>
          <w:sz w:val="14"/>
          <w:szCs w:val="14"/>
          <w:color w:val="auto"/>
        </w:rPr>
        <w:t>—Derivative instruments are accounted for as either assets or liabilities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carried 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following table summarizes the assets and liabilities measured at fair value on a recurring basis:</w:t>
      </w:r>
    </w:p>
    <w:p>
      <w:pPr>
        <w:spacing w:after="0" w:line="151" w:lineRule="exact"/>
        <w:rPr>
          <w:sz w:val="20"/>
          <w:szCs w:val="20"/>
          <w:color w:val="auto"/>
        </w:rPr>
      </w:pPr>
    </w:p>
    <w:p>
      <w:pPr>
        <w:ind w:left="6280"/>
        <w:spacing w:after="0"/>
        <w:rPr>
          <w:sz w:val="20"/>
          <w:szCs w:val="20"/>
          <w:color w:val="auto"/>
        </w:rPr>
      </w:pPr>
      <w:r>
        <w:rPr>
          <w:rFonts w:ascii="Arial" w:cs="Arial" w:eastAsia="Arial" w:hAnsi="Arial"/>
          <w:sz w:val="12"/>
          <w:szCs w:val="12"/>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20955</wp:posOffset>
            </wp:positionV>
            <wp:extent cx="2658110" cy="698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658110" cy="698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20"/>
        </w:trPr>
        <w:tc>
          <w:tcPr>
            <w:tcW w:w="42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5"/>
                <w:szCs w:val="15"/>
                <w:color w:val="auto"/>
                <w:w w:val="86"/>
              </w:rPr>
              <w:t>Level 1</w:t>
            </w:r>
          </w:p>
        </w:tc>
        <w:tc>
          <w:tcPr>
            <w:tcW w:w="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w w:val="86"/>
              </w:rPr>
              <w:t>Level 2</w:t>
            </w:r>
          </w:p>
        </w:tc>
        <w:tc>
          <w:tcPr>
            <w:tcW w:w="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right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5"/>
                <w:szCs w:val="15"/>
                <w:color w:val="auto"/>
                <w:w w:val="86"/>
              </w:rPr>
              <w:t>Level 3</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Total</w:t>
            </w:r>
          </w:p>
        </w:tc>
      </w:tr>
      <w:tr>
        <w:trPr>
          <w:trHeight w:val="209"/>
        </w:trPr>
        <w:tc>
          <w:tcPr>
            <w:tcW w:w="4200" w:type="dxa"/>
            <w:vAlign w:val="bottom"/>
          </w:tcPr>
          <w:p>
            <w:pPr>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4"/>
        </w:trPr>
        <w:tc>
          <w:tcPr>
            <w:tcW w:w="42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Fuel Derivative Contracts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1,598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$1,598</w:t>
            </w:r>
          </w:p>
        </w:tc>
      </w:tr>
      <w:tr>
        <w:trPr>
          <w:trHeight w:val="20"/>
        </w:trPr>
        <w:tc>
          <w:tcPr>
            <w:tcW w:w="4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5"/>
                <w:szCs w:val="15"/>
                <w:color w:val="auto"/>
              </w:rPr>
              <w:t>Total Assets measured at fair value on a recurring basis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19"/>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tcPr>
          <w:p>
            <w:pPr>
              <w:jc w:val="right"/>
              <w:ind w:right="180"/>
              <w:spacing w:after="0"/>
              <w:rPr>
                <w:sz w:val="20"/>
                <w:szCs w:val="20"/>
                <w:color w:val="auto"/>
              </w:rPr>
            </w:pPr>
            <w:r>
              <w:rPr>
                <w:rFonts w:ascii="Arial" w:cs="Arial" w:eastAsia="Arial" w:hAnsi="Arial"/>
                <w:sz w:val="15"/>
                <w:szCs w:val="15"/>
                <w:color w:val="auto"/>
              </w:rPr>
              <w:t>1,598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$1,598</w:t>
            </w:r>
          </w:p>
        </w:tc>
      </w:tr>
      <w:tr>
        <w:trPr>
          <w:trHeight w:val="20"/>
        </w:trPr>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326"/>
        </w:trPr>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8"/>
          </w:tcPr>
          <w:p>
            <w:pPr>
              <w:jc w:val="right"/>
              <w:ind w:right="180"/>
              <w:spacing w:after="0"/>
              <w:rPr>
                <w:sz w:val="20"/>
                <w:szCs w:val="20"/>
                <w:color w:val="auto"/>
              </w:rPr>
            </w:pPr>
            <w:r>
              <w:rPr>
                <w:rFonts w:ascii="Arial" w:cs="Arial" w:eastAsia="Arial" w:hAnsi="Arial"/>
                <w:sz w:val="12"/>
                <w:szCs w:val="12"/>
                <w:b w:val="1"/>
                <w:bCs w:val="1"/>
                <w:color w:val="auto"/>
                <w:w w:val="86"/>
              </w:rPr>
              <w:t>December 31, 2020</w:t>
            </w:r>
          </w:p>
        </w:tc>
        <w:tc>
          <w:tcPr>
            <w:tcW w:w="400" w:type="dxa"/>
            <w:vAlign w:val="bottom"/>
          </w:tcPr>
          <w:p>
            <w:pPr>
              <w:spacing w:after="0"/>
              <w:rPr>
                <w:sz w:val="24"/>
                <w:szCs w:val="24"/>
                <w:color w:val="auto"/>
              </w:rPr>
            </w:pPr>
          </w:p>
        </w:tc>
      </w:tr>
      <w:tr>
        <w:trPr>
          <w:trHeight w:val="21"/>
        </w:trPr>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9"/>
                <w:szCs w:val="9"/>
                <w:b w:val="1"/>
                <w:bCs w:val="1"/>
                <w:color w:val="auto"/>
                <w:w w:val="71"/>
              </w:rPr>
              <w:t>Level 1</w:t>
            </w:r>
          </w:p>
        </w:tc>
        <w:tc>
          <w:tcPr>
            <w:tcW w:w="18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8"/>
              </w:rPr>
              <w:t>Level 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w w:val="83"/>
              </w:rPr>
              <w:t>Level 3</w:t>
            </w:r>
          </w:p>
        </w:tc>
        <w:tc>
          <w:tcPr>
            <w:tcW w:w="400" w:type="dxa"/>
            <w:vAlign w:val="bottom"/>
          </w:tcPr>
          <w:p>
            <w:pPr>
              <w:jc w:val="right"/>
              <w:ind w:right="9"/>
              <w:spacing w:after="0"/>
              <w:rPr>
                <w:sz w:val="20"/>
                <w:szCs w:val="20"/>
                <w:color w:val="auto"/>
              </w:rPr>
            </w:pPr>
            <w:r>
              <w:rPr>
                <w:rFonts w:ascii="Arial" w:cs="Arial" w:eastAsia="Arial" w:hAnsi="Arial"/>
                <w:sz w:val="12"/>
                <w:szCs w:val="12"/>
                <w:b w:val="1"/>
                <w:bCs w:val="1"/>
                <w:color w:val="auto"/>
              </w:rPr>
              <w:t>Total</w:t>
            </w:r>
          </w:p>
        </w:tc>
      </w:tr>
      <w:tr>
        <w:trPr>
          <w:trHeight w:val="21"/>
        </w:trPr>
        <w:tc>
          <w:tcPr>
            <w:tcW w:w="4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0"/>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Liabilities</w:t>
            </w: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4"/>
        </w:trPr>
        <w:tc>
          <w:tcPr>
            <w:tcW w:w="4200" w:type="dxa"/>
            <w:vAlign w:val="bottom"/>
          </w:tcPr>
          <w:p>
            <w:pPr>
              <w:ind w:left="160"/>
              <w:spacing w:after="0"/>
              <w:rPr>
                <w:sz w:val="20"/>
                <w:szCs w:val="20"/>
                <w:color w:val="auto"/>
              </w:rPr>
            </w:pPr>
            <w:r>
              <w:rPr>
                <w:rFonts w:ascii="Arial" w:cs="Arial" w:eastAsia="Arial" w:hAnsi="Arial"/>
                <w:sz w:val="15"/>
                <w:szCs w:val="15"/>
                <w:color w:val="auto"/>
              </w:rPr>
              <w:t>Fuel Derivative Contracts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73"/>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w w:val="87"/>
              </w:rPr>
              <w:t>$1,174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5"/>
                <w:szCs w:val="15"/>
                <w:color w:val="auto"/>
                <w:w w:val="85"/>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$1,174</w:t>
            </w:r>
          </w:p>
        </w:tc>
      </w:tr>
      <w:tr>
        <w:trPr>
          <w:trHeight w:val="20"/>
        </w:trPr>
        <w:tc>
          <w:tcPr>
            <w:tcW w:w="4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measured at fair value on a recurring basis</w:t>
            </w:r>
          </w:p>
        </w:tc>
        <w:tc>
          <w:tcPr>
            <w:tcW w:w="8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3"/>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7"/>
              </w:rPr>
              <w:t>$1,174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5"/>
                <w:szCs w:val="15"/>
                <w:color w:val="auto"/>
                <w:w w:val="8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$1,174</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983355" cy="698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39833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976370" cy="698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3976370" cy="6985"/>
                    </a:xfrm>
                    <a:prstGeom prst="rect">
                      <a:avLst/>
                    </a:prstGeom>
                    <a:noFill/>
                  </pic:spPr>
                </pic:pic>
              </a:graphicData>
            </a:graphic>
          </wp:anchor>
        </w:drawing>
      </w:r>
    </w:p>
    <w:p>
      <w:pPr>
        <w:spacing w:after="0" w:line="167"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4"/>
          <w:szCs w:val="14"/>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93"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5"/>
          <w:szCs w:val="15"/>
          <w:color w:val="auto"/>
        </w:rPr>
        <w:t>The Company’s debt portfolio consists of 2019-1 EETC certificates, borrowings under the Delayed Draw Term Loan Facility, and fixed-rate notes payable. See Note 7 for debt fair values.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INCOME TAXES</w:t>
      </w:r>
    </w:p>
    <w:p>
      <w:pPr>
        <w:spacing w:after="0" w:line="117" w:lineRule="exact"/>
        <w:rPr>
          <w:sz w:val="20"/>
          <w:szCs w:val="20"/>
          <w:color w:val="auto"/>
        </w:rPr>
      </w:pPr>
    </w:p>
    <w:p>
      <w:pPr>
        <w:ind w:left="1160" w:right="1239" w:firstLine="293"/>
        <w:spacing w:after="0" w:line="290" w:lineRule="auto"/>
        <w:rPr>
          <w:sz w:val="20"/>
          <w:szCs w:val="20"/>
          <w:color w:val="auto"/>
        </w:rPr>
      </w:pPr>
      <w:r>
        <w:rPr>
          <w:rFonts w:ascii="Arial" w:cs="Arial" w:eastAsia="Arial" w:hAnsi="Arial"/>
          <w:sz w:val="13"/>
          <w:szCs w:val="13"/>
          <w:color w:val="auto"/>
        </w:rPr>
        <w:t>The Company’s effective tax rate for the three and six months ended June 30, 2021 was 15.5% and 18.8%, respectively. The effective tax rate for the three and six months ended June 30, 2020 was 23.9% and</w:t>
      </w:r>
    </w:p>
    <w:p>
      <w:pPr>
        <w:spacing w:after="0" w:line="1" w:lineRule="exact"/>
        <w:rPr>
          <w:sz w:val="20"/>
          <w:szCs w:val="20"/>
          <w:color w:val="auto"/>
        </w:rPr>
      </w:pPr>
    </w:p>
    <w:p>
      <w:pPr>
        <w:ind w:left="1160" w:right="1319"/>
        <w:spacing w:after="0" w:line="245" w:lineRule="auto"/>
        <w:rPr>
          <w:sz w:val="20"/>
          <w:szCs w:val="20"/>
          <w:color w:val="auto"/>
        </w:rPr>
      </w:pPr>
      <w:r>
        <w:rPr>
          <w:rFonts w:ascii="Arial" w:cs="Arial" w:eastAsia="Arial" w:hAnsi="Arial"/>
          <w:sz w:val="15"/>
          <w:szCs w:val="15"/>
          <w:color w:val="auto"/>
        </w:rPr>
        <w:t>31.1%, respectively. The effective tax rate represents a blend of federal and state taxes and includes the impact of certain nondeductible or nontaxable items. The decrease in the three and six month rate is primarily due to a favorable permanent difference related to the Tax Receivable Agreement partially offset by nondeductible expense related to executive compensation disallowed under Internal Revenue Code Section 162(m).</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Tax Receivable Agreement</w:t>
      </w:r>
    </w:p>
    <w:p>
      <w:pPr>
        <w:spacing w:after="0" w:line="12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In connection with the Company’s IPO, we entered into an income Tax Receivable Agreement (the “Tax Receivable Agreement” or “TRA”) with our pre-IPO stockholders (the “TRA holders”). The Tax Receivable Agreement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1" w:name="page262"/>
    <w:bookmarkEnd w:id="261"/>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INCOME TAXES (continued)</w:t>
      </w:r>
    </w:p>
    <w:p>
      <w:pPr>
        <w:spacing w:after="0" w:line="183"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Payments under the Tax Receivable Agreement will not begin until at least 12 months after the closing of the Company’s IPO. In the event that the Company is prohibited from making payments under the Tax Receivable Agreement for tax benefits utilized during any periods pursuant to the CARES Act or other governmental programs, the Company is not required to make payments under the Tax Receivable Agreement for Pre-IPO Tax Attributes utilized in such periods. Based on our current participation in the CARES Act Program, the Company does not expect to make payments under the Tax Receivable Agreement until 2023.</w:t>
      </w:r>
    </w:p>
    <w:p>
      <w:pPr>
        <w:spacing w:after="0" w:line="91"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If we do not generate sufficient taxable income in the aggregate over the term of the Tax Receivable Agreement to utilize the tax benefits, then we would not be required to make the related TRA payments. Upon the closing of the IPO, the Company recognized a non-current liability of $115,200 which represented undiscounted aggregate payments that we expected to pay the TRA holders under the Tax Receivable Agreement, with an offset to Stockholders’ Equity. Subsequent changes in the measurement of the liability are being adjusted through the Consolidated Statements of Operations. The Tax Receivable Agreement liability is an estimate and actual amounts payable under the Tax Receivable Agreement could differ from this estimate based on, among other things, (i) generation of future taxable income over the term of the Tax Receivable Agreement, (ii) the Company’s participation in future government programs, (iii) stock option activity during periods prior to the commencement of payments under the Tax Receivable Agreement and</w:t>
      </w:r>
    </w:p>
    <w:p>
      <w:pPr>
        <w:spacing w:after="0" w:line="3" w:lineRule="exact"/>
        <w:rPr>
          <w:sz w:val="20"/>
          <w:szCs w:val="20"/>
          <w:color w:val="auto"/>
        </w:rPr>
      </w:pPr>
    </w:p>
    <w:p>
      <w:pPr>
        <w:ind w:left="1160" w:right="1179" w:firstLine="4"/>
        <w:spacing w:after="0" w:line="248" w:lineRule="auto"/>
        <w:tabs>
          <w:tab w:leader="none" w:pos="1423" w:val="left"/>
        </w:tabs>
        <w:numPr>
          <w:ilvl w:val="0"/>
          <w:numId w:val="114"/>
        </w:numPr>
        <w:rPr>
          <w:rFonts w:ascii="Arial" w:cs="Arial" w:eastAsia="Arial" w:hAnsi="Arial"/>
          <w:sz w:val="14"/>
          <w:szCs w:val="14"/>
          <w:color w:val="auto"/>
        </w:rPr>
      </w:pPr>
      <w:r>
        <w:rPr>
          <w:rFonts w:ascii="Arial" w:cs="Arial" w:eastAsia="Arial" w:hAnsi="Arial"/>
          <w:sz w:val="14"/>
          <w:szCs w:val="14"/>
          <w:color w:val="auto"/>
        </w:rPr>
        <w:t>future changes in tax laws. These factors could result in an increase or decrease in the related liability which would be recognized in the Company’s earnings in the period of such change. In the second quarter of 2021, the Company reduced the TRA liability balance by $18,700, from $115,200 to $96,500. The offsetting credit was recorded in Other Non-operating Income. The decrease in the TRA liability was mainly due to the receipt of the PSP3 grant of $34,547, which extended the time period in which distributions made to shareholders are restricted from March 31, 2022 to September 30, 2022, and also resulted in an increase in forecasted 2021 pre-tax income. The remaining TRA liability balance of $96,500 is presented in “Long-term Liabilities” on the Condensed Consolidated Balance Sheet as of June 30, 2021.</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SPECIAL ITEMS, NET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Special Items, net on the Condensed Consolidated Statements of Operations consisted of the following:</w:t>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CARES Act grant recognition</w:t>
      </w:r>
      <w:r>
        <w:rPr>
          <w:rFonts w:ascii="Arial" w:cs="Arial" w:eastAsia="Arial" w:hAnsi="Arial"/>
          <w:sz w:val="19"/>
          <w:szCs w:val="19"/>
          <w:color w:val="auto"/>
          <w:vertAlign w:val="superscript"/>
        </w:rPr>
        <w:t>(1)</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CARES Act employee retention credit</w:t>
      </w:r>
      <w:r>
        <w:rPr>
          <w:rFonts w:ascii="Arial" w:cs="Arial" w:eastAsia="Arial" w:hAnsi="Arial"/>
          <w:sz w:val="17"/>
          <w:szCs w:val="17"/>
          <w:color w:val="auto"/>
          <w:vertAlign w:val="superscript"/>
        </w:rPr>
        <w:t>(2)</w:t>
      </w:r>
    </w:p>
    <w:p>
      <w:pPr>
        <w:spacing w:after="0" w:line="3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Aircraft lease buy-out expense</w:t>
      </w:r>
      <w:r>
        <w:rPr>
          <w:rFonts w:ascii="Arial" w:cs="Arial" w:eastAsia="Arial" w:hAnsi="Arial"/>
          <w:sz w:val="19"/>
          <w:szCs w:val="19"/>
          <w:color w:val="auto"/>
          <w:vertAlign w:val="superscript"/>
        </w:rPr>
        <w:t>(3)</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Other</w:t>
      </w:r>
    </w:p>
    <w:p>
      <w:pPr>
        <w:spacing w:after="0" w:line="5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Total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46405" cy="698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Three Months Ended June 30,</w:t>
            </w:r>
          </w:p>
        </w:tc>
        <w:tc>
          <w:tcPr>
            <w:tcW w:w="1380" w:type="dxa"/>
            <w:vAlign w:val="bottom"/>
            <w:gridSpan w:val="3"/>
          </w:tcPr>
          <w:p>
            <w:pPr>
              <w:jc w:val="right"/>
              <w:spacing w:after="0"/>
              <w:rPr>
                <w:sz w:val="20"/>
                <w:szCs w:val="20"/>
                <w:color w:val="auto"/>
              </w:rPr>
            </w:pPr>
            <w:r>
              <w:rPr>
                <w:rFonts w:ascii="Arial" w:cs="Arial" w:eastAsia="Arial" w:hAnsi="Arial"/>
                <w:sz w:val="12"/>
                <w:szCs w:val="12"/>
                <w:b w:val="1"/>
                <w:bCs w:val="1"/>
                <w:color w:val="auto"/>
                <w:w w:val="84"/>
              </w:rPr>
              <w:t>Six Months Ended June 30,</w:t>
            </w:r>
          </w:p>
        </w:tc>
      </w:tr>
      <w:tr>
        <w:trPr>
          <w:trHeight w:val="21"/>
        </w:trPr>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57"/>
        </w:trPr>
        <w:tc>
          <w:tcPr>
            <w:tcW w:w="680" w:type="dxa"/>
            <w:vAlign w:val="bottom"/>
          </w:tcPr>
          <w:p>
            <w:pPr>
              <w:jc w:val="right"/>
              <w:ind w:right="161"/>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660" w:type="dxa"/>
            <w:vAlign w:val="bottom"/>
          </w:tcPr>
          <w:p>
            <w:pPr>
              <w:jc w:val="right"/>
              <w:ind w:right="161"/>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600" w:type="dxa"/>
            <w:vAlign w:val="bottom"/>
          </w:tcPr>
          <w:p>
            <w:pPr>
              <w:jc w:val="right"/>
              <w:ind w:right="121"/>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600" w:type="dxa"/>
            <w:vAlign w:val="bottom"/>
          </w:tcPr>
          <w:p>
            <w:pPr>
              <w:jc w:val="right"/>
              <w:ind w:right="121"/>
              <w:spacing w:after="0"/>
              <w:rPr>
                <w:sz w:val="20"/>
                <w:szCs w:val="20"/>
                <w:color w:val="auto"/>
              </w:rPr>
            </w:pPr>
            <w:r>
              <w:rPr>
                <w:rFonts w:ascii="Arial" w:cs="Arial" w:eastAsia="Arial" w:hAnsi="Arial"/>
                <w:sz w:val="12"/>
                <w:szCs w:val="12"/>
                <w:b w:val="1"/>
                <w:bCs w:val="1"/>
                <w:color w:val="auto"/>
              </w:rPr>
              <w:t>2020</w:t>
            </w:r>
          </w:p>
        </w:tc>
      </w:tr>
      <w:tr>
        <w:trPr>
          <w:trHeight w:val="21"/>
        </w:trPr>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-6350</wp:posOffset>
            </wp:positionV>
            <wp:extent cx="4241800" cy="15367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24" w:lineRule="exact"/>
        <w:rPr>
          <w:sz w:val="20"/>
          <w:szCs w:val="20"/>
          <w:color w:val="auto"/>
        </w:rPr>
      </w:pPr>
    </w:p>
    <w:p>
      <w:pPr>
        <w:ind w:left="80"/>
        <w:spacing w:after="0"/>
        <w:rPr>
          <w:sz w:val="20"/>
          <w:szCs w:val="20"/>
          <w:color w:val="auto"/>
        </w:rPr>
      </w:pPr>
      <w:r>
        <w:rPr>
          <w:rFonts w:ascii="Arial" w:cs="Arial" w:eastAsia="Arial" w:hAnsi="Arial"/>
          <w:sz w:val="15"/>
          <w:szCs w:val="15"/>
          <w:color w:val="auto"/>
        </w:rPr>
        <w:t>$(39,378)$(31,516)   $(71,587)   $(31,516)</w:t>
      </w:r>
    </w:p>
    <w:p>
      <w:pPr>
        <w:spacing w:after="0" w:line="58" w:lineRule="exact"/>
        <w:rPr>
          <w:sz w:val="20"/>
          <w:szCs w:val="20"/>
          <w:color w:val="auto"/>
        </w:rPr>
      </w:pPr>
    </w:p>
    <w:p>
      <w:pPr>
        <w:ind w:left="1320" w:hanging="976"/>
        <w:spacing w:after="0"/>
        <w:tabs>
          <w:tab w:leader="none" w:pos="1320" w:val="left"/>
        </w:tabs>
        <w:numPr>
          <w:ilvl w:val="1"/>
          <w:numId w:val="115"/>
        </w:numPr>
        <w:rPr>
          <w:rFonts w:ascii="Arial" w:cs="Arial" w:eastAsia="Arial" w:hAnsi="Arial"/>
          <w:sz w:val="15"/>
          <w:szCs w:val="15"/>
          <w:color w:val="auto"/>
        </w:rPr>
      </w:pPr>
      <w:r>
        <w:rPr>
          <w:rFonts w:ascii="Arial" w:cs="Arial" w:eastAsia="Arial" w:hAnsi="Arial"/>
          <w:sz w:val="15"/>
          <w:szCs w:val="15"/>
          <w:color w:val="auto"/>
        </w:rPr>
        <w:t>—(780)—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8890</wp:posOffset>
            </wp:positionV>
            <wp:extent cx="4241800" cy="14668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840" w:type="dxa"/>
            <w:vAlign w:val="bottom"/>
            <w:gridSpan w:val="2"/>
          </w:tcPr>
          <w:p>
            <w:pPr>
              <w:jc w:val="right"/>
              <w:ind w:right="300"/>
              <w:spacing w:after="0"/>
              <w:rPr>
                <w:sz w:val="20"/>
                <w:szCs w:val="20"/>
                <w:color w:val="auto"/>
              </w:rPr>
            </w:pPr>
            <w:r>
              <w:rPr>
                <w:rFonts w:ascii="Arial" w:cs="Arial" w:eastAsia="Arial" w:hAnsi="Arial"/>
                <w:sz w:val="15"/>
                <w:szCs w:val="15"/>
                <w:color w:val="auto"/>
              </w:rPr>
              <w:t>1,299</w:t>
            </w: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6,963</w:t>
            </w: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r>
      <w:tr>
        <w:trPr>
          <w:trHeight w:val="214"/>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3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2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24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40" w:type="dxa"/>
            <w:vAlign w:val="bottom"/>
          </w:tcPr>
          <w:p>
            <w:pPr>
              <w:spacing w:after="0"/>
              <w:rPr>
                <w:sz w:val="18"/>
                <w:szCs w:val="18"/>
                <w:color w:val="auto"/>
              </w:rPr>
            </w:pPr>
          </w:p>
        </w:tc>
      </w:tr>
      <w:tr>
        <w:trPr>
          <w:trHeight w:val="211"/>
        </w:trPr>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w w:val="87"/>
              </w:rPr>
              <w:t>$(38,520)</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w w:val="87"/>
              </w:rPr>
              <w:t>$(31,481)</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w w:val="87"/>
              </w:rPr>
              <w:t>$(65,392)</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w w:val="87"/>
              </w:rPr>
              <w:t>$(31,481)</w:t>
            </w: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-173990</wp:posOffset>
            </wp:positionV>
            <wp:extent cx="4241800" cy="1606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4040" w:space="720"/>
            <w:col w:w="4259"/>
          </w:cols>
          <w:pgMar w:left="1440" w:top="134" w:right="1440" w:bottom="1440" w:gutter="0" w:footer="0" w:header="0"/>
          <w:type w:val="continuous"/>
        </w:sectPr>
      </w:pPr>
    </w:p>
    <w:p>
      <w:pPr>
        <w:ind w:left="1460" w:right="1399" w:hanging="296"/>
        <w:spacing w:after="0" w:line="225" w:lineRule="auto"/>
        <w:tabs>
          <w:tab w:leader="none" w:pos="14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 the quarter ended March 31, 2021, the Treasury awarded the Company a grant of $32,208 under PSP2. On April 22, 2021, the Company received an additional $4,831 from the Treasury as a top-off grant under PSP2. Further, during the quarter ended June 30, 2021, the Company received a grant of $34,547 under PSP3.</w:t>
      </w:r>
    </w:p>
    <w:p>
      <w:pPr>
        <w:spacing w:after="0" w:line="23" w:lineRule="exact"/>
        <w:rPr>
          <w:rFonts w:ascii="Arial" w:cs="Arial" w:eastAsia="Arial" w:hAnsi="Arial"/>
          <w:sz w:val="15"/>
          <w:szCs w:val="15"/>
          <w:color w:val="auto"/>
        </w:rPr>
      </w:pPr>
    </w:p>
    <w:p>
      <w:pPr>
        <w:ind w:left="1460" w:right="1899" w:hanging="296"/>
        <w:spacing w:after="0" w:line="236" w:lineRule="auto"/>
        <w:tabs>
          <w:tab w:leader="none" w:pos="14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CARES Act Employee Retention credit relates to a refundable tax credit against certain employment taxes.</w:t>
      </w:r>
    </w:p>
    <w:p>
      <w:pPr>
        <w:spacing w:after="0" w:line="23" w:lineRule="exact"/>
        <w:rPr>
          <w:rFonts w:ascii="Arial" w:cs="Arial" w:eastAsia="Arial" w:hAnsi="Arial"/>
          <w:sz w:val="15"/>
          <w:szCs w:val="15"/>
          <w:color w:val="auto"/>
        </w:rPr>
      </w:pPr>
    </w:p>
    <w:p>
      <w:pPr>
        <w:ind w:left="1460" w:right="1179" w:hanging="296"/>
        <w:spacing w:after="0" w:line="276" w:lineRule="auto"/>
        <w:tabs>
          <w:tab w:leader="none" w:pos="14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Five aircraft were purchased in March 2021 that were previously under operating leases. One additional aircraft was purchased in April 2021 that was previously under an operating lease. Aircraft lease buy-out expense represents the net costs incurred to terminate the leases on those six aircraft. This includes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62" w:name="page263"/>
    <w:bookmarkEnd w:id="262"/>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SPECIAL ITEMS, NET (continued)</w:t>
      </w:r>
    </w:p>
    <w:p>
      <w:pPr>
        <w:spacing w:after="0" w:line="172" w:lineRule="exact"/>
        <w:rPr>
          <w:sz w:val="20"/>
          <w:szCs w:val="20"/>
          <w:color w:val="auto"/>
        </w:rPr>
      </w:pPr>
    </w:p>
    <w:p>
      <w:pPr>
        <w:ind w:left="1460" w:right="1199"/>
        <w:spacing w:after="0" w:line="236" w:lineRule="auto"/>
        <w:rPr>
          <w:sz w:val="20"/>
          <w:szCs w:val="20"/>
          <w:color w:val="auto"/>
        </w:rPr>
      </w:pPr>
      <w:r>
        <w:rPr>
          <w:rFonts w:ascii="Arial" w:cs="Arial" w:eastAsia="Arial" w:hAnsi="Arial"/>
          <w:sz w:val="15"/>
          <w:szCs w:val="15"/>
          <w:color w:val="auto"/>
        </w:rPr>
        <w:t>the associated lease termination costs, write- off of previously capitalized maintenance deposits, and the write-off of over-market liabilities (see Note 6).</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12. COMMITMENTS AND CONTINGENCIES</w:t>
      </w:r>
    </w:p>
    <w:p>
      <w:pPr>
        <w:spacing w:after="0" w:line="117" w:lineRule="exact"/>
        <w:rPr>
          <w:sz w:val="20"/>
          <w:szCs w:val="20"/>
          <w:color w:val="auto"/>
        </w:rPr>
      </w:pPr>
    </w:p>
    <w:p>
      <w:pPr>
        <w:ind w:left="1160" w:right="2019" w:firstLine="293"/>
        <w:spacing w:after="0" w:line="264" w:lineRule="auto"/>
        <w:rPr>
          <w:sz w:val="20"/>
          <w:szCs w:val="20"/>
          <w:color w:val="auto"/>
        </w:rPr>
      </w:pPr>
      <w:r>
        <w:rPr>
          <w:rFonts w:ascii="Arial" w:cs="Arial" w:eastAsia="Arial" w:hAnsi="Arial"/>
          <w:sz w:val="15"/>
          <w:szCs w:val="15"/>
          <w:color w:val="auto"/>
        </w:rPr>
        <w:t>The Company has contractual obligations and commitments primarily with regard to lease arrangements, repayment of debt (see Note 7) and future purchases of aircraft.</w:t>
      </w:r>
    </w:p>
    <w:p>
      <w:pPr>
        <w:spacing w:after="0" w:line="93"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The Company is subject to various legal proceedings in the normal course of business and expenses legal costs as incurred. Management believes these proceedings will not have a materially adverse effect on the Company.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OPERATING SEGMENTS</w:t>
      </w:r>
    </w:p>
    <w:p>
      <w:pPr>
        <w:spacing w:after="0" w:line="128"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 The Company has two operating segments: Passenger and Cargo.</w:t>
      </w:r>
    </w:p>
    <w:p>
      <w:pPr>
        <w:spacing w:after="0" w:line="82" w:lineRule="exact"/>
        <w:rPr>
          <w:sz w:val="20"/>
          <w:szCs w:val="20"/>
          <w:color w:val="auto"/>
        </w:rPr>
      </w:pPr>
    </w:p>
    <w:p>
      <w:pPr>
        <w:ind w:left="1160" w:right="1439" w:firstLine="293"/>
        <w:spacing w:after="0" w:line="297" w:lineRule="auto"/>
        <w:rPr>
          <w:sz w:val="20"/>
          <w:szCs w:val="20"/>
          <w:color w:val="auto"/>
        </w:rPr>
      </w:pPr>
      <w:r>
        <w:rPr>
          <w:rFonts w:ascii="Arial" w:cs="Arial" w:eastAsia="Arial" w:hAnsi="Arial"/>
          <w:sz w:val="13"/>
          <w:szCs w:val="13"/>
          <w:color w:val="auto"/>
        </w:rPr>
        <w:t>The Company’s Passenger segment has two internal passenger groups (Scheduled and Charter), but since they share resources and expenses are combined, they are considered one Passenger operating segment. The Company’s Passenger operations are highly concentrated in the U.S. but include service to many international locations, primarily based on scheduled service to Latin America during the winter season and on military charter services. All goodwill is related to the Passenger Operating Segment.</w:t>
      </w:r>
    </w:p>
    <w:p>
      <w:pPr>
        <w:spacing w:after="0" w:line="75"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The Cargo segment began providing air cargo services under the ATSA in May 2020. Fuel consumed in Cargo operations is directly reimbursed by Amazon and therefore aircraft fuel revenue is presented net of such reimbursements on the Condensed Consolidated Statements of Operations. Fuel consumed in Cargo maintenance activities is included in the Cargo segment. Certain operating expenses are directly attributable to this operating segment.</w:t>
      </w:r>
    </w:p>
    <w:p>
      <w:pPr>
        <w:spacing w:after="0" w:line="105"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Certain operating expenses are allocated between the operating segments. Non-Fuel operating expenses are allocated based on metrics such as block hours, fleet count and departures, which best align with the nature of the respective expense. CARES Act credits, included in Special Items, net, are allocated based on the respective segment salaries, wages, and benefits.</w:t>
      </w:r>
    </w:p>
    <w:p>
      <w:pPr>
        <w:spacing w:after="0" w:line="91"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The following tables present financial information for the Company’s two operating segments: Passenger and Cargo. Assets by segment are not reviewed by the Chief Operating Decision Maker and have not been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3" w:name="page264"/>
    <w:bookmarkEnd w:id="263"/>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OPERATING SEGMENTS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10"/>
          </w:tcPr>
          <w:p>
            <w:pPr>
              <w:jc w:val="right"/>
              <w:ind w:right="340"/>
              <w:spacing w:after="0"/>
              <w:rPr>
                <w:sz w:val="20"/>
                <w:szCs w:val="20"/>
                <w:color w:val="auto"/>
              </w:rPr>
            </w:pPr>
            <w:r>
              <w:rPr>
                <w:rFonts w:ascii="Arial" w:cs="Arial" w:eastAsia="Arial" w:hAnsi="Arial"/>
                <w:sz w:val="12"/>
                <w:szCs w:val="12"/>
                <w:b w:val="1"/>
                <w:bCs w:val="1"/>
                <w:color w:val="auto"/>
                <w:w w:val="91"/>
              </w:rPr>
              <w:t>Three Months Ended June 30, 2021</w:t>
            </w:r>
          </w:p>
        </w:tc>
        <w:tc>
          <w:tcPr>
            <w:tcW w:w="2000" w:type="dxa"/>
            <w:vAlign w:val="bottom"/>
            <w:gridSpan w:val="7"/>
          </w:tcPr>
          <w:p>
            <w:pPr>
              <w:jc w:val="right"/>
              <w:ind w:right="140"/>
              <w:spacing w:after="0"/>
              <w:rPr>
                <w:sz w:val="20"/>
                <w:szCs w:val="20"/>
                <w:color w:val="auto"/>
              </w:rPr>
            </w:pPr>
            <w:r>
              <w:rPr>
                <w:rFonts w:ascii="Arial" w:cs="Arial" w:eastAsia="Arial" w:hAnsi="Arial"/>
                <w:sz w:val="12"/>
                <w:szCs w:val="12"/>
                <w:b w:val="1"/>
                <w:bCs w:val="1"/>
                <w:color w:val="auto"/>
                <w:w w:val="91"/>
              </w:rPr>
              <w:t>Three Months Ended June 30, 2020</w:t>
            </w:r>
          </w:p>
        </w:tc>
      </w:tr>
      <w:tr>
        <w:trPr>
          <w:trHeight w:val="21"/>
        </w:trPr>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78"/>
        </w:trPr>
        <w:tc>
          <w:tcPr>
            <w:tcW w:w="70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w w:val="82"/>
              </w:rPr>
              <w:t>Passenger</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Cargo</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4"/>
              </w:rPr>
              <w:t>Consolidated</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78"/>
              </w:rPr>
              <w:t>Passenger</w:t>
            </w:r>
          </w:p>
        </w:tc>
        <w:tc>
          <w:tcPr>
            <w:tcW w:w="1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86"/>
              </w:rPr>
              <w:t>Cargo</w:t>
            </w:r>
            <w:r>
              <w:rPr>
                <w:rFonts w:ascii="Arial" w:cs="Arial" w:eastAsia="Arial" w:hAnsi="Arial"/>
                <w:sz w:val="14"/>
                <w:szCs w:val="14"/>
                <w:b w:val="1"/>
                <w:bCs w:val="1"/>
                <w:color w:val="auto"/>
                <w:w w:val="86"/>
                <w:vertAlign w:val="superscript"/>
              </w:rPr>
              <w:t>(1)</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73"/>
              </w:rPr>
              <w:t>Consolidated</w:t>
            </w:r>
          </w:p>
        </w:tc>
      </w:tr>
      <w:tr>
        <w:trPr>
          <w:trHeight w:val="205"/>
        </w:trPr>
        <w:tc>
          <w:tcPr>
            <w:tcW w:w="2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Revenues</w:t>
            </w:r>
          </w:p>
        </w:tc>
        <w:tc>
          <w:tcPr>
            <w:tcW w:w="160" w:type="dxa"/>
            <w:vAlign w:val="bottom"/>
            <w:tcBorders>
              <w:right w:val="single" w:sz="8" w:color="CCEEFF"/>
            </w:tcBorders>
            <w:gridSpan w:val="2"/>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6"/>
              </w:rPr>
              <w:t>$127,091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4"/>
              </w:rPr>
              <w:t>$22,098</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w w:val="99"/>
              </w:rPr>
              <w:t>$149,189</w:t>
            </w: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$ 32,157</w:t>
            </w: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7"/>
              </w:rPr>
              <w:t>$ 3,219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5"/>
              </w:rPr>
              <w:t>$ 35,376</w:t>
            </w:r>
          </w:p>
        </w:tc>
        <w:tc>
          <w:tcPr>
            <w:tcW w:w="60" w:type="dxa"/>
            <w:vAlign w:val="bottom"/>
            <w:tcBorders>
              <w:left w:val="single" w:sz="8" w:color="CCEEFF"/>
            </w:tcBorders>
            <w:shd w:val="clear" w:color="auto" w:fill="CCEEFF"/>
          </w:tcPr>
          <w:p>
            <w:pPr>
              <w:spacing w:after="0"/>
              <w:rPr>
                <w:sz w:val="17"/>
                <w:szCs w:val="17"/>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320" w:type="dxa"/>
            <w:vAlign w:val="bottom"/>
            <w:gridSpan w:val="2"/>
          </w:tcPr>
          <w:p>
            <w:pPr>
              <w:ind w:left="160"/>
              <w:spacing w:after="0"/>
              <w:rPr>
                <w:sz w:val="20"/>
                <w:szCs w:val="20"/>
                <w:color w:val="auto"/>
              </w:rPr>
            </w:pPr>
            <w:r>
              <w:rPr>
                <w:rFonts w:ascii="Arial" w:cs="Arial" w:eastAsia="Arial" w:hAnsi="Arial"/>
                <w:sz w:val="15"/>
                <w:szCs w:val="15"/>
                <w:color w:val="auto"/>
              </w:rPr>
              <w:t>Non-Fuel Operating Expenses</w:t>
            </w:r>
          </w:p>
        </w:tc>
        <w:tc>
          <w:tcPr>
            <w:tcW w:w="160" w:type="dxa"/>
            <w:vAlign w:val="bottom"/>
            <w:gridSpan w:val="2"/>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92,361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16,401</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108,762</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63,507</w:t>
            </w: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4,907</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68,414</w:t>
            </w:r>
          </w:p>
        </w:tc>
        <w:tc>
          <w:tcPr>
            <w:tcW w:w="60" w:type="dxa"/>
            <w:vAlign w:val="bottom"/>
          </w:tcPr>
          <w:p>
            <w:pPr>
              <w:spacing w:after="0"/>
              <w:rPr>
                <w:sz w:val="17"/>
                <w:szCs w:val="17"/>
                <w:color w:val="auto"/>
              </w:rPr>
            </w:pPr>
          </w:p>
        </w:tc>
      </w:tr>
      <w:tr>
        <w:trPr>
          <w:trHeight w:val="209"/>
        </w:trPr>
        <w:tc>
          <w:tcPr>
            <w:tcW w:w="2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5"/>
                <w:szCs w:val="15"/>
                <w:color w:val="auto"/>
              </w:rPr>
              <w:t>29,657</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52</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29,709</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677</w:t>
            </w: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w:t>
            </w:r>
          </w:p>
        </w:tc>
        <w:tc>
          <w:tcPr>
            <w:tcW w:w="60" w:type="dxa"/>
            <w:vAlign w:val="bottom"/>
            <w:tcBorders>
              <w:left w:val="single" w:sz="8" w:color="CCEEFF"/>
            </w:tcBorders>
            <w:shd w:val="clear" w:color="auto" w:fill="CCEEFF"/>
          </w:tcPr>
          <w:p>
            <w:pPr>
              <w:spacing w:after="0"/>
              <w:rPr>
                <w:sz w:val="18"/>
                <w:szCs w:val="18"/>
                <w:color w:val="auto"/>
              </w:rPr>
            </w:pPr>
          </w:p>
        </w:tc>
      </w:tr>
      <w:tr>
        <w:trPr>
          <w:trHeight w:val="214"/>
        </w:trPr>
        <w:tc>
          <w:tcPr>
            <w:tcW w:w="232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160" w:type="dxa"/>
            <w:vAlign w:val="bottom"/>
            <w:gridSpan w:val="2"/>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5"/>
                <w:szCs w:val="15"/>
                <w:color w:val="auto"/>
              </w:rPr>
              <w:t>(28,784)</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(9,736)</w:t>
            </w:r>
          </w:p>
        </w:tc>
        <w:tc>
          <w:tcPr>
            <w:tcW w:w="860" w:type="dxa"/>
            <w:vAlign w:val="bottom"/>
            <w:gridSpan w:val="4"/>
          </w:tcPr>
          <w:p>
            <w:pPr>
              <w:jc w:val="right"/>
              <w:ind w:right="180"/>
              <w:spacing w:after="0"/>
              <w:rPr>
                <w:sz w:val="20"/>
                <w:szCs w:val="20"/>
                <w:color w:val="auto"/>
              </w:rPr>
            </w:pPr>
            <w:r>
              <w:rPr>
                <w:rFonts w:ascii="Arial" w:cs="Arial" w:eastAsia="Arial" w:hAnsi="Arial"/>
                <w:sz w:val="15"/>
                <w:szCs w:val="15"/>
                <w:color w:val="auto"/>
              </w:rPr>
              <w:t>(38,520)</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(28,111)</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(3,370)</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85"/>
              </w:rPr>
              <w:t>(31,481)</w:t>
            </w:r>
          </w:p>
        </w:tc>
      </w:tr>
      <w:tr>
        <w:trPr>
          <w:trHeight w:val="20"/>
        </w:trPr>
        <w:tc>
          <w:tcPr>
            <w:tcW w:w="7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r>
      <w:tr>
        <w:trPr>
          <w:trHeight w:val="211"/>
        </w:trPr>
        <w:tc>
          <w:tcPr>
            <w:tcW w:w="2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60" w:type="dxa"/>
            <w:vAlign w:val="bottom"/>
            <w:tcBorders>
              <w:right w:val="single" w:sz="8" w:color="CCEEFF"/>
            </w:tcBorders>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93,234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6,717</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99,951</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36,073</w:t>
            </w: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1,537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37,610</w:t>
            </w:r>
          </w:p>
        </w:tc>
        <w:tc>
          <w:tcPr>
            <w:tcW w:w="60" w:type="dxa"/>
            <w:vAlign w:val="bottom"/>
            <w:tcBorders>
              <w:left w:val="single" w:sz="8" w:color="CCEEFF"/>
            </w:tcBorders>
            <w:shd w:val="clear" w:color="auto" w:fill="CCEEFF"/>
          </w:tcPr>
          <w:p>
            <w:pPr>
              <w:spacing w:after="0"/>
              <w:rPr>
                <w:sz w:val="18"/>
                <w:szCs w:val="18"/>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5"/>
                <w:szCs w:val="15"/>
                <w:color w:val="auto"/>
              </w:rPr>
              <w:t>Operating Income (Loss)</w:t>
            </w:r>
          </w:p>
        </w:tc>
        <w:tc>
          <w:tcPr>
            <w:tcW w:w="160" w:type="dxa"/>
            <w:vAlign w:val="bottom"/>
            <w:gridSpan w:val="2"/>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2"/>
              </w:rPr>
              <w:t>$ 33,857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w w:val="84"/>
              </w:rPr>
              <w:t>$15,381</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49,238</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 (3,916)</w:t>
            </w: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w w:val="87"/>
              </w:rPr>
              <w:t>$ 1,682</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(2,234)</w:t>
            </w: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82"/>
        </w:trPr>
        <w:tc>
          <w:tcPr>
            <w:tcW w:w="2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60" w:type="dxa"/>
            <w:vAlign w:val="bottom"/>
            <w:tcBorders>
              <w:left w:val="single" w:sz="8" w:color="CCEEFF"/>
            </w:tcBorders>
            <w:shd w:val="clear" w:color="auto" w:fill="CCEEFF"/>
          </w:tcPr>
          <w:p>
            <w:pPr>
              <w:spacing w:after="0"/>
              <w:rPr>
                <w:sz w:val="15"/>
                <w:szCs w:val="15"/>
                <w:color w:val="auto"/>
              </w:rPr>
            </w:pPr>
          </w:p>
        </w:tc>
      </w:tr>
      <w:tr>
        <w:trPr>
          <w:trHeight w:val="209"/>
        </w:trPr>
        <w:tc>
          <w:tcPr>
            <w:tcW w:w="232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5"/>
                <w:szCs w:val="15"/>
                <w:color w:val="auto"/>
              </w:rPr>
              <w:t>(6,080)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(5,442)</w:t>
            </w:r>
          </w:p>
        </w:tc>
      </w:tr>
      <w:tr>
        <w:trPr>
          <w:trHeight w:val="214"/>
        </w:trPr>
        <w:tc>
          <w:tcPr>
            <w:tcW w:w="2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gridSpan w:val="2"/>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18,054</w:t>
            </w: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(325)</w:t>
            </w:r>
          </w:p>
        </w:tc>
      </w:tr>
      <w:tr>
        <w:trPr>
          <w:trHeight w:val="20"/>
        </w:trPr>
        <w:tc>
          <w:tcPr>
            <w:tcW w:w="7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5"/>
                <w:szCs w:val="15"/>
                <w:color w:val="auto"/>
              </w:rPr>
              <w:t>Income (Loss) before Income Tax</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$ 61,221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(7,938)</w:t>
            </w:r>
          </w:p>
        </w:tc>
      </w:tr>
      <w:tr>
        <w:trPr>
          <w:trHeight w:val="20"/>
        </w:trPr>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6"/>
        </w:trPr>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10"/>
          </w:tcPr>
          <w:p>
            <w:pPr>
              <w:jc w:val="right"/>
              <w:ind w:right="460"/>
              <w:spacing w:after="0"/>
              <w:rPr>
                <w:sz w:val="20"/>
                <w:szCs w:val="20"/>
                <w:color w:val="auto"/>
              </w:rPr>
            </w:pPr>
            <w:r>
              <w:rPr>
                <w:rFonts w:ascii="Arial" w:cs="Arial" w:eastAsia="Arial" w:hAnsi="Arial"/>
                <w:sz w:val="12"/>
                <w:szCs w:val="12"/>
                <w:b w:val="1"/>
                <w:bCs w:val="1"/>
                <w:color w:val="auto"/>
                <w:w w:val="92"/>
              </w:rPr>
              <w:t>Six Months Ended June 30, 2021</w:t>
            </w:r>
          </w:p>
        </w:tc>
        <w:tc>
          <w:tcPr>
            <w:tcW w:w="2000" w:type="dxa"/>
            <w:vAlign w:val="bottom"/>
            <w:gridSpan w:val="7"/>
          </w:tcPr>
          <w:p>
            <w:pPr>
              <w:jc w:val="right"/>
              <w:ind w:right="240"/>
              <w:spacing w:after="0"/>
              <w:rPr>
                <w:sz w:val="20"/>
                <w:szCs w:val="20"/>
                <w:color w:val="auto"/>
              </w:rPr>
            </w:pPr>
            <w:r>
              <w:rPr>
                <w:rFonts w:ascii="Arial" w:cs="Arial" w:eastAsia="Arial" w:hAnsi="Arial"/>
                <w:sz w:val="12"/>
                <w:szCs w:val="12"/>
                <w:b w:val="1"/>
                <w:bCs w:val="1"/>
                <w:color w:val="auto"/>
                <w:w w:val="93"/>
              </w:rPr>
              <w:t>Six Months Ended June 30, 2020</w:t>
            </w:r>
          </w:p>
        </w:tc>
      </w:tr>
      <w:tr>
        <w:trPr>
          <w:trHeight w:val="21"/>
        </w:trPr>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r>
      <w:tr>
        <w:trPr>
          <w:trHeight w:val="178"/>
        </w:trPr>
        <w:tc>
          <w:tcPr>
            <w:tcW w:w="70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2"/>
              </w:rPr>
              <w:t>Passenger</w:t>
            </w:r>
          </w:p>
        </w:tc>
        <w:tc>
          <w:tcPr>
            <w:tcW w:w="160" w:type="dxa"/>
            <w:vAlign w:val="bottom"/>
            <w:tcBorders>
              <w:bottom w:val="single" w:sz="8" w:color="CCEEFF"/>
            </w:tcBorders>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2"/>
                <w:szCs w:val="12"/>
                <w:b w:val="1"/>
                <w:bCs w:val="1"/>
                <w:color w:val="auto"/>
                <w:w w:val="92"/>
              </w:rPr>
              <w:t>Cargo</w:t>
            </w: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1"/>
              </w:rPr>
              <w:t>Consolidated</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75"/>
              </w:rPr>
              <w:t>Passenger</w:t>
            </w:r>
          </w:p>
        </w:tc>
        <w:tc>
          <w:tcPr>
            <w:tcW w:w="1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86"/>
              </w:rPr>
              <w:t>Cargo</w:t>
            </w:r>
            <w:r>
              <w:rPr>
                <w:rFonts w:ascii="Arial" w:cs="Arial" w:eastAsia="Arial" w:hAnsi="Arial"/>
                <w:sz w:val="14"/>
                <w:szCs w:val="14"/>
                <w:b w:val="1"/>
                <w:bCs w:val="1"/>
                <w:color w:val="auto"/>
                <w:w w:val="86"/>
                <w:vertAlign w:val="superscript"/>
              </w:rPr>
              <w:t>(1)</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73"/>
              </w:rPr>
              <w:t>Consolidated</w:t>
            </w:r>
          </w:p>
        </w:tc>
      </w:tr>
      <w:tr>
        <w:trPr>
          <w:trHeight w:val="205"/>
        </w:trPr>
        <w:tc>
          <w:tcPr>
            <w:tcW w:w="2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Revenues</w:t>
            </w:r>
          </w:p>
        </w:tc>
        <w:tc>
          <w:tcPr>
            <w:tcW w:w="8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6"/>
              </w:rPr>
              <w:t>$233,118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88"/>
              </w:rPr>
              <w:t>$ 43,684</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3"/>
            <w:shd w:val="clear" w:color="auto" w:fill="CCEEFF"/>
          </w:tcPr>
          <w:p>
            <w:pPr>
              <w:jc w:val="right"/>
              <w:ind w:right="7"/>
              <w:spacing w:after="0"/>
              <w:rPr>
                <w:sz w:val="20"/>
                <w:szCs w:val="20"/>
                <w:color w:val="auto"/>
              </w:rPr>
            </w:pPr>
            <w:r>
              <w:rPr>
                <w:rFonts w:ascii="Arial" w:cs="Arial" w:eastAsia="Arial" w:hAnsi="Arial"/>
                <w:sz w:val="15"/>
                <w:szCs w:val="15"/>
                <w:color w:val="auto"/>
                <w:w w:val="92"/>
              </w:rPr>
              <w:t>$276,802</w:t>
            </w: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$212,487</w:t>
            </w: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7"/>
              </w:rPr>
              <w:t>$ 3,219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3"/>
              </w:rPr>
              <w:t>$215,706</w:t>
            </w:r>
          </w:p>
        </w:tc>
        <w:tc>
          <w:tcPr>
            <w:tcW w:w="60" w:type="dxa"/>
            <w:vAlign w:val="bottom"/>
            <w:tcBorders>
              <w:left w:val="single" w:sz="8" w:color="CCEEFF"/>
            </w:tcBorders>
            <w:shd w:val="clear" w:color="auto" w:fill="CCEEFF"/>
          </w:tcPr>
          <w:p>
            <w:pPr>
              <w:spacing w:after="0"/>
              <w:rPr>
                <w:sz w:val="17"/>
                <w:szCs w:val="17"/>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gridSpan w:val="2"/>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05"/>
        </w:trPr>
        <w:tc>
          <w:tcPr>
            <w:tcW w:w="2320" w:type="dxa"/>
            <w:vAlign w:val="bottom"/>
            <w:gridSpan w:val="2"/>
          </w:tcPr>
          <w:p>
            <w:pPr>
              <w:ind w:left="160"/>
              <w:spacing w:after="0"/>
              <w:rPr>
                <w:sz w:val="20"/>
                <w:szCs w:val="20"/>
                <w:color w:val="auto"/>
              </w:rPr>
            </w:pPr>
            <w:r>
              <w:rPr>
                <w:rFonts w:ascii="Arial" w:cs="Arial" w:eastAsia="Arial" w:hAnsi="Arial"/>
                <w:sz w:val="15"/>
                <w:szCs w:val="15"/>
                <w:color w:val="auto"/>
              </w:rPr>
              <w:t>Non-Fuel Operating Expenses</w:t>
            </w:r>
          </w:p>
        </w:tc>
        <w:tc>
          <w:tcPr>
            <w:tcW w:w="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9"/>
              </w:rPr>
              <w:t>179,566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34,472</w:t>
            </w:r>
          </w:p>
        </w:tc>
        <w:tc>
          <w:tcPr>
            <w:tcW w:w="140" w:type="dxa"/>
            <w:vAlign w:val="bottom"/>
          </w:tcPr>
          <w:p>
            <w:pPr>
              <w:spacing w:after="0"/>
              <w:rPr>
                <w:sz w:val="17"/>
                <w:szCs w:val="17"/>
                <w:color w:val="auto"/>
              </w:rPr>
            </w:pPr>
          </w:p>
        </w:tc>
        <w:tc>
          <w:tcPr>
            <w:tcW w:w="680" w:type="dxa"/>
            <w:vAlign w:val="bottom"/>
            <w:gridSpan w:val="3"/>
          </w:tcPr>
          <w:p>
            <w:pPr>
              <w:jc w:val="right"/>
              <w:ind w:right="7"/>
              <w:spacing w:after="0"/>
              <w:rPr>
                <w:sz w:val="20"/>
                <w:szCs w:val="20"/>
                <w:color w:val="auto"/>
              </w:rPr>
            </w:pPr>
            <w:r>
              <w:rPr>
                <w:rFonts w:ascii="Arial" w:cs="Arial" w:eastAsia="Arial" w:hAnsi="Arial"/>
                <w:sz w:val="15"/>
                <w:szCs w:val="15"/>
                <w:color w:val="auto"/>
              </w:rPr>
              <w:t>214,038</w:t>
            </w:r>
          </w:p>
        </w:tc>
        <w:tc>
          <w:tcPr>
            <w:tcW w:w="1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173,046</w:t>
            </w: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rPr>
              <w:t>4,907</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95"/>
              </w:rPr>
              <w:t>177,953</w:t>
            </w:r>
          </w:p>
        </w:tc>
        <w:tc>
          <w:tcPr>
            <w:tcW w:w="60" w:type="dxa"/>
            <w:vAlign w:val="bottom"/>
          </w:tcPr>
          <w:p>
            <w:pPr>
              <w:spacing w:after="0"/>
              <w:rPr>
                <w:sz w:val="17"/>
                <w:szCs w:val="17"/>
                <w:color w:val="auto"/>
              </w:rPr>
            </w:pPr>
          </w:p>
        </w:tc>
      </w:tr>
      <w:tr>
        <w:trPr>
          <w:trHeight w:val="209"/>
        </w:trPr>
        <w:tc>
          <w:tcPr>
            <w:tcW w:w="2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53,912</w:t>
            </w: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7"/>
              <w:spacing w:after="0"/>
              <w:rPr>
                <w:sz w:val="20"/>
                <w:szCs w:val="20"/>
                <w:color w:val="auto"/>
              </w:rPr>
            </w:pPr>
            <w:r>
              <w:rPr>
                <w:rFonts w:ascii="Arial" w:cs="Arial" w:eastAsia="Arial" w:hAnsi="Arial"/>
                <w:sz w:val="15"/>
                <w:szCs w:val="15"/>
                <w:color w:val="auto"/>
              </w:rPr>
              <w:t>53,984</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56,238</w:t>
            </w: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56,238</w:t>
            </w:r>
          </w:p>
        </w:tc>
        <w:tc>
          <w:tcPr>
            <w:tcW w:w="60" w:type="dxa"/>
            <w:vAlign w:val="bottom"/>
            <w:tcBorders>
              <w:left w:val="single" w:sz="8" w:color="CCEEFF"/>
            </w:tcBorders>
            <w:shd w:val="clear" w:color="auto" w:fill="CCEEFF"/>
          </w:tcPr>
          <w:p>
            <w:pPr>
              <w:spacing w:after="0"/>
              <w:rPr>
                <w:sz w:val="18"/>
                <w:szCs w:val="18"/>
                <w:color w:val="auto"/>
              </w:rPr>
            </w:pPr>
          </w:p>
        </w:tc>
      </w:tr>
      <w:tr>
        <w:trPr>
          <w:trHeight w:val="214"/>
        </w:trPr>
        <w:tc>
          <w:tcPr>
            <w:tcW w:w="232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5"/>
                <w:szCs w:val="15"/>
                <w:color w:val="auto"/>
              </w:rPr>
              <w:t>(46,991)</w:t>
            </w: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5"/>
                <w:szCs w:val="15"/>
                <w:color w:val="auto"/>
              </w:rPr>
              <w:t>(18,401)</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(65,392)</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(28,111)</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(3,370)</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85"/>
              </w:rPr>
              <w:t>(31,481)</w:t>
            </w:r>
          </w:p>
        </w:tc>
      </w:tr>
      <w:tr>
        <w:trPr>
          <w:trHeight w:val="20"/>
        </w:trPr>
        <w:tc>
          <w:tcPr>
            <w:tcW w:w="7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gridSpan w:val="2"/>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r>
      <w:tr>
        <w:trPr>
          <w:trHeight w:val="211"/>
        </w:trPr>
        <w:tc>
          <w:tcPr>
            <w:tcW w:w="2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9"/>
              </w:rPr>
              <w:t>186,487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16,143</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7"/>
              <w:spacing w:after="0"/>
              <w:rPr>
                <w:sz w:val="20"/>
                <w:szCs w:val="20"/>
                <w:color w:val="auto"/>
              </w:rPr>
            </w:pPr>
            <w:r>
              <w:rPr>
                <w:rFonts w:ascii="Arial" w:cs="Arial" w:eastAsia="Arial" w:hAnsi="Arial"/>
                <w:sz w:val="15"/>
                <w:szCs w:val="15"/>
                <w:color w:val="auto"/>
              </w:rPr>
              <w:t>202,630</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201,173</w:t>
            </w: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1,537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202,710</w:t>
            </w:r>
          </w:p>
        </w:tc>
        <w:tc>
          <w:tcPr>
            <w:tcW w:w="60" w:type="dxa"/>
            <w:vAlign w:val="bottom"/>
            <w:tcBorders>
              <w:left w:val="single" w:sz="8" w:color="CCEEFF"/>
            </w:tcBorders>
            <w:shd w:val="clear" w:color="auto" w:fill="CCEEFF"/>
          </w:tcPr>
          <w:p>
            <w:pPr>
              <w:spacing w:after="0"/>
              <w:rPr>
                <w:sz w:val="18"/>
                <w:szCs w:val="18"/>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gridSpan w:val="2"/>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5"/>
                <w:szCs w:val="15"/>
                <w:color w:val="auto"/>
              </w:rPr>
              <w:t>Operating Income</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2"/>
              </w:rPr>
              <w:t>$ 46,631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88"/>
              </w:rPr>
              <w:t>$ 27,541</w:t>
            </w:r>
          </w:p>
        </w:tc>
        <w:tc>
          <w:tcPr>
            <w:tcW w:w="140" w:type="dxa"/>
            <w:vAlign w:val="bottom"/>
          </w:tcPr>
          <w:p>
            <w:pPr>
              <w:spacing w:after="0"/>
              <w:rPr>
                <w:sz w:val="18"/>
                <w:szCs w:val="18"/>
                <w:color w:val="auto"/>
              </w:rPr>
            </w:pPr>
          </w:p>
        </w:tc>
        <w:tc>
          <w:tcPr>
            <w:tcW w:w="680" w:type="dxa"/>
            <w:vAlign w:val="bottom"/>
            <w:gridSpan w:val="3"/>
          </w:tcPr>
          <w:p>
            <w:pPr>
              <w:jc w:val="right"/>
              <w:ind w:right="7"/>
              <w:spacing w:after="0"/>
              <w:rPr>
                <w:sz w:val="20"/>
                <w:szCs w:val="20"/>
                <w:color w:val="auto"/>
              </w:rPr>
            </w:pPr>
            <w:r>
              <w:rPr>
                <w:rFonts w:ascii="Arial" w:cs="Arial" w:eastAsia="Arial" w:hAnsi="Arial"/>
                <w:sz w:val="15"/>
                <w:szCs w:val="15"/>
                <w:color w:val="auto"/>
              </w:rPr>
              <w:t>74,172</w:t>
            </w: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$ 11,314</w:t>
            </w:r>
          </w:p>
        </w:tc>
        <w:tc>
          <w:tcPr>
            <w:tcW w:w="700" w:type="dxa"/>
            <w:vAlign w:val="bottom"/>
            <w:gridSpan w:val="2"/>
          </w:tcPr>
          <w:p>
            <w:pPr>
              <w:jc w:val="right"/>
              <w:ind w:right="240"/>
              <w:spacing w:after="0"/>
              <w:rPr>
                <w:sz w:val="20"/>
                <w:szCs w:val="20"/>
                <w:color w:val="auto"/>
              </w:rPr>
            </w:pPr>
            <w:r>
              <w:rPr>
                <w:rFonts w:ascii="Arial" w:cs="Arial" w:eastAsia="Arial" w:hAnsi="Arial"/>
                <w:sz w:val="15"/>
                <w:szCs w:val="15"/>
                <w:color w:val="auto"/>
                <w:w w:val="87"/>
              </w:rPr>
              <w:t>$ 1,682</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5"/>
              </w:rPr>
              <w:t>12,996</w:t>
            </w:r>
          </w:p>
        </w:tc>
        <w:tc>
          <w:tcPr>
            <w:tcW w:w="60" w:type="dxa"/>
            <w:vAlign w:val="bottom"/>
          </w:tcPr>
          <w:p>
            <w:pPr>
              <w:spacing w:after="0"/>
              <w:rPr>
                <w:sz w:val="18"/>
                <w:szCs w:val="18"/>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82"/>
        </w:trPr>
        <w:tc>
          <w:tcPr>
            <w:tcW w:w="2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3"/>
            <w:shd w:val="clear" w:color="auto" w:fill="CCEEFF"/>
          </w:tcPr>
          <w:p>
            <w:pPr>
              <w:jc w:val="right"/>
              <w:ind w:right="7"/>
              <w:spacing w:after="0"/>
              <w:rPr>
                <w:sz w:val="20"/>
                <w:szCs w:val="20"/>
                <w:color w:val="auto"/>
              </w:rPr>
            </w:pPr>
            <w:r>
              <w:rPr>
                <w:rFonts w:ascii="Arial" w:cs="Arial" w:eastAsia="Arial" w:hAnsi="Arial"/>
                <w:sz w:val="15"/>
                <w:szCs w:val="15"/>
                <w:color w:val="auto"/>
              </w:rPr>
              <w:t>24</w:t>
            </w:r>
          </w:p>
        </w:tc>
        <w:tc>
          <w:tcPr>
            <w:tcW w:w="1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w:t>
            </w:r>
          </w:p>
        </w:tc>
        <w:tc>
          <w:tcPr>
            <w:tcW w:w="60" w:type="dxa"/>
            <w:vAlign w:val="bottom"/>
            <w:tcBorders>
              <w:left w:val="single" w:sz="8" w:color="CCEEFF"/>
            </w:tcBorders>
            <w:shd w:val="clear" w:color="auto" w:fill="CCEEFF"/>
          </w:tcPr>
          <w:p>
            <w:pPr>
              <w:spacing w:after="0"/>
              <w:rPr>
                <w:sz w:val="15"/>
                <w:szCs w:val="15"/>
                <w:color w:val="auto"/>
              </w:rPr>
            </w:pPr>
          </w:p>
        </w:tc>
      </w:tr>
      <w:tr>
        <w:trPr>
          <w:trHeight w:val="209"/>
        </w:trPr>
        <w:tc>
          <w:tcPr>
            <w:tcW w:w="232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(13,201)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85"/>
              </w:rPr>
              <w:t>(11,058)</w:t>
            </w:r>
          </w:p>
        </w:tc>
      </w:tr>
      <w:tr>
        <w:trPr>
          <w:trHeight w:val="214"/>
        </w:trPr>
        <w:tc>
          <w:tcPr>
            <w:tcW w:w="2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gridSpan w:val="2"/>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18,049</w:t>
            </w: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(494)</w:t>
            </w:r>
          </w:p>
        </w:tc>
      </w:tr>
      <w:tr>
        <w:trPr>
          <w:trHeight w:val="20"/>
        </w:trPr>
        <w:tc>
          <w:tcPr>
            <w:tcW w:w="7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gridSpan w:val="2"/>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5"/>
                <w:szCs w:val="15"/>
                <w:color w:val="auto"/>
              </w:rPr>
              <w:t>Income before Income Tax</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600" w:type="dxa"/>
            <w:vAlign w:val="bottom"/>
          </w:tcPr>
          <w:p>
            <w:pPr>
              <w:jc w:val="right"/>
              <w:ind w:right="7"/>
              <w:spacing w:after="0"/>
              <w:rPr>
                <w:sz w:val="20"/>
                <w:szCs w:val="20"/>
                <w:color w:val="auto"/>
              </w:rPr>
            </w:pPr>
            <w:r>
              <w:rPr>
                <w:rFonts w:ascii="Arial" w:cs="Arial" w:eastAsia="Arial" w:hAnsi="Arial"/>
                <w:sz w:val="15"/>
                <w:szCs w:val="15"/>
                <w:color w:val="auto"/>
                <w:w w:val="85"/>
              </w:rPr>
              <w:t>$ 79,044</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1,758</w:t>
            </w:r>
          </w:p>
        </w:tc>
        <w:tc>
          <w:tcPr>
            <w:tcW w:w="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-2050415</wp:posOffset>
            </wp:positionV>
            <wp:extent cx="34925" cy="698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-2622550</wp:posOffset>
            </wp:positionV>
            <wp:extent cx="34925" cy="698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-2769235</wp:posOffset>
            </wp:positionV>
            <wp:extent cx="34925" cy="698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-2769235</wp:posOffset>
            </wp:positionV>
            <wp:extent cx="146685" cy="698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-2769235</wp:posOffset>
            </wp:positionV>
            <wp:extent cx="118745" cy="698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-2769235</wp:posOffset>
            </wp:positionV>
            <wp:extent cx="146685" cy="698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-2769235</wp:posOffset>
            </wp:positionV>
            <wp:extent cx="132715" cy="698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-2769235</wp:posOffset>
            </wp:positionV>
            <wp:extent cx="2030095" cy="698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203009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-3180715</wp:posOffset>
            </wp:positionV>
            <wp:extent cx="34925" cy="698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-3327400</wp:posOffset>
            </wp:positionV>
            <wp:extent cx="111760" cy="698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-3327400</wp:posOffset>
            </wp:positionV>
            <wp:extent cx="111760" cy="698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-3327400</wp:posOffset>
            </wp:positionV>
            <wp:extent cx="111760" cy="698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-3327400</wp:posOffset>
            </wp:positionV>
            <wp:extent cx="104775" cy="698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-3327400</wp:posOffset>
            </wp:positionV>
            <wp:extent cx="2023110" cy="698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02311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-243840</wp:posOffset>
            </wp:positionV>
            <wp:extent cx="27940" cy="698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-815340</wp:posOffset>
            </wp:positionV>
            <wp:extent cx="27940" cy="698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-962025</wp:posOffset>
            </wp:positionV>
            <wp:extent cx="27940" cy="698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-962025</wp:posOffset>
            </wp:positionV>
            <wp:extent cx="139700" cy="698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-962025</wp:posOffset>
            </wp:positionV>
            <wp:extent cx="118745" cy="698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-962025</wp:posOffset>
            </wp:positionV>
            <wp:extent cx="146685" cy="698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-962025</wp:posOffset>
            </wp:positionV>
            <wp:extent cx="125730" cy="698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-962025</wp:posOffset>
            </wp:positionV>
            <wp:extent cx="1981200" cy="698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98120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-1373505</wp:posOffset>
            </wp:positionV>
            <wp:extent cx="27940" cy="698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-1520190</wp:posOffset>
            </wp:positionV>
            <wp:extent cx="111760" cy="698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-1520190</wp:posOffset>
            </wp:positionV>
            <wp:extent cx="111760" cy="698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-1520190</wp:posOffset>
            </wp:positionV>
            <wp:extent cx="111760" cy="698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-1520190</wp:posOffset>
            </wp:positionV>
            <wp:extent cx="97790" cy="698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-1520190</wp:posOffset>
            </wp:positionV>
            <wp:extent cx="1974215" cy="698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974215" cy="6985"/>
                    </a:xfrm>
                    <a:prstGeom prst="rect">
                      <a:avLst/>
                    </a:prstGeom>
                    <a:noFill/>
                  </pic:spPr>
                </pic:pic>
              </a:graphicData>
            </a:graphic>
          </wp:anchor>
        </w:drawing>
      </w:r>
    </w:p>
    <w:p>
      <w:pPr>
        <w:spacing w:after="0" w:line="57" w:lineRule="exact"/>
        <w:rPr>
          <w:sz w:val="20"/>
          <w:szCs w:val="20"/>
          <w:color w:val="auto"/>
        </w:rPr>
      </w:pPr>
    </w:p>
    <w:p>
      <w:pPr>
        <w:ind w:left="1460" w:right="1199" w:hanging="296"/>
        <w:spacing w:after="0" w:line="236" w:lineRule="auto"/>
        <w:tabs>
          <w:tab w:leader="none" w:pos="14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As air cargo operations commenced in May 2020, there are limited Cargo amounts included in the three and six month periods ended June 30, 2020.</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SUBSEQUENT EVENTS</w:t>
      </w:r>
    </w:p>
    <w:p>
      <w:pPr>
        <w:spacing w:after="0" w:line="128" w:lineRule="exact"/>
        <w:rPr>
          <w:sz w:val="20"/>
          <w:szCs w:val="20"/>
          <w:color w:val="auto"/>
        </w:rPr>
      </w:pPr>
    </w:p>
    <w:p>
      <w:pPr>
        <w:ind w:left="1160" w:right="1239" w:firstLine="293"/>
        <w:spacing w:after="0" w:line="300" w:lineRule="auto"/>
        <w:rPr>
          <w:sz w:val="20"/>
          <w:szCs w:val="20"/>
          <w:color w:val="auto"/>
        </w:rPr>
      </w:pPr>
      <w:r>
        <w:rPr>
          <w:rFonts w:ascii="Arial" w:cs="Arial" w:eastAsia="Arial" w:hAnsi="Arial"/>
          <w:sz w:val="14"/>
          <w:szCs w:val="14"/>
          <w:color w:val="auto"/>
        </w:rPr>
        <w:t>The Company evaluated subsequent events for the period from the Balance Sheet date through July 28, 2021, the date that the Condensed Consolidated Financial Statements were available to be issued.</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4" w:name="page265"/>
    <w:bookmarkEnd w:id="264"/>
    <w:p>
      <w:pPr>
        <w:ind w:left="140"/>
        <w:spacing w:after="0"/>
        <w:rPr>
          <w:rFonts w:ascii="Arial" w:cs="Arial" w:eastAsia="Arial" w:hAnsi="Arial"/>
          <w:sz w:val="12"/>
          <w:szCs w:val="12"/>
          <w:color w:val="003366"/>
        </w:rPr>
      </w:pPr>
      <w:hyperlink w:anchor="page195">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8,500,000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130810</wp:posOffset>
            </wp:positionV>
            <wp:extent cx="1814195" cy="23050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8141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Sun Country Airlines Holdings, Inc.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1045210</wp:posOffset>
            </wp:positionV>
            <wp:extent cx="1004570" cy="698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Prospectus</w:t>
      </w:r>
    </w:p>
    <w:p>
      <w:pPr>
        <w:spacing w:after="0" w:line="1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October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186055</wp:posOffset>
            </wp:positionV>
            <wp:extent cx="1004570" cy="698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Joint Bookrunners</w:t>
      </w:r>
    </w:p>
    <w:p>
      <w:pPr>
        <w:spacing w:after="0" w:line="138" w:lineRule="exact"/>
        <w:rPr>
          <w:sz w:val="20"/>
          <w:szCs w:val="20"/>
          <w:color w:val="auto"/>
        </w:rPr>
      </w:pPr>
    </w:p>
    <w:p>
      <w:pPr>
        <w:ind w:left="3960"/>
        <w:spacing w:after="0"/>
        <w:rPr>
          <w:sz w:val="20"/>
          <w:szCs w:val="20"/>
          <w:color w:val="auto"/>
        </w:rPr>
      </w:pPr>
      <w:r>
        <w:rPr>
          <w:rFonts w:ascii="Arial" w:cs="Arial" w:eastAsia="Arial" w:hAnsi="Arial"/>
          <w:sz w:val="26"/>
          <w:szCs w:val="26"/>
          <w:b w:val="1"/>
          <w:bCs w:val="1"/>
          <w:color w:val="auto"/>
        </w:rPr>
        <w:t>Barclays</w:t>
      </w:r>
    </w:p>
    <w:p>
      <w:pPr>
        <w:ind w:left="3480"/>
        <w:spacing w:after="0" w:line="211" w:lineRule="auto"/>
        <w:rPr>
          <w:sz w:val="20"/>
          <w:szCs w:val="20"/>
          <w:color w:val="auto"/>
        </w:rPr>
      </w:pPr>
      <w:r>
        <w:rPr>
          <w:rFonts w:ascii="Arial" w:cs="Arial" w:eastAsia="Arial" w:hAnsi="Arial"/>
          <w:sz w:val="26"/>
          <w:szCs w:val="26"/>
          <w:b w:val="1"/>
          <w:bCs w:val="1"/>
          <w:color w:val="auto"/>
        </w:rPr>
        <w:t>Morgan Stanley</w:t>
      </w:r>
    </w:p>
    <w:p>
      <w:pPr>
        <w:ind w:left="2880"/>
        <w:spacing w:after="0" w:line="212" w:lineRule="auto"/>
        <w:rPr>
          <w:sz w:val="20"/>
          <w:szCs w:val="20"/>
          <w:color w:val="auto"/>
        </w:rPr>
      </w:pPr>
      <w:r>
        <w:rPr>
          <w:rFonts w:ascii="Arial" w:cs="Arial" w:eastAsia="Arial" w:hAnsi="Arial"/>
          <w:sz w:val="26"/>
          <w:szCs w:val="26"/>
          <w:b w:val="1"/>
          <w:bCs w:val="1"/>
          <w:color w:val="auto"/>
        </w:rPr>
        <w:t>Deutsche Bank Securities</w:t>
      </w:r>
    </w:p>
    <w:p>
      <w:pPr>
        <w:ind w:left="3740"/>
        <w:spacing w:after="0" w:line="211" w:lineRule="auto"/>
        <w:rPr>
          <w:sz w:val="20"/>
          <w:szCs w:val="20"/>
          <w:color w:val="auto"/>
        </w:rPr>
      </w:pPr>
      <w:r>
        <w:rPr>
          <w:rFonts w:ascii="Arial" w:cs="Arial" w:eastAsia="Arial" w:hAnsi="Arial"/>
          <w:sz w:val="26"/>
          <w:szCs w:val="26"/>
          <w:b w:val="1"/>
          <w:bCs w:val="1"/>
          <w:color w:val="auto"/>
        </w:rPr>
        <w:t>Evercore ISI</w:t>
      </w:r>
    </w:p>
    <w:p>
      <w:pPr>
        <w:ind w:left="2840"/>
        <w:spacing w:after="0" w:line="212" w:lineRule="auto"/>
        <w:rPr>
          <w:sz w:val="20"/>
          <w:szCs w:val="20"/>
          <w:color w:val="auto"/>
        </w:rPr>
      </w:pPr>
      <w:r>
        <w:rPr>
          <w:rFonts w:ascii="Arial" w:cs="Arial" w:eastAsia="Arial" w:hAnsi="Arial"/>
          <w:sz w:val="26"/>
          <w:szCs w:val="26"/>
          <w:b w:val="1"/>
          <w:bCs w:val="1"/>
          <w:color w:val="auto"/>
        </w:rPr>
        <w:t>Goldman Sachs &amp; Co. LLC</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26"/>
          <w:szCs w:val="26"/>
          <w:b w:val="1"/>
          <w:bCs w:val="1"/>
          <w:color w:val="auto"/>
        </w:rPr>
        <w:t>Nomura</w:t>
      </w:r>
    </w:p>
    <w:p>
      <w:pPr>
        <w:spacing w:after="0" w:line="200" w:lineRule="exact"/>
        <w:rPr>
          <w:sz w:val="20"/>
          <w:szCs w:val="20"/>
          <w:color w:val="auto"/>
        </w:rPr>
      </w:pPr>
    </w:p>
    <w:p>
      <w:pPr>
        <w:spacing w:after="0" w:line="286" w:lineRule="exact"/>
        <w:rPr>
          <w:sz w:val="20"/>
          <w:szCs w:val="20"/>
          <w:color w:val="auto"/>
        </w:rPr>
      </w:pPr>
    </w:p>
    <w:p>
      <w:pPr>
        <w:ind w:left="3940"/>
        <w:spacing w:after="0"/>
        <w:rPr>
          <w:sz w:val="20"/>
          <w:szCs w:val="20"/>
          <w:color w:val="auto"/>
        </w:rPr>
      </w:pPr>
      <w:r>
        <w:rPr>
          <w:rFonts w:ascii="Arial" w:cs="Arial" w:eastAsia="Arial" w:hAnsi="Arial"/>
          <w:sz w:val="18"/>
          <w:szCs w:val="18"/>
          <w:b w:val="1"/>
          <w:bCs w:val="1"/>
          <w:i w:val="1"/>
          <w:iCs w:val="1"/>
          <w:color w:val="auto"/>
        </w:rPr>
        <w:t>Co-Managers</w:t>
      </w:r>
    </w:p>
    <w:p>
      <w:pPr>
        <w:spacing w:after="0" w:line="16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Apollo Global Securities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AmeriVet Securities</w:t>
      </w:r>
    </w:p>
    <w:p>
      <w:pPr>
        <w:jc w:val="center"/>
        <w:ind w:right="19"/>
        <w:spacing w:after="0" w:line="229" w:lineRule="auto"/>
        <w:rPr>
          <w:sz w:val="20"/>
          <w:szCs w:val="20"/>
          <w:color w:val="auto"/>
        </w:rPr>
      </w:pPr>
      <w:r>
        <w:rPr>
          <w:rFonts w:ascii="Arial" w:cs="Arial" w:eastAsia="Arial" w:hAnsi="Arial"/>
          <w:sz w:val="18"/>
          <w:szCs w:val="18"/>
          <w:b w:val="1"/>
          <w:bCs w:val="1"/>
          <w:color w:val="auto"/>
        </w:rPr>
        <w:t>Siebert Williams Shank</w:t>
      </w:r>
    </w:p>
    <w:p>
      <w:pPr>
        <w:jc w:val="center"/>
        <w:ind w:right="19"/>
        <w:spacing w:after="0"/>
        <w:rPr>
          <w:sz w:val="20"/>
          <w:szCs w:val="20"/>
          <w:color w:val="auto"/>
        </w:rPr>
      </w:pPr>
      <w:r>
        <w:rPr>
          <w:rFonts w:ascii="Arial" w:cs="Arial" w:eastAsia="Arial" w:hAnsi="Arial"/>
          <w:sz w:val="18"/>
          <w:szCs w:val="18"/>
          <w:b w:val="1"/>
          <w:bCs w:val="1"/>
          <w:color w:val="auto"/>
        </w:rPr>
        <w:t>Tribal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187325</wp:posOffset>
            </wp:positionV>
            <wp:extent cx="5564505" cy="3937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sectPr>
      <w:pgSz w:w="11900" w:h="16838" w:orient="portrait"/>
      <w:cols w:equalWidth="0" w:num="1">
        <w:col w:w="9019"/>
      </w:cols>
      <w:pgMar w:left="1440" w:top="1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1)"/>
      <w:numFmt w:val="decimal"/>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1)"/>
      <w:numFmt w:val="decimal"/>
      <w:start w:val="1"/>
    </w:lvl>
  </w:abstractNum>
  <w:abstractNum w:abstractNumId="9">
    <w:nsid w:val="579BE4F1"/>
    <w:multiLevelType w:val="hybridMultilevel"/>
    <w:lvl w:ilvl="0">
      <w:lvlJc w:val="left"/>
      <w:lvlText w:val="(%1)"/>
      <w:numFmt w:val="decimal"/>
      <w:start w:val="3"/>
    </w:lvl>
  </w:abstractNum>
  <w:abstractNum w:abstractNumId="10">
    <w:nsid w:val="310C50B3"/>
    <w:multiLevelType w:val="hybridMultilevel"/>
    <w:lvl w:ilvl="0">
      <w:lvlJc w:val="left"/>
      <w:lvlText w:val="(%1)"/>
      <w:numFmt w:val="decimal"/>
      <w:start w:val="1"/>
    </w:lvl>
  </w:abstractNum>
  <w:abstractNum w:abstractNumId="11">
    <w:nsid w:val="5FF87E05"/>
    <w:multiLevelType w:val="hybridMultilevel"/>
    <w:lvl w:ilvl="0">
      <w:lvlJc w:val="left"/>
      <w:lvlText w:val="(%1)"/>
      <w:numFmt w:val="decimal"/>
      <w:start w:val="1"/>
    </w:lvl>
  </w:abstractNum>
  <w:abstractNum w:abstractNumId="12">
    <w:nsid w:val="2F305DEF"/>
    <w:multiLevelType w:val="hybridMultilevel"/>
    <w:lvl w:ilvl="0">
      <w:lvlJc w:val="left"/>
      <w:lvlText w:val="(%1)"/>
      <w:numFmt w:val="lowerLetter"/>
      <w:start w:val="1"/>
    </w:lvl>
  </w:abstractNum>
  <w:abstractNum w:abstractNumId="13">
    <w:nsid w:val="25A70BF7"/>
    <w:multiLevelType w:val="hybridMultilevel"/>
    <w:lvl w:ilvl="0">
      <w:lvlJc w:val="left"/>
      <w:lvlText w:val="(%1)"/>
      <w:numFmt w:val="lowerLetter"/>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1)"/>
      <w:numFmt w:val="decimal"/>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1)"/>
      <w:numFmt w:val="decimal"/>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A"/>
      <w:numFmt w:val="bullet"/>
      <w:start w:val="1"/>
    </w:lvl>
  </w:abstractNum>
  <w:abstractNum w:abstractNumId="20">
    <w:nsid w:val="6590700B"/>
    <w:multiLevelType w:val="hybridMultilevel"/>
    <w:lvl w:ilvl="0">
      <w:lvlJc w:val="left"/>
      <w:lvlText w:val="A"/>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1)"/>
      <w:numFmt w:val="lowerRoman"/>
      <w:start w:val="6"/>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1)"/>
      <w:numFmt w:val="lowerRoman"/>
      <w:start w:val="3"/>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1)"/>
      <w:numFmt w:val="decimal"/>
      <w:start w:val="3"/>
    </w:lvl>
  </w:abstractNum>
  <w:abstractNum w:abstractNumId="35">
    <w:nsid w:val="BF72B14"/>
    <w:multiLevelType w:val="hybridMultilevel"/>
    <w:lvl w:ilvl="0">
      <w:lvlJc w:val="left"/>
      <w:lvlText w:val="(%1)"/>
      <w:numFmt w:val="decimal"/>
      <w:start w:val="1"/>
    </w:lvl>
  </w:abstractNum>
  <w:abstractNum w:abstractNumId="36">
    <w:nsid w:val="11447B73"/>
    <w:multiLevelType w:val="hybridMultilevel"/>
    <w:lvl w:ilvl="0">
      <w:lvlJc w:val="left"/>
      <w:lvlText w:val="(%1)"/>
      <w:numFmt w:val="decimal"/>
      <w:start w:val="1"/>
    </w:lvl>
  </w:abstractNum>
  <w:abstractNum w:abstractNumId="37">
    <w:nsid w:val="42963E5A"/>
    <w:multiLevelType w:val="hybridMultilevel"/>
    <w:lvl w:ilvl="0">
      <w:lvlJc w:val="left"/>
      <w:lvlText w:val="(%1)"/>
      <w:numFmt w:val="decimal"/>
      <w:start w:val="2"/>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1)"/>
      <w:numFmt w:val="decimal"/>
      <w:start w:val="1"/>
    </w:lvl>
  </w:abstractNum>
  <w:abstractNum w:abstractNumId="41">
    <w:nsid w:val="3B0FD379"/>
    <w:multiLevelType w:val="hybridMultilevel"/>
    <w:lvl w:ilvl="0">
      <w:lvlJc w:val="left"/>
      <w:lvlText w:val="(%1)"/>
      <w:numFmt w:val="decimal"/>
      <w:start w:val="1"/>
    </w:lvl>
  </w:abstractNum>
  <w:abstractNum w:abstractNumId="42">
    <w:nsid w:val="68EB2F63"/>
    <w:multiLevelType w:val="hybridMultilevel"/>
    <w:lvl w:ilvl="0">
      <w:lvlJc w:val="left"/>
      <w:lvlText w:val="(%1)"/>
      <w:numFmt w:val="decimal"/>
      <w:start w:val="1"/>
    </w:lvl>
  </w:abstractNum>
  <w:abstractNum w:abstractNumId="43">
    <w:nsid w:val="4962813B"/>
    <w:multiLevelType w:val="hybridMultilevel"/>
    <w:lvl w:ilvl="0">
      <w:lvlJc w:val="left"/>
      <w:lvlText w:val="(%1)"/>
      <w:numFmt w:val="lowerLetter"/>
      <w:start w:val="1"/>
    </w:lvl>
  </w:abstractNum>
  <w:abstractNum w:abstractNumId="44">
    <w:nsid w:val="60B6DF70"/>
    <w:multiLevelType w:val="hybridMultilevel"/>
    <w:lvl w:ilvl="0">
      <w:lvlJc w:val="left"/>
      <w:lvlText w:val="(%1)"/>
      <w:numFmt w:val="lowerLetter"/>
      <w:start w:val="1"/>
    </w:lvl>
  </w:abstractNum>
  <w:abstractNum w:abstractNumId="45">
    <w:nsid w:val="6A5EE64"/>
    <w:multiLevelType w:val="hybridMultilevel"/>
    <w:lvl w:ilvl="0">
      <w:lvlJc w:val="left"/>
      <w:lvlText w:val="(%1)"/>
      <w:numFmt w:val="lowerLetter"/>
      <w:start w:val="1"/>
    </w:lvl>
  </w:abstractNum>
  <w:abstractNum w:abstractNumId="46">
    <w:nsid w:val="14330624"/>
    <w:multiLevelType w:val="hybridMultilevel"/>
    <w:lvl w:ilvl="0">
      <w:lvlJc w:val="left"/>
      <w:lvlText w:val="(%1)"/>
      <w:numFmt w:val="lowerLetter"/>
      <w:start w:val="25"/>
    </w:lvl>
  </w:abstractNum>
  <w:abstractNum w:abstractNumId="47">
    <w:nsid w:val="7FFFCA11"/>
    <w:multiLevelType w:val="hybridMultilevel"/>
    <w:lvl w:ilvl="0">
      <w:lvlJc w:val="left"/>
      <w:lvlText w:val="(%1)"/>
      <w:numFmt w:val="decimal"/>
      <w:start w:val="1"/>
    </w:lvl>
  </w:abstractNum>
  <w:abstractNum w:abstractNumId="48">
    <w:nsid w:val="1A27709E"/>
    <w:multiLevelType w:val="hybridMultilevel"/>
    <w:lvl w:ilvl="0">
      <w:lvlJc w:val="left"/>
      <w:lvlText w:val="(%1)"/>
      <w:numFmt w:val="decimal"/>
      <w:start w:val="1"/>
    </w:lvl>
  </w:abstractNum>
  <w:abstractNum w:abstractNumId="49">
    <w:nsid w:val="71EA1109"/>
    <w:multiLevelType w:val="hybridMultilevel"/>
    <w:lvl w:ilvl="0">
      <w:lvlJc w:val="left"/>
      <w:lvlText w:val="(%1)"/>
      <w:numFmt w:val="decimal"/>
      <w:start w:val="3"/>
    </w:lvl>
  </w:abstractNum>
  <w:abstractNum w:abstractNumId="50">
    <w:nsid w:val="100F59DC"/>
    <w:multiLevelType w:val="hybridMultilevel"/>
    <w:lvl w:ilvl="0">
      <w:lvlJc w:val="left"/>
      <w:lvlText w:val="(%1)"/>
      <w:numFmt w:val="decimal"/>
      <w:start w:val="7"/>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1)"/>
      <w:numFmt w:val="lowerRoman"/>
      <w:start w:val="4"/>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1)"/>
      <w:numFmt w:val="lowerRoman"/>
      <w:start w:val="4"/>
    </w:lvl>
  </w:abstractNum>
  <w:abstractNum w:abstractNumId="65">
    <w:nsid w:val="4A2AC315"/>
    <w:multiLevelType w:val="hybridMultilevel"/>
    <w:lvl w:ilvl="0">
      <w:lvlJc w:val="left"/>
      <w:lvlText w:val="(%1)"/>
      <w:numFmt w:val="decimal"/>
      <w:start w:val="1"/>
    </w:lvl>
  </w:abstractNum>
  <w:abstractNum w:abstractNumId="66">
    <w:nsid w:val="39EE015C"/>
    <w:multiLevelType w:val="hybridMultilevel"/>
    <w:lvl w:ilvl="0">
      <w:lvlJc w:val="left"/>
      <w:lvlText w:val="%1"/>
      <w:numFmt w:val="decimal"/>
      <w:start w:val="18"/>
    </w:lvl>
  </w:abstractNum>
  <w:abstractNum w:abstractNumId="67">
    <w:nsid w:val="57FC4FBB"/>
    <w:multiLevelType w:val="hybridMultilevel"/>
    <w:lvl w:ilvl="0">
      <w:lvlJc w:val="left"/>
      <w:lvlText w:val="%1"/>
      <w:numFmt w:val="decimal"/>
      <w:start w:val="12"/>
    </w:lvl>
  </w:abstractNum>
  <w:abstractNum w:abstractNumId="68">
    <w:nsid w:val="CC1016F"/>
    <w:multiLevelType w:val="hybridMultilevel"/>
    <w:lvl w:ilvl="0">
      <w:lvlJc w:val="left"/>
      <w:lvlText w:val="(%1)"/>
      <w:numFmt w:val="decimal"/>
      <w:start w:val="1"/>
    </w:lvl>
  </w:abstractNum>
  <w:abstractNum w:abstractNumId="69">
    <w:nsid w:val="43F18422"/>
    <w:multiLevelType w:val="hybridMultilevel"/>
    <w:lvl w:ilvl="0">
      <w:lvlJc w:val="left"/>
      <w:lvlText w:val="(%1)"/>
      <w:numFmt w:val="lowerRoman"/>
      <w:start w:val="4"/>
    </w:lvl>
  </w:abstractNum>
  <w:abstractNum w:abstractNumId="70">
    <w:nsid w:val="60EF0119"/>
    <w:multiLevelType w:val="hybridMultilevel"/>
    <w:lvl w:ilvl="0">
      <w:lvlJc w:val="left"/>
      <w:lvlText w:val="(%1)"/>
      <w:numFmt w:val="lowerRoman"/>
      <w:start w:val="1"/>
    </w:lvl>
  </w:abstractNum>
  <w:abstractNum w:abstractNumId="71">
    <w:nsid w:val="26F324BA"/>
    <w:multiLevelType w:val="hybridMultilevel"/>
    <w:lvl w:ilvl="0">
      <w:lvlJc w:val="left"/>
      <w:lvlText w:val="(%1)"/>
      <w:numFmt w:val="decimal"/>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
      <w:numFmt w:val="bullet"/>
      <w:start w:val="1"/>
    </w:lvl>
  </w:abstractNum>
  <w:abstractNum w:abstractNumId="77">
    <w:nsid w:val="488AC1A"/>
    <w:multiLevelType w:val="hybridMultilevel"/>
    <w:lvl w:ilvl="0">
      <w:lvlJc w:val="left"/>
      <w:lvlText w:val="(%1)"/>
      <w:numFmt w:val="decimal"/>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
      <w:numFmt w:val="bullet"/>
      <w:start w:val="1"/>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
      <w:numFmt w:val="bullet"/>
      <w:start w:val="1"/>
    </w:lvl>
  </w:abstractNum>
  <w:abstractNum w:abstractNumId="83">
    <w:nsid w:val="7D5E18F8"/>
    <w:multiLevelType w:val="hybridMultilevel"/>
    <w:lvl w:ilvl="0">
      <w:lvlJc w:val="left"/>
      <w:lvlText w:val="•"/>
      <w:numFmt w:val="bullet"/>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
      <w:numFmt w:val="bullet"/>
      <w:start w:val="1"/>
    </w:lvl>
  </w:abstractNum>
  <w:abstractNum w:abstractNumId="86">
    <w:nsid w:val="7DE67713"/>
    <w:multiLevelType w:val="hybridMultilevel"/>
    <w:lvl w:ilvl="0">
      <w:lvlJc w:val="left"/>
      <w:lvlText w:val="•"/>
      <w:numFmt w:val="bullet"/>
      <w:start w:val="1"/>
    </w:lvl>
  </w:abstractNum>
  <w:abstractNum w:abstractNumId="87">
    <w:nsid w:val="555C55B5"/>
    <w:multiLevelType w:val="hybridMultilevel"/>
    <w:lvl w:ilvl="0">
      <w:lvlJc w:val="left"/>
      <w:lvlText w:val="(%1)"/>
      <w:numFmt w:val="lowerRoman"/>
      <w:start w:val="1"/>
    </w:lvl>
  </w:abstractNum>
  <w:abstractNum w:abstractNumId="88">
    <w:nsid w:val="3FA62ACA"/>
    <w:multiLevelType w:val="hybridMultilevel"/>
    <w:lvl w:ilvl="0">
      <w:lvlJc w:val="left"/>
      <w:lvlText w:val="(%1)"/>
      <w:numFmt w:val="lowerRoman"/>
      <w:start w:val="3"/>
    </w:lvl>
  </w:abstractNum>
  <w:abstractNum w:abstractNumId="89">
    <w:nsid w:val="14FCE74E"/>
    <w:multiLevelType w:val="hybridMultilevel"/>
    <w:lvl w:ilvl="0">
      <w:lvlJc w:val="left"/>
      <w:lvlText w:val="(%1)"/>
      <w:numFmt w:val="lowerRoman"/>
      <w:start w:val="8"/>
    </w:lvl>
  </w:abstractNum>
  <w:abstractNum w:abstractNumId="90">
    <w:nsid w:val="6A3DD3E8"/>
    <w:multiLevelType w:val="hybridMultilevel"/>
    <w:lvl w:ilvl="0">
      <w:lvlJc w:val="left"/>
      <w:lvlText w:val="(%1)"/>
      <w:numFmt w:val="lowerRoman"/>
      <w:start w:val="1"/>
    </w:lvl>
  </w:abstractNum>
  <w:abstractNum w:abstractNumId="91">
    <w:nsid w:val="71C91298"/>
    <w:multiLevelType w:val="hybridMultilevel"/>
    <w:lvl w:ilvl="0">
      <w:lvlJc w:val="left"/>
      <w:lvlText w:val="(%1)"/>
      <w:numFmt w:val="lowerLetter"/>
      <w:start w:val="1"/>
    </w:lvl>
  </w:abstractNum>
  <w:abstractNum w:abstractNumId="92">
    <w:nsid w:val="9DAF632"/>
    <w:multiLevelType w:val="hybridMultilevel"/>
    <w:lvl w:ilvl="0">
      <w:lvlJc w:val="left"/>
      <w:lvlText w:val="(%1)"/>
      <w:numFmt w:val="lowerRoman"/>
      <w:start w:val="3"/>
    </w:lvl>
  </w:abstractNum>
  <w:abstractNum w:abstractNumId="93">
    <w:nsid w:val="53299938"/>
    <w:multiLevelType w:val="hybridMultilevel"/>
    <w:lvl w:ilvl="0">
      <w:lvlJc w:val="left"/>
      <w:lvlText w:val="(%1)"/>
      <w:numFmt w:val="lowerLetter"/>
      <w:start w:val="1"/>
    </w:lvl>
  </w:abstractNum>
  <w:abstractNum w:abstractNumId="94">
    <w:nsid w:val="1FBFE8E0"/>
    <w:multiLevelType w:val="hybridMultilevel"/>
    <w:lvl w:ilvl="0">
      <w:lvlJc w:val="left"/>
      <w:lvlText w:val="(%1)"/>
      <w:numFmt w:val="lowerRoman"/>
      <w:start w:val="1"/>
    </w:lvl>
  </w:abstractNum>
  <w:abstractNum w:abstractNumId="95">
    <w:nsid w:val="5092CA79"/>
    <w:multiLevelType w:val="hybridMultilevel"/>
    <w:lvl w:ilvl="0">
      <w:lvlJc w:val="left"/>
      <w:lvlText w:val="(%1)"/>
      <w:numFmt w:val="lowerLetter"/>
      <w:start w:val="1"/>
    </w:lvl>
  </w:abstractNum>
  <w:abstractNum w:abstractNumId="96">
    <w:nsid w:val="1D545C4D"/>
    <w:multiLevelType w:val="hybridMultilevel"/>
    <w:lvl w:ilvl="0">
      <w:lvlJc w:val="left"/>
      <w:lvlText w:val="(%1)"/>
      <w:numFmt w:val="decimal"/>
      <w:start w:val="1"/>
    </w:lvl>
  </w:abstractNum>
  <w:abstractNum w:abstractNumId="97">
    <w:nsid w:val="59ADEA3D"/>
    <w:multiLevelType w:val="hybridMultilevel"/>
    <w:lvl w:ilvl="0">
      <w:lvlJc w:val="left"/>
      <w:lvlText w:val="%1."/>
      <w:numFmt w:val="decimal"/>
      <w:start w:val="2"/>
    </w:lvl>
  </w:abstractNum>
  <w:abstractNum w:abstractNumId="98">
    <w:nsid w:val="288F1A34"/>
    <w:multiLevelType w:val="hybridMultilevel"/>
    <w:lvl w:ilvl="0">
      <w:lvlJc w:val="left"/>
      <w:lvlText w:val="%1."/>
      <w:numFmt w:val="decimal"/>
      <w:start w:val="2"/>
    </w:lvl>
  </w:abstractNum>
  <w:abstractNum w:abstractNumId="99">
    <w:nsid w:val="2A155DBC"/>
    <w:multiLevelType w:val="hybridMultilevel"/>
    <w:lvl w:ilvl="0">
      <w:lvlJc w:val="left"/>
      <w:lvlText w:val="%1."/>
      <w:numFmt w:val="decimal"/>
      <w:start w:val="2"/>
    </w:lvl>
  </w:abstractNum>
  <w:abstractNum w:abstractNumId="100">
    <w:nsid w:val="1D9F6E5F"/>
    <w:multiLevelType w:val="hybridMultilevel"/>
    <w:lvl w:ilvl="0">
      <w:lvlJc w:val="left"/>
      <w:lvlText w:val="%1."/>
      <w:numFmt w:val="decimal"/>
      <w:start w:val="2"/>
    </w:lvl>
  </w:abstractNum>
  <w:abstractNum w:abstractNumId="101">
    <w:nsid w:val="97E1B4E"/>
    <w:multiLevelType w:val="hybridMultilevel"/>
    <w:lvl w:ilvl="0">
      <w:lvlJc w:val="left"/>
      <w:lvlText w:val="%1."/>
      <w:numFmt w:val="decimal"/>
      <w:start w:val="2"/>
    </w:lvl>
  </w:abstractNum>
  <w:abstractNum w:abstractNumId="102">
    <w:nsid w:val="51088277"/>
    <w:multiLevelType w:val="hybridMultilevel"/>
    <w:lvl w:ilvl="0">
      <w:lvlJc w:val="left"/>
      <w:lvlText w:val="%1."/>
      <w:numFmt w:val="decimal"/>
      <w:start w:val="2"/>
    </w:lvl>
  </w:abstractNum>
  <w:abstractNum w:abstractNumId="103">
    <w:nsid w:val="1CA0C5FA"/>
    <w:multiLevelType w:val="hybridMultilevel"/>
    <w:lvl w:ilvl="0">
      <w:lvlJc w:val="left"/>
      <w:lvlText w:val="%1."/>
      <w:numFmt w:val="decimal"/>
      <w:start w:val="2"/>
    </w:lvl>
  </w:abstractNum>
  <w:abstractNum w:abstractNumId="104">
    <w:nsid w:val="53584BCB"/>
    <w:multiLevelType w:val="hybridMultilevel"/>
    <w:lvl w:ilvl="0">
      <w:lvlJc w:val="left"/>
      <w:lvlText w:val="(%1)"/>
      <w:numFmt w:val="decimal"/>
      <w:start w:val="1"/>
    </w:lvl>
  </w:abstractNum>
  <w:abstractNum w:abstractNumId="105">
    <w:nsid w:val="415E286C"/>
    <w:multiLevelType w:val="hybridMultilevel"/>
    <w:lvl w:ilvl="0">
      <w:lvlJc w:val="left"/>
      <w:lvlText w:val="(%1)"/>
      <w:numFmt w:val="decimal"/>
      <w:start w:val="1"/>
    </w:lvl>
  </w:abstractNum>
  <w:abstractNum w:abstractNumId="106">
    <w:nsid w:val="7C58FD05"/>
    <w:multiLevelType w:val="hybridMultilevel"/>
    <w:lvl w:ilvl="0">
      <w:lvlJc w:val="left"/>
      <w:lvlText w:val="(%1)"/>
      <w:numFmt w:val="decimal"/>
      <w:start w:val="1"/>
    </w:lvl>
  </w:abstractNum>
  <w:abstractNum w:abstractNumId="107">
    <w:nsid w:val="23D86AAC"/>
    <w:multiLevelType w:val="hybridMultilevel"/>
    <w:lvl w:ilvl="0">
      <w:lvlJc w:val="left"/>
      <w:lvlText w:val="(%1)"/>
      <w:numFmt w:val="decimal"/>
      <w:start w:val="1"/>
    </w:lvl>
  </w:abstractNum>
  <w:abstractNum w:abstractNumId="108">
    <w:nsid w:val="45E6D486"/>
    <w:multiLevelType w:val="hybridMultilevel"/>
    <w:lvl w:ilvl="0">
      <w:lvlJc w:val="left"/>
      <w:lvlText w:val="(%1)"/>
      <w:numFmt w:val="decimal"/>
      <w:start w:val="4"/>
    </w:lvl>
  </w:abstractNum>
  <w:abstractNum w:abstractNumId="109">
    <w:nsid w:val="5C10FE21"/>
    <w:multiLevelType w:val="hybridMultilevel"/>
    <w:lvl w:ilvl="0">
      <w:lvlJc w:val="left"/>
      <w:lvlText w:val="%1."/>
      <w:numFmt w:val="decimal"/>
      <w:start w:val="19"/>
    </w:lvl>
  </w:abstractNum>
  <w:abstractNum w:abstractNumId="110">
    <w:nsid w:val="E7FFA2B"/>
    <w:multiLevelType w:val="hybridMultilevel"/>
    <w:lvl w:ilvl="0">
      <w:lvlJc w:val="left"/>
      <w:lvlText w:val="(%1)"/>
      <w:numFmt w:val="decimal"/>
      <w:start w:val="1"/>
    </w:lvl>
  </w:abstractNum>
  <w:abstractNum w:abstractNumId="111">
    <w:nsid w:val="3C5991AA"/>
    <w:multiLevelType w:val="hybridMultilevel"/>
    <w:lvl w:ilvl="0">
      <w:lvlJc w:val="left"/>
      <w:lvlText w:val="(%1)"/>
      <w:numFmt w:val="decimal"/>
      <w:start w:val="1"/>
    </w:lvl>
  </w:abstractNum>
  <w:abstractNum w:abstractNumId="112">
    <w:nsid w:val="4BD8591A"/>
    <w:multiLevelType w:val="hybridMultilevel"/>
    <w:lvl w:ilvl="0">
      <w:lvlJc w:val="left"/>
      <w:lvlText w:val="%1)"/>
      <w:numFmt w:val="decimal"/>
      <w:start w:val="842"/>
    </w:lvl>
  </w:abstractNum>
  <w:abstractNum w:abstractNumId="113">
    <w:nsid w:val="78DF6A55"/>
    <w:multiLevelType w:val="hybridMultilevel"/>
    <w:lvl w:ilvl="0">
      <w:lvlJc w:val="left"/>
      <w:lvlText w:val="(%1)"/>
      <w:numFmt w:val="lowerRoman"/>
      <w:start w:val="4"/>
    </w:lvl>
  </w:abstractNum>
  <w:abstractNum w:abstractNumId="114">
    <w:nsid w:val="39B7AAA2"/>
    <w:multiLevelType w:val="hybridMultilevel"/>
    <w:lvl w:ilvl="0">
      <w:lvlJc w:val="left"/>
      <w:lvlText w:val="$"/>
      <w:numFmt w:val="bullet"/>
      <w:start w:val="1"/>
    </w:lvl>
    <w:lvl w:ilvl="1">
      <w:lvlJc w:val="left"/>
      <w:lvlText w:val="(%2)"/>
      <w:numFmt w:val="decimal"/>
      <w:start w:val="446"/>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jpe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2021-10-18T16:26:19Z</dcterms:created>
  <dcterms:modified xsi:type="dcterms:W3CDTF">2021-10-18T16:26:19Z</dcterms:modified>
</cp:coreProperties>
</file>