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HorizontalLine"/>
        <w:bidi w:val="0"/>
        <w:jc w:val="center"/>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April 15, 2026</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center"/>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Sun Country Airlines Holdings,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b/>
          <w:color w:val="000000"/>
          <w:sz w:val="20"/>
          <w:shd w:fill="FFFFFF" w:val="clear"/>
        </w:rPr>
        <w:t>(</w:t>
      </w:r>
      <w:r>
        <w:rPr>
          <w:rFonts w:ascii="Times New Roman" w:hAnsi="Times New Roman"/>
          <w:color w:val="000000"/>
          <w:sz w:val="20"/>
          <w:shd w:fill="FFFFFF" w:val="clear"/>
        </w:rPr>
        <w:t>Exact name of Registrant as specified in its charter</w:t>
      </w:r>
      <w:r>
        <w:rPr>
          <w:rFonts w:ascii="Times New Roman" w:hAnsi="Times New Roman"/>
          <w:b/>
          <w:color w:val="000000"/>
          <w:sz w:val="20"/>
          <w:shd w:fill="FFFFFF" w:val="clear"/>
        </w:rPr>
        <w:t>)</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tbl>
      <w:tblPr>
        <w:tblW w:w="7020" w:type="dxa"/>
        <w:jc w:val="left"/>
        <w:tblInd w:w="0" w:type="dxa"/>
        <w:tblLayout w:type="fixed"/>
        <w:tblCellMar>
          <w:top w:w="0" w:type="dxa"/>
          <w:left w:w="0" w:type="dxa"/>
          <w:bottom w:w="0" w:type="dxa"/>
          <w:right w:w="0" w:type="dxa"/>
        </w:tblCellMar>
      </w:tblPr>
      <w:tblGrid>
        <w:gridCol w:w="1910"/>
        <w:gridCol w:w="2210"/>
        <w:gridCol w:w="2900"/>
      </w:tblGrid>
      <w:tr>
        <w:trPr/>
        <w:tc>
          <w:tcPr>
            <w:tcW w:w="19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001-40217</w:t>
            </w:r>
          </w:p>
        </w:tc>
        <w:tc>
          <w:tcPr>
            <w:tcW w:w="29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82-4092570</w:t>
            </w:r>
          </w:p>
        </w:tc>
      </w:tr>
      <w:tr>
        <w:trPr/>
        <w:tc>
          <w:tcPr>
            <w:tcW w:w="1910" w:type="dxa"/>
            <w:tcBorders/>
            <w:vAlign w:val="center"/>
          </w:tcPr>
          <w:p>
            <w:pPr>
              <w:pStyle w:val="TableContents"/>
              <w:bidi w:val="0"/>
              <w:spacing w:before="0" w:after="0"/>
              <w:jc w:val="center"/>
              <w:rPr>
                <w:rFonts w:ascii="Times New Roman" w:hAnsi="Times New Roman"/>
                <w:color w:val="000000"/>
                <w:sz w:val="16"/>
              </w:rPr>
            </w:pPr>
            <w:r>
              <w:rPr>
                <w:rFonts w:ascii="Times New Roman" w:hAnsi="Times New Roman"/>
                <w:b/>
                <w:color w:val="000000"/>
                <w:sz w:val="20"/>
              </w:rPr>
              <w:t>(</w:t>
            </w:r>
            <w:r>
              <w:rPr>
                <w:rFonts w:ascii="Times New Roman" w:hAnsi="Times New Roman"/>
                <w:color w:val="000000"/>
                <w:sz w:val="20"/>
              </w:rPr>
              <w:t>State of incorporation</w:t>
            </w:r>
            <w:r>
              <w:rPr>
                <w:rFonts w:ascii="Times New Roman" w:hAnsi="Times New Roman"/>
                <w:b/>
                <w:color w:val="000000"/>
                <w:sz w:val="20"/>
              </w:rPr>
              <w:t>)</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9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2005 Cargo Road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Minneapolis, Minnesota</w:t>
            </w:r>
          </w:p>
        </w:tc>
        <w:tc>
          <w:tcPr>
            <w:tcW w:w="60" w:type="dxa"/>
            <w:tcBorders/>
            <w:vAlign w:val="center"/>
          </w:tcPr>
          <w:p>
            <w:pPr>
              <w:pStyle w:val="TableContents"/>
              <w:bidi w:val="0"/>
              <w:spacing w:before="0" w:after="283"/>
              <w:jc w:val="center"/>
              <w:rPr/>
            </w:pPr>
            <w:r>
              <w:rPr/>
              <w:t> </w:t>
            </w:r>
          </w:p>
        </w:tc>
        <w:tc>
          <w:tcPr>
            <w:tcW w:w="905" w:type="dxa"/>
            <w:tcBorders/>
            <w:vAlign w:val="center"/>
          </w:tcPr>
          <w:p>
            <w:pPr>
              <w:pStyle w:val="TableContents"/>
              <w:bidi w:val="0"/>
              <w:spacing w:before="0" w:after="0"/>
              <w:jc w:val="center"/>
              <w:rPr>
                <w:rFonts w:ascii="Times New Roman" w:hAnsi="Times New Roman"/>
                <w:b/>
                <w:color w:val="000000"/>
              </w:rPr>
            </w:pPr>
            <w:r>
              <w:rPr>
                <w:rFonts w:ascii="Times New Roman" w:hAnsi="Times New Roman"/>
                <w:b/>
                <w:color w:val="000000"/>
              </w:rPr>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55450</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283"/>
              <w:jc w:val="center"/>
              <w:rPr/>
            </w:pPr>
            <w:r>
              <w:rPr/>
              <w:t> </w:t>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sz w:val="20"/>
        </w:rPr>
      </w:pPr>
      <w:r>
        <w:rPr>
          <w:sz w:val="20"/>
        </w:rPr>
      </w:r>
    </w:p>
    <w:tbl>
      <w:tblPr>
        <w:tblW w:w="5703" w:type="dxa"/>
        <w:jc w:val="left"/>
        <w:tblInd w:w="0" w:type="dxa"/>
        <w:tblLayout w:type="fixed"/>
        <w:tblCellMar>
          <w:top w:w="0" w:type="dxa"/>
          <w:left w:w="0" w:type="dxa"/>
          <w:bottom w:w="0" w:type="dxa"/>
          <w:right w:w="0" w:type="dxa"/>
        </w:tblCellMar>
      </w:tblPr>
      <w:tblGrid>
        <w:gridCol w:w="4385"/>
        <w:gridCol w:w="1295"/>
        <w:gridCol w:w="23"/>
      </w:tblGrid>
      <w:tr>
        <w:trPr/>
        <w:tc>
          <w:tcPr>
            <w:tcW w:w="4385" w:type="dxa"/>
            <w:tcBorders/>
            <w:vAlign w:val="center"/>
          </w:tcPr>
          <w:p>
            <w:pPr>
              <w:pStyle w:val="TableContents"/>
              <w:bidi w:val="0"/>
              <w:spacing w:before="0" w:after="0"/>
              <w:ind w:left="25" w:right="0" w:hanging="0"/>
              <w:jc w:val="center"/>
              <w:rPr>
                <w:rFonts w:ascii="Times New Roman" w:hAnsi="Times New Roman"/>
                <w:color w:val="000000"/>
                <w:sz w:val="20"/>
              </w:rPr>
            </w:pPr>
            <w:r>
              <w:rPr>
                <w:rFonts w:ascii="Times New Roman" w:hAnsi="Times New Roman"/>
                <w:color w:val="000000"/>
                <w:sz w:val="20"/>
              </w:rPr>
              <w:t>(Registrant’s telephone number, including area code):</w:t>
            </w:r>
          </w:p>
        </w:tc>
        <w:tc>
          <w:tcPr>
            <w:tcW w:w="1295" w:type="dxa"/>
            <w:tcBorders/>
            <w:vAlign w:val="center"/>
          </w:tcPr>
          <w:p>
            <w:pPr>
              <w:pStyle w:val="TableContents"/>
              <w:bidi w:val="0"/>
              <w:spacing w:before="0" w:after="0"/>
              <w:ind w:left="25" w:right="0" w:hanging="0"/>
              <w:jc w:val="center"/>
              <w:rPr>
                <w:rFonts w:ascii="Times New Roman" w:hAnsi="Times New Roman"/>
                <w:b/>
                <w:color w:val="000000"/>
                <w:sz w:val="20"/>
              </w:rPr>
            </w:pPr>
            <w:r>
              <w:rPr>
                <w:rFonts w:ascii="Times New Roman" w:hAnsi="Times New Roman"/>
                <w:b/>
                <w:color w:val="000000"/>
                <w:sz w:val="20"/>
              </w:rPr>
              <w:t>(651) 681-3900</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sz w:val="20"/>
        </w:rPr>
      </w:pPr>
      <w:r>
        <w:rPr>
          <w:sz w:val="20"/>
        </w:rPr>
      </w:r>
    </w:p>
    <w:p>
      <w:pPr>
        <w:pStyle w:val="TextBody"/>
        <w:bidi w:val="0"/>
        <w:spacing w:before="0" w:after="0"/>
        <w:ind w:left="25" w:right="0" w:hanging="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ind w:left="720" w:right="0" w:hanging="72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720" w:right="0" w:hanging="720"/>
        <w:jc w:val="left"/>
        <w:rPr>
          <w:sz w:val="20"/>
        </w:rPr>
      </w:pPr>
      <w:r>
        <w:rPr>
          <w:sz w:val="20"/>
        </w:rPr>
      </w:r>
      <w:bookmarkStart w:id="0" w:name="z_Hlk218720487"/>
      <w:bookmarkStart w:id="1" w:name="z_Hlk218720487"/>
      <w:bookmarkEnd w:id="1"/>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720" w:right="0" w:hanging="72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720" w:right="0" w:hanging="72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6345" w:type="dxa"/>
        <w:jc w:val="left"/>
        <w:tblInd w:w="0" w:type="dxa"/>
        <w:tblLayout w:type="fixed"/>
        <w:tblCellMar>
          <w:top w:w="0" w:type="dxa"/>
          <w:left w:w="0" w:type="dxa"/>
          <w:bottom w:w="28" w:type="dxa"/>
          <w:right w:w="0" w:type="dxa"/>
        </w:tblCellMar>
      </w:tblPr>
      <w:tblGrid>
        <w:gridCol w:w="3365"/>
        <w:gridCol w:w="60"/>
        <w:gridCol w:w="860"/>
        <w:gridCol w:w="60"/>
        <w:gridCol w:w="2000"/>
      </w:tblGrid>
      <w:tr>
        <w:trPr/>
        <w:tc>
          <w:tcPr>
            <w:tcW w:w="33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283"/>
              <w:jc w:val="left"/>
              <w:rPr/>
            </w:pPr>
            <w:r>
              <w:rPr/>
              <w:t> </w:t>
            </w:r>
          </w:p>
        </w:tc>
        <w:tc>
          <w:tcPr>
            <w:tcW w:w="200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3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SNCY</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NASDAQ</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2065" w:type="dxa"/>
        <w:jc w:val="left"/>
        <w:tblInd w:w="0" w:type="dxa"/>
        <w:tblLayout w:type="fixed"/>
        <w:tblCellMar>
          <w:top w:w="0" w:type="dxa"/>
          <w:left w:w="0" w:type="dxa"/>
          <w:bottom w:w="0" w:type="dxa"/>
          <w:right w:w="0" w:type="dxa"/>
        </w:tblCellMar>
      </w:tblPr>
      <w:tblGrid>
        <w:gridCol w:w="875"/>
        <w:gridCol w:w="119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previously announced, on January 11, 2026, Sun Country Airlines Holdings, Inc., a Delaware corporation (the “</w:t>
      </w:r>
      <w:r>
        <w:rPr>
          <w:rFonts w:ascii="Times New Roman" w:hAnsi="Times New Roman"/>
          <w:color w:val="000000"/>
          <w:sz w:val="20"/>
          <w:u w:val="single"/>
          <w:shd w:fill="FFFFFF" w:val="clear"/>
        </w:rPr>
        <w:t>Sun Country</w:t>
      </w:r>
      <w:r>
        <w:rPr>
          <w:rFonts w:ascii="Times New Roman" w:hAnsi="Times New Roman"/>
          <w:color w:val="000000"/>
          <w:sz w:val="20"/>
          <w:shd w:fill="FFFFFF" w:val="clear"/>
        </w:rPr>
        <w:t>”), entered into an Agreement and Plan of Merger (the “</w:t>
      </w:r>
      <w:r>
        <w:rPr>
          <w:rFonts w:ascii="Times New Roman" w:hAnsi="Times New Roman"/>
          <w:color w:val="000000"/>
          <w:sz w:val="20"/>
          <w:u w:val="single"/>
          <w:shd w:fill="FFFFFF" w:val="clear"/>
        </w:rPr>
        <w:t>Merger Agreement</w:t>
      </w:r>
      <w:r>
        <w:rPr>
          <w:rFonts w:ascii="Times New Roman" w:hAnsi="Times New Roman"/>
          <w:color w:val="000000"/>
          <w:sz w:val="20"/>
          <w:shd w:fill="FFFFFF" w:val="clear"/>
        </w:rPr>
        <w:t>”) with Allegiant Travel Company, a Nevada corporation (“</w:t>
      </w:r>
      <w:r>
        <w:rPr>
          <w:rFonts w:ascii="Times New Roman" w:hAnsi="Times New Roman"/>
          <w:color w:val="000000"/>
          <w:sz w:val="20"/>
          <w:u w:val="single"/>
          <w:shd w:fill="FFFFFF" w:val="clear"/>
        </w:rPr>
        <w:t>Allegiant</w:t>
      </w:r>
      <w:r>
        <w:rPr>
          <w:rFonts w:ascii="Times New Roman" w:hAnsi="Times New Roman"/>
          <w:color w:val="000000"/>
          <w:sz w:val="20"/>
          <w:shd w:fill="FFFFFF" w:val="clear"/>
        </w:rPr>
        <w:t>”), Mirage Merger Sub, Inc., a Delaware corporation and a direct wholly owned subsidiary of Allegiant (“</w:t>
      </w:r>
      <w:r>
        <w:rPr>
          <w:rFonts w:ascii="Times New Roman" w:hAnsi="Times New Roman"/>
          <w:color w:val="000000"/>
          <w:sz w:val="20"/>
          <w:u w:val="single"/>
          <w:shd w:fill="FFFFFF" w:val="clear"/>
        </w:rPr>
        <w:t>Merger Sub 1</w:t>
      </w:r>
      <w:r>
        <w:rPr>
          <w:rFonts w:ascii="Times New Roman" w:hAnsi="Times New Roman"/>
          <w:color w:val="000000"/>
          <w:sz w:val="20"/>
          <w:shd w:fill="FFFFFF" w:val="clear"/>
        </w:rPr>
        <w:t>”), and Sawdust Merger Sub, LLC, a Nevada limited liability company and a direct wholly owned subsidiary of Allegiant (“</w:t>
      </w:r>
      <w:r>
        <w:rPr>
          <w:rFonts w:ascii="Times New Roman" w:hAnsi="Times New Roman"/>
          <w:color w:val="000000"/>
          <w:sz w:val="20"/>
          <w:u w:val="single"/>
          <w:shd w:fill="FFFFFF" w:val="clear"/>
        </w:rPr>
        <w:t>Merger Sub 2</w:t>
      </w:r>
      <w:r>
        <w:rPr>
          <w:rFonts w:ascii="Times New Roman" w:hAnsi="Times New Roman"/>
          <w:color w:val="000000"/>
          <w:sz w:val="20"/>
          <w:shd w:fill="FFFFFF" w:val="clear"/>
        </w:rPr>
        <w:t>”), providing for the merger of Merger Sub 1 with and into Sun Country (the “</w:t>
      </w:r>
      <w:r>
        <w:rPr>
          <w:rFonts w:ascii="Times New Roman" w:hAnsi="Times New Roman"/>
          <w:color w:val="000000"/>
          <w:sz w:val="20"/>
          <w:u w:val="single"/>
          <w:shd w:fill="FFFFFF" w:val="clear"/>
        </w:rPr>
        <w:t>First Merger</w:t>
      </w:r>
      <w:r>
        <w:rPr>
          <w:rFonts w:ascii="Times New Roman" w:hAnsi="Times New Roman"/>
          <w:color w:val="000000"/>
          <w:sz w:val="20"/>
          <w:shd w:fill="FFFFFF" w:val="clear"/>
        </w:rPr>
        <w:t>”), with Sun Country surviving the First Merger as a direct wholly owned subsidiary of Allegiant and immediately following the First Merger, the merger of Sun Country with and into Merger Sub 2 (the “</w:t>
      </w:r>
      <w:r>
        <w:rPr>
          <w:rFonts w:ascii="Times New Roman" w:hAnsi="Times New Roman"/>
          <w:color w:val="000000"/>
          <w:sz w:val="20"/>
          <w:u w:val="single"/>
          <w:shd w:fill="FFFFFF" w:val="clear"/>
        </w:rPr>
        <w:t>Second Merger</w:t>
      </w:r>
      <w:r>
        <w:rPr>
          <w:rFonts w:ascii="Times New Roman" w:hAnsi="Times New Roman"/>
          <w:color w:val="000000"/>
          <w:sz w:val="20"/>
          <w:shd w:fill="FFFFFF" w:val="clear"/>
        </w:rPr>
        <w:t>” and, together with the First Merger, the “</w:t>
      </w:r>
      <w:r>
        <w:rPr>
          <w:rFonts w:ascii="Times New Roman" w:hAnsi="Times New Roman"/>
          <w:color w:val="000000"/>
          <w:sz w:val="20"/>
          <w:u w:val="single"/>
          <w:shd w:fill="FFFFFF" w:val="clear"/>
        </w:rPr>
        <w:t>Mergers</w:t>
      </w:r>
      <w:r>
        <w:rPr>
          <w:rFonts w:ascii="Times New Roman" w:hAnsi="Times New Roman"/>
          <w:color w:val="000000"/>
          <w:sz w:val="20"/>
          <w:shd w:fill="FFFFFF" w:val="clear"/>
        </w:rPr>
        <w:t>”), with Merger Sub 2 surviving the Second Merger as a direct, wholly owned subsidiary of Allegiant.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previously disclosed, the Mergers are conditioned on, among other things, receipt of any required approvals of the U.S. Department of Transportation (the “</w:t>
      </w:r>
      <w:r>
        <w:rPr>
          <w:rFonts w:ascii="Times New Roman" w:hAnsi="Times New Roman"/>
          <w:color w:val="000000"/>
          <w:sz w:val="20"/>
          <w:u w:val="single"/>
          <w:shd w:fill="FFFFFF" w:val="clear"/>
        </w:rPr>
        <w:t>DOT</w:t>
      </w:r>
      <w:r>
        <w:rPr>
          <w:rFonts w:ascii="Times New Roman" w:hAnsi="Times New Roman"/>
          <w:color w:val="000000"/>
          <w:sz w:val="20"/>
          <w:shd w:fill="FFFFFF" w:val="clear"/>
        </w:rPr>
        <w:t>”), including the DOT’s approval of an interim exemption application that Allegiant and Sun Country have previously jointly submitted. On April 15, 2026, Allegiant and Sun Country issued a joint press release announcing that the DOT has granted the requested interim exemption.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copy of the press release is attached as Exhibit 99.1 hereto and incorporated by reference herein.</w:t>
      </w:r>
    </w:p>
    <w:p>
      <w:pPr>
        <w:pStyle w:val="TextBody"/>
        <w:bidi w:val="0"/>
        <w:spacing w:before="0" w:after="0"/>
        <w:jc w:val="left"/>
        <w:rPr>
          <w:sz w:val="20"/>
        </w:rPr>
      </w:pPr>
      <w:r>
        <w:rPr>
          <w:sz w:val="20"/>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sz w:val="20"/>
        </w:rPr>
      </w:pPr>
      <w:r>
        <w:rPr>
          <w:sz w:val="20"/>
        </w:rPr>
      </w:r>
    </w:p>
    <w:tbl>
      <w:tblPr>
        <w:tblW w:w="7120" w:type="dxa"/>
        <w:jc w:val="left"/>
        <w:tblInd w:w="0" w:type="dxa"/>
        <w:tblLayout w:type="fixed"/>
        <w:tblCellMar>
          <w:top w:w="0" w:type="dxa"/>
          <w:left w:w="0" w:type="dxa"/>
          <w:bottom w:w="0" w:type="dxa"/>
          <w:right w:w="0" w:type="dxa"/>
        </w:tblCellMar>
      </w:tblPr>
      <w:tblGrid>
        <w:gridCol w:w="650"/>
        <w:gridCol w:w="6470"/>
      </w:tblGrid>
      <w:tr>
        <w:trPr/>
        <w:tc>
          <w:tcPr>
            <w:tcW w:w="65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w:t>
            </w:r>
          </w:p>
        </w:tc>
        <w:tc>
          <w:tcPr>
            <w:tcW w:w="64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Description</w:t>
            </w:r>
          </w:p>
        </w:tc>
      </w:tr>
      <w:tr>
        <w:trPr/>
        <w:tc>
          <w:tcPr>
            <w:tcW w:w="65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pPr>
            <w:hyperlink w:anchor="ef20070584_ex99-1.htm">
              <w:r>
                <w:rPr>
                  <w:rStyle w:val="InternetLink"/>
                  <w:rFonts w:ascii="Times New Roman" w:hAnsi="Times New Roman"/>
                  <w:color w:val="000000"/>
                  <w:sz w:val="20"/>
                </w:rPr>
                <w:t>99.1</w:t>
              </w:r>
            </w:hyperlink>
          </w:p>
        </w:tc>
        <w:tc>
          <w:tcPr>
            <w:tcW w:w="64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dated April 15, 2026</w:t>
            </w:r>
          </w:p>
        </w:tc>
      </w:tr>
      <w:tr>
        <w:trPr/>
        <w:tc>
          <w:tcPr>
            <w:tcW w:w="65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4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bookmarkStart w:id="2" w:name="z_Hlk219040987"/>
      <w:bookmarkEnd w:id="2"/>
      <w:r>
        <w:rPr>
          <w:rFonts w:ascii="Times New Roman" w:hAnsi="Times New Roman"/>
          <w:b/>
          <w:color w:val="000000"/>
          <w:sz w:val="20"/>
          <w:shd w:fill="FFFFFF" w:val="clear"/>
        </w:rPr>
        <w:t>Cautionary Statement Regarding Forward-Looking Statements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as well as the risk factors included in Allegiant’s registration statement on Form S-4 (Registration No. 333-294712), as filed with the SEC on March 27, 2026 (https://www.sec.gov/Archives/edgar/data/1362468/000114036126011799/ny20065073x3_s4.htm) (the “Registration Statement”), and readers should refer to such risks, uncertainties and risk factors in evaluating such forward-looking statements.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Important Additional Information and Where to Find It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proposed transaction, Allegiant filed with the SEC the Registration Statement, which includes a prospectus with respect to the shares of Allegiant’s common stock to be issued in the proposed transaction and a joint proxy statement for Allegiant’s and Sun Country’s respective stockholders. The Registration Statement was declared effective on March 31, 2026, and Allegiant filed a final prospectus on March 31, 2026 (which is available at https://www.sec.gov/Archives/edgar/data/1362468/000114036126012380/ny20065073x5_424b3.htm), and Sun Country filed a definitive proxy statement on March 31, 2026 (which is available at https://www.sec.gov/Archives/edgar/data/1743907/000114036126012383/ny20068391x1_defm14a.htm) (together, the “Definitive Joint Proxy Statement/Prospectus”).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Each of Allegiant and Sun Country may also file with or furnish to the SEC other relevant documents regarding the proposed transaction. This communication is not a substitute for the Registration Statement, the Definitive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shd w:fill="FFFFFF" w:val="clear"/>
        </w:rPr>
        <w:t xml:space="preserve">INVESTORS AND SECURITY HOLDERS OF ALLEGIANT AND SUN COUNTRY ARE URGED TO READ THE REGISTRATION STATEMENT AND THE DEFINITIVE JOINT PROXY STATEMENT/PROSPECTUS INCLUDED WITHIN THE REGISTRATION STATEMENT, AS WELL AS ANY OTHER RELEVANT DOCUMENTS FILED WITH THE SEC IN CONNECTION WITH THE PROPOSED TRANSACTION OR INCORPORATED BY REFERENCE INTO THE REGISTRATION STATEMENT AND THE DEFINITIVE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shd w:fill="FFFFFF" w:val="clear"/>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Participants In The Solicitation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is included in the Definitive Joint Proxy Statement/Prospectus.</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Information about the directors and executive officers of Allegiant, their ownership of Allegiant common stock and Allegiant’s transactions with related persons can also be found in the Allegiant Annual Report on Form 10-K for the fiscal year ended December 31, 2025, filed with the SEC on February 26, 2026, as amended by Amendment No. 1 on Form 10-K/A, filed with the SEC on March 26, 2026 (the “Allegiant Annual Report”), and other documents subsequently filed by Allegiant with the SEC, which are available on its website, https://ir.allegiantair.com/financials/sec-filings/default.aspx.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Free copies of these documents may be obtained as described above.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 Offer or Solicitation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sz w:val="20"/>
        </w:rPr>
      </w:pPr>
      <w:r>
        <w:rPr>
          <w:sz w:val="20"/>
        </w:rPr>
      </w:r>
    </w:p>
    <w:tbl>
      <w:tblPr>
        <w:tblW w:w="7752" w:type="dxa"/>
        <w:jc w:val="left"/>
        <w:tblInd w:w="0" w:type="dxa"/>
        <w:tblLayout w:type="fixed"/>
        <w:tblCellMar>
          <w:top w:w="0" w:type="dxa"/>
          <w:left w:w="0" w:type="dxa"/>
          <w:bottom w:w="0" w:type="dxa"/>
          <w:right w:w="0" w:type="dxa"/>
        </w:tblCellMar>
      </w:tblPr>
      <w:tblGrid>
        <w:gridCol w:w="1685"/>
        <w:gridCol w:w="618"/>
        <w:gridCol w:w="5393"/>
        <w:gridCol w:w="56"/>
      </w:tblGrid>
      <w:tr>
        <w:trPr/>
        <w:tc>
          <w:tcPr>
            <w:tcW w:w="1685" w:type="dxa"/>
            <w:tcBorders/>
            <w:vAlign w:val="center"/>
          </w:tcPr>
          <w:p>
            <w:pPr>
              <w:pStyle w:val="TableContents"/>
              <w:bidi w:val="0"/>
              <w:spacing w:before="0" w:after="283"/>
              <w:jc w:val="left"/>
              <w:rPr/>
            </w:pPr>
            <w:r>
              <w:rPr/>
              <w:t> </w:t>
            </w:r>
          </w:p>
        </w:tc>
        <w:tc>
          <w:tcPr>
            <w:tcW w:w="6067" w:type="dxa"/>
            <w:gridSpan w:val="3"/>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Sun Country Airline Holdings, Inc.</w:t>
            </w:r>
          </w:p>
        </w:tc>
      </w:tr>
      <w:tr>
        <w:trPr/>
        <w:tc>
          <w:tcPr>
            <w:tcW w:w="1685"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pPr>
            <w:r>
              <w:rPr/>
              <w:t> </w:t>
            </w:r>
          </w:p>
        </w:tc>
        <w:tc>
          <w:tcPr>
            <w:tcW w:w="5449" w:type="dxa"/>
            <w:gridSpan w:val="2"/>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April 15, 2026</w:t>
            </w:r>
          </w:p>
        </w:tc>
        <w:tc>
          <w:tcPr>
            <w:tcW w:w="61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5393" w:type="dxa"/>
            <w:tcBorders>
              <w:bottom w:val="single" w:sz="12" w:space="0" w:color="000000"/>
            </w:tcBorders>
            <w:tcMar>
              <w:bottom w:w="28" w:type="dxa"/>
            </w:tcMar>
            <w:vAlign w:val="center"/>
          </w:tcPr>
          <w:p>
            <w:pPr>
              <w:pStyle w:val="TableContents"/>
              <w:bidi w:val="0"/>
              <w:spacing w:before="0" w:after="0"/>
              <w:ind w:left="0" w:right="630" w:hanging="0"/>
              <w:jc w:val="left"/>
              <w:rPr>
                <w:rFonts w:ascii="Times New Roman" w:hAnsi="Times New Roman"/>
                <w:color w:val="000000"/>
                <w:sz w:val="20"/>
              </w:rPr>
            </w:pPr>
            <w:r>
              <w:rPr>
                <w:rFonts w:ascii="Times New Roman" w:hAnsi="Times New Roman"/>
                <w:color w:val="000000"/>
                <w:sz w:val="20"/>
              </w:rPr>
              <w:t>/s/ Erin Rose Neale</w:t>
            </w:r>
          </w:p>
        </w:tc>
        <w:tc>
          <w:tcPr>
            <w:tcW w:w="56" w:type="dxa"/>
            <w:tcBorders/>
            <w:vAlign w:val="center"/>
          </w:tcPr>
          <w:p>
            <w:pPr>
              <w:pStyle w:val="TableContents"/>
              <w:bidi w:val="0"/>
              <w:spacing w:before="0" w:after="283"/>
              <w:jc w:val="left"/>
              <w:rPr/>
            </w:pPr>
            <w:r>
              <w:rPr/>
            </w:r>
          </w:p>
        </w:tc>
      </w:tr>
      <w:tr>
        <w:trPr/>
        <w:tc>
          <w:tcPr>
            <w:tcW w:w="1685"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Name: </w:t>
            </w:r>
          </w:p>
        </w:tc>
        <w:tc>
          <w:tcPr>
            <w:tcW w:w="544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Erin Rose Neale</w:t>
            </w:r>
          </w:p>
        </w:tc>
      </w:tr>
      <w:tr>
        <w:trPr/>
        <w:tc>
          <w:tcPr>
            <w:tcW w:w="1685" w:type="dxa"/>
            <w:tcBorders/>
            <w:vAlign w:val="center"/>
          </w:tcPr>
          <w:p>
            <w:pPr>
              <w:pStyle w:val="TableContents"/>
              <w:bidi w:val="0"/>
              <w:spacing w:before="0" w:after="283"/>
              <w:jc w:val="left"/>
              <w:rPr/>
            </w:pPr>
            <w:r>
              <w:rPr/>
            </w:r>
          </w:p>
        </w:tc>
        <w:tc>
          <w:tcPr>
            <w:tcW w:w="61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Title: </w:t>
            </w:r>
          </w:p>
        </w:tc>
        <w:tc>
          <w:tcPr>
            <w:tcW w:w="544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Legal Officer, Senior Vice President, and Corporate Secretary</w:t>
            </w:r>
          </w:p>
        </w:tc>
      </w:tr>
    </w:tbl>
    <w:p>
      <w:pPr>
        <w:pStyle w:val="TextBody"/>
        <w:bidi w:val="0"/>
        <w:spacing w:before="0" w:after="0"/>
        <w:ind w:left="0" w:right="0" w:firstLine="6480"/>
        <w:jc w:val="left"/>
        <w:rPr>
          <w:color w:val="000000"/>
          <w:shd w:fill="FFFFFF" w:val="clear"/>
        </w:rPr>
      </w:pPr>
      <w:r>
        <w:rPr>
          <w:color w:val="000000"/>
          <w:shd w:fill="FFFFFF" w:val="clear"/>
        </w:rPr>
        <w:t> </w:t>
      </w:r>
    </w:p>
    <w:p>
      <w:pPr>
        <w:pStyle w:val="TextBody"/>
        <w:bidi w:val="0"/>
        <w:spacing w:before="0" w:after="0"/>
        <w:ind w:left="0" w:right="0" w:firstLine="6480"/>
        <w:jc w:val="left"/>
        <w:rPr>
          <w:rFonts w:ascii="Times New Roman" w:hAnsi="Times New Roman"/>
          <w:sz w:val="20"/>
        </w:rPr>
      </w:pPr>
      <w:r>
        <w:rPr>
          <w:rFonts w:ascii="Times New Roman" w:hAnsi="Times New Roman"/>
          <w:sz w:val="20"/>
        </w:rPr>
      </w:r>
    </w:p>
    <w:p>
      <w:pPr>
        <w:pStyle w:val="HorizontalLine"/>
        <w:bidi w:val="0"/>
        <w:ind w:left="0" w:right="0" w:firstLine="6480"/>
        <w:jc w:val="left"/>
        <w:rPr/>
      </w:pPr>
      <w:r>
        <w:rPr/>
      </w:r>
    </w:p>
    <w:p>
      <w:pPr>
        <w:pStyle w:val="HorizontalLine"/>
        <w:pBdr>
          <w:bottom w:val="single" w:sz="12" w:space="0" w:color="808080"/>
        </w:pBdr>
        <w:bidi w:val="0"/>
        <w:jc w:val="left"/>
        <w:rPr/>
      </w:pPr>
      <w:r>
        <w:rPr/>
      </w:r>
      <w:bookmarkStart w:id="3" w:name="ef20070584_ex99-1.htm"/>
      <w:bookmarkStart w:id="4" w:name="ksef20070584_ex991"/>
      <w:bookmarkStart w:id="5" w:name="ef20070584_ex99-1.htm"/>
      <w:bookmarkStart w:id="6" w:name="ksef20070584_ex991"/>
      <w:bookmarkEnd w:id="5"/>
      <w:bookmarkEnd w:id="6"/>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Allegiant and Sun Country Achieve Key Regulatory Milestone with DOT Approval</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U.S. Department of Transportation Exemption Allows Both Airlines to Continue Operating Under Common Ownership Following Closing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LAS VEGAS, NV and MINNEAPOLIS, MN — April 15, 2026</w:t>
      </w:r>
      <w:r>
        <w:rPr>
          <w:rFonts w:ascii="Times New Roman" w:hAnsi="Times New Roman"/>
          <w:color w:val="000000"/>
          <w:sz w:val="20"/>
        </w:rPr>
        <w:t xml:space="preserve"> — Allegiant Travel Company (NASDAQ: ALGT) and Sun Country Airlines Holdings, Inc. (NASDAQ: SNCY) today announced that the U.S. Department of Transportation (DOT) has approved the joint interim exemption application of their respective airline subsidiaries that will allow both airlines to continue operating as separate carriers under common ownership after closing, pending further action by the DOT.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milestone marks a significant step toward completing Allegiant’s previously announced proposed acquisition of Sun Country.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the terms of the approval, following the closing of the proposed transaction, Allegiant and Sun Country will continue to operate independently, preserving their unique business models, route networks, and customer experiences while advancing toward a single operating certificate. The companies believe this structure will enable both airlines to continue delivering value to customers, employees, and stakeholders while ensuring operational continuity.</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This approval underscores the strength of our shared vision and the thoughtful approach both teams have taken throughout this process,” said Gregory C. Anderson, CEO of Allegiant. “We remain focused on bringing these organizations together in a way that builds on their strengths, while positioning the combined company for long-term growth and resilience.”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Jude Bricker, President and CEO of Sun Country, added: “</w:t>
      </w:r>
      <w:r>
        <w:rPr>
          <w:rFonts w:ascii="Times New Roman" w:hAnsi="Times New Roman"/>
          <w:b/>
          <w:color w:val="000000"/>
          <w:sz w:val="20"/>
        </w:rPr>
        <w:t>We appreciate the DOT’s review and approval of our joint request. This milestone allows us to move forward with confidence while continuing to serve our customers and communities without disruption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grant of an exemption by the DOT satisfies the last remaining regulatory approval-related condition to the closing of the proposed transaction. The closing remains subject to the satisfaction or waiver of the remaining customary closing conditions, including the approval of the shareholders of each of Allegiant and Sun Country. Allegiant and Sun Country have scheduled their respective special meetings of shareholders for May 8, 2026. Subject to the satisfaction or waiver of the remaining conditions to closing, Allegiant and Sun Country now expect the closing to occur as early as May 13, 2026 following shareholder approval at the special meetings.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companies will continue to work collaboratively to prepare for closing and ensure a seamless transition that prioritizes safety, service, and operational excellence.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Allegiant – Together We Fly™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Las Vegas-based Allegiant (NASDAQ: ALGT) is an integrated travel company with an airline at its heart, focused on connecting customers with the people, places, and experiences that matter most. Since 1999, Allegiant Air has linked travelers in small-to-medium cities to world-class vacation destinations with all-nonstop flights and industry-low average fares. Today, Allegiant's fleet serves communities across the nation, with base airfares less than half the cost of the average domestic roundtrip ticket. For more information, visit us at Allegiant.com. Media information, including photos, is available at http://gofly.us/iiFa303wrtF</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Sun Country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Sun Country Airlines is a new breed of hybrid low-cost air carrier, whose mission is to connect guests to their favorite people and places to create lifelong memories and transformative experiences. Sun Country dynamically and synergistically deploys shared resources for our passenger service, including scheduled service and charter, and cargo service segments. Based in Minnesota, we focus on serving leisure and visiting friends and relatives (“VFR”) passengers and charter customers and providing cargo service to Amazon, with flights throughout the United States and to destinations in Mexico, Central America, Canada, and the Caribbean. For photos, b-roll and additional company information, visit https://www.stories.suncountry.com/multimedia</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as well as the risk factors included in Allegiant’s registration statement on Form S-4 (Registration No. 333-294712), as filed with the SEC on March 27, 2026 (https://www.sec.gov/Archives/edgar/data/1362468/000114036126011799/ny20065073x3_s4.htm) (the “Registration Statement”), and readers should refer to such risks, uncertainties and risk factors in evaluating such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proposed transaction, Allegiant filed with the SEC the Registration Statement, which includes a prospectus with respect to the shares of Allegiant’s common stock to be issued in the proposed transaction and a joint proxy statement for Allegiant’s and Sun Country’s respective stockholders. The Registration Statement was declared effective on March 31, 2026, and Allegiant filed a final prospectus on March 31, 2026 (which is available at https://www.sec.gov/Archives/edgar/data/1362468/000114036126012380/ny20065073x5_424b3.htm), and Sun Country filed a definitive proxy statement on March 31, 2026 (which is available at https://www.sec.gov/Archives/edgar/data/1743907/000114036126012383/ny20068391x1_defm14a.htm) (together, the “Definitive Joint Proxy Statement/Prospectus”).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Each of Allegiant and Sun Country may also file with or furnish to the SEC other relevant documents regarding the proposed transaction. This communication is not a substitute for the Registration Statement, the Definitive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DEFINITIVE JOINT PROXY STATEMENT/PROSPECTUS INCLUDED WITHIN THE REGISTRATION STATEMENT, AS WELL AS ANY OTHER RELEVANT DOCUMENTS FILED WITH THE SEC IN CONNECTION WITH THE PROPOSED TRANSACTION OR INCORPORATED BY REFERENCE INTO THE REGISTRATION STATEMENT AND THE DEFINITIVE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is included in the Definitive Joint Proxy Statement/Prospectus.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on Form 10-K for the fiscal year ended December 31, 2025, filed with the SEC on February 26, 2026, as amended by Amendment No. 1 on Form 10-K/A, filed with the SEC on March 26, 2026 (the “Allegiant Annual Report”), and other documents subsequently filed by Allegiant with the SEC, which are available on its website, https://ir.allegiantair.com/financials/sec-filings/default.aspx.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Allegiant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Media Inquiries: mediarelations@allegiantair.com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 Inquiries: ir@allegiantair.com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Sun Country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Media Inquiries: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Wendy Burt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mediarelations@suncountry.com</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 Relations: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Chris Allen</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IR@suncountry.com</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b/>
          <w:sz w:val="20"/>
        </w:rPr>
      </w:pPr>
      <w:r>
        <w:rPr>
          <w:rFonts w:ascii="Times New Roman" w:hAnsi="Times New Roman"/>
          <w:b/>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5089</Words>
  <Characters>30680</Characters>
  <CharactersWithSpaces>35682</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