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Trousdale William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8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6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300" w:type="dxa"/>
            <w:vAlign w:val="bottom"/>
            <w:gridSpan w:val="2"/>
            <w:vMerge w:val="restart"/>
          </w:tcPr>
          <w:p>
            <w:pPr>
              <w:ind w:left="880"/>
              <w:spacing w:after="0"/>
              <w:rPr>
                <w:sz w:val="20"/>
                <w:szCs w:val="20"/>
                <w:color w:val="auto"/>
              </w:rPr>
            </w:pPr>
            <w:r>
              <w:rPr>
                <w:rFonts w:ascii="Times New Roman" w:cs="Times New Roman" w:eastAsia="Times New Roman" w:hAnsi="Times New Roman"/>
                <w:sz w:val="17"/>
                <w:szCs w:val="17"/>
                <w:color w:val="0000FF"/>
              </w:rPr>
              <w:t>Interim CFO and SVP</w:t>
            </w:r>
          </w:p>
        </w:tc>
        <w:tc>
          <w:tcPr>
            <w:tcW w:w="0" w:type="dxa"/>
            <w:vAlign w:val="bottom"/>
          </w:tcPr>
          <w:p>
            <w:pPr>
              <w:spacing w:after="0"/>
              <w:rPr>
                <w:sz w:val="1"/>
                <w:szCs w:val="1"/>
                <w:color w:val="auto"/>
              </w:rPr>
            </w:pPr>
          </w:p>
        </w:tc>
      </w:tr>
      <w:tr>
        <w:trPr>
          <w:trHeight w:val="15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0" w:type="dxa"/>
            <w:vAlign w:val="bottom"/>
            <w:gridSpan w:val="2"/>
            <w:vMerge w:val="continue"/>
          </w:tcPr>
          <w:p>
            <w:pPr>
              <w:spacing w:after="0"/>
              <w:rPr>
                <w:sz w:val="2"/>
                <w:szCs w:val="2"/>
                <w:color w:val="auto"/>
              </w:rPr>
            </w:pPr>
          </w:p>
        </w:tc>
        <w:tc>
          <w:tcPr>
            <w:tcW w:w="3620" w:type="dxa"/>
            <w:vAlign w:val="bottom"/>
            <w:gridSpan w:val="2"/>
            <w:vMerge w:val="continue"/>
          </w:tcPr>
          <w:p>
            <w:pPr>
              <w:spacing w:after="0"/>
              <w:rPr>
                <w:sz w:val="2"/>
                <w:szCs w:val="2"/>
                <w:color w:val="auto"/>
              </w:rPr>
            </w:pPr>
          </w:p>
        </w:tc>
        <w:tc>
          <w:tcPr>
            <w:tcW w:w="1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1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07/01/2025</w:t>
            </w:r>
          </w:p>
        </w:tc>
        <w:tc>
          <w:tcPr>
            <w:tcW w:w="6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9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07/01/2025</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ind w:right="97"/>
              <w:spacing w:after="0"/>
              <w:rPr>
                <w:sz w:val="20"/>
                <w:szCs w:val="20"/>
                <w:color w:val="auto"/>
              </w:rPr>
            </w:pPr>
            <w:r>
              <w:rPr>
                <w:rFonts w:ascii="Times New Roman" w:cs="Times New Roman" w:eastAsia="Times New Roman" w:hAnsi="Times New Roman"/>
                <w:sz w:val="34"/>
                <w:szCs w:val="34"/>
                <w:color w:val="0000FF"/>
                <w:vertAlign w:val="subscript"/>
              </w:rPr>
              <w:t>442</w:t>
            </w:r>
            <w:r>
              <w:rPr>
                <w:rFonts w:ascii="Times New Roman" w:cs="Times New Roman" w:eastAsia="Times New Roman" w:hAnsi="Times New Roman"/>
                <w:sz w:val="11"/>
                <w:szCs w:val="11"/>
                <w:color w:val="008000"/>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11.7568</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27,989</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07/02/2025</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60" w:type="dxa"/>
            <w:vAlign w:val="bottom"/>
            <w:vMerge w:val="restart"/>
          </w:tcPr>
          <w:p>
            <w:pPr>
              <w:jc w:val="right"/>
              <w:ind w:right="197"/>
              <w:spacing w:after="0"/>
              <w:rPr>
                <w:sz w:val="20"/>
                <w:szCs w:val="20"/>
                <w:color w:val="auto"/>
              </w:rPr>
            </w:pPr>
            <w:r>
              <w:rPr>
                <w:rFonts w:ascii="Times New Roman" w:cs="Times New Roman" w:eastAsia="Times New Roman" w:hAnsi="Times New Roman"/>
                <w:sz w:val="17"/>
                <w:szCs w:val="17"/>
                <w:color w:val="0000FF"/>
              </w:rPr>
              <w:t>996</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12.21</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26,993</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effected pursuant to a Rule 10b5-1 trading plan. The 10b5-1 trading plan was adopted on September 12, 2024.</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 Neale, attorney-in-</w:t>
            </w:r>
          </w:p>
        </w:tc>
        <w:tc>
          <w:tcPr>
            <w:tcW w:w="1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07/03/2025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William Trousdale</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4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50697"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2025-07-03T20:03:32Z</dcterms:created>
  <dcterms:modified xsi:type="dcterms:W3CDTF">2025-07-03T20:03:32Z</dcterms:modified>
</cp:coreProperties>
</file>