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July 28, 2021</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July 28, 2021, Sun Country Airlines Holdings, Inc. issued a press release announcing its financial results for the fiscal quarter ended June 30, 2021. A copy of the press release is attached hereto as Exhibit 99.1 and incorporated by reference herein.</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July 28, 2021</w:t>
              </w:r>
            </w:hyperlink>
          </w:p>
        </w:tc>
      </w:tr>
      <w:tr>
        <w:trPr>
          <w:trHeight w:val="1027"/>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top w:val="single" w:sz="8" w:color="0000EE"/>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6"/>
          <w:szCs w:val="16"/>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173355</wp:posOffset>
            </wp:positionV>
            <wp:extent cx="2254250"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Reports Second Quarter 2021 Results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Q2 2021 GAAP EPS of $0.83 and operating income of $49 million</w:t>
      </w:r>
    </w:p>
    <w:p>
      <w:pPr>
        <w:jc w:val="center"/>
        <w:spacing w:after="0"/>
        <w:rPr>
          <w:sz w:val="20"/>
          <w:szCs w:val="20"/>
          <w:color w:val="auto"/>
        </w:rPr>
      </w:pPr>
      <w:r>
        <w:rPr>
          <w:rFonts w:ascii="Arial" w:cs="Arial" w:eastAsia="Arial" w:hAnsi="Arial"/>
          <w:sz w:val="18"/>
          <w:szCs w:val="18"/>
          <w:b w:val="1"/>
          <w:bCs w:val="1"/>
          <w:color w:val="auto"/>
        </w:rPr>
        <w:t>Q2 2021 Adjusted EPS of $0.07</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and adjusted operating income of $12 million </w:t>
      </w:r>
      <w:r>
        <w:rPr>
          <w:rFonts w:ascii="Arial" w:cs="Arial" w:eastAsia="Arial" w:hAnsi="Arial"/>
          <w:sz w:val="29"/>
          <w:szCs w:val="29"/>
          <w:b w:val="1"/>
          <w:bCs w:val="1"/>
          <w:color w:val="auto"/>
          <w:vertAlign w:val="superscript"/>
        </w:rPr>
        <w:t>(1)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MINNEAPOLIS. July 28, 2021. Sun Country Airlines Holdings, Inc. (“Sun Country Airlines”, “Sun Country”, the “Company”) (NASDAQ:</w:t>
      </w:r>
    </w:p>
    <w:p>
      <w:pPr>
        <w:spacing w:after="0"/>
        <w:rPr>
          <w:sz w:val="20"/>
          <w:szCs w:val="20"/>
          <w:color w:val="auto"/>
        </w:rPr>
      </w:pPr>
      <w:r>
        <w:rPr>
          <w:rFonts w:ascii="Arial" w:cs="Arial" w:eastAsia="Arial" w:hAnsi="Arial"/>
          <w:sz w:val="18"/>
          <w:szCs w:val="18"/>
          <w:color w:val="auto"/>
        </w:rPr>
        <w:t>SNCY) today reported financial results for its second quarter ended June 30, 2021.</w:t>
      </w:r>
    </w:p>
    <w:p>
      <w:pPr>
        <w:spacing w:after="0" w:line="198"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0A0A0A"/>
        </w:rPr>
        <w:t>“We had a very strong second quarter driven by revenue outperformance in our scheduled passenger service business amid strong continued recovery in leisure travel demand,” said Jude Bricker, Chief Executive Officer of Sun Country. “Passenger revenue growth was driven by higher fares, strong ancillary sales and continued recovery in capacity. When combined with our resilient Cargo business and steadily improving charter operation, we generated a second quarter profit after removing the benefit of the CARES Act grants, further demonstrating the strength of our unique, variable capacity business model.”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b w:val="1"/>
                <w:bCs w:val="1"/>
                <w:color w:val="auto"/>
              </w:rPr>
              <w:t>Overview of Second Quarter</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6200" w:type="dxa"/>
            <w:vAlign w:val="bottom"/>
          </w:tcPr>
          <w:p>
            <w:pPr>
              <w:spacing w:after="0"/>
              <w:rPr>
                <w:sz w:val="24"/>
                <w:szCs w:val="24"/>
                <w:color w:val="auto"/>
              </w:rPr>
            </w:pPr>
          </w:p>
        </w:tc>
        <w:tc>
          <w:tcPr>
            <w:tcW w:w="306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rPr>
              <w:t>Three Months Ended June 30,</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200" w:type="dxa"/>
            <w:vAlign w:val="bottom"/>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58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0A0A0A"/>
              </w:rPr>
              <w:t>2021</w:t>
            </w:r>
          </w:p>
        </w:tc>
        <w:tc>
          <w:tcPr>
            <w:tcW w:w="460" w:type="dxa"/>
            <w:vAlign w:val="bottom"/>
          </w:tcPr>
          <w:p>
            <w:pPr>
              <w:spacing w:after="0"/>
              <w:rPr>
                <w:sz w:val="19"/>
                <w:szCs w:val="19"/>
                <w:color w:val="auto"/>
              </w:rPr>
            </w:pPr>
          </w:p>
        </w:tc>
        <w:tc>
          <w:tcPr>
            <w:tcW w:w="1020" w:type="dxa"/>
            <w:vAlign w:val="bottom"/>
          </w:tcPr>
          <w:p>
            <w:pPr>
              <w:jc w:val="right"/>
              <w:ind w:right="471"/>
              <w:spacing w:after="0"/>
              <w:rPr>
                <w:sz w:val="20"/>
                <w:szCs w:val="20"/>
                <w:color w:val="auto"/>
              </w:rPr>
            </w:pPr>
            <w:r>
              <w:rPr>
                <w:rFonts w:ascii="Arial" w:cs="Arial" w:eastAsia="Arial" w:hAnsi="Arial"/>
                <w:sz w:val="18"/>
                <w:szCs w:val="18"/>
                <w:b w:val="1"/>
                <w:bCs w:val="1"/>
                <w:color w:val="0A0A0A"/>
              </w:rPr>
              <w:t>2020</w:t>
            </w: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580" w:type="dxa"/>
            <w:vAlign w:val="bottom"/>
            <w:tcBorders>
              <w:top w:val="single" w:sz="8" w:color="auto"/>
            </w:tcBorders>
            <w:shd w:val="clear" w:color="auto" w:fill="C6F4F9"/>
          </w:tcPr>
          <w:p>
            <w:pPr>
              <w:jc w:val="right"/>
              <w:ind w:right="50"/>
              <w:spacing w:after="0" w:line="196" w:lineRule="exact"/>
              <w:rPr>
                <w:sz w:val="20"/>
                <w:szCs w:val="20"/>
                <w:color w:val="auto"/>
              </w:rPr>
            </w:pPr>
            <w:r>
              <w:rPr>
                <w:rFonts w:ascii="Arial" w:cs="Arial" w:eastAsia="Arial" w:hAnsi="Arial"/>
                <w:sz w:val="18"/>
                <w:szCs w:val="18"/>
                <w:color w:val="0A0A0A"/>
              </w:rPr>
              <w:t>$</w:t>
            </w:r>
          </w:p>
        </w:tc>
        <w:tc>
          <w:tcPr>
            <w:tcW w:w="1000" w:type="dxa"/>
            <w:vAlign w:val="bottom"/>
            <w:tcBorders>
              <w:top w:val="single" w:sz="8" w:color="auto"/>
            </w:tcBorders>
            <w:shd w:val="clear" w:color="auto" w:fill="C6F4F9"/>
          </w:tcPr>
          <w:p>
            <w:pPr>
              <w:jc w:val="right"/>
              <w:ind w:right="50"/>
              <w:spacing w:after="0" w:line="196" w:lineRule="exact"/>
              <w:rPr>
                <w:sz w:val="20"/>
                <w:szCs w:val="20"/>
                <w:color w:val="auto"/>
              </w:rPr>
            </w:pPr>
            <w:r>
              <w:rPr>
                <w:rFonts w:ascii="Arial" w:cs="Arial" w:eastAsia="Arial" w:hAnsi="Arial"/>
                <w:sz w:val="18"/>
                <w:szCs w:val="18"/>
                <w:color w:val="0A0A0A"/>
              </w:rPr>
              <w:t>149.2</w:t>
            </w:r>
          </w:p>
        </w:tc>
        <w:tc>
          <w:tcPr>
            <w:tcW w:w="460" w:type="dxa"/>
            <w:vAlign w:val="bottom"/>
            <w:tcBorders>
              <w:top w:val="single" w:sz="8" w:color="auto"/>
            </w:tcBorders>
            <w:shd w:val="clear" w:color="auto" w:fill="C6F4F9"/>
          </w:tcPr>
          <w:p>
            <w:pPr>
              <w:jc w:val="right"/>
              <w:ind w:right="190"/>
              <w:spacing w:after="0" w:line="196" w:lineRule="exact"/>
              <w:rPr>
                <w:sz w:val="20"/>
                <w:szCs w:val="20"/>
                <w:color w:val="auto"/>
              </w:rPr>
            </w:pPr>
            <w:r>
              <w:rPr>
                <w:rFonts w:ascii="Arial" w:cs="Arial" w:eastAsia="Arial" w:hAnsi="Arial"/>
                <w:sz w:val="18"/>
                <w:szCs w:val="18"/>
                <w:color w:val="0A0A0A"/>
              </w:rPr>
              <w:t>$</w:t>
            </w:r>
          </w:p>
        </w:tc>
        <w:tc>
          <w:tcPr>
            <w:tcW w:w="1020" w:type="dxa"/>
            <w:vAlign w:val="bottom"/>
            <w:tcBorders>
              <w:top w:val="single" w:sz="8" w:color="auto"/>
            </w:tcBorders>
            <w:shd w:val="clear" w:color="auto" w:fill="C6F4F9"/>
          </w:tcPr>
          <w:p>
            <w:pPr>
              <w:jc w:val="right"/>
              <w:ind w:right="151"/>
              <w:spacing w:after="0" w:line="196" w:lineRule="exact"/>
              <w:rPr>
                <w:sz w:val="20"/>
                <w:szCs w:val="20"/>
                <w:color w:val="auto"/>
              </w:rPr>
            </w:pPr>
            <w:r>
              <w:rPr>
                <w:rFonts w:ascii="Arial" w:cs="Arial" w:eastAsia="Arial" w:hAnsi="Arial"/>
                <w:sz w:val="18"/>
                <w:szCs w:val="18"/>
                <w:color w:val="0A0A0A"/>
              </w:rPr>
              <w:t>35.4</w:t>
            </w:r>
          </w:p>
        </w:tc>
        <w:tc>
          <w:tcPr>
            <w:tcW w:w="1200" w:type="dxa"/>
            <w:vAlign w:val="bottom"/>
            <w:tcBorders>
              <w:top w:val="single" w:sz="8" w:color="auto"/>
            </w:tcBorders>
            <w:shd w:val="clear" w:color="auto" w:fill="C6F4F9"/>
          </w:tcPr>
          <w:p>
            <w:pPr>
              <w:jc w:val="right"/>
              <w:ind w:right="30"/>
              <w:spacing w:after="0" w:line="196" w:lineRule="exact"/>
              <w:rPr>
                <w:sz w:val="20"/>
                <w:szCs w:val="20"/>
                <w:color w:val="auto"/>
              </w:rPr>
            </w:pPr>
            <w:r>
              <w:rPr>
                <w:rFonts w:ascii="Arial" w:cs="Arial" w:eastAsia="Arial" w:hAnsi="Arial"/>
                <w:sz w:val="18"/>
                <w:szCs w:val="18"/>
                <w:color w:val="0A0A0A"/>
              </w:rPr>
              <w:t>321</w:t>
            </w:r>
          </w:p>
        </w:tc>
        <w:tc>
          <w:tcPr>
            <w:tcW w:w="780" w:type="dxa"/>
            <w:vAlign w:val="bottom"/>
            <w:tcBorders>
              <w:top w:val="single" w:sz="8" w:color="C6F4F9"/>
            </w:tcBorders>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0A0A0A"/>
              </w:rPr>
              <w:t>Operating income (loss)</w:t>
            </w:r>
          </w:p>
        </w:tc>
        <w:tc>
          <w:tcPr>
            <w:tcW w:w="5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0A0A0A"/>
              </w:rPr>
              <w:t>49.2</w:t>
            </w:r>
          </w:p>
        </w:tc>
        <w:tc>
          <w:tcPr>
            <w:tcW w:w="460" w:type="dxa"/>
            <w:vAlign w:val="bottom"/>
          </w:tcPr>
          <w:p>
            <w:pPr>
              <w:spacing w:after="0"/>
              <w:rPr>
                <w:sz w:val="17"/>
                <w:szCs w:val="17"/>
                <w:color w:val="auto"/>
              </w:rPr>
            </w:pPr>
          </w:p>
        </w:tc>
        <w:tc>
          <w:tcPr>
            <w:tcW w:w="1020" w:type="dxa"/>
            <w:vAlign w:val="bottom"/>
          </w:tcPr>
          <w:p>
            <w:pPr>
              <w:jc w:val="right"/>
              <w:ind w:right="91"/>
              <w:spacing w:after="0" w:line="202" w:lineRule="exact"/>
              <w:rPr>
                <w:sz w:val="20"/>
                <w:szCs w:val="20"/>
                <w:color w:val="auto"/>
              </w:rPr>
            </w:pPr>
            <w:r>
              <w:rPr>
                <w:rFonts w:ascii="Arial" w:cs="Arial" w:eastAsia="Arial" w:hAnsi="Arial"/>
                <w:sz w:val="18"/>
                <w:szCs w:val="18"/>
                <w:color w:val="0A0A0A"/>
              </w:rPr>
              <w:t>(2.2)</w:t>
            </w:r>
          </w:p>
        </w:tc>
        <w:tc>
          <w:tcPr>
            <w:tcW w:w="1980" w:type="dxa"/>
            <w:vAlign w:val="bottom"/>
            <w:gridSpan w:val="2"/>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62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(loss) before income tax</w:t>
            </w:r>
          </w:p>
        </w:tc>
        <w:tc>
          <w:tcPr>
            <w:tcW w:w="58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0A0A0A"/>
              </w:rPr>
              <w:t>61.2</w:t>
            </w:r>
          </w:p>
        </w:tc>
        <w:tc>
          <w:tcPr>
            <w:tcW w:w="46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91"/>
              <w:spacing w:after="0" w:line="202" w:lineRule="exact"/>
              <w:rPr>
                <w:sz w:val="20"/>
                <w:szCs w:val="20"/>
                <w:color w:val="auto"/>
              </w:rPr>
            </w:pPr>
            <w:r>
              <w:rPr>
                <w:rFonts w:ascii="Arial" w:cs="Arial" w:eastAsia="Arial" w:hAnsi="Arial"/>
                <w:sz w:val="18"/>
                <w:szCs w:val="18"/>
                <w:color w:val="0A0A0A"/>
              </w:rPr>
              <w:t>(7.9)</w:t>
            </w:r>
          </w:p>
        </w:tc>
        <w:tc>
          <w:tcPr>
            <w:tcW w:w="1980" w:type="dxa"/>
            <w:vAlign w:val="bottom"/>
            <w:gridSpan w:val="2"/>
            <w:shd w:val="clear" w:color="auto" w:fill="C6F4F9"/>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0A0A0A"/>
              </w:rPr>
              <w:t>Net income (loss)</w:t>
            </w:r>
          </w:p>
        </w:tc>
        <w:tc>
          <w:tcPr>
            <w:tcW w:w="5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0A0A0A"/>
              </w:rPr>
              <w:t>51.8</w:t>
            </w:r>
          </w:p>
        </w:tc>
        <w:tc>
          <w:tcPr>
            <w:tcW w:w="460" w:type="dxa"/>
            <w:vAlign w:val="bottom"/>
          </w:tcPr>
          <w:p>
            <w:pPr>
              <w:spacing w:after="0"/>
              <w:rPr>
                <w:sz w:val="17"/>
                <w:szCs w:val="17"/>
                <w:color w:val="auto"/>
              </w:rPr>
            </w:pPr>
          </w:p>
        </w:tc>
        <w:tc>
          <w:tcPr>
            <w:tcW w:w="1020" w:type="dxa"/>
            <w:vAlign w:val="bottom"/>
          </w:tcPr>
          <w:p>
            <w:pPr>
              <w:jc w:val="right"/>
              <w:ind w:right="91"/>
              <w:spacing w:after="0" w:line="202" w:lineRule="exact"/>
              <w:rPr>
                <w:sz w:val="20"/>
                <w:szCs w:val="20"/>
                <w:color w:val="auto"/>
              </w:rPr>
            </w:pPr>
            <w:r>
              <w:rPr>
                <w:rFonts w:ascii="Arial" w:cs="Arial" w:eastAsia="Arial" w:hAnsi="Arial"/>
                <w:sz w:val="18"/>
                <w:szCs w:val="18"/>
                <w:color w:val="0A0A0A"/>
              </w:rPr>
              <w:t>(6.0)</w:t>
            </w:r>
          </w:p>
        </w:tc>
        <w:tc>
          <w:tcPr>
            <w:tcW w:w="1980" w:type="dxa"/>
            <w:vAlign w:val="bottom"/>
            <w:gridSpan w:val="2"/>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62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 earnings (loss) per share</w:t>
            </w:r>
          </w:p>
        </w:tc>
        <w:tc>
          <w:tcPr>
            <w:tcW w:w="58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0A0A0A"/>
              </w:rPr>
              <w:t>$</w:t>
            </w:r>
          </w:p>
        </w:tc>
        <w:tc>
          <w:tcPr>
            <w:tcW w:w="100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0A0A0A"/>
              </w:rPr>
              <w:t>0.83</w:t>
            </w:r>
          </w:p>
        </w:tc>
        <w:tc>
          <w:tcPr>
            <w:tcW w:w="4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0A0A0A"/>
              </w:rPr>
              <w:t>($</w:t>
            </w:r>
          </w:p>
        </w:tc>
        <w:tc>
          <w:tcPr>
            <w:tcW w:w="1020" w:type="dxa"/>
            <w:vAlign w:val="bottom"/>
            <w:shd w:val="clear" w:color="auto" w:fill="C6F4F9"/>
          </w:tcPr>
          <w:p>
            <w:pPr>
              <w:jc w:val="right"/>
              <w:ind w:right="91"/>
              <w:spacing w:after="0" w:line="202" w:lineRule="exact"/>
              <w:rPr>
                <w:sz w:val="20"/>
                <w:szCs w:val="20"/>
                <w:color w:val="auto"/>
              </w:rPr>
            </w:pPr>
            <w:r>
              <w:rPr>
                <w:rFonts w:ascii="Arial" w:cs="Arial" w:eastAsia="Arial" w:hAnsi="Arial"/>
                <w:sz w:val="18"/>
                <w:szCs w:val="18"/>
                <w:color w:val="0A0A0A"/>
              </w:rPr>
              <w:t>0.13)</w:t>
            </w:r>
          </w:p>
        </w:tc>
        <w:tc>
          <w:tcPr>
            <w:tcW w:w="1980" w:type="dxa"/>
            <w:vAlign w:val="bottom"/>
            <w:gridSpan w:val="2"/>
            <w:shd w:val="clear" w:color="auto" w:fill="C6F4F9"/>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0A0A0A"/>
              </w:rPr>
              <w:t>“NM” stands for not meaningful</w:t>
            </w:r>
          </w:p>
        </w:tc>
        <w:tc>
          <w:tcPr>
            <w:tcW w:w="580" w:type="dxa"/>
            <w:vAlign w:val="bottom"/>
          </w:tcPr>
          <w:p>
            <w:pPr>
              <w:spacing w:after="0"/>
              <w:rPr>
                <w:sz w:val="18"/>
                <w:szCs w:val="18"/>
                <w:color w:val="auto"/>
              </w:rPr>
            </w:pPr>
          </w:p>
        </w:tc>
        <w:tc>
          <w:tcPr>
            <w:tcW w:w="24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0A0A0A"/>
              </w:rPr>
              <w:t>2021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0A0A0A"/>
              </w:rPr>
              <w:t>2020</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0A0A0A"/>
              </w:rPr>
              <w:t>% Change</w:t>
            </w:r>
          </w:p>
        </w:tc>
        <w:tc>
          <w:tcPr>
            <w:tcW w:w="78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6F4F9"/>
          </w:tcPr>
          <w:p>
            <w:pPr>
              <w:spacing w:after="0" w:line="236" w:lineRule="exact"/>
              <w:rPr>
                <w:sz w:val="20"/>
                <w:szCs w:val="20"/>
                <w:color w:val="auto"/>
              </w:rPr>
            </w:pPr>
            <w:r>
              <w:rPr>
                <w:rFonts w:ascii="Arial" w:cs="Arial" w:eastAsia="Arial" w:hAnsi="Arial"/>
                <w:sz w:val="17"/>
                <w:szCs w:val="17"/>
                <w:color w:val="0A0A0A"/>
              </w:rPr>
              <w:t xml:space="preserve">Adjusted operating income (loss) </w:t>
            </w:r>
            <w:r>
              <w:rPr>
                <w:rFonts w:ascii="Arial" w:cs="Arial" w:eastAsia="Arial" w:hAnsi="Arial"/>
                <w:sz w:val="27"/>
                <w:szCs w:val="27"/>
                <w:color w:val="0A0A0A"/>
                <w:vertAlign w:val="superscript"/>
              </w:rPr>
              <w:t>(1)</w:t>
            </w:r>
          </w:p>
        </w:tc>
        <w:tc>
          <w:tcPr>
            <w:tcW w:w="58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0A0A0A"/>
              </w:rPr>
              <w:t>$</w:t>
            </w:r>
          </w:p>
        </w:tc>
        <w:tc>
          <w:tcPr>
            <w:tcW w:w="100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0A0A0A"/>
              </w:rPr>
              <w:t>11.5</w:t>
            </w:r>
          </w:p>
        </w:tc>
        <w:tc>
          <w:tcPr>
            <w:tcW w:w="46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0A0A0A"/>
              </w:rPr>
              <w:t>($</w:t>
            </w:r>
          </w:p>
        </w:tc>
        <w:tc>
          <w:tcPr>
            <w:tcW w:w="1020" w:type="dxa"/>
            <w:vAlign w:val="bottom"/>
            <w:shd w:val="clear" w:color="auto" w:fill="C6F4F9"/>
          </w:tcPr>
          <w:p>
            <w:pPr>
              <w:jc w:val="right"/>
              <w:ind w:right="91"/>
              <w:spacing w:after="0"/>
              <w:rPr>
                <w:sz w:val="20"/>
                <w:szCs w:val="20"/>
                <w:color w:val="auto"/>
              </w:rPr>
            </w:pPr>
            <w:r>
              <w:rPr>
                <w:rFonts w:ascii="Arial" w:cs="Arial" w:eastAsia="Arial" w:hAnsi="Arial"/>
                <w:sz w:val="18"/>
                <w:szCs w:val="18"/>
                <w:color w:val="0A0A0A"/>
              </w:rPr>
              <w:t>30.8)</w:t>
            </w:r>
          </w:p>
        </w:tc>
        <w:tc>
          <w:tcPr>
            <w:tcW w:w="1980" w:type="dxa"/>
            <w:vAlign w:val="bottom"/>
            <w:gridSpan w:val="2"/>
            <w:shd w:val="clear" w:color="auto" w:fill="C6F4F9"/>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6200" w:type="dxa"/>
            <w:vAlign w:val="bottom"/>
          </w:tcPr>
          <w:p>
            <w:pPr>
              <w:spacing w:after="0" w:line="243" w:lineRule="exact"/>
              <w:rPr>
                <w:sz w:val="20"/>
                <w:szCs w:val="20"/>
                <w:color w:val="auto"/>
              </w:rPr>
            </w:pPr>
            <w:r>
              <w:rPr>
                <w:rFonts w:ascii="Arial" w:cs="Arial" w:eastAsia="Arial" w:hAnsi="Arial"/>
                <w:sz w:val="17"/>
                <w:szCs w:val="17"/>
                <w:color w:val="0A0A0A"/>
              </w:rPr>
              <w:t xml:space="preserve">Adjusted income (loss) before income tax </w:t>
            </w:r>
            <w:r>
              <w:rPr>
                <w:rFonts w:ascii="Arial" w:cs="Arial" w:eastAsia="Arial" w:hAnsi="Arial"/>
                <w:sz w:val="28"/>
                <w:szCs w:val="28"/>
                <w:color w:val="0A0A0A"/>
                <w:vertAlign w:val="superscript"/>
              </w:rPr>
              <w:t>(1)</w:t>
            </w:r>
          </w:p>
        </w:tc>
        <w:tc>
          <w:tcPr>
            <w:tcW w:w="5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0A0A0A"/>
              </w:rPr>
              <w:t>5.4</w:t>
            </w:r>
          </w:p>
        </w:tc>
        <w:tc>
          <w:tcPr>
            <w:tcW w:w="4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0A0A0A"/>
              </w:rPr>
              <w:t>(36.2)</w:t>
            </w:r>
          </w:p>
        </w:tc>
        <w:tc>
          <w:tcPr>
            <w:tcW w:w="1980" w:type="dxa"/>
            <w:vAlign w:val="bottom"/>
            <w:gridSpan w:val="2"/>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6200" w:type="dxa"/>
            <w:vAlign w:val="bottom"/>
            <w:shd w:val="clear" w:color="auto" w:fill="C6F4F9"/>
          </w:tcPr>
          <w:p>
            <w:pPr>
              <w:spacing w:after="0" w:line="243" w:lineRule="exact"/>
              <w:rPr>
                <w:sz w:val="20"/>
                <w:szCs w:val="20"/>
                <w:color w:val="auto"/>
              </w:rPr>
            </w:pPr>
            <w:r>
              <w:rPr>
                <w:rFonts w:ascii="Arial" w:cs="Arial" w:eastAsia="Arial" w:hAnsi="Arial"/>
                <w:sz w:val="17"/>
                <w:szCs w:val="17"/>
                <w:color w:val="0A0A0A"/>
              </w:rPr>
              <w:t xml:space="preserve">Adjusted net income (loss) </w:t>
            </w:r>
            <w:r>
              <w:rPr>
                <w:rFonts w:ascii="Arial" w:cs="Arial" w:eastAsia="Arial" w:hAnsi="Arial"/>
                <w:sz w:val="28"/>
                <w:szCs w:val="28"/>
                <w:color w:val="0A0A0A"/>
                <w:vertAlign w:val="superscript"/>
              </w:rPr>
              <w:t>(1)</w:t>
            </w:r>
          </w:p>
        </w:tc>
        <w:tc>
          <w:tcPr>
            <w:tcW w:w="580" w:type="dxa"/>
            <w:vAlign w:val="bottom"/>
            <w:shd w:val="clear" w:color="auto" w:fill="C6F4F9"/>
          </w:tcPr>
          <w:p>
            <w:pPr>
              <w:spacing w:after="0"/>
              <w:rPr>
                <w:sz w:val="21"/>
                <w:szCs w:val="21"/>
                <w:color w:val="auto"/>
              </w:rPr>
            </w:pPr>
          </w:p>
        </w:tc>
        <w:tc>
          <w:tcPr>
            <w:tcW w:w="100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0A0A0A"/>
              </w:rPr>
              <w:t>4.5</w:t>
            </w:r>
          </w:p>
        </w:tc>
        <w:tc>
          <w:tcPr>
            <w:tcW w:w="460" w:type="dxa"/>
            <w:vAlign w:val="bottom"/>
            <w:shd w:val="clear" w:color="auto" w:fill="C6F4F9"/>
          </w:tcPr>
          <w:p>
            <w:pPr>
              <w:spacing w:after="0"/>
              <w:rPr>
                <w:sz w:val="21"/>
                <w:szCs w:val="21"/>
                <w:color w:val="auto"/>
              </w:rPr>
            </w:pPr>
          </w:p>
        </w:tc>
        <w:tc>
          <w:tcPr>
            <w:tcW w:w="1020" w:type="dxa"/>
            <w:vAlign w:val="bottom"/>
            <w:shd w:val="clear" w:color="auto" w:fill="C6F4F9"/>
          </w:tcPr>
          <w:p>
            <w:pPr>
              <w:jc w:val="right"/>
              <w:ind w:right="91"/>
              <w:spacing w:after="0"/>
              <w:rPr>
                <w:sz w:val="20"/>
                <w:szCs w:val="20"/>
                <w:color w:val="auto"/>
              </w:rPr>
            </w:pPr>
            <w:r>
              <w:rPr>
                <w:rFonts w:ascii="Arial" w:cs="Arial" w:eastAsia="Arial" w:hAnsi="Arial"/>
                <w:sz w:val="18"/>
                <w:szCs w:val="18"/>
                <w:color w:val="0A0A0A"/>
              </w:rPr>
              <w:t>(27.8)</w:t>
            </w:r>
          </w:p>
        </w:tc>
        <w:tc>
          <w:tcPr>
            <w:tcW w:w="1980" w:type="dxa"/>
            <w:vAlign w:val="bottom"/>
            <w:gridSpan w:val="2"/>
            <w:shd w:val="clear" w:color="auto" w:fill="C6F4F9"/>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3"/>
        </w:trPr>
        <w:tc>
          <w:tcPr>
            <w:tcW w:w="6200" w:type="dxa"/>
            <w:vAlign w:val="bottom"/>
          </w:tcPr>
          <w:p>
            <w:pPr>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9"/>
                <w:szCs w:val="29"/>
                <w:color w:val="0A0A0A"/>
                <w:vertAlign w:val="superscript"/>
              </w:rPr>
              <w:t>(1)</w:t>
            </w:r>
          </w:p>
        </w:tc>
        <w:tc>
          <w:tcPr>
            <w:tcW w:w="580" w:type="dxa"/>
            <w:vAlign w:val="bottom"/>
          </w:tcPr>
          <w:p>
            <w:pPr>
              <w:jc w:val="right"/>
              <w:ind w:right="50"/>
              <w:spacing w:after="0"/>
              <w:rPr>
                <w:sz w:val="20"/>
                <w:szCs w:val="20"/>
                <w:color w:val="auto"/>
              </w:rPr>
            </w:pPr>
            <w:r>
              <w:rPr>
                <w:rFonts w:ascii="Arial" w:cs="Arial" w:eastAsia="Arial" w:hAnsi="Arial"/>
                <w:sz w:val="18"/>
                <w:szCs w:val="18"/>
                <w:color w:val="0A0A0A"/>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0A0A0A"/>
              </w:rPr>
              <w:t>0.07</w:t>
            </w:r>
          </w:p>
        </w:tc>
        <w:tc>
          <w:tcPr>
            <w:tcW w:w="460" w:type="dxa"/>
            <w:vAlign w:val="bottom"/>
          </w:tcPr>
          <w:p>
            <w:pPr>
              <w:jc w:val="right"/>
              <w:ind w:right="130"/>
              <w:spacing w:after="0"/>
              <w:rPr>
                <w:sz w:val="20"/>
                <w:szCs w:val="20"/>
                <w:color w:val="auto"/>
              </w:rPr>
            </w:pPr>
            <w:r>
              <w:rPr>
                <w:rFonts w:ascii="Arial" w:cs="Arial" w:eastAsia="Arial" w:hAnsi="Arial"/>
                <w:sz w:val="18"/>
                <w:szCs w:val="18"/>
                <w:color w:val="0A0A0A"/>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0A0A0A"/>
              </w:rPr>
              <w:t>0.59)</w:t>
            </w:r>
          </w:p>
        </w:tc>
        <w:tc>
          <w:tcPr>
            <w:tcW w:w="1980" w:type="dxa"/>
            <w:vAlign w:val="bottom"/>
            <w:gridSpan w:val="2"/>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2"/>
        </w:trPr>
        <w:tc>
          <w:tcPr>
            <w:tcW w:w="6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80" w:type="dxa"/>
            <w:vAlign w:val="bottom"/>
            <w:gridSpan w:val="3"/>
          </w:tcPr>
          <w:p>
            <w:pPr>
              <w:jc w:val="center"/>
              <w:ind w:right="271"/>
              <w:spacing w:after="0"/>
              <w:rPr>
                <w:sz w:val="20"/>
                <w:szCs w:val="20"/>
                <w:color w:val="auto"/>
              </w:rPr>
            </w:pPr>
            <w:r>
              <w:rPr>
                <w:rFonts w:ascii="Arial" w:cs="Arial" w:eastAsia="Arial" w:hAnsi="Arial"/>
                <w:sz w:val="18"/>
                <w:szCs w:val="18"/>
                <w:b w:val="1"/>
                <w:bCs w:val="1"/>
                <w:color w:val="auto"/>
                <w:w w:val="99"/>
              </w:rPr>
              <w:t>Six Months Ended</w:t>
            </w: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00" w:type="dxa"/>
            <w:vAlign w:val="bottom"/>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580" w:type="dxa"/>
            <w:vAlign w:val="bottom"/>
          </w:tcPr>
          <w:p>
            <w:pPr>
              <w:spacing w:after="0"/>
              <w:rPr>
                <w:sz w:val="19"/>
                <w:szCs w:val="19"/>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0A0A0A"/>
              </w:rPr>
              <w:t>2021</w:t>
            </w:r>
          </w:p>
        </w:tc>
        <w:tc>
          <w:tcPr>
            <w:tcW w:w="460" w:type="dxa"/>
            <w:vAlign w:val="bottom"/>
          </w:tcPr>
          <w:p>
            <w:pPr>
              <w:spacing w:after="0"/>
              <w:rPr>
                <w:sz w:val="19"/>
                <w:szCs w:val="19"/>
                <w:color w:val="auto"/>
              </w:rPr>
            </w:pPr>
          </w:p>
        </w:tc>
        <w:tc>
          <w:tcPr>
            <w:tcW w:w="1020" w:type="dxa"/>
            <w:vAlign w:val="bottom"/>
          </w:tcPr>
          <w:p>
            <w:pPr>
              <w:jc w:val="right"/>
              <w:ind w:right="451"/>
              <w:spacing w:after="0"/>
              <w:rPr>
                <w:sz w:val="20"/>
                <w:szCs w:val="20"/>
                <w:color w:val="auto"/>
              </w:rPr>
            </w:pPr>
            <w:r>
              <w:rPr>
                <w:rFonts w:ascii="Arial" w:cs="Arial" w:eastAsia="Arial" w:hAnsi="Arial"/>
                <w:sz w:val="18"/>
                <w:szCs w:val="18"/>
                <w:b w:val="1"/>
                <w:bCs w:val="1"/>
                <w:color w:val="0A0A0A"/>
              </w:rPr>
              <w:t>2020</w:t>
            </w: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580" w:type="dxa"/>
            <w:vAlign w:val="bottom"/>
            <w:tcBorders>
              <w:top w:val="single" w:sz="8" w:color="auto"/>
            </w:tcBorders>
            <w:shd w:val="clear" w:color="auto" w:fill="C6F4F9"/>
          </w:tcPr>
          <w:p>
            <w:pPr>
              <w:jc w:val="right"/>
              <w:ind w:right="50"/>
              <w:spacing w:after="0" w:line="196" w:lineRule="exact"/>
              <w:rPr>
                <w:sz w:val="20"/>
                <w:szCs w:val="20"/>
                <w:color w:val="auto"/>
              </w:rPr>
            </w:pPr>
            <w:r>
              <w:rPr>
                <w:rFonts w:ascii="Arial" w:cs="Arial" w:eastAsia="Arial" w:hAnsi="Arial"/>
                <w:sz w:val="18"/>
                <w:szCs w:val="18"/>
                <w:color w:val="0A0A0A"/>
              </w:rPr>
              <w:t>$</w:t>
            </w:r>
          </w:p>
        </w:tc>
        <w:tc>
          <w:tcPr>
            <w:tcW w:w="1000" w:type="dxa"/>
            <w:vAlign w:val="bottom"/>
            <w:tcBorders>
              <w:top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276.8</w:t>
            </w:r>
          </w:p>
        </w:tc>
        <w:tc>
          <w:tcPr>
            <w:tcW w:w="460" w:type="dxa"/>
            <w:vAlign w:val="bottom"/>
            <w:tcBorders>
              <w:top w:val="single" w:sz="8" w:color="auto"/>
            </w:tcBorders>
            <w:shd w:val="clear" w:color="auto" w:fill="C6F4F9"/>
          </w:tcPr>
          <w:p>
            <w:pPr>
              <w:jc w:val="right"/>
              <w:ind w:right="130"/>
              <w:spacing w:after="0" w:line="196" w:lineRule="exact"/>
              <w:rPr>
                <w:sz w:val="20"/>
                <w:szCs w:val="20"/>
                <w:color w:val="auto"/>
              </w:rPr>
            </w:pPr>
            <w:r>
              <w:rPr>
                <w:rFonts w:ascii="Arial" w:cs="Arial" w:eastAsia="Arial" w:hAnsi="Arial"/>
                <w:sz w:val="18"/>
                <w:szCs w:val="18"/>
                <w:color w:val="0A0A0A"/>
              </w:rPr>
              <w:t>$</w:t>
            </w:r>
          </w:p>
        </w:tc>
        <w:tc>
          <w:tcPr>
            <w:tcW w:w="1020" w:type="dxa"/>
            <w:vAlign w:val="bottom"/>
            <w:tcBorders>
              <w:top w:val="single" w:sz="8" w:color="auto"/>
            </w:tcBorders>
            <w:shd w:val="clear" w:color="auto" w:fill="C6F4F9"/>
          </w:tcPr>
          <w:p>
            <w:pPr>
              <w:jc w:val="right"/>
              <w:ind w:right="151"/>
              <w:spacing w:after="0" w:line="196" w:lineRule="exact"/>
              <w:rPr>
                <w:sz w:val="20"/>
                <w:szCs w:val="20"/>
                <w:color w:val="auto"/>
              </w:rPr>
            </w:pPr>
            <w:r>
              <w:rPr>
                <w:rFonts w:ascii="Arial" w:cs="Arial" w:eastAsia="Arial" w:hAnsi="Arial"/>
                <w:sz w:val="18"/>
                <w:szCs w:val="18"/>
                <w:color w:val="0A0A0A"/>
              </w:rPr>
              <w:t>215.7</w:t>
            </w:r>
          </w:p>
        </w:tc>
        <w:tc>
          <w:tcPr>
            <w:tcW w:w="1200" w:type="dxa"/>
            <w:vAlign w:val="bottom"/>
            <w:tcBorders>
              <w:top w:val="single" w:sz="8" w:color="auto"/>
            </w:tcBorders>
            <w:shd w:val="clear" w:color="auto" w:fill="C6F4F9"/>
          </w:tcPr>
          <w:p>
            <w:pPr>
              <w:jc w:val="right"/>
              <w:ind w:right="30"/>
              <w:spacing w:after="0" w:line="196" w:lineRule="exact"/>
              <w:rPr>
                <w:sz w:val="20"/>
                <w:szCs w:val="20"/>
                <w:color w:val="auto"/>
              </w:rPr>
            </w:pPr>
            <w:r>
              <w:rPr>
                <w:rFonts w:ascii="Arial" w:cs="Arial" w:eastAsia="Arial" w:hAnsi="Arial"/>
                <w:sz w:val="18"/>
                <w:szCs w:val="18"/>
                <w:color w:val="0A0A0A"/>
              </w:rPr>
              <w:t>28</w:t>
            </w:r>
          </w:p>
        </w:tc>
        <w:tc>
          <w:tcPr>
            <w:tcW w:w="780" w:type="dxa"/>
            <w:vAlign w:val="bottom"/>
            <w:tcBorders>
              <w:top w:val="single" w:sz="8" w:color="C6F4F9"/>
            </w:tcBorders>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0A0A0A"/>
              </w:rPr>
              <w:t>Operating income</w:t>
            </w:r>
          </w:p>
        </w:tc>
        <w:tc>
          <w:tcPr>
            <w:tcW w:w="5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74.2</w:t>
            </w:r>
          </w:p>
        </w:tc>
        <w:tc>
          <w:tcPr>
            <w:tcW w:w="46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0A0A0A"/>
              </w:rPr>
              <w:t>13.0</w:t>
            </w:r>
          </w:p>
        </w:tc>
        <w:tc>
          <w:tcPr>
            <w:tcW w:w="1200" w:type="dxa"/>
            <w:vAlign w:val="bottom"/>
          </w:tcPr>
          <w:p>
            <w:pPr>
              <w:jc w:val="right"/>
              <w:ind w:right="30"/>
              <w:spacing w:after="0" w:line="202" w:lineRule="exact"/>
              <w:rPr>
                <w:sz w:val="20"/>
                <w:szCs w:val="20"/>
                <w:color w:val="auto"/>
              </w:rPr>
            </w:pPr>
            <w:r>
              <w:rPr>
                <w:rFonts w:ascii="Arial" w:cs="Arial" w:eastAsia="Arial" w:hAnsi="Arial"/>
                <w:sz w:val="18"/>
                <w:szCs w:val="18"/>
                <w:color w:val="0A0A0A"/>
              </w:rPr>
              <w:t>471</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before income tax</w:t>
            </w:r>
          </w:p>
        </w:tc>
        <w:tc>
          <w:tcPr>
            <w:tcW w:w="58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79.0</w:t>
            </w:r>
          </w:p>
        </w:tc>
        <w:tc>
          <w:tcPr>
            <w:tcW w:w="46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151"/>
              <w:spacing w:after="0" w:line="202" w:lineRule="exact"/>
              <w:rPr>
                <w:sz w:val="20"/>
                <w:szCs w:val="20"/>
                <w:color w:val="auto"/>
              </w:rPr>
            </w:pPr>
            <w:r>
              <w:rPr>
                <w:rFonts w:ascii="Arial" w:cs="Arial" w:eastAsia="Arial" w:hAnsi="Arial"/>
                <w:sz w:val="18"/>
                <w:szCs w:val="18"/>
                <w:color w:val="0A0A0A"/>
              </w:rPr>
              <w:t>1.8</w:t>
            </w:r>
          </w:p>
        </w:tc>
        <w:tc>
          <w:tcPr>
            <w:tcW w:w="1980" w:type="dxa"/>
            <w:vAlign w:val="bottom"/>
            <w:gridSpan w:val="2"/>
            <w:shd w:val="clear" w:color="auto" w:fill="C6F4F9"/>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0A0A0A"/>
              </w:rPr>
              <w:t>Net income</w:t>
            </w:r>
          </w:p>
        </w:tc>
        <w:tc>
          <w:tcPr>
            <w:tcW w:w="5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64.2</w:t>
            </w:r>
          </w:p>
        </w:tc>
        <w:tc>
          <w:tcPr>
            <w:tcW w:w="46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0A0A0A"/>
              </w:rPr>
              <w:t>1.2</w:t>
            </w:r>
          </w:p>
        </w:tc>
        <w:tc>
          <w:tcPr>
            <w:tcW w:w="1980" w:type="dxa"/>
            <w:vAlign w:val="bottom"/>
            <w:gridSpan w:val="2"/>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03"/>
        </w:trPr>
        <w:tc>
          <w:tcPr>
            <w:tcW w:w="62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 earnings per share</w:t>
            </w:r>
          </w:p>
        </w:tc>
        <w:tc>
          <w:tcPr>
            <w:tcW w:w="58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0A0A0A"/>
              </w:rPr>
              <w:t>$</w:t>
            </w: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1.12</w:t>
            </w:r>
          </w:p>
        </w:tc>
        <w:tc>
          <w:tcPr>
            <w:tcW w:w="4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0A0A0A"/>
              </w:rPr>
              <w:t>$</w:t>
            </w:r>
          </w:p>
        </w:tc>
        <w:tc>
          <w:tcPr>
            <w:tcW w:w="1020" w:type="dxa"/>
            <w:vAlign w:val="bottom"/>
            <w:shd w:val="clear" w:color="auto" w:fill="C6F4F9"/>
          </w:tcPr>
          <w:p>
            <w:pPr>
              <w:jc w:val="right"/>
              <w:ind w:right="151"/>
              <w:spacing w:after="0" w:line="202" w:lineRule="exact"/>
              <w:rPr>
                <w:sz w:val="20"/>
                <w:szCs w:val="20"/>
                <w:color w:val="auto"/>
              </w:rPr>
            </w:pPr>
            <w:r>
              <w:rPr>
                <w:rFonts w:ascii="Arial" w:cs="Arial" w:eastAsia="Arial" w:hAnsi="Arial"/>
                <w:sz w:val="18"/>
                <w:szCs w:val="18"/>
                <w:color w:val="0A0A0A"/>
              </w:rPr>
              <w:t>0.02</w:t>
            </w:r>
          </w:p>
        </w:tc>
        <w:tc>
          <w:tcPr>
            <w:tcW w:w="1980" w:type="dxa"/>
            <w:vAlign w:val="bottom"/>
            <w:gridSpan w:val="2"/>
            <w:shd w:val="clear" w:color="auto" w:fill="C6F4F9"/>
          </w:tcPr>
          <w:p>
            <w:pPr>
              <w:ind w:left="800"/>
              <w:spacing w:after="0" w:line="202" w:lineRule="exact"/>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2"/>
        </w:trPr>
        <w:tc>
          <w:tcPr>
            <w:tcW w:w="6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gridSpan w:val="3"/>
          </w:tcPr>
          <w:p>
            <w:pPr>
              <w:jc w:val="right"/>
              <w:ind w:right="571"/>
              <w:spacing w:after="0"/>
              <w:rPr>
                <w:sz w:val="20"/>
                <w:szCs w:val="20"/>
                <w:color w:val="auto"/>
              </w:rPr>
            </w:pPr>
            <w:r>
              <w:rPr>
                <w:rFonts w:ascii="Arial" w:cs="Arial" w:eastAsia="Arial" w:hAnsi="Arial"/>
                <w:sz w:val="18"/>
                <w:szCs w:val="18"/>
                <w:b w:val="1"/>
                <w:bCs w:val="1"/>
                <w:color w:val="auto"/>
              </w:rPr>
              <w:t>Six Months Ended</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A0A0A"/>
              </w:rPr>
              <w:t>(unaudited) (in millions, except share amounts)</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0A0A0A"/>
              </w:rPr>
              <w:t>2021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0A0A0A"/>
              </w:rPr>
              <w:t>2020</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0A0A0A"/>
              </w:rPr>
              <w:t>% Change</w:t>
            </w:r>
          </w:p>
        </w:tc>
        <w:tc>
          <w:tcPr>
            <w:tcW w:w="78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0" w:type="dxa"/>
            <w:vAlign w:val="bottom"/>
            <w:shd w:val="clear" w:color="auto" w:fill="C6F4F9"/>
          </w:tcPr>
          <w:p>
            <w:pPr>
              <w:spacing w:after="0" w:line="236" w:lineRule="exact"/>
              <w:rPr>
                <w:sz w:val="20"/>
                <w:szCs w:val="20"/>
                <w:color w:val="auto"/>
              </w:rPr>
            </w:pPr>
            <w:r>
              <w:rPr>
                <w:rFonts w:ascii="Arial" w:cs="Arial" w:eastAsia="Arial" w:hAnsi="Arial"/>
                <w:sz w:val="17"/>
                <w:szCs w:val="17"/>
                <w:color w:val="0A0A0A"/>
              </w:rPr>
              <w:t xml:space="preserve">Adjusted operating income (loss) </w:t>
            </w:r>
            <w:r>
              <w:rPr>
                <w:rFonts w:ascii="Arial" w:cs="Arial" w:eastAsia="Arial" w:hAnsi="Arial"/>
                <w:sz w:val="27"/>
                <w:szCs w:val="27"/>
                <w:color w:val="0A0A0A"/>
                <w:vertAlign w:val="superscript"/>
              </w:rPr>
              <w:t>(1)</w:t>
            </w:r>
          </w:p>
        </w:tc>
        <w:tc>
          <w:tcPr>
            <w:tcW w:w="58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0A0A0A"/>
              </w:rPr>
              <w:t>$</w:t>
            </w:r>
          </w:p>
        </w:tc>
        <w:tc>
          <w:tcPr>
            <w:tcW w:w="100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0A0A0A"/>
              </w:rPr>
              <w:t>12.7</w:t>
            </w:r>
          </w:p>
        </w:tc>
        <w:tc>
          <w:tcPr>
            <w:tcW w:w="46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0A0A0A"/>
              </w:rPr>
              <w:t>($</w:t>
            </w:r>
          </w:p>
        </w:tc>
        <w:tc>
          <w:tcPr>
            <w:tcW w:w="1020" w:type="dxa"/>
            <w:vAlign w:val="bottom"/>
            <w:shd w:val="clear" w:color="auto" w:fill="C6F4F9"/>
          </w:tcPr>
          <w:p>
            <w:pPr>
              <w:jc w:val="right"/>
              <w:ind w:right="91"/>
              <w:spacing w:after="0"/>
              <w:rPr>
                <w:sz w:val="20"/>
                <w:szCs w:val="20"/>
                <w:color w:val="auto"/>
              </w:rPr>
            </w:pPr>
            <w:r>
              <w:rPr>
                <w:rFonts w:ascii="Arial" w:cs="Arial" w:eastAsia="Arial" w:hAnsi="Arial"/>
                <w:sz w:val="18"/>
                <w:szCs w:val="18"/>
                <w:color w:val="0A0A0A"/>
              </w:rPr>
              <w:t>15.2)</w:t>
            </w:r>
          </w:p>
        </w:tc>
        <w:tc>
          <w:tcPr>
            <w:tcW w:w="1980" w:type="dxa"/>
            <w:vAlign w:val="bottom"/>
            <w:gridSpan w:val="2"/>
            <w:shd w:val="clear" w:color="auto" w:fill="C6F4F9"/>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6200" w:type="dxa"/>
            <w:vAlign w:val="bottom"/>
          </w:tcPr>
          <w:p>
            <w:pPr>
              <w:spacing w:after="0" w:line="243" w:lineRule="exact"/>
              <w:rPr>
                <w:sz w:val="20"/>
                <w:szCs w:val="20"/>
                <w:color w:val="auto"/>
              </w:rPr>
            </w:pPr>
            <w:r>
              <w:rPr>
                <w:rFonts w:ascii="Arial" w:cs="Arial" w:eastAsia="Arial" w:hAnsi="Arial"/>
                <w:sz w:val="17"/>
                <w:szCs w:val="17"/>
                <w:color w:val="0A0A0A"/>
              </w:rPr>
              <w:t xml:space="preserve">Adjusted income (loss) before income tax </w:t>
            </w:r>
            <w:r>
              <w:rPr>
                <w:rFonts w:ascii="Arial" w:cs="Arial" w:eastAsia="Arial" w:hAnsi="Arial"/>
                <w:sz w:val="28"/>
                <w:szCs w:val="28"/>
                <w:color w:val="0A0A0A"/>
                <w:vertAlign w:val="superscript"/>
              </w:rPr>
              <w:t>(1)</w:t>
            </w:r>
          </w:p>
        </w:tc>
        <w:tc>
          <w:tcPr>
            <w:tcW w:w="5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0A0A0A"/>
              </w:rPr>
              <w:t>0.7</w:t>
            </w:r>
          </w:p>
        </w:tc>
        <w:tc>
          <w:tcPr>
            <w:tcW w:w="4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0A0A0A"/>
              </w:rPr>
              <w:t>(26.0)</w:t>
            </w:r>
          </w:p>
        </w:tc>
        <w:tc>
          <w:tcPr>
            <w:tcW w:w="1980" w:type="dxa"/>
            <w:vAlign w:val="bottom"/>
            <w:gridSpan w:val="2"/>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6200" w:type="dxa"/>
            <w:vAlign w:val="bottom"/>
            <w:shd w:val="clear" w:color="auto" w:fill="C6F4F9"/>
          </w:tcPr>
          <w:p>
            <w:pPr>
              <w:spacing w:after="0" w:line="243" w:lineRule="exact"/>
              <w:rPr>
                <w:sz w:val="20"/>
                <w:szCs w:val="20"/>
                <w:color w:val="auto"/>
              </w:rPr>
            </w:pPr>
            <w:r>
              <w:rPr>
                <w:rFonts w:ascii="Arial" w:cs="Arial" w:eastAsia="Arial" w:hAnsi="Arial"/>
                <w:sz w:val="17"/>
                <w:szCs w:val="17"/>
                <w:color w:val="0A0A0A"/>
              </w:rPr>
              <w:t xml:space="preserve">Adjusted net loss </w:t>
            </w:r>
            <w:r>
              <w:rPr>
                <w:rFonts w:ascii="Arial" w:cs="Arial" w:eastAsia="Arial" w:hAnsi="Arial"/>
                <w:sz w:val="28"/>
                <w:szCs w:val="28"/>
                <w:color w:val="0A0A0A"/>
                <w:vertAlign w:val="superscript"/>
              </w:rPr>
              <w:t>(1)</w:t>
            </w:r>
          </w:p>
        </w:tc>
        <w:tc>
          <w:tcPr>
            <w:tcW w:w="580" w:type="dxa"/>
            <w:vAlign w:val="bottom"/>
            <w:shd w:val="clear" w:color="auto" w:fill="C6F4F9"/>
          </w:tcPr>
          <w:p>
            <w:pPr>
              <w:spacing w:after="0"/>
              <w:rPr>
                <w:sz w:val="21"/>
                <w:szCs w:val="21"/>
                <w:color w:val="auto"/>
              </w:rPr>
            </w:pPr>
          </w:p>
        </w:tc>
        <w:tc>
          <w:tcPr>
            <w:tcW w:w="100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(0.4)</w:t>
            </w:r>
          </w:p>
        </w:tc>
        <w:tc>
          <w:tcPr>
            <w:tcW w:w="460" w:type="dxa"/>
            <w:vAlign w:val="bottom"/>
            <w:shd w:val="clear" w:color="auto" w:fill="C6F4F9"/>
          </w:tcPr>
          <w:p>
            <w:pPr>
              <w:spacing w:after="0"/>
              <w:rPr>
                <w:sz w:val="21"/>
                <w:szCs w:val="21"/>
                <w:color w:val="auto"/>
              </w:rPr>
            </w:pPr>
          </w:p>
        </w:tc>
        <w:tc>
          <w:tcPr>
            <w:tcW w:w="1020" w:type="dxa"/>
            <w:vAlign w:val="bottom"/>
            <w:shd w:val="clear" w:color="auto" w:fill="C6F4F9"/>
          </w:tcPr>
          <w:p>
            <w:pPr>
              <w:jc w:val="right"/>
              <w:ind w:right="91"/>
              <w:spacing w:after="0"/>
              <w:rPr>
                <w:sz w:val="20"/>
                <w:szCs w:val="20"/>
                <w:color w:val="auto"/>
              </w:rPr>
            </w:pPr>
            <w:r>
              <w:rPr>
                <w:rFonts w:ascii="Arial" w:cs="Arial" w:eastAsia="Arial" w:hAnsi="Arial"/>
                <w:sz w:val="18"/>
                <w:szCs w:val="18"/>
                <w:color w:val="0A0A0A"/>
              </w:rPr>
              <w:t>(20.2)</w:t>
            </w:r>
          </w:p>
        </w:tc>
        <w:tc>
          <w:tcPr>
            <w:tcW w:w="1980" w:type="dxa"/>
            <w:vAlign w:val="bottom"/>
            <w:gridSpan w:val="2"/>
            <w:shd w:val="clear" w:color="auto" w:fill="C6F4F9"/>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383"/>
        </w:trPr>
        <w:tc>
          <w:tcPr>
            <w:tcW w:w="6200" w:type="dxa"/>
            <w:vAlign w:val="bottom"/>
          </w:tcPr>
          <w:p>
            <w:pPr>
              <w:spacing w:after="0"/>
              <w:rPr>
                <w:sz w:val="20"/>
                <w:szCs w:val="20"/>
                <w:color w:val="auto"/>
              </w:rPr>
            </w:pPr>
            <w:r>
              <w:rPr>
                <w:rFonts w:ascii="Arial" w:cs="Arial" w:eastAsia="Arial" w:hAnsi="Arial"/>
                <w:sz w:val="18"/>
                <w:szCs w:val="18"/>
                <w:color w:val="0A0A0A"/>
              </w:rPr>
              <w:t xml:space="preserve">Adjusted diluted earnings (loss) per share </w:t>
            </w:r>
            <w:r>
              <w:rPr>
                <w:rFonts w:ascii="Arial" w:cs="Arial" w:eastAsia="Arial" w:hAnsi="Arial"/>
                <w:sz w:val="29"/>
                <w:szCs w:val="29"/>
                <w:color w:val="0A0A0A"/>
                <w:vertAlign w:val="superscript"/>
              </w:rPr>
              <w:t>(1)</w:t>
            </w:r>
          </w:p>
        </w:tc>
        <w:tc>
          <w:tcPr>
            <w:tcW w:w="580" w:type="dxa"/>
            <w:vAlign w:val="bottom"/>
          </w:tcPr>
          <w:p>
            <w:pPr>
              <w:jc w:val="right"/>
              <w:ind w:right="50"/>
              <w:spacing w:after="0"/>
              <w:rPr>
                <w:sz w:val="20"/>
                <w:szCs w:val="20"/>
                <w:color w:val="auto"/>
              </w:rPr>
            </w:pPr>
            <w:r>
              <w:rPr>
                <w:rFonts w:ascii="Arial" w:cs="Arial" w:eastAsia="Arial" w:hAnsi="Arial"/>
                <w:sz w:val="18"/>
                <w:szCs w:val="18"/>
                <w:color w:val="0A0A0A"/>
              </w:rPr>
              <w:t>($</w:t>
            </w:r>
          </w:p>
        </w:tc>
        <w:tc>
          <w:tcPr>
            <w:tcW w:w="1000" w:type="dxa"/>
            <w:vAlign w:val="bottom"/>
          </w:tcPr>
          <w:p>
            <w:pPr>
              <w:jc w:val="right"/>
              <w:spacing w:after="0"/>
              <w:rPr>
                <w:sz w:val="20"/>
                <w:szCs w:val="20"/>
                <w:color w:val="auto"/>
              </w:rPr>
            </w:pPr>
            <w:r>
              <w:rPr>
                <w:rFonts w:ascii="Arial" w:cs="Arial" w:eastAsia="Arial" w:hAnsi="Arial"/>
                <w:sz w:val="18"/>
                <w:szCs w:val="18"/>
                <w:color w:val="0A0A0A"/>
              </w:rPr>
              <w:t>0.01)</w:t>
            </w:r>
          </w:p>
        </w:tc>
        <w:tc>
          <w:tcPr>
            <w:tcW w:w="460" w:type="dxa"/>
            <w:vAlign w:val="bottom"/>
          </w:tcPr>
          <w:p>
            <w:pPr>
              <w:jc w:val="right"/>
              <w:ind w:right="130"/>
              <w:spacing w:after="0"/>
              <w:rPr>
                <w:sz w:val="20"/>
                <w:szCs w:val="20"/>
                <w:color w:val="auto"/>
              </w:rPr>
            </w:pPr>
            <w:r>
              <w:rPr>
                <w:rFonts w:ascii="Arial" w:cs="Arial" w:eastAsia="Arial" w:hAnsi="Arial"/>
                <w:sz w:val="18"/>
                <w:szCs w:val="18"/>
                <w:color w:val="0A0A0A"/>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0A0A0A"/>
              </w:rPr>
              <w:t>0.42)</w:t>
            </w:r>
          </w:p>
        </w:tc>
        <w:tc>
          <w:tcPr>
            <w:tcW w:w="1980" w:type="dxa"/>
            <w:vAlign w:val="bottom"/>
            <w:gridSpan w:val="2"/>
          </w:tcPr>
          <w:p>
            <w:pPr>
              <w:ind w:left="800"/>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596"/>
        </w:trPr>
        <w:tc>
          <w:tcPr>
            <w:tcW w:w="6200" w:type="dxa"/>
            <w:vAlign w:val="bottom"/>
            <w:tcBorders>
              <w:bottom w:val="single" w:sz="8" w:color="auto"/>
            </w:tcBorders>
          </w:tcPr>
          <w:p>
            <w:pPr>
              <w:ind w:left="5340"/>
              <w:spacing w:after="0"/>
              <w:rPr>
                <w:sz w:val="20"/>
                <w:szCs w:val="20"/>
                <w:color w:val="auto"/>
              </w:rPr>
            </w:pPr>
            <w:r>
              <w:rPr>
                <w:rFonts w:ascii="Arial" w:cs="Arial" w:eastAsia="Arial" w:hAnsi="Arial"/>
                <w:sz w:val="18"/>
                <w:szCs w:val="18"/>
                <w:color w:val="auto"/>
              </w:rPr>
              <w:t>Page 1</w:t>
            </w: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6640195</wp:posOffset>
            </wp:positionH>
            <wp:positionV relativeFrom="paragraph">
              <wp:posOffset>-4602480</wp:posOffset>
            </wp:positionV>
            <wp:extent cx="49720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 cy="13716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-4337050</wp:posOffset>
            </wp:positionV>
            <wp:extent cx="4972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 cy="1289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-4079875</wp:posOffset>
            </wp:positionV>
            <wp:extent cx="4972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205" cy="1289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-3428365</wp:posOffset>
            </wp:positionV>
            <wp:extent cx="49720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 cy="16256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-3110865</wp:posOffset>
            </wp:positionV>
            <wp:extent cx="49720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 cy="1543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-2279650</wp:posOffset>
            </wp:positionV>
            <wp:extent cx="49720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205" cy="13716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-2013585</wp:posOffset>
            </wp:positionV>
            <wp:extent cx="4972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205" cy="1289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-1756410</wp:posOffset>
            </wp:positionV>
            <wp:extent cx="4972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205" cy="12890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-1104900</wp:posOffset>
            </wp:positionV>
            <wp:extent cx="49720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205" cy="16319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-788035</wp:posOffset>
            </wp:positionV>
            <wp:extent cx="49720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205" cy="15430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0A0A0A"/>
        </w:rPr>
        <w:t>For the quarter ended June 30, 2021, Sun Country reported net income of $51.8 million and income before income tax of $61.2 million, on</w:t>
      </w:r>
    </w:p>
    <w:p>
      <w:pPr>
        <w:ind w:right="20"/>
        <w:spacing w:after="0" w:line="197" w:lineRule="auto"/>
        <w:rPr>
          <w:sz w:val="20"/>
          <w:szCs w:val="20"/>
          <w:color w:val="auto"/>
        </w:rPr>
      </w:pPr>
      <w:r>
        <w:rPr>
          <w:rFonts w:ascii="Arial" w:cs="Arial" w:eastAsia="Arial" w:hAnsi="Arial"/>
          <w:sz w:val="18"/>
          <w:szCs w:val="18"/>
          <w:color w:val="0A0A0A"/>
        </w:rPr>
        <w:t>$149.2 million of revenue. Adjusting to remove $38.5 million of net benefit from the CARES Act grant recognized during the quarter and other one-time items, adjusted income before income tax for the quarter was $5.4 million</w:t>
      </w:r>
      <w:r>
        <w:rPr>
          <w:rFonts w:ascii="Arial" w:cs="Arial" w:eastAsia="Arial" w:hAnsi="Arial"/>
          <w:sz w:val="29"/>
          <w:szCs w:val="29"/>
          <w:color w:val="0A0A0A"/>
          <w:vertAlign w:val="superscript"/>
        </w:rPr>
        <w:t>(1)</w:t>
      </w:r>
      <w:r>
        <w:rPr>
          <w:rFonts w:ascii="Arial" w:cs="Arial" w:eastAsia="Arial" w:hAnsi="Arial"/>
          <w:sz w:val="18"/>
          <w:szCs w:val="18"/>
          <w:color w:val="0A0A0A"/>
        </w:rPr>
        <w:t>. GAAP operating income during the quarter was $49.2</w:t>
      </w:r>
    </w:p>
    <w:p>
      <w:pPr>
        <w:spacing w:after="0" w:line="2" w:lineRule="exact"/>
        <w:rPr>
          <w:sz w:val="20"/>
          <w:szCs w:val="20"/>
          <w:color w:val="auto"/>
        </w:rPr>
      </w:pPr>
    </w:p>
    <w:p>
      <w:pPr>
        <w:ind w:right="540"/>
        <w:spacing w:after="0" w:line="225" w:lineRule="auto"/>
        <w:rPr>
          <w:sz w:val="20"/>
          <w:szCs w:val="20"/>
          <w:color w:val="auto"/>
        </w:rPr>
      </w:pPr>
      <w:r>
        <w:rPr>
          <w:rFonts w:ascii="Arial" w:cs="Arial" w:eastAsia="Arial" w:hAnsi="Arial"/>
          <w:sz w:val="18"/>
          <w:szCs w:val="18"/>
          <w:color w:val="0A0A0A"/>
        </w:rPr>
        <w:t>million, producing an operating margin of 33%, while adjusted operating income was $11.5 million</w:t>
      </w:r>
      <w:r>
        <w:rPr>
          <w:rFonts w:ascii="Arial" w:cs="Arial" w:eastAsia="Arial" w:hAnsi="Arial"/>
          <w:sz w:val="29"/>
          <w:szCs w:val="29"/>
          <w:color w:val="0A0A0A"/>
          <w:vertAlign w:val="superscript"/>
        </w:rPr>
        <w:t>(1)</w:t>
      </w:r>
      <w:r>
        <w:rPr>
          <w:rFonts w:ascii="Arial" w:cs="Arial" w:eastAsia="Arial" w:hAnsi="Arial"/>
          <w:sz w:val="18"/>
          <w:szCs w:val="18"/>
          <w:color w:val="0A0A0A"/>
        </w:rPr>
        <w:t>, resulting in an adjusted operating income margin of 8%</w:t>
      </w:r>
      <w:r>
        <w:rPr>
          <w:rFonts w:ascii="Arial" w:cs="Arial" w:eastAsia="Arial" w:hAnsi="Arial"/>
          <w:sz w:val="29"/>
          <w:szCs w:val="29"/>
          <w:color w:val="0A0A0A"/>
          <w:vertAlign w:val="superscript"/>
        </w:rPr>
        <w:t>(1)</w:t>
      </w:r>
      <w:r>
        <w:rPr>
          <w:rFonts w:ascii="Arial" w:cs="Arial" w:eastAsia="Arial" w:hAnsi="Arial"/>
          <w:sz w:val="18"/>
          <w:szCs w:val="18"/>
          <w:color w:val="0A0A0A"/>
        </w:rPr>
        <w:t>.</w:t>
      </w:r>
    </w:p>
    <w:p>
      <w:pPr>
        <w:spacing w:after="0" w:line="6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0A0A0A"/>
        </w:rPr>
        <w:t>“This will be the second consecutive quarter in which we have produced positive adjusted operating income and the third consecutive quarter in which we had adjusted EBITDAR margins of greater than 15%,” said Dave Davis, President and Chief Financial Officer of Sun Country. “We have also reduced our level of net debt for two consecutive quarters primarily by raising our cash balances through cash from operations. As mentioned above, we continue to see revenue strengthen as demonstrated by our scheduled service 77% load factor, which was the highest level since the fourth quarter of 2019. We currently expect this strength to continue and are looking to produce our third consecutive quarter with a positive operating margin.”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Second Quarter 2021 Highlights</w:t>
      </w:r>
    </w:p>
    <w:p>
      <w:pPr>
        <w:spacing w:after="0" w:line="22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Taken delivery of two additional aircraft</w:t>
      </w:r>
    </w:p>
    <w:p>
      <w:pPr>
        <w:spacing w:after="0" w:line="9" w:lineRule="exact"/>
        <w:rPr>
          <w:rFonts w:ascii="Arial" w:cs="Arial" w:eastAsia="Arial" w:hAnsi="Arial"/>
          <w:sz w:val="18"/>
          <w:szCs w:val="18"/>
          <w:color w:val="0A0A0A"/>
        </w:rPr>
      </w:pPr>
    </w:p>
    <w:p>
      <w:pPr>
        <w:ind w:left="660" w:right="40" w:hanging="328"/>
        <w:spacing w:after="0" w:line="234"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Announced continued expansion of the Company’s route network including service to eleven new airports: Milwaukee Mitchell International Airport (MKE), Palm Beach International (PBI), Owen Roberts International Airport in Grand Cayman (GCM), Providenciales International Airport in Turks and Caicos (PLS), St. Pete-Clearwater International Airport (PIE), Punta Gorda Airport (PGD), Asheville Regional Airport (AVL), Phoenix-Mesa Gateway Airport (AZA), Duluth International Airport (DLH), Green Bay Austin Straubel International Airport (GRB) and Rochester International Airport (RST)</w:t>
      </w:r>
    </w:p>
    <w:p>
      <w:pPr>
        <w:spacing w:after="0" w:line="3" w:lineRule="exact"/>
        <w:rPr>
          <w:rFonts w:ascii="Arial" w:cs="Arial" w:eastAsia="Arial" w:hAnsi="Arial"/>
          <w:sz w:val="18"/>
          <w:szCs w:val="18"/>
          <w:color w:val="0A0A0A"/>
        </w:rPr>
      </w:pPr>
    </w:p>
    <w:p>
      <w:pPr>
        <w:ind w:left="660" w:hanging="328"/>
        <w:spacing w:after="0"/>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Announced 20 new nonstop routes, our largest in company history, the majority will begin flying in the second half of 2021</w:t>
      </w:r>
    </w:p>
    <w:p>
      <w:pPr>
        <w:spacing w:after="0" w:line="9" w:lineRule="exact"/>
        <w:rPr>
          <w:rFonts w:ascii="Arial" w:cs="Arial" w:eastAsia="Arial" w:hAnsi="Arial"/>
          <w:sz w:val="18"/>
          <w:szCs w:val="18"/>
          <w:color w:val="0A0A0A"/>
        </w:rPr>
      </w:pPr>
    </w:p>
    <w:p>
      <w:pPr>
        <w:ind w:left="660" w:hanging="328"/>
        <w:spacing w:after="0"/>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Welcomed Tom Kennedy to the Board of Directors and as Chairman of the Audit Committee</w:t>
      </w:r>
    </w:p>
    <w:p>
      <w:pPr>
        <w:spacing w:after="0" w:line="9" w:lineRule="exact"/>
        <w:rPr>
          <w:rFonts w:ascii="Arial" w:cs="Arial" w:eastAsia="Arial" w:hAnsi="Arial"/>
          <w:sz w:val="18"/>
          <w:szCs w:val="18"/>
          <w:color w:val="0A0A0A"/>
        </w:rPr>
      </w:pPr>
    </w:p>
    <w:p>
      <w:pPr>
        <w:ind w:left="660" w:hanging="328"/>
        <w:spacing w:after="0"/>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Received $39.4 million grant from the CARES Act Payroll Support Program during the second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0A0A0A"/>
        </w:rPr>
        <w:t>On a total available seat mile (“ASM”) basis, the Company saw total ASMs grow 5% versus the first quarter of 2021, which is down 17% versus the second quarter of 2019. Charter block hours also increased sequentially versus the first quarter of 2021, by 10%, and are 24% lower than they were in the same period of 2019. Cargo block hours were approximately flat versus the first quarter 2021 which was as expected. Comparisons to the second quarter 2020 are not meaningful as that was the first full quarter that was impacted by COVID-19.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0A0A0A"/>
        </w:rPr>
        <w:t xml:space="preserve">For the second quarter of 2021, the Company reported total revenue of $149.2 million which was $22 million, or 17%, sequentially higher than the $127.6 million recorded in the first quarter of 2021, and 12% below the second quarter of 2019. </w:t>
      </w:r>
      <w:r>
        <w:rPr>
          <w:rFonts w:ascii="Arial" w:cs="Arial" w:eastAsia="Arial" w:hAnsi="Arial"/>
          <w:sz w:val="18"/>
          <w:szCs w:val="18"/>
          <w:color w:val="000000"/>
        </w:rPr>
        <w:t>The Company’s scheduled revenue</w:t>
      </w:r>
      <w:r>
        <w:rPr>
          <w:rFonts w:ascii="Arial" w:cs="Arial" w:eastAsia="Arial" w:hAnsi="Arial"/>
          <w:sz w:val="18"/>
          <w:szCs w:val="18"/>
          <w:color w:val="0A0A0A"/>
        </w:rPr>
        <w:t xml:space="preserve"> </w:t>
      </w:r>
      <w:r>
        <w:rPr>
          <w:rFonts w:ascii="Arial" w:cs="Arial" w:eastAsia="Arial" w:hAnsi="Arial"/>
          <w:sz w:val="18"/>
          <w:szCs w:val="18"/>
          <w:color w:val="000000"/>
        </w:rPr>
        <w:t>per scheduled ASM (PRASM) of 5.6 cents in the second quarter of 2021 declined 16% versus the same time period in 2019 while scheduled service load factor was 77%, the highest since the fourth quarter of 2019. Ancillary revenue has remained strong throughout the downturn. Ancillary revenue per passenger of $41.66 was 26% higher than the second quarter of 2019 which helped to limit the decline in TRASM to 9% when compared to 2019.</w:t>
      </w:r>
    </w:p>
    <w:p>
      <w:pPr>
        <w:spacing w:after="0" w:line="19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Charter service revenue is primarily generated through service provided to collegiate and professional sports teams, the U.S. Department of Defense, casinos and other customers. In the second quarter of 2021, the</w:t>
      </w:r>
    </w:p>
    <w:p>
      <w:pPr>
        <w:spacing w:after="0" w:line="200" w:lineRule="exact"/>
        <w:rPr>
          <w:sz w:val="20"/>
          <w:szCs w:val="20"/>
          <w:color w:val="auto"/>
        </w:rPr>
      </w:pPr>
    </w:p>
    <w:p>
      <w:pPr>
        <w:spacing w:after="0" w:line="294"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Company’s charter service revenue was $ 28.9 million, an increase of 12% versus $25.8 million in the first quarter of 2021. Charter revenue was down 31% versus the second quarter of 2019 as the Casino business is still ramping up from 2019 levels and military charter unit revenues are depressed due to other airlines redeploying large aircraft that are normally flying in international markets.</w:t>
      </w:r>
    </w:p>
    <w:p>
      <w:pPr>
        <w:spacing w:after="0" w:line="1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Cargo revenue consists of revenue earned from flying cargo aircraft under the Air Transportation Services Agreement (“ATSA”) with Amazon. In the second quarter of 2021, cargo revenue was $22.1 million, a 2% increase versus the first quarter of 2021. Flying under the ATSA began in May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0A0A0A"/>
        </w:rPr>
        <w:t>For the second quarter of 2021, total GAAP operating expenses decreased 3% sequentially versus the first quarter of 2021 and 37% versus the second quarter of 2019. Second quarter 2021 operating expense includes a net Special Items credit of $38.5 million, consisting primarily of a $39.4 million credit from the CARES Act Payroll Support Program, offset by certain one-time items related to the purchase of an aircraft that was previously under operating lease. Excluding these Special Items, total adjusted operating expenses decreased 9% versus the same time in 2019. The Company recognized an $18.7 million gain in the period, recorded in non-operating income / (expense), for the Tax Receivable Agreement with our pre-IPO stockholders.</w:t>
      </w:r>
    </w:p>
    <w:p>
      <w:pPr>
        <w:spacing w:after="0" w:line="19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0A0A0A"/>
        </w:rPr>
        <w:t>The Company continues to focus on reducing its unit operating costs including reducing aircraft ownership expenses, ground handling, and distribution expenses. Adjusted CASM is a non-GAAP measure derived from CASM by excluding fuel costs, Special Items described above, non-cash management stock compensation expenses, costs allocated to its cargo operations (starting in 2020 when the Company launched cargo operations), certain commissions and other costs of selling its vacations product from this measure. In the second quarter of 2021, Adjusted CASM was 6.35</w:t>
      </w:r>
      <w:r>
        <w:rPr>
          <w:rFonts w:ascii="Arial" w:cs="Arial" w:eastAsia="Arial" w:hAnsi="Arial"/>
          <w:sz w:val="29"/>
          <w:szCs w:val="29"/>
          <w:color w:val="0A0A0A"/>
          <w:vertAlign w:val="superscript"/>
        </w:rPr>
        <w:t>(2)</w:t>
      </w:r>
      <w:r>
        <w:rPr>
          <w:rFonts w:ascii="Arial" w:cs="Arial" w:eastAsia="Arial" w:hAnsi="Arial"/>
          <w:sz w:val="18"/>
          <w:szCs w:val="18"/>
          <w:color w:val="0A0A0A"/>
        </w:rPr>
        <w:t xml:space="preserve"> cents.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0" w:lineRule="exact"/>
        <w:rPr>
          <w:sz w:val="20"/>
          <w:szCs w:val="20"/>
          <w:color w:val="auto"/>
        </w:rPr>
      </w:pPr>
    </w:p>
    <w:p>
      <w:pPr>
        <w:ind w:right="80"/>
        <w:spacing w:after="0" w:line="220" w:lineRule="auto"/>
        <w:rPr>
          <w:sz w:val="20"/>
          <w:szCs w:val="20"/>
          <w:color w:val="auto"/>
        </w:rPr>
      </w:pPr>
      <w:r>
        <w:rPr>
          <w:rFonts w:ascii="Arial" w:cs="Arial" w:eastAsia="Arial" w:hAnsi="Arial"/>
          <w:sz w:val="18"/>
          <w:szCs w:val="18"/>
          <w:color w:val="0A0A0A"/>
        </w:rPr>
        <w:t>The Company reduced its net debt</w:t>
      </w:r>
      <w:r>
        <w:rPr>
          <w:rFonts w:ascii="Arial" w:cs="Arial" w:eastAsia="Arial" w:hAnsi="Arial"/>
          <w:sz w:val="29"/>
          <w:szCs w:val="29"/>
          <w:color w:val="0A0A0A"/>
          <w:vertAlign w:val="superscript"/>
        </w:rPr>
        <w:t>(3)</w:t>
      </w:r>
      <w:r>
        <w:rPr>
          <w:rFonts w:ascii="Arial" w:cs="Arial" w:eastAsia="Arial" w:hAnsi="Arial"/>
          <w:sz w:val="18"/>
          <w:szCs w:val="18"/>
          <w:color w:val="0A0A0A"/>
        </w:rPr>
        <w:t xml:space="preserve"> for the second consecutive quarter from $236 million at the end of the first quarter 2021 to $208 million at the end of the second quarter. Cash generated through operations have been better than expected which has improved cash balances. During the second quarter, the Company received a total of $39.4 million of PSP grant proceeds from the US Treasury under PSP-3 and a top-off of PSP-2. As of the end of the second quarter, the Company had total liquidity of $336 million, consisting of $311 million in cash and equivalents and access to $25 million through an undrawn revolver.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18"/>
          <w:szCs w:val="18"/>
          <w:color w:val="0A0A0A"/>
        </w:rPr>
        <w:t>The Company currently operates 34 aircraft in passenger service, an increase of three since March 31, having taken deliveries of two aircraft during the second quarter and one additional in July. It also operates 12 freighter aircraft in its cargo operation. The Company is actively pursuing used aircraft transactions and expects to have at least 36 passenger aircraft in our fleet by the end of the year.</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r>
              <w:rPr>
                <w:rFonts w:ascii="Arial" w:cs="Arial" w:eastAsia="Arial" w:hAnsi="Arial"/>
                <w:sz w:val="18"/>
                <w:szCs w:val="18"/>
                <w:b w:val="1"/>
                <w:bCs w:val="1"/>
                <w:color w:val="0A0A0A"/>
              </w:rPr>
              <w:t>Guidance for Third Quarter 2021</w:t>
            </w:r>
          </w:p>
        </w:tc>
        <w:tc>
          <w:tcPr>
            <w:tcW w:w="560" w:type="dxa"/>
            <w:vAlign w:val="bottom"/>
          </w:tcPr>
          <w:p>
            <w:pPr>
              <w:spacing w:after="0"/>
              <w:rPr>
                <w:sz w:val="20"/>
                <w:szCs w:val="20"/>
                <w:color w:val="auto"/>
              </w:rPr>
            </w:pPr>
          </w:p>
        </w:tc>
        <w:tc>
          <w:tcPr>
            <w:tcW w:w="18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0A0A0A"/>
              </w:rPr>
              <w:t>Q3 2021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gridSpan w:val="2"/>
            <w:vMerge w:val="restart"/>
          </w:tcPr>
          <w:p>
            <w:pPr>
              <w:jc w:val="center"/>
              <w:ind w:right="1800"/>
              <w:spacing w:after="0"/>
              <w:rPr>
                <w:sz w:val="20"/>
                <w:szCs w:val="20"/>
                <w:color w:val="auto"/>
              </w:rPr>
            </w:pPr>
            <w:r>
              <w:rPr>
                <w:rFonts w:ascii="Arial" w:cs="Arial" w:eastAsia="Arial" w:hAnsi="Arial"/>
                <w:sz w:val="18"/>
                <w:szCs w:val="18"/>
                <w:b w:val="1"/>
                <w:bCs w:val="1"/>
                <w:color w:val="0A0A0A"/>
                <w:w w:val="99"/>
              </w:rPr>
              <w:t>H/(L) vs Q3 2019</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color w:val="0A0A0A"/>
              </w:rPr>
              <w:t>Total revenue - millions</w:t>
            </w:r>
          </w:p>
        </w:tc>
        <w:tc>
          <w:tcPr>
            <w:tcW w:w="560" w:type="dxa"/>
            <w:vAlign w:val="bottom"/>
            <w:tcBorders>
              <w:top w:val="single" w:sz="8" w:color="C6F4F9"/>
            </w:tcBorders>
            <w:shd w:val="clear" w:color="auto" w:fill="C6F4F9"/>
          </w:tcPr>
          <w:p>
            <w:pPr>
              <w:spacing w:after="0"/>
              <w:rPr>
                <w:sz w:val="17"/>
                <w:szCs w:val="17"/>
                <w:color w:val="auto"/>
              </w:rPr>
            </w:pPr>
          </w:p>
        </w:tc>
        <w:tc>
          <w:tcPr>
            <w:tcW w:w="180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$170 to $175</w:t>
            </w:r>
          </w:p>
        </w:tc>
        <w:tc>
          <w:tcPr>
            <w:tcW w:w="720" w:type="dxa"/>
            <w:vAlign w:val="bottom"/>
            <w:tcBorders>
              <w:top w:val="single" w:sz="8" w:color="auto"/>
            </w:tcBorders>
            <w:shd w:val="clear" w:color="auto" w:fill="C6F4F9"/>
          </w:tcPr>
          <w:p>
            <w:pPr>
              <w:spacing w:after="0"/>
              <w:rPr>
                <w:sz w:val="17"/>
                <w:szCs w:val="17"/>
                <w:color w:val="auto"/>
              </w:rPr>
            </w:pPr>
          </w:p>
        </w:tc>
        <w:tc>
          <w:tcPr>
            <w:tcW w:w="100" w:type="dxa"/>
            <w:vAlign w:val="bottom"/>
            <w:tcBorders>
              <w:top w:val="single" w:sz="8" w:color="C6F4F9"/>
            </w:tcBorders>
            <w:shd w:val="clear" w:color="auto" w:fill="C6F4F9"/>
          </w:tcPr>
          <w:p>
            <w:pPr>
              <w:spacing w:after="0"/>
              <w:rPr>
                <w:sz w:val="17"/>
                <w:szCs w:val="17"/>
                <w:color w:val="auto"/>
              </w:rPr>
            </w:pPr>
          </w:p>
        </w:tc>
        <w:tc>
          <w:tcPr>
            <w:tcW w:w="2240" w:type="dxa"/>
            <w:vAlign w:val="bottom"/>
            <w:tcBorders>
              <w:top w:val="single" w:sz="8" w:color="auto"/>
            </w:tcBorders>
            <w:shd w:val="clear" w:color="auto" w:fill="C6F4F9"/>
          </w:tcPr>
          <w:p>
            <w:pPr>
              <w:jc w:val="center"/>
              <w:spacing w:after="0" w:line="196" w:lineRule="exact"/>
              <w:rPr>
                <w:sz w:val="20"/>
                <w:szCs w:val="20"/>
                <w:color w:val="auto"/>
              </w:rPr>
            </w:pPr>
            <w:r>
              <w:rPr>
                <w:rFonts w:ascii="Arial" w:cs="Arial" w:eastAsia="Arial" w:hAnsi="Arial"/>
                <w:sz w:val="18"/>
                <w:szCs w:val="18"/>
                <w:color w:val="0A0A0A"/>
                <w:w w:val="98"/>
              </w:rPr>
              <w:t>(1%) to 2%</w:t>
            </w:r>
          </w:p>
        </w:tc>
        <w:tc>
          <w:tcPr>
            <w:tcW w:w="1800" w:type="dxa"/>
            <w:vAlign w:val="bottom"/>
            <w:tcBorders>
              <w:top w:val="single" w:sz="8" w:color="C6F4F9"/>
            </w:tcBorders>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0A0A0A"/>
              </w:rPr>
              <w:t>Fuel cost per gallon – excluding derivatives</w:t>
            </w:r>
          </w:p>
        </w:tc>
        <w:tc>
          <w:tcPr>
            <w:tcW w:w="2360" w:type="dxa"/>
            <w:vAlign w:val="bottom"/>
            <w:gridSpan w:val="2"/>
          </w:tcPr>
          <w:p>
            <w:pPr>
              <w:jc w:val="right"/>
              <w:ind w:right="1610"/>
              <w:spacing w:after="0"/>
              <w:rPr>
                <w:sz w:val="20"/>
                <w:szCs w:val="20"/>
                <w:color w:val="auto"/>
              </w:rPr>
            </w:pPr>
            <w:r>
              <w:rPr>
                <w:rFonts w:ascii="Arial" w:cs="Arial" w:eastAsia="Arial" w:hAnsi="Arial"/>
                <w:sz w:val="18"/>
                <w:szCs w:val="18"/>
                <w:color w:val="0A0A0A"/>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0A0A0A"/>
              </w:rPr>
              <w:t>2.30</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6F4F9"/>
          </w:tcPr>
          <w:p>
            <w:pPr>
              <w:spacing w:after="0"/>
              <w:rPr>
                <w:sz w:val="20"/>
                <w:szCs w:val="20"/>
                <w:color w:val="auto"/>
              </w:rPr>
            </w:pPr>
            <w:r>
              <w:rPr>
                <w:rFonts w:ascii="Arial" w:cs="Arial" w:eastAsia="Arial" w:hAnsi="Arial"/>
                <w:sz w:val="18"/>
                <w:szCs w:val="18"/>
                <w:color w:val="0A0A0A"/>
              </w:rPr>
              <w:t>Operating income margin - percentage</w:t>
            </w:r>
          </w:p>
        </w:tc>
        <w:tc>
          <w:tcPr>
            <w:tcW w:w="2360" w:type="dxa"/>
            <w:vAlign w:val="bottom"/>
            <w:gridSpan w:val="2"/>
            <w:shd w:val="clear" w:color="auto" w:fill="C6F4F9"/>
          </w:tcPr>
          <w:p>
            <w:pPr>
              <w:jc w:val="right"/>
              <w:spacing w:after="0"/>
              <w:rPr>
                <w:sz w:val="20"/>
                <w:szCs w:val="20"/>
                <w:color w:val="auto"/>
              </w:rPr>
            </w:pPr>
            <w:r>
              <w:rPr>
                <w:rFonts w:ascii="Arial" w:cs="Arial" w:eastAsia="Arial" w:hAnsi="Arial"/>
                <w:sz w:val="18"/>
                <w:szCs w:val="18"/>
                <w:color w:val="0A0A0A"/>
              </w:rPr>
              <w:t>5.5%</w:t>
            </w:r>
          </w:p>
        </w:tc>
        <w:tc>
          <w:tcPr>
            <w:tcW w:w="72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0A0A0A"/>
              </w:rPr>
              <w:t>- 9.5%</w:t>
            </w:r>
          </w:p>
        </w:tc>
        <w:tc>
          <w:tcPr>
            <w:tcW w:w="100" w:type="dxa"/>
            <w:vAlign w:val="bottom"/>
            <w:shd w:val="clear" w:color="auto" w:fill="C6F4F9"/>
          </w:tcPr>
          <w:p>
            <w:pPr>
              <w:spacing w:after="0"/>
              <w:rPr>
                <w:sz w:val="18"/>
                <w:szCs w:val="18"/>
                <w:color w:val="auto"/>
              </w:rPr>
            </w:pPr>
          </w:p>
        </w:tc>
        <w:tc>
          <w:tcPr>
            <w:tcW w:w="4040" w:type="dxa"/>
            <w:vAlign w:val="bottom"/>
            <w:gridSpan w:val="2"/>
            <w:shd w:val="clear" w:color="auto" w:fill="C6F4F9"/>
          </w:tcPr>
          <w:p>
            <w:pPr>
              <w:jc w:val="center"/>
              <w:ind w:right="1800"/>
              <w:spacing w:after="0"/>
              <w:rPr>
                <w:sz w:val="20"/>
                <w:szCs w:val="20"/>
                <w:color w:val="auto"/>
              </w:rPr>
            </w:pPr>
            <w:r>
              <w:rPr>
                <w:rFonts w:ascii="Arial" w:cs="Arial" w:eastAsia="Arial" w:hAnsi="Arial"/>
                <w:sz w:val="18"/>
                <w:szCs w:val="18"/>
                <w:color w:val="0A0A0A"/>
              </w:rPr>
              <w:t>(1)pp to +3pp</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0A0A0A"/>
              </w:rPr>
              <w:t>Effective tax rate</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A0A0A"/>
              </w:rPr>
              <w:t>25%</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6F4F9"/>
          </w:tcPr>
          <w:p>
            <w:pPr>
              <w:spacing w:after="0"/>
              <w:rPr>
                <w:sz w:val="20"/>
                <w:szCs w:val="20"/>
                <w:color w:val="auto"/>
              </w:rPr>
            </w:pPr>
            <w:r>
              <w:rPr>
                <w:rFonts w:ascii="Arial" w:cs="Arial" w:eastAsia="Arial" w:hAnsi="Arial"/>
                <w:sz w:val="18"/>
                <w:szCs w:val="18"/>
                <w:color w:val="0A0A0A"/>
              </w:rPr>
              <w:t>Total system ASMs - millions</w:t>
            </w:r>
          </w:p>
        </w:tc>
        <w:tc>
          <w:tcPr>
            <w:tcW w:w="560" w:type="dxa"/>
            <w:vAlign w:val="bottom"/>
            <w:shd w:val="clear" w:color="auto" w:fill="C6F4F9"/>
          </w:tcPr>
          <w:p>
            <w:pPr>
              <w:spacing w:after="0"/>
              <w:rPr>
                <w:sz w:val="18"/>
                <w:szCs w:val="18"/>
                <w:color w:val="auto"/>
              </w:rPr>
            </w:pPr>
          </w:p>
        </w:tc>
        <w:tc>
          <w:tcPr>
            <w:tcW w:w="2620" w:type="dxa"/>
            <w:vAlign w:val="bottom"/>
            <w:gridSpan w:val="3"/>
            <w:shd w:val="clear" w:color="auto" w:fill="C6F4F9"/>
          </w:tcPr>
          <w:p>
            <w:pPr>
              <w:ind w:left="1200"/>
              <w:spacing w:after="0"/>
              <w:rPr>
                <w:sz w:val="20"/>
                <w:szCs w:val="20"/>
                <w:color w:val="auto"/>
              </w:rPr>
            </w:pPr>
            <w:r>
              <w:rPr>
                <w:rFonts w:ascii="Arial" w:cs="Arial" w:eastAsia="Arial" w:hAnsi="Arial"/>
                <w:sz w:val="18"/>
                <w:szCs w:val="18"/>
                <w:color w:val="0A0A0A"/>
              </w:rPr>
              <w:t>1,500 to 1,560</w:t>
            </w:r>
          </w:p>
        </w:tc>
        <w:tc>
          <w:tcPr>
            <w:tcW w:w="4040" w:type="dxa"/>
            <w:vAlign w:val="bottom"/>
            <w:gridSpan w:val="2"/>
            <w:shd w:val="clear" w:color="auto" w:fill="C6F4F9"/>
          </w:tcPr>
          <w:p>
            <w:pPr>
              <w:jc w:val="center"/>
              <w:ind w:right="1800"/>
              <w:spacing w:after="0"/>
              <w:rPr>
                <w:sz w:val="20"/>
                <w:szCs w:val="20"/>
                <w:color w:val="auto"/>
              </w:rPr>
            </w:pPr>
            <w:r>
              <w:rPr>
                <w:rFonts w:ascii="Arial" w:cs="Arial" w:eastAsia="Arial" w:hAnsi="Arial"/>
                <w:sz w:val="18"/>
                <w:szCs w:val="18"/>
                <w:color w:val="0A0A0A"/>
                <w:w w:val="99"/>
              </w:rPr>
              <w:t>(19%) to (16%)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-685165</wp:posOffset>
            </wp:positionV>
            <wp:extent cx="113982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9825" cy="1371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-410845</wp:posOffset>
            </wp:positionV>
            <wp:extent cx="113982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9825" cy="1371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-136525</wp:posOffset>
            </wp:positionV>
            <wp:extent cx="113982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9825" cy="1371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2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0A0A0A"/>
        </w:rPr>
        <w:t xml:space="preserve">Sun Country Airlines will host a conference call to discuss its second quarter 2021 results at 8:30 a.m. Eastern Time on Thursday, July 29, 2021. A live broadcast of the conference call will be available via the investor relations section of Sun Country Airlines’ website at </w:t>
      </w:r>
      <w:r>
        <w:rPr>
          <w:rFonts w:ascii="Arial" w:cs="Arial" w:eastAsia="Arial" w:hAnsi="Arial"/>
          <w:sz w:val="18"/>
          <w:szCs w:val="18"/>
          <w:u w:val="single" w:color="auto"/>
          <w:color w:val="0563C1"/>
        </w:rPr>
        <w:t>https://ir.suncountry.com/news-events/events-and-presentations</w:t>
      </w:r>
      <w:r>
        <w:rPr>
          <w:rFonts w:ascii="Arial" w:cs="Arial" w:eastAsia="Arial" w:hAnsi="Arial"/>
          <w:sz w:val="18"/>
          <w:szCs w:val="18"/>
          <w:color w:val="000000"/>
        </w:rPr>
        <w:t>. The online replay will be available on the same website approximately one</w:t>
      </w:r>
      <w:r>
        <w:rPr>
          <w:rFonts w:ascii="Arial" w:cs="Arial" w:eastAsia="Arial" w:hAnsi="Arial"/>
          <w:sz w:val="18"/>
          <w:szCs w:val="18"/>
          <w:color w:val="0563C1"/>
        </w:rPr>
        <w:t xml:space="preserve"> </w:t>
      </w:r>
      <w:r>
        <w:rPr>
          <w:rFonts w:ascii="Arial" w:cs="Arial" w:eastAsia="Arial" w:hAnsi="Arial"/>
          <w:sz w:val="18"/>
          <w:szCs w:val="18"/>
          <w:color w:val="000000"/>
        </w:rPr>
        <w:t>hour after the call. The conference call can also be listened to live by dialing 1 (833) 458-0947 (U.S. toll free) or 1 (914) 987-7750 (U.S. toll).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and the Caribbean.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pacing w:after="0" w:line="220"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0A0A0A"/>
        </w:rPr>
        <w:t>1 – See additional details in the tables below in the section titled “</w:t>
      </w:r>
      <w:r>
        <w:rPr>
          <w:rFonts w:ascii="Arial" w:cs="Arial" w:eastAsia="Arial" w:hAnsi="Arial"/>
          <w:sz w:val="18"/>
          <w:szCs w:val="18"/>
          <w:color w:val="000000"/>
        </w:rPr>
        <w:t>Adjusted Operating Income, Adjusted Operating Income Margin, Adjusted</w:t>
      </w:r>
      <w:r>
        <w:rPr>
          <w:rFonts w:ascii="Arial" w:cs="Arial" w:eastAsia="Arial" w:hAnsi="Arial"/>
          <w:sz w:val="18"/>
          <w:szCs w:val="18"/>
          <w:color w:val="0A0A0A"/>
        </w:rPr>
        <w:t xml:space="preserve"> </w:t>
      </w:r>
      <w:r>
        <w:rPr>
          <w:rFonts w:ascii="Arial" w:cs="Arial" w:eastAsia="Arial" w:hAnsi="Arial"/>
          <w:sz w:val="18"/>
          <w:szCs w:val="18"/>
          <w:color w:val="000000"/>
        </w:rPr>
        <w:t>Income Before Income Tax, Adjusted Pre-tax Margin, Adjusted Net Income, Adjusted EBITDAR and Adjusted EBITDAR Margin”</w:t>
      </w:r>
    </w:p>
    <w:p>
      <w:pPr>
        <w:spacing w:after="0" w:line="236" w:lineRule="auto"/>
        <w:rPr>
          <w:sz w:val="20"/>
          <w:szCs w:val="20"/>
          <w:color w:val="auto"/>
        </w:rPr>
      </w:pPr>
      <w:r>
        <w:rPr>
          <w:rFonts w:ascii="Arial" w:cs="Arial" w:eastAsia="Arial" w:hAnsi="Arial"/>
          <w:sz w:val="18"/>
          <w:szCs w:val="18"/>
          <w:color w:val="0A0A0A"/>
        </w:rPr>
        <w:t>2 – See additional details in table below titled “R</w:t>
      </w:r>
      <w:r>
        <w:rPr>
          <w:rFonts w:ascii="Arial" w:cs="Arial" w:eastAsia="Arial" w:hAnsi="Arial"/>
          <w:sz w:val="18"/>
          <w:szCs w:val="18"/>
          <w:color w:val="000000"/>
        </w:rPr>
        <w:t>econciliation of Adjusted CASM to CASM”</w:t>
      </w:r>
    </w:p>
    <w:p>
      <w:pPr>
        <w:ind w:right="660"/>
        <w:spacing w:after="0" w:line="246" w:lineRule="auto"/>
        <w:rPr>
          <w:sz w:val="20"/>
          <w:szCs w:val="20"/>
          <w:color w:val="auto"/>
        </w:rPr>
      </w:pPr>
      <w:r>
        <w:rPr>
          <w:rFonts w:ascii="Arial" w:cs="Arial" w:eastAsia="Arial" w:hAnsi="Arial"/>
          <w:sz w:val="18"/>
          <w:szCs w:val="18"/>
          <w:color w:val="auto"/>
        </w:rPr>
        <w:t>3 – Net debt = current portion of long-term debt + long-term debt + finance lease obligations + operating lease obligations – cash and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Jessica Wheeler</w:t>
      </w:r>
    </w:p>
    <w:p>
      <w:pPr>
        <w:spacing w:after="0" w:line="234" w:lineRule="auto"/>
        <w:rPr>
          <w:sz w:val="20"/>
          <w:szCs w:val="20"/>
          <w:color w:val="auto"/>
        </w:rPr>
      </w:pPr>
      <w:r>
        <w:rPr>
          <w:rFonts w:ascii="Arial" w:cs="Arial" w:eastAsia="Arial" w:hAnsi="Arial"/>
          <w:sz w:val="18"/>
          <w:szCs w:val="18"/>
          <w:color w:val="0A0A0A"/>
        </w:rPr>
        <w:t>651-900-8400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0" w:lineRule="exact"/>
        <w:rPr>
          <w:sz w:val="20"/>
          <w:szCs w:val="20"/>
          <w:color w:val="auto"/>
        </w:rPr>
      </w:pPr>
    </w:p>
    <w:p>
      <w:pPr>
        <w:spacing w:after="0" w:line="234" w:lineRule="auto"/>
        <w:rPr>
          <w:sz w:val="20"/>
          <w:szCs w:val="20"/>
          <w:color w:val="auto"/>
        </w:rPr>
      </w:pPr>
      <w:r>
        <w:rPr>
          <w:rFonts w:ascii="Arial" w:cs="Arial" w:eastAsia="Arial" w:hAnsi="Arial"/>
          <w:sz w:val="18"/>
          <w:szCs w:val="18"/>
          <w:color w:val="0A0A0A"/>
        </w:rPr>
        <w:t>This report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report,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9" w:lineRule="exact"/>
        <w:rPr>
          <w:rFonts w:ascii="Arial" w:cs="Arial" w:eastAsia="Arial" w:hAnsi="Arial"/>
          <w:sz w:val="18"/>
          <w:szCs w:val="18"/>
          <w:color w:val="0A0A0A"/>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9" w:lineRule="exact"/>
        <w:rPr>
          <w:rFonts w:ascii="Arial" w:cs="Arial" w:eastAsia="Arial" w:hAnsi="Arial"/>
          <w:sz w:val="18"/>
          <w:szCs w:val="18"/>
          <w:color w:val="0A0A0A"/>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 and</w:t>
      </w:r>
    </w:p>
    <w:p>
      <w:pPr>
        <w:spacing w:after="0" w:line="9" w:lineRule="exact"/>
        <w:rPr>
          <w:rFonts w:ascii="Arial" w:cs="Arial" w:eastAsia="Arial" w:hAnsi="Arial"/>
          <w:sz w:val="18"/>
          <w:szCs w:val="18"/>
          <w:color w:val="0A0A0A"/>
        </w:rPr>
      </w:pPr>
    </w:p>
    <w:p>
      <w:pPr>
        <w:ind w:left="340" w:hanging="332"/>
        <w:spacing w:after="0"/>
        <w:tabs>
          <w:tab w:leader="none" w:pos="34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report and are based on assumptions and subject to risks and uncertainties. Given these uncertainties, you should not place undue reliance on these forward-looking statements. These forward-looking statements represent our estimates and assumptions only as of the date of this report and, except as required by law, we undertake</w:t>
      </w:r>
    </w:p>
    <w:p>
      <w:pPr>
        <w:spacing w:after="0" w:line="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0A0A0A"/>
        </w:rPr>
        <w:t>no obligation to update or review publicly any forward-looking statements, whether as a result of new information, future events or otherwise after the date of this report. We anticipate that subsequent events and developments will cause our views to change. You should read this report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Prospectus included in its registration statement on Form S-1, Quarterly Report on Form 10-Q, and Current Reports on Form 8-K.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5</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3"/>
          </w:tcPr>
          <w:p>
            <w:pPr>
              <w:jc w:val="right"/>
              <w:ind w:right="111"/>
              <w:spacing w:after="0"/>
              <w:rPr>
                <w:sz w:val="20"/>
                <w:szCs w:val="20"/>
                <w:color w:val="auto"/>
              </w:rPr>
            </w:pPr>
            <w:r>
              <w:rPr>
                <w:rFonts w:ascii="Arial" w:cs="Arial" w:eastAsia="Arial" w:hAnsi="Arial"/>
                <w:sz w:val="18"/>
                <w:szCs w:val="18"/>
                <w:b w:val="1"/>
                <w:bCs w:val="1"/>
                <w:color w:val="0A0A0A"/>
                <w:w w:val="99"/>
              </w:rPr>
              <w:t>Three Months Ended June 30,</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7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0A0A0A"/>
              </w:rPr>
              <w:t>% Change</w:t>
            </w:r>
          </w:p>
        </w:tc>
      </w:tr>
      <w:tr>
        <w:trPr>
          <w:trHeight w:val="196"/>
        </w:trPr>
        <w:tc>
          <w:tcPr>
            <w:tcW w:w="7280" w:type="dxa"/>
            <w:vAlign w:val="bottom"/>
          </w:tcPr>
          <w:p>
            <w:pPr>
              <w:spacing w:after="0" w:line="196" w:lineRule="exact"/>
              <w:rPr>
                <w:sz w:val="20"/>
                <w:szCs w:val="20"/>
                <w:color w:val="auto"/>
              </w:rPr>
            </w:pPr>
            <w:r>
              <w:rPr>
                <w:rFonts w:ascii="Arial" w:cs="Arial" w:eastAsia="Arial" w:hAnsi="Arial"/>
                <w:sz w:val="18"/>
                <w:szCs w:val="18"/>
                <w:b w:val="1"/>
                <w:bCs w:val="1"/>
                <w:color w:val="0A0A0A"/>
              </w:rPr>
              <w:t>Operating Revenues: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Scheduled Service</w:t>
            </w:r>
          </w:p>
        </w:tc>
        <w:tc>
          <w:tcPr>
            <w:tcW w:w="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w w:val="79"/>
              </w:rPr>
              <w:t>$</w:t>
            </w:r>
          </w:p>
        </w:tc>
        <w:tc>
          <w:tcPr>
            <w:tcW w:w="126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67,073</w:t>
            </w:r>
          </w:p>
        </w:tc>
        <w:tc>
          <w:tcPr>
            <w:tcW w:w="2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w:t>
            </w:r>
          </w:p>
        </w:tc>
        <w:tc>
          <w:tcPr>
            <w:tcW w:w="1220" w:type="dxa"/>
            <w:vAlign w:val="bottom"/>
            <w:shd w:val="clear" w:color="auto" w:fill="C6F4F9"/>
          </w:tcPr>
          <w:p>
            <w:pPr>
              <w:jc w:val="right"/>
              <w:ind w:right="111"/>
              <w:spacing w:after="0" w:line="202" w:lineRule="exact"/>
              <w:rPr>
                <w:sz w:val="20"/>
                <w:szCs w:val="20"/>
                <w:color w:val="auto"/>
              </w:rPr>
            </w:pPr>
            <w:r>
              <w:rPr>
                <w:rFonts w:ascii="Arial" w:cs="Arial" w:eastAsia="Arial" w:hAnsi="Arial"/>
                <w:sz w:val="18"/>
                <w:szCs w:val="18"/>
                <w:color w:val="0A0A0A"/>
              </w:rPr>
              <w:t>17,882</w:t>
            </w:r>
          </w:p>
        </w:tc>
        <w:tc>
          <w:tcPr>
            <w:tcW w:w="110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275.1</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Charter Service</w:t>
            </w:r>
          </w:p>
        </w:tc>
        <w:tc>
          <w:tcPr>
            <w:tcW w:w="10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28,898</w:t>
            </w:r>
          </w:p>
        </w:tc>
        <w:tc>
          <w:tcPr>
            <w:tcW w:w="280" w:type="dxa"/>
            <w:vAlign w:val="bottom"/>
          </w:tcPr>
          <w:p>
            <w:pPr>
              <w:spacing w:after="0"/>
              <w:rPr>
                <w:sz w:val="17"/>
                <w:szCs w:val="17"/>
                <w:color w:val="auto"/>
              </w:rPr>
            </w:pP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0A0A0A"/>
              </w:rPr>
              <w:t>8,491</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0A0A0A"/>
              </w:rPr>
              <w:t>240.3</w:t>
            </w:r>
          </w:p>
        </w:tc>
      </w:tr>
      <w:tr>
        <w:trPr>
          <w:trHeight w:val="216"/>
        </w:trPr>
        <w:tc>
          <w:tcPr>
            <w:tcW w:w="7280" w:type="dxa"/>
            <w:vAlign w:val="bottom"/>
            <w:shd w:val="clear" w:color="auto" w:fill="C6F4F9"/>
          </w:tcPr>
          <w:p>
            <w:pPr>
              <w:spacing w:after="0"/>
              <w:rPr>
                <w:sz w:val="20"/>
                <w:szCs w:val="20"/>
                <w:color w:val="auto"/>
              </w:rPr>
            </w:pPr>
            <w:r>
              <w:rPr>
                <w:rFonts w:ascii="Arial" w:cs="Arial" w:eastAsia="Arial" w:hAnsi="Arial"/>
                <w:sz w:val="18"/>
                <w:szCs w:val="18"/>
                <w:color w:val="0A0A0A"/>
              </w:rPr>
              <w:t>Ancillary</w:t>
            </w:r>
          </w:p>
        </w:tc>
        <w:tc>
          <w:tcPr>
            <w:tcW w:w="100" w:type="dxa"/>
            <w:vAlign w:val="bottom"/>
            <w:shd w:val="clear" w:color="auto" w:fill="C6F4F9"/>
          </w:tcPr>
          <w:p>
            <w:pPr>
              <w:spacing w:after="0"/>
              <w:rPr>
                <w:sz w:val="18"/>
                <w:szCs w:val="18"/>
                <w:color w:val="auto"/>
              </w:rPr>
            </w:pPr>
          </w:p>
        </w:tc>
        <w:tc>
          <w:tcPr>
            <w:tcW w:w="1260" w:type="dxa"/>
            <w:vAlign w:val="bottom"/>
            <w:shd w:val="clear" w:color="auto" w:fill="C6F4F9"/>
          </w:tcPr>
          <w:p>
            <w:pPr>
              <w:jc w:val="right"/>
              <w:ind w:right="51"/>
              <w:spacing w:after="0"/>
              <w:rPr>
                <w:sz w:val="20"/>
                <w:szCs w:val="20"/>
                <w:color w:val="auto"/>
              </w:rPr>
            </w:pPr>
            <w:r>
              <w:rPr>
                <w:rFonts w:ascii="Arial" w:cs="Arial" w:eastAsia="Arial" w:hAnsi="Arial"/>
                <w:sz w:val="18"/>
                <w:szCs w:val="18"/>
                <w:color w:val="0A0A0A"/>
              </w:rPr>
              <w:t>29,159</w:t>
            </w:r>
          </w:p>
        </w:tc>
        <w:tc>
          <w:tcPr>
            <w:tcW w:w="280" w:type="dxa"/>
            <w:vAlign w:val="bottom"/>
            <w:shd w:val="clear" w:color="auto" w:fill="C6F4F9"/>
          </w:tcPr>
          <w:p>
            <w:pPr>
              <w:spacing w:after="0"/>
              <w:rPr>
                <w:sz w:val="18"/>
                <w:szCs w:val="18"/>
                <w:color w:val="auto"/>
              </w:rPr>
            </w:pPr>
          </w:p>
        </w:tc>
        <w:tc>
          <w:tcPr>
            <w:tcW w:w="1220" w:type="dxa"/>
            <w:vAlign w:val="bottom"/>
            <w:shd w:val="clear" w:color="auto" w:fill="C6F4F9"/>
          </w:tcPr>
          <w:p>
            <w:pPr>
              <w:jc w:val="right"/>
              <w:ind w:right="111"/>
              <w:spacing w:after="0"/>
              <w:rPr>
                <w:sz w:val="20"/>
                <w:szCs w:val="20"/>
                <w:color w:val="auto"/>
              </w:rPr>
            </w:pPr>
            <w:r>
              <w:rPr>
                <w:rFonts w:ascii="Arial" w:cs="Arial" w:eastAsia="Arial" w:hAnsi="Arial"/>
                <w:sz w:val="18"/>
                <w:szCs w:val="18"/>
                <w:color w:val="0A0A0A"/>
              </w:rPr>
              <w:t>4,968</w:t>
            </w:r>
          </w:p>
        </w:tc>
        <w:tc>
          <w:tcPr>
            <w:tcW w:w="1100" w:type="dxa"/>
            <w:vAlign w:val="bottom"/>
            <w:gridSpan w:val="2"/>
            <w:shd w:val="clear" w:color="auto" w:fill="C6F4F9"/>
          </w:tcPr>
          <w:p>
            <w:pPr>
              <w:jc w:val="right"/>
              <w:ind w:right="60"/>
              <w:spacing w:after="0"/>
              <w:rPr>
                <w:sz w:val="20"/>
                <w:szCs w:val="20"/>
                <w:color w:val="auto"/>
              </w:rPr>
            </w:pPr>
            <w:r>
              <w:rPr>
                <w:rFonts w:ascii="Arial" w:cs="Arial" w:eastAsia="Arial" w:hAnsi="Arial"/>
                <w:sz w:val="18"/>
                <w:szCs w:val="18"/>
                <w:color w:val="0A0A0A"/>
              </w:rPr>
              <w:t>486.9</w:t>
            </w:r>
          </w:p>
        </w:tc>
      </w:tr>
      <w:tr>
        <w:trPr>
          <w:trHeight w:val="196"/>
        </w:trPr>
        <w:tc>
          <w:tcPr>
            <w:tcW w:w="7280" w:type="dxa"/>
            <w:vAlign w:val="bottom"/>
          </w:tcPr>
          <w:p>
            <w:pPr>
              <w:spacing w:after="0" w:line="196" w:lineRule="exact"/>
              <w:rPr>
                <w:sz w:val="20"/>
                <w:szCs w:val="20"/>
                <w:color w:val="auto"/>
              </w:rPr>
            </w:pPr>
            <w:r>
              <w:rPr>
                <w:rFonts w:ascii="Arial" w:cs="Arial" w:eastAsia="Arial" w:hAnsi="Arial"/>
                <w:sz w:val="18"/>
                <w:szCs w:val="18"/>
                <w:color w:val="0A0A0A"/>
              </w:rPr>
              <w:t>Passenger</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51"/>
              <w:spacing w:after="0" w:line="196" w:lineRule="exact"/>
              <w:rPr>
                <w:sz w:val="20"/>
                <w:szCs w:val="20"/>
                <w:color w:val="auto"/>
              </w:rPr>
            </w:pPr>
            <w:r>
              <w:rPr>
                <w:rFonts w:ascii="Arial" w:cs="Arial" w:eastAsia="Arial" w:hAnsi="Arial"/>
                <w:sz w:val="18"/>
                <w:szCs w:val="18"/>
                <w:color w:val="0A0A0A"/>
              </w:rPr>
              <w:t>125,130</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11"/>
              <w:spacing w:after="0" w:line="196" w:lineRule="exact"/>
              <w:rPr>
                <w:sz w:val="20"/>
                <w:szCs w:val="20"/>
                <w:color w:val="auto"/>
              </w:rPr>
            </w:pPr>
            <w:r>
              <w:rPr>
                <w:rFonts w:ascii="Arial" w:cs="Arial" w:eastAsia="Arial" w:hAnsi="Arial"/>
                <w:sz w:val="18"/>
                <w:szCs w:val="18"/>
                <w:color w:val="0A0A0A"/>
              </w:rPr>
              <w:t>31,341</w:t>
            </w: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0A0A0A"/>
              </w:rPr>
              <w:t>299.3</w:t>
            </w:r>
          </w:p>
        </w:tc>
        <w:tc>
          <w:tcPr>
            <w:tcW w:w="60" w:type="dxa"/>
            <w:vAlign w:val="bottom"/>
          </w:tcPr>
          <w:p>
            <w:pPr>
              <w:spacing w:after="0"/>
              <w:rPr>
                <w:sz w:val="17"/>
                <w:szCs w:val="17"/>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Cargo</w:t>
            </w:r>
          </w:p>
        </w:tc>
        <w:tc>
          <w:tcPr>
            <w:tcW w:w="10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22,098</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1"/>
              <w:spacing w:after="0" w:line="202" w:lineRule="exact"/>
              <w:rPr>
                <w:sz w:val="20"/>
                <w:szCs w:val="20"/>
                <w:color w:val="auto"/>
              </w:rPr>
            </w:pPr>
            <w:r>
              <w:rPr>
                <w:rFonts w:ascii="Arial" w:cs="Arial" w:eastAsia="Arial" w:hAnsi="Arial"/>
                <w:sz w:val="18"/>
                <w:szCs w:val="18"/>
                <w:color w:val="0A0A0A"/>
              </w:rPr>
              <w:t>3,219</w:t>
            </w:r>
          </w:p>
        </w:tc>
        <w:tc>
          <w:tcPr>
            <w:tcW w:w="110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586.5</w:t>
            </w:r>
          </w:p>
        </w:tc>
      </w:tr>
      <w:tr>
        <w:trPr>
          <w:trHeight w:val="216"/>
        </w:trPr>
        <w:tc>
          <w:tcPr>
            <w:tcW w:w="728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0A0A0A"/>
              </w:rPr>
              <w:t>1,961</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0A0A0A"/>
              </w:rPr>
              <w:t>816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140.3</w:t>
            </w:r>
          </w:p>
        </w:tc>
        <w:tc>
          <w:tcPr>
            <w:tcW w:w="60" w:type="dxa"/>
            <w:vAlign w:val="bottom"/>
            <w:tcBorders>
              <w:bottom w:val="single" w:sz="8" w:color="C6F4F9"/>
            </w:tcBorders>
          </w:tcPr>
          <w:p>
            <w:pPr>
              <w:spacing w:after="0"/>
              <w:rPr>
                <w:sz w:val="18"/>
                <w:szCs w:val="18"/>
                <w:color w:val="auto"/>
              </w:rPr>
            </w:pPr>
          </w:p>
        </w:tc>
      </w:tr>
      <w:tr>
        <w:trPr>
          <w:trHeight w:val="209"/>
        </w:trPr>
        <w:tc>
          <w:tcPr>
            <w:tcW w:w="7280" w:type="dxa"/>
            <w:vAlign w:val="bottom"/>
            <w:shd w:val="clear" w:color="auto" w:fill="C6F4F9"/>
          </w:tcPr>
          <w:p>
            <w:pPr>
              <w:spacing w:after="0"/>
              <w:rPr>
                <w:sz w:val="20"/>
                <w:szCs w:val="20"/>
                <w:color w:val="auto"/>
              </w:rPr>
            </w:pPr>
            <w:r>
              <w:rPr>
                <w:rFonts w:ascii="Arial" w:cs="Arial" w:eastAsia="Arial" w:hAnsi="Arial"/>
                <w:sz w:val="18"/>
                <w:szCs w:val="18"/>
                <w:color w:val="0A0A0A"/>
              </w:rPr>
              <w:t>Total Operating Revenue</w:t>
            </w:r>
          </w:p>
        </w:tc>
        <w:tc>
          <w:tcPr>
            <w:tcW w:w="100" w:type="dxa"/>
            <w:vAlign w:val="bottom"/>
            <w:shd w:val="clear" w:color="auto" w:fill="C6F4F9"/>
          </w:tcPr>
          <w:p>
            <w:pPr>
              <w:spacing w:after="0"/>
              <w:rPr>
                <w:sz w:val="18"/>
                <w:szCs w:val="18"/>
                <w:color w:val="auto"/>
              </w:rPr>
            </w:pPr>
          </w:p>
        </w:tc>
        <w:tc>
          <w:tcPr>
            <w:tcW w:w="1260" w:type="dxa"/>
            <w:vAlign w:val="bottom"/>
            <w:shd w:val="clear" w:color="auto" w:fill="C6F4F9"/>
          </w:tcPr>
          <w:p>
            <w:pPr>
              <w:jc w:val="right"/>
              <w:ind w:right="51"/>
              <w:spacing w:after="0"/>
              <w:rPr>
                <w:sz w:val="20"/>
                <w:szCs w:val="20"/>
                <w:color w:val="auto"/>
              </w:rPr>
            </w:pPr>
            <w:r>
              <w:rPr>
                <w:rFonts w:ascii="Arial" w:cs="Arial" w:eastAsia="Arial" w:hAnsi="Arial"/>
                <w:sz w:val="18"/>
                <w:szCs w:val="18"/>
                <w:color w:val="0A0A0A"/>
              </w:rPr>
              <w:t>149,189</w:t>
            </w:r>
          </w:p>
        </w:tc>
        <w:tc>
          <w:tcPr>
            <w:tcW w:w="280" w:type="dxa"/>
            <w:vAlign w:val="bottom"/>
            <w:shd w:val="clear" w:color="auto" w:fill="C6F4F9"/>
          </w:tcPr>
          <w:p>
            <w:pPr>
              <w:spacing w:after="0"/>
              <w:rPr>
                <w:sz w:val="18"/>
                <w:szCs w:val="18"/>
                <w:color w:val="auto"/>
              </w:rPr>
            </w:pPr>
          </w:p>
        </w:tc>
        <w:tc>
          <w:tcPr>
            <w:tcW w:w="1220" w:type="dxa"/>
            <w:vAlign w:val="bottom"/>
            <w:shd w:val="clear" w:color="auto" w:fill="C6F4F9"/>
          </w:tcPr>
          <w:p>
            <w:pPr>
              <w:jc w:val="right"/>
              <w:ind w:right="111"/>
              <w:spacing w:after="0"/>
              <w:rPr>
                <w:sz w:val="20"/>
                <w:szCs w:val="20"/>
                <w:color w:val="auto"/>
              </w:rPr>
            </w:pPr>
            <w:r>
              <w:rPr>
                <w:rFonts w:ascii="Arial" w:cs="Arial" w:eastAsia="Arial" w:hAnsi="Arial"/>
                <w:sz w:val="18"/>
                <w:szCs w:val="18"/>
                <w:color w:val="0A0A0A"/>
              </w:rPr>
              <w:t>35,376</w:t>
            </w:r>
          </w:p>
        </w:tc>
        <w:tc>
          <w:tcPr>
            <w:tcW w:w="1100" w:type="dxa"/>
            <w:vAlign w:val="bottom"/>
            <w:gridSpan w:val="2"/>
            <w:shd w:val="clear" w:color="auto" w:fill="C6F4F9"/>
          </w:tcPr>
          <w:p>
            <w:pPr>
              <w:jc w:val="right"/>
              <w:ind w:right="60"/>
              <w:spacing w:after="0"/>
              <w:rPr>
                <w:sz w:val="20"/>
                <w:szCs w:val="20"/>
                <w:color w:val="auto"/>
              </w:rPr>
            </w:pPr>
            <w:r>
              <w:rPr>
                <w:rFonts w:ascii="Arial" w:cs="Arial" w:eastAsia="Arial" w:hAnsi="Arial"/>
                <w:sz w:val="18"/>
                <w:szCs w:val="18"/>
                <w:color w:val="0A0A0A"/>
              </w:rPr>
              <w:t>321.7</w:t>
            </w:r>
          </w:p>
        </w:tc>
      </w:tr>
      <w:tr>
        <w:trPr>
          <w:trHeight w:val="196"/>
        </w:trPr>
        <w:tc>
          <w:tcPr>
            <w:tcW w:w="7280" w:type="dxa"/>
            <w:vAlign w:val="bottom"/>
          </w:tcPr>
          <w:p>
            <w:pPr>
              <w:spacing w:after="0" w:line="196" w:lineRule="exact"/>
              <w:rPr>
                <w:sz w:val="20"/>
                <w:szCs w:val="20"/>
                <w:color w:val="auto"/>
              </w:rPr>
            </w:pPr>
            <w:r>
              <w:rPr>
                <w:rFonts w:ascii="Arial" w:cs="Arial" w:eastAsia="Arial" w:hAnsi="Arial"/>
                <w:sz w:val="18"/>
                <w:szCs w:val="18"/>
                <w:b w:val="1"/>
                <w:bCs w:val="1"/>
                <w:color w:val="0A0A0A"/>
              </w:rPr>
              <w:t>Operating Expenses:</w:t>
            </w: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Fuel</w:t>
            </w:r>
          </w:p>
        </w:tc>
        <w:tc>
          <w:tcPr>
            <w:tcW w:w="10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29,709</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1"/>
              <w:spacing w:after="0" w:line="202" w:lineRule="exact"/>
              <w:rPr>
                <w:sz w:val="20"/>
                <w:szCs w:val="20"/>
                <w:color w:val="auto"/>
              </w:rPr>
            </w:pPr>
            <w:r>
              <w:rPr>
                <w:rFonts w:ascii="Arial" w:cs="Arial" w:eastAsia="Arial" w:hAnsi="Arial"/>
                <w:sz w:val="18"/>
                <w:szCs w:val="18"/>
                <w:color w:val="0A0A0A"/>
              </w:rPr>
              <w:t>677</w:t>
            </w:r>
          </w:p>
        </w:tc>
        <w:tc>
          <w:tcPr>
            <w:tcW w:w="110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NM</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10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42,316</w:t>
            </w:r>
          </w:p>
        </w:tc>
        <w:tc>
          <w:tcPr>
            <w:tcW w:w="280" w:type="dxa"/>
            <w:vAlign w:val="bottom"/>
          </w:tcPr>
          <w:p>
            <w:pPr>
              <w:spacing w:after="0"/>
              <w:rPr>
                <w:sz w:val="17"/>
                <w:szCs w:val="17"/>
                <w:color w:val="auto"/>
              </w:rPr>
            </w:pP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0A0A0A"/>
              </w:rPr>
              <w:t>32,484</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0A0A0A"/>
              </w:rPr>
              <w:t>30.3</w:t>
            </w: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Rent</w:t>
            </w:r>
          </w:p>
        </w:tc>
        <w:tc>
          <w:tcPr>
            <w:tcW w:w="10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3,815</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1"/>
              <w:spacing w:after="0" w:line="202" w:lineRule="exact"/>
              <w:rPr>
                <w:sz w:val="20"/>
                <w:szCs w:val="20"/>
                <w:color w:val="auto"/>
              </w:rPr>
            </w:pPr>
            <w:r>
              <w:rPr>
                <w:rFonts w:ascii="Arial" w:cs="Arial" w:eastAsia="Arial" w:hAnsi="Arial"/>
                <w:sz w:val="18"/>
                <w:szCs w:val="18"/>
                <w:color w:val="0A0A0A"/>
              </w:rPr>
              <w:t>5,934</w:t>
            </w:r>
          </w:p>
        </w:tc>
        <w:tc>
          <w:tcPr>
            <w:tcW w:w="1100" w:type="dxa"/>
            <w:vAlign w:val="bottom"/>
            <w:gridSpan w:val="2"/>
            <w:shd w:val="clear" w:color="auto" w:fill="C6F4F9"/>
          </w:tcPr>
          <w:p>
            <w:pPr>
              <w:jc w:val="right"/>
              <w:spacing w:after="0" w:line="202" w:lineRule="exact"/>
              <w:rPr>
                <w:sz w:val="20"/>
                <w:szCs w:val="20"/>
                <w:color w:val="auto"/>
              </w:rPr>
            </w:pPr>
            <w:r>
              <w:rPr>
                <w:rFonts w:ascii="Arial" w:cs="Arial" w:eastAsia="Arial" w:hAnsi="Arial"/>
                <w:sz w:val="18"/>
                <w:szCs w:val="18"/>
                <w:color w:val="0A0A0A"/>
              </w:rPr>
              <w:t>(35.7)</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Maintenance</w:t>
            </w:r>
          </w:p>
        </w:tc>
        <w:tc>
          <w:tcPr>
            <w:tcW w:w="10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11,300</w:t>
            </w:r>
          </w:p>
        </w:tc>
        <w:tc>
          <w:tcPr>
            <w:tcW w:w="280" w:type="dxa"/>
            <w:vAlign w:val="bottom"/>
          </w:tcPr>
          <w:p>
            <w:pPr>
              <w:spacing w:after="0"/>
              <w:rPr>
                <w:sz w:val="17"/>
                <w:szCs w:val="17"/>
                <w:color w:val="auto"/>
              </w:rPr>
            </w:pP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0A0A0A"/>
              </w:rPr>
              <w:t>2,426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0A0A0A"/>
              </w:rPr>
              <w:t>365.8</w:t>
            </w: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Sales and Marketing</w:t>
            </w:r>
          </w:p>
        </w:tc>
        <w:tc>
          <w:tcPr>
            <w:tcW w:w="10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5,822</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1"/>
              <w:spacing w:after="0" w:line="202" w:lineRule="exact"/>
              <w:rPr>
                <w:sz w:val="20"/>
                <w:szCs w:val="20"/>
                <w:color w:val="auto"/>
              </w:rPr>
            </w:pPr>
            <w:r>
              <w:rPr>
                <w:rFonts w:ascii="Arial" w:cs="Arial" w:eastAsia="Arial" w:hAnsi="Arial"/>
                <w:sz w:val="18"/>
                <w:szCs w:val="18"/>
                <w:color w:val="0A0A0A"/>
              </w:rPr>
              <w:t>1,630</w:t>
            </w:r>
          </w:p>
        </w:tc>
        <w:tc>
          <w:tcPr>
            <w:tcW w:w="110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257.2</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10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13,460</w:t>
            </w:r>
          </w:p>
        </w:tc>
        <w:tc>
          <w:tcPr>
            <w:tcW w:w="280" w:type="dxa"/>
            <w:vAlign w:val="bottom"/>
          </w:tcPr>
          <w:p>
            <w:pPr>
              <w:spacing w:after="0"/>
              <w:rPr>
                <w:sz w:val="17"/>
                <w:szCs w:val="17"/>
                <w:color w:val="auto"/>
              </w:rPr>
            </w:pP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0A0A0A"/>
              </w:rPr>
              <w:t>12,175</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0A0A0A"/>
              </w:rPr>
              <w:t>10.6</w:t>
            </w: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Ground Handling</w:t>
            </w:r>
          </w:p>
        </w:tc>
        <w:tc>
          <w:tcPr>
            <w:tcW w:w="10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6,551</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1"/>
              <w:spacing w:after="0" w:line="202" w:lineRule="exact"/>
              <w:rPr>
                <w:sz w:val="20"/>
                <w:szCs w:val="20"/>
                <w:color w:val="auto"/>
              </w:rPr>
            </w:pPr>
            <w:r>
              <w:rPr>
                <w:rFonts w:ascii="Arial" w:cs="Arial" w:eastAsia="Arial" w:hAnsi="Arial"/>
                <w:sz w:val="18"/>
                <w:szCs w:val="18"/>
                <w:color w:val="0A0A0A"/>
              </w:rPr>
              <w:t>1,614</w:t>
            </w:r>
          </w:p>
        </w:tc>
        <w:tc>
          <w:tcPr>
            <w:tcW w:w="110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305.9</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10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8,752</w:t>
            </w:r>
          </w:p>
        </w:tc>
        <w:tc>
          <w:tcPr>
            <w:tcW w:w="280" w:type="dxa"/>
            <w:vAlign w:val="bottom"/>
          </w:tcPr>
          <w:p>
            <w:pPr>
              <w:spacing w:after="0"/>
              <w:rPr>
                <w:sz w:val="17"/>
                <w:szCs w:val="17"/>
                <w:color w:val="auto"/>
              </w:rPr>
            </w:pP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0A0A0A"/>
              </w:rPr>
              <w:t>2,667</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0A0A0A"/>
              </w:rPr>
              <w:t>228.2</w:t>
            </w: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Special Items, net</w:t>
            </w:r>
          </w:p>
        </w:tc>
        <w:tc>
          <w:tcPr>
            <w:tcW w:w="100" w:type="dxa"/>
            <w:vAlign w:val="bottom"/>
            <w:shd w:val="clear" w:color="auto" w:fill="C6F4F9"/>
          </w:tcPr>
          <w:p>
            <w:pPr>
              <w:spacing w:after="0"/>
              <w:rPr>
                <w:sz w:val="17"/>
                <w:szCs w:val="17"/>
                <w:color w:val="auto"/>
              </w:rPr>
            </w:pPr>
          </w:p>
        </w:tc>
        <w:tc>
          <w:tcPr>
            <w:tcW w:w="12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(38,520)</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(31,481)</w:t>
            </w:r>
          </w:p>
        </w:tc>
        <w:tc>
          <w:tcPr>
            <w:tcW w:w="110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22.4</w:t>
            </w:r>
          </w:p>
        </w:tc>
      </w:tr>
      <w:tr>
        <w:trPr>
          <w:trHeight w:val="216"/>
        </w:trPr>
        <w:tc>
          <w:tcPr>
            <w:tcW w:w="728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Operating, net</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0A0A0A"/>
              </w:rPr>
              <w:t>16,746</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0A0A0A"/>
              </w:rPr>
              <w:t>9,484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76.6</w:t>
            </w:r>
          </w:p>
        </w:tc>
        <w:tc>
          <w:tcPr>
            <w:tcW w:w="60" w:type="dxa"/>
            <w:vAlign w:val="bottom"/>
            <w:tcBorders>
              <w:bottom w:val="single" w:sz="8" w:color="C6F4F9"/>
            </w:tcBorders>
          </w:tcPr>
          <w:p>
            <w:pPr>
              <w:spacing w:after="0"/>
              <w:rPr>
                <w:sz w:val="18"/>
                <w:szCs w:val="18"/>
                <w:color w:val="auto"/>
              </w:rPr>
            </w:pPr>
          </w:p>
        </w:tc>
      </w:tr>
      <w:tr>
        <w:trPr>
          <w:trHeight w:val="210"/>
        </w:trPr>
        <w:tc>
          <w:tcPr>
            <w:tcW w:w="7280" w:type="dxa"/>
            <w:vAlign w:val="bottom"/>
            <w:shd w:val="clear" w:color="auto" w:fill="C6F4F9"/>
          </w:tcPr>
          <w:p>
            <w:pPr>
              <w:spacing w:after="0"/>
              <w:rPr>
                <w:sz w:val="20"/>
                <w:szCs w:val="20"/>
                <w:color w:val="auto"/>
              </w:rPr>
            </w:pPr>
            <w:r>
              <w:rPr>
                <w:rFonts w:ascii="Arial" w:cs="Arial" w:eastAsia="Arial" w:hAnsi="Arial"/>
                <w:sz w:val="18"/>
                <w:szCs w:val="18"/>
                <w:color w:val="0A0A0A"/>
              </w:rPr>
              <w:t>Total Operating Expenses</w:t>
            </w:r>
          </w:p>
        </w:tc>
        <w:tc>
          <w:tcPr>
            <w:tcW w:w="100" w:type="dxa"/>
            <w:vAlign w:val="bottom"/>
            <w:tcBorders>
              <w:bottom w:val="single" w:sz="8" w:color="auto"/>
            </w:tcBorders>
            <w:shd w:val="clear" w:color="auto" w:fill="C6F4F9"/>
          </w:tcPr>
          <w:p>
            <w:pPr>
              <w:spacing w:after="0"/>
              <w:rPr>
                <w:sz w:val="18"/>
                <w:szCs w:val="18"/>
                <w:color w:val="auto"/>
              </w:rPr>
            </w:pPr>
          </w:p>
        </w:tc>
        <w:tc>
          <w:tcPr>
            <w:tcW w:w="1260" w:type="dxa"/>
            <w:vAlign w:val="bottom"/>
            <w:tcBorders>
              <w:bottom w:val="single" w:sz="8" w:color="auto"/>
            </w:tcBorders>
            <w:shd w:val="clear" w:color="auto" w:fill="C6F4F9"/>
          </w:tcPr>
          <w:p>
            <w:pPr>
              <w:jc w:val="right"/>
              <w:ind w:right="51"/>
              <w:spacing w:after="0"/>
              <w:rPr>
                <w:sz w:val="20"/>
                <w:szCs w:val="20"/>
                <w:color w:val="auto"/>
              </w:rPr>
            </w:pPr>
            <w:r>
              <w:rPr>
                <w:rFonts w:ascii="Arial" w:cs="Arial" w:eastAsia="Arial" w:hAnsi="Arial"/>
                <w:sz w:val="18"/>
                <w:szCs w:val="18"/>
                <w:color w:val="0A0A0A"/>
              </w:rPr>
              <w:t>99,951</w:t>
            </w:r>
          </w:p>
        </w:tc>
        <w:tc>
          <w:tcPr>
            <w:tcW w:w="280" w:type="dxa"/>
            <w:vAlign w:val="bottom"/>
            <w:tcBorders>
              <w:bottom w:val="single" w:sz="8" w:color="auto"/>
            </w:tcBorders>
            <w:shd w:val="clear" w:color="auto" w:fill="C6F4F9"/>
          </w:tcPr>
          <w:p>
            <w:pPr>
              <w:spacing w:after="0"/>
              <w:rPr>
                <w:sz w:val="18"/>
                <w:szCs w:val="18"/>
                <w:color w:val="auto"/>
              </w:rPr>
            </w:pPr>
          </w:p>
        </w:tc>
        <w:tc>
          <w:tcPr>
            <w:tcW w:w="1220" w:type="dxa"/>
            <w:vAlign w:val="bottom"/>
            <w:tcBorders>
              <w:bottom w:val="single" w:sz="8" w:color="auto"/>
            </w:tcBorders>
            <w:shd w:val="clear" w:color="auto" w:fill="C6F4F9"/>
          </w:tcPr>
          <w:p>
            <w:pPr>
              <w:jc w:val="right"/>
              <w:ind w:right="111"/>
              <w:spacing w:after="0"/>
              <w:rPr>
                <w:sz w:val="20"/>
                <w:szCs w:val="20"/>
                <w:color w:val="auto"/>
              </w:rPr>
            </w:pPr>
            <w:r>
              <w:rPr>
                <w:rFonts w:ascii="Arial" w:cs="Arial" w:eastAsia="Arial" w:hAnsi="Arial"/>
                <w:sz w:val="18"/>
                <w:szCs w:val="18"/>
                <w:color w:val="0A0A0A"/>
              </w:rPr>
              <w:t>37,610</w:t>
            </w:r>
          </w:p>
        </w:tc>
        <w:tc>
          <w:tcPr>
            <w:tcW w:w="104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165.8</w:t>
            </w:r>
          </w:p>
        </w:tc>
        <w:tc>
          <w:tcPr>
            <w:tcW w:w="60" w:type="dxa"/>
            <w:vAlign w:val="bottom"/>
            <w:shd w:val="clear" w:color="auto" w:fill="C6F4F9"/>
          </w:tcPr>
          <w:p>
            <w:pPr>
              <w:spacing w:after="0"/>
              <w:rPr>
                <w:sz w:val="18"/>
                <w:szCs w:val="18"/>
                <w:color w:val="auto"/>
              </w:rPr>
            </w:pP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0A0A0A"/>
              </w:rPr>
              <w:t>Operating Income (Loss)</w:t>
            </w:r>
          </w:p>
        </w:tc>
        <w:tc>
          <w:tcPr>
            <w:tcW w:w="1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0A0A0A"/>
              </w:rPr>
              <w:t>49,238</w:t>
            </w:r>
          </w:p>
        </w:tc>
        <w:tc>
          <w:tcPr>
            <w:tcW w:w="2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0A0A0A"/>
              </w:rPr>
              <w:t>(2,234)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0A0A0A"/>
              </w:rPr>
              <w:t>NM</w:t>
            </w:r>
          </w:p>
        </w:tc>
      </w:tr>
      <w:tr>
        <w:trPr>
          <w:trHeight w:val="196"/>
        </w:trPr>
        <w:tc>
          <w:tcPr>
            <w:tcW w:w="728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Non-operating Income/(Expense):</w:t>
            </w:r>
          </w:p>
        </w:tc>
        <w:tc>
          <w:tcPr>
            <w:tcW w:w="100" w:type="dxa"/>
            <w:vAlign w:val="bottom"/>
            <w:tcBorders>
              <w:top w:val="single" w:sz="8" w:color="auto"/>
            </w:tcBorders>
            <w:shd w:val="clear" w:color="auto" w:fill="C6F4F9"/>
          </w:tcPr>
          <w:p>
            <w:pPr>
              <w:spacing w:after="0"/>
              <w:rPr>
                <w:sz w:val="17"/>
                <w:szCs w:val="17"/>
                <w:color w:val="auto"/>
              </w:rPr>
            </w:pPr>
          </w:p>
        </w:tc>
        <w:tc>
          <w:tcPr>
            <w:tcW w:w="1260" w:type="dxa"/>
            <w:vAlign w:val="bottom"/>
            <w:tcBorders>
              <w:top w:val="single" w:sz="8" w:color="auto"/>
            </w:tcBorders>
            <w:shd w:val="clear" w:color="auto" w:fill="C6F4F9"/>
          </w:tcPr>
          <w:p>
            <w:pPr>
              <w:spacing w:after="0"/>
              <w:rPr>
                <w:sz w:val="17"/>
                <w:szCs w:val="17"/>
                <w:color w:val="auto"/>
              </w:rPr>
            </w:pPr>
          </w:p>
        </w:tc>
        <w:tc>
          <w:tcPr>
            <w:tcW w:w="280" w:type="dxa"/>
            <w:vAlign w:val="bottom"/>
            <w:tcBorders>
              <w:top w:val="single" w:sz="8" w:color="auto"/>
            </w:tcBorders>
            <w:shd w:val="clear" w:color="auto" w:fill="C6F4F9"/>
          </w:tcPr>
          <w:p>
            <w:pPr>
              <w:spacing w:after="0"/>
              <w:rPr>
                <w:sz w:val="17"/>
                <w:szCs w:val="17"/>
                <w:color w:val="auto"/>
              </w:rPr>
            </w:pPr>
          </w:p>
        </w:tc>
        <w:tc>
          <w:tcPr>
            <w:tcW w:w="1220" w:type="dxa"/>
            <w:vAlign w:val="bottom"/>
            <w:tcBorders>
              <w:top w:val="single" w:sz="8" w:color="auto"/>
            </w:tcBorders>
            <w:shd w:val="clear" w:color="auto" w:fill="C6F4F9"/>
          </w:tcPr>
          <w:p>
            <w:pPr>
              <w:spacing w:after="0"/>
              <w:rPr>
                <w:sz w:val="17"/>
                <w:szCs w:val="17"/>
                <w:color w:val="auto"/>
              </w:rPr>
            </w:pPr>
          </w:p>
        </w:tc>
        <w:tc>
          <w:tcPr>
            <w:tcW w:w="1040" w:type="dxa"/>
            <w:vAlign w:val="bottom"/>
            <w:tcBorders>
              <w:top w:val="single" w:sz="8" w:color="auto"/>
            </w:tcBorders>
            <w:shd w:val="clear" w:color="auto" w:fill="C6F4F9"/>
          </w:tcPr>
          <w:p>
            <w:pPr>
              <w:spacing w:after="0"/>
              <w:rPr>
                <w:sz w:val="17"/>
                <w:szCs w:val="17"/>
                <w:color w:val="auto"/>
              </w:rPr>
            </w:pPr>
          </w:p>
        </w:tc>
        <w:tc>
          <w:tcPr>
            <w:tcW w:w="60" w:type="dxa"/>
            <w:vAlign w:val="bottom"/>
            <w:tcBorders>
              <w:top w:val="single" w:sz="8" w:color="C6F4F9"/>
            </w:tcBorders>
            <w:shd w:val="clear" w:color="auto" w:fill="C6F4F9"/>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Interest Income</w:t>
            </w:r>
          </w:p>
        </w:tc>
        <w:tc>
          <w:tcPr>
            <w:tcW w:w="100" w:type="dxa"/>
            <w:vAlign w:val="bottom"/>
          </w:tcPr>
          <w:p>
            <w:pPr>
              <w:spacing w:after="0"/>
              <w:rPr>
                <w:sz w:val="17"/>
                <w:szCs w:val="17"/>
                <w:color w:val="auto"/>
              </w:rPr>
            </w:pP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9</w:t>
            </w:r>
          </w:p>
        </w:tc>
        <w:tc>
          <w:tcPr>
            <w:tcW w:w="280" w:type="dxa"/>
            <w:vAlign w:val="bottom"/>
          </w:tcPr>
          <w:p>
            <w:pPr>
              <w:spacing w:after="0"/>
              <w:rPr>
                <w:sz w:val="17"/>
                <w:szCs w:val="17"/>
                <w:color w:val="auto"/>
              </w:rPr>
            </w:pP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0A0A0A"/>
              </w:rPr>
              <w:t>63</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0A0A0A"/>
              </w:rPr>
              <w:t>(85.7)</w:t>
            </w: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Interest Expense</w:t>
            </w:r>
          </w:p>
        </w:tc>
        <w:tc>
          <w:tcPr>
            <w:tcW w:w="100" w:type="dxa"/>
            <w:vAlign w:val="bottom"/>
            <w:shd w:val="clear" w:color="auto" w:fill="C6F4F9"/>
          </w:tcPr>
          <w:p>
            <w:pPr>
              <w:spacing w:after="0"/>
              <w:rPr>
                <w:sz w:val="17"/>
                <w:szCs w:val="17"/>
                <w:color w:val="auto"/>
              </w:rPr>
            </w:pPr>
          </w:p>
        </w:tc>
        <w:tc>
          <w:tcPr>
            <w:tcW w:w="12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(6,080)</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(5,442)</w:t>
            </w:r>
          </w:p>
        </w:tc>
        <w:tc>
          <w:tcPr>
            <w:tcW w:w="110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11.7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0A0A0A"/>
              </w:rPr>
              <w:t>Other, net</w:t>
            </w:r>
          </w:p>
        </w:tc>
        <w:tc>
          <w:tcPr>
            <w:tcW w:w="1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0A0A0A"/>
              </w:rPr>
              <w:t>18,054</w:t>
            </w:r>
          </w:p>
        </w:tc>
        <w:tc>
          <w:tcPr>
            <w:tcW w:w="2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0A0A0A"/>
              </w:rPr>
              <w:t>(325)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0A0A0A"/>
              </w:rPr>
              <w:t>NM</w:t>
            </w:r>
          </w:p>
        </w:tc>
      </w:tr>
      <w:tr>
        <w:trPr>
          <w:trHeight w:val="196"/>
        </w:trPr>
        <w:tc>
          <w:tcPr>
            <w:tcW w:w="728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color w:val="0A0A0A"/>
              </w:rPr>
              <w:t>Total Non-operating Income (Expense), net</w:t>
            </w:r>
          </w:p>
        </w:tc>
        <w:tc>
          <w:tcPr>
            <w:tcW w:w="100" w:type="dxa"/>
            <w:vAlign w:val="bottom"/>
            <w:tcBorders>
              <w:top w:val="single" w:sz="8" w:color="auto"/>
            </w:tcBorders>
            <w:shd w:val="clear" w:color="auto" w:fill="C6F4F9"/>
          </w:tcPr>
          <w:p>
            <w:pPr>
              <w:spacing w:after="0"/>
              <w:rPr>
                <w:sz w:val="17"/>
                <w:szCs w:val="17"/>
                <w:color w:val="auto"/>
              </w:rPr>
            </w:pPr>
          </w:p>
        </w:tc>
        <w:tc>
          <w:tcPr>
            <w:tcW w:w="1260" w:type="dxa"/>
            <w:vAlign w:val="bottom"/>
            <w:tcBorders>
              <w:top w:val="single" w:sz="8" w:color="auto"/>
            </w:tcBorders>
            <w:shd w:val="clear" w:color="auto" w:fill="C6F4F9"/>
          </w:tcPr>
          <w:p>
            <w:pPr>
              <w:jc w:val="right"/>
              <w:ind w:right="51"/>
              <w:spacing w:after="0" w:line="196" w:lineRule="exact"/>
              <w:rPr>
                <w:sz w:val="20"/>
                <w:szCs w:val="20"/>
                <w:color w:val="auto"/>
              </w:rPr>
            </w:pPr>
            <w:r>
              <w:rPr>
                <w:rFonts w:ascii="Arial" w:cs="Arial" w:eastAsia="Arial" w:hAnsi="Arial"/>
                <w:sz w:val="18"/>
                <w:szCs w:val="18"/>
                <w:color w:val="0A0A0A"/>
              </w:rPr>
              <w:t>11,983</w:t>
            </w:r>
          </w:p>
        </w:tc>
        <w:tc>
          <w:tcPr>
            <w:tcW w:w="280" w:type="dxa"/>
            <w:vAlign w:val="bottom"/>
            <w:tcBorders>
              <w:top w:val="single" w:sz="8" w:color="auto"/>
            </w:tcBorders>
            <w:shd w:val="clear" w:color="auto" w:fill="C6F4F9"/>
          </w:tcPr>
          <w:p>
            <w:pPr>
              <w:spacing w:after="0"/>
              <w:rPr>
                <w:sz w:val="17"/>
                <w:szCs w:val="17"/>
                <w:color w:val="auto"/>
              </w:rPr>
            </w:pPr>
          </w:p>
        </w:tc>
        <w:tc>
          <w:tcPr>
            <w:tcW w:w="1220" w:type="dxa"/>
            <w:vAlign w:val="bottom"/>
            <w:tcBorders>
              <w:top w:val="single" w:sz="8" w:color="auto"/>
            </w:tcBorders>
            <w:shd w:val="clear" w:color="auto" w:fill="C6F4F9"/>
          </w:tcPr>
          <w:p>
            <w:pPr>
              <w:jc w:val="right"/>
              <w:ind w:right="51"/>
              <w:spacing w:after="0" w:line="196" w:lineRule="exact"/>
              <w:rPr>
                <w:sz w:val="20"/>
                <w:szCs w:val="20"/>
                <w:color w:val="auto"/>
              </w:rPr>
            </w:pPr>
            <w:r>
              <w:rPr>
                <w:rFonts w:ascii="Arial" w:cs="Arial" w:eastAsia="Arial" w:hAnsi="Arial"/>
                <w:sz w:val="18"/>
                <w:szCs w:val="18"/>
                <w:color w:val="0A0A0A"/>
              </w:rPr>
              <w:t>(5,704)</w:t>
            </w:r>
          </w:p>
        </w:tc>
        <w:tc>
          <w:tcPr>
            <w:tcW w:w="104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NM</w:t>
            </w:r>
          </w:p>
        </w:tc>
        <w:tc>
          <w:tcPr>
            <w:tcW w:w="60" w:type="dxa"/>
            <w:vAlign w:val="bottom"/>
            <w:tcBorders>
              <w:top w:val="single" w:sz="8" w:color="C6F4F9"/>
            </w:tcBorders>
            <w:shd w:val="clear" w:color="auto" w:fill="C6F4F9"/>
          </w:tcPr>
          <w:p>
            <w:pPr>
              <w:spacing w:after="0"/>
              <w:rPr>
                <w:sz w:val="17"/>
                <w:szCs w:val="17"/>
                <w:color w:val="auto"/>
              </w:rPr>
            </w:pPr>
          </w:p>
        </w:tc>
      </w:tr>
      <w:tr>
        <w:trPr>
          <w:trHeight w:val="216"/>
        </w:trPr>
        <w:tc>
          <w:tcPr>
            <w:tcW w:w="728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Income (Loss) before Income Tax</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0A0A0A"/>
              </w:rPr>
              <w:t>61,221</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0A0A0A"/>
              </w:rPr>
              <w:t>(7,938)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NM</w:t>
            </w:r>
          </w:p>
        </w:tc>
        <w:tc>
          <w:tcPr>
            <w:tcW w:w="60" w:type="dxa"/>
            <w:vAlign w:val="bottom"/>
            <w:tcBorders>
              <w:bottom w:val="single" w:sz="8" w:color="C6F4F9"/>
            </w:tcBorders>
          </w:tcPr>
          <w:p>
            <w:pPr>
              <w:spacing w:after="0"/>
              <w:rPr>
                <w:sz w:val="18"/>
                <w:szCs w:val="18"/>
                <w:color w:val="auto"/>
              </w:rPr>
            </w:pPr>
          </w:p>
        </w:tc>
      </w:tr>
      <w:tr>
        <w:trPr>
          <w:trHeight w:val="210"/>
        </w:trPr>
        <w:tc>
          <w:tcPr>
            <w:tcW w:w="7280" w:type="dxa"/>
            <w:vAlign w:val="bottom"/>
            <w:shd w:val="clear" w:color="auto" w:fill="C6F4F9"/>
          </w:tcPr>
          <w:p>
            <w:pPr>
              <w:spacing w:after="0"/>
              <w:rPr>
                <w:sz w:val="20"/>
                <w:szCs w:val="20"/>
                <w:color w:val="auto"/>
              </w:rPr>
            </w:pPr>
            <w:r>
              <w:rPr>
                <w:rFonts w:ascii="Arial" w:cs="Arial" w:eastAsia="Arial" w:hAnsi="Arial"/>
                <w:sz w:val="18"/>
                <w:szCs w:val="18"/>
                <w:color w:val="0A0A0A"/>
              </w:rPr>
              <w:t>Income Tax Expense (Benefit)</w:t>
            </w:r>
          </w:p>
        </w:tc>
        <w:tc>
          <w:tcPr>
            <w:tcW w:w="100" w:type="dxa"/>
            <w:vAlign w:val="bottom"/>
            <w:tcBorders>
              <w:bottom w:val="single" w:sz="8" w:color="auto"/>
            </w:tcBorders>
            <w:shd w:val="clear" w:color="auto" w:fill="C6F4F9"/>
          </w:tcPr>
          <w:p>
            <w:pPr>
              <w:spacing w:after="0"/>
              <w:rPr>
                <w:sz w:val="18"/>
                <w:szCs w:val="18"/>
                <w:color w:val="auto"/>
              </w:rPr>
            </w:pPr>
          </w:p>
        </w:tc>
        <w:tc>
          <w:tcPr>
            <w:tcW w:w="1260" w:type="dxa"/>
            <w:vAlign w:val="bottom"/>
            <w:tcBorders>
              <w:bottom w:val="single" w:sz="8" w:color="auto"/>
            </w:tcBorders>
            <w:shd w:val="clear" w:color="auto" w:fill="C6F4F9"/>
          </w:tcPr>
          <w:p>
            <w:pPr>
              <w:jc w:val="right"/>
              <w:ind w:right="51"/>
              <w:spacing w:after="0"/>
              <w:rPr>
                <w:sz w:val="20"/>
                <w:szCs w:val="20"/>
                <w:color w:val="auto"/>
              </w:rPr>
            </w:pPr>
            <w:r>
              <w:rPr>
                <w:rFonts w:ascii="Arial" w:cs="Arial" w:eastAsia="Arial" w:hAnsi="Arial"/>
                <w:sz w:val="18"/>
                <w:szCs w:val="18"/>
                <w:color w:val="0A0A0A"/>
              </w:rPr>
              <w:t>9,468</w:t>
            </w:r>
          </w:p>
        </w:tc>
        <w:tc>
          <w:tcPr>
            <w:tcW w:w="280" w:type="dxa"/>
            <w:vAlign w:val="bottom"/>
            <w:tcBorders>
              <w:bottom w:val="single" w:sz="8" w:color="auto"/>
            </w:tcBorders>
            <w:shd w:val="clear" w:color="auto" w:fill="C6F4F9"/>
          </w:tcPr>
          <w:p>
            <w:pPr>
              <w:spacing w:after="0"/>
              <w:rPr>
                <w:sz w:val="18"/>
                <w:szCs w:val="18"/>
                <w:color w:val="auto"/>
              </w:rPr>
            </w:pPr>
          </w:p>
        </w:tc>
        <w:tc>
          <w:tcPr>
            <w:tcW w:w="1220" w:type="dxa"/>
            <w:vAlign w:val="bottom"/>
            <w:tcBorders>
              <w:bottom w:val="single" w:sz="8" w:color="auto"/>
            </w:tcBorders>
            <w:shd w:val="clear" w:color="auto" w:fill="C6F4F9"/>
          </w:tcPr>
          <w:p>
            <w:pPr>
              <w:jc w:val="right"/>
              <w:ind w:right="51"/>
              <w:spacing w:after="0"/>
              <w:rPr>
                <w:sz w:val="20"/>
                <w:szCs w:val="20"/>
                <w:color w:val="auto"/>
              </w:rPr>
            </w:pPr>
            <w:r>
              <w:rPr>
                <w:rFonts w:ascii="Arial" w:cs="Arial" w:eastAsia="Arial" w:hAnsi="Arial"/>
                <w:sz w:val="18"/>
                <w:szCs w:val="18"/>
                <w:color w:val="0A0A0A"/>
              </w:rPr>
              <w:t>(1,898)</w:t>
            </w:r>
          </w:p>
        </w:tc>
        <w:tc>
          <w:tcPr>
            <w:tcW w:w="104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NM</w:t>
            </w:r>
          </w:p>
        </w:tc>
        <w:tc>
          <w:tcPr>
            <w:tcW w:w="60" w:type="dxa"/>
            <w:vAlign w:val="bottom"/>
            <w:shd w:val="clear" w:color="auto" w:fill="C6F4F9"/>
          </w:tcPr>
          <w:p>
            <w:pPr>
              <w:spacing w:after="0"/>
              <w:rPr>
                <w:sz w:val="18"/>
                <w:szCs w:val="18"/>
                <w:color w:val="auto"/>
              </w:rPr>
            </w:pPr>
          </w:p>
        </w:tc>
      </w:tr>
      <w:tr>
        <w:trPr>
          <w:trHeight w:val="276"/>
        </w:trPr>
        <w:tc>
          <w:tcPr>
            <w:tcW w:w="7280" w:type="dxa"/>
            <w:vAlign w:val="bottom"/>
          </w:tcPr>
          <w:p>
            <w:pPr>
              <w:spacing w:after="0"/>
              <w:rPr>
                <w:sz w:val="20"/>
                <w:szCs w:val="20"/>
                <w:color w:val="auto"/>
              </w:rPr>
            </w:pPr>
            <w:r>
              <w:rPr>
                <w:rFonts w:ascii="Arial" w:cs="Arial" w:eastAsia="Arial" w:hAnsi="Arial"/>
                <w:sz w:val="18"/>
                <w:szCs w:val="18"/>
                <w:color w:val="0A0A0A"/>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0A0A0A"/>
                <w:w w:val="7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0A0A0A"/>
              </w:rPr>
              <w:t>51,753</w:t>
            </w:r>
          </w:p>
        </w:tc>
        <w:tc>
          <w:tcPr>
            <w:tcW w:w="280" w:type="dxa"/>
            <w:vAlign w:val="bottom"/>
          </w:tcPr>
          <w:p>
            <w:pPr>
              <w:jc w:val="right"/>
              <w:ind w:right="10"/>
              <w:spacing w:after="0"/>
              <w:rPr>
                <w:sz w:val="20"/>
                <w:szCs w:val="20"/>
                <w:color w:val="auto"/>
              </w:rPr>
            </w:pPr>
            <w:r>
              <w:rPr>
                <w:rFonts w:ascii="Arial" w:cs="Arial" w:eastAsia="Arial" w:hAnsi="Arial"/>
                <w:sz w:val="18"/>
                <w:szCs w:val="18"/>
                <w:color w:val="0A0A0A"/>
              </w:rPr>
              <w:t>$</w:t>
            </w:r>
          </w:p>
        </w:tc>
        <w:tc>
          <w:tcPr>
            <w:tcW w:w="1220" w:type="dxa"/>
            <w:vAlign w:val="bottom"/>
          </w:tcPr>
          <w:p>
            <w:pPr>
              <w:jc w:val="right"/>
              <w:ind w:right="51"/>
              <w:spacing w:after="0" w:line="236" w:lineRule="exact"/>
              <w:rPr>
                <w:sz w:val="20"/>
                <w:szCs w:val="20"/>
                <w:color w:val="auto"/>
              </w:rPr>
            </w:pPr>
            <w:r>
              <w:rPr>
                <w:rFonts w:ascii="Arial" w:cs="Arial" w:eastAsia="Arial" w:hAnsi="Arial"/>
                <w:sz w:val="15"/>
                <w:szCs w:val="15"/>
                <w:color w:val="0A0A0A"/>
              </w:rPr>
              <w:t>(6,040</w:t>
            </w:r>
            <w:r>
              <w:rPr>
                <w:rFonts w:ascii="Arial" w:cs="Arial" w:eastAsia="Arial" w:hAnsi="Arial"/>
                <w:sz w:val="27"/>
                <w:szCs w:val="27"/>
                <w:color w:val="0A0A0A"/>
                <w:vertAlign w:val="superscript"/>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0A0A0A"/>
              </w:rPr>
              <w:t>NM</w:t>
            </w:r>
          </w:p>
        </w:tc>
      </w:tr>
      <w:tr>
        <w:trPr>
          <w:trHeight w:val="183"/>
        </w:trPr>
        <w:tc>
          <w:tcPr>
            <w:tcW w:w="7280" w:type="dxa"/>
            <w:vAlign w:val="bottom"/>
            <w:tcBorders>
              <w:top w:val="single" w:sz="8" w:color="C6F4F9"/>
            </w:tcBorders>
            <w:shd w:val="clear" w:color="auto" w:fill="C6F4F9"/>
          </w:tcPr>
          <w:p>
            <w:pPr>
              <w:spacing w:after="0" w:line="183" w:lineRule="exact"/>
              <w:rPr>
                <w:sz w:val="20"/>
                <w:szCs w:val="20"/>
                <w:color w:val="auto"/>
              </w:rPr>
            </w:pPr>
            <w:r>
              <w:rPr>
                <w:rFonts w:ascii="Arial" w:cs="Arial" w:eastAsia="Arial" w:hAnsi="Arial"/>
                <w:sz w:val="18"/>
                <w:szCs w:val="18"/>
                <w:color w:val="0A0A0A"/>
              </w:rPr>
              <w:t>Net Income (Loss) per share to common stockholders:</w:t>
            </w:r>
          </w:p>
        </w:tc>
        <w:tc>
          <w:tcPr>
            <w:tcW w:w="100" w:type="dxa"/>
            <w:vAlign w:val="bottom"/>
            <w:tcBorders>
              <w:top w:val="single" w:sz="8" w:color="auto"/>
            </w:tcBorders>
            <w:shd w:val="clear" w:color="auto" w:fill="C6F4F9"/>
          </w:tcPr>
          <w:p>
            <w:pPr>
              <w:spacing w:after="0"/>
              <w:rPr>
                <w:sz w:val="15"/>
                <w:szCs w:val="15"/>
                <w:color w:val="auto"/>
              </w:rPr>
            </w:pPr>
          </w:p>
        </w:tc>
        <w:tc>
          <w:tcPr>
            <w:tcW w:w="1260" w:type="dxa"/>
            <w:vAlign w:val="bottom"/>
            <w:tcBorders>
              <w:top w:val="single" w:sz="8" w:color="auto"/>
            </w:tcBorders>
            <w:shd w:val="clear" w:color="auto" w:fill="C6F4F9"/>
          </w:tcPr>
          <w:p>
            <w:pPr>
              <w:spacing w:after="0"/>
              <w:rPr>
                <w:sz w:val="15"/>
                <w:szCs w:val="15"/>
                <w:color w:val="auto"/>
              </w:rPr>
            </w:pPr>
          </w:p>
        </w:tc>
        <w:tc>
          <w:tcPr>
            <w:tcW w:w="280" w:type="dxa"/>
            <w:vAlign w:val="bottom"/>
            <w:tcBorders>
              <w:top w:val="single" w:sz="8" w:color="auto"/>
            </w:tcBorders>
            <w:shd w:val="clear" w:color="auto" w:fill="C6F4F9"/>
          </w:tcPr>
          <w:p>
            <w:pPr>
              <w:spacing w:after="0"/>
              <w:rPr>
                <w:sz w:val="15"/>
                <w:szCs w:val="15"/>
                <w:color w:val="auto"/>
              </w:rPr>
            </w:pPr>
          </w:p>
        </w:tc>
        <w:tc>
          <w:tcPr>
            <w:tcW w:w="1220" w:type="dxa"/>
            <w:vAlign w:val="bottom"/>
            <w:tcBorders>
              <w:top w:val="single" w:sz="8" w:color="auto"/>
            </w:tcBorders>
            <w:shd w:val="clear" w:color="auto" w:fill="C6F4F9"/>
          </w:tcPr>
          <w:p>
            <w:pPr>
              <w:spacing w:after="0"/>
              <w:rPr>
                <w:sz w:val="15"/>
                <w:szCs w:val="15"/>
                <w:color w:val="auto"/>
              </w:rPr>
            </w:pPr>
          </w:p>
        </w:tc>
        <w:tc>
          <w:tcPr>
            <w:tcW w:w="1040" w:type="dxa"/>
            <w:vAlign w:val="bottom"/>
            <w:tcBorders>
              <w:top w:val="single" w:sz="8" w:color="auto"/>
            </w:tcBorders>
            <w:shd w:val="clear" w:color="auto" w:fill="C6F4F9"/>
          </w:tcPr>
          <w:p>
            <w:pPr>
              <w:spacing w:after="0"/>
              <w:rPr>
                <w:sz w:val="15"/>
                <w:szCs w:val="15"/>
                <w:color w:val="auto"/>
              </w:rPr>
            </w:pPr>
          </w:p>
        </w:tc>
        <w:tc>
          <w:tcPr>
            <w:tcW w:w="60" w:type="dxa"/>
            <w:vAlign w:val="bottom"/>
            <w:tcBorders>
              <w:top w:val="single" w:sz="8" w:color="C6F4F9"/>
            </w:tcBorders>
            <w:shd w:val="clear" w:color="auto" w:fill="C6F4F9"/>
          </w:tcPr>
          <w:p>
            <w:pPr>
              <w:spacing w:after="0"/>
              <w:rPr>
                <w:sz w:val="15"/>
                <w:szCs w:val="15"/>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Basic</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0A0A0A"/>
                <w:w w:val="79"/>
              </w:rPr>
              <w:t>$</w:t>
            </w:r>
          </w:p>
        </w:tc>
        <w:tc>
          <w:tcPr>
            <w:tcW w:w="126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0.91</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w:t>
            </w:r>
          </w:p>
        </w:tc>
        <w:tc>
          <w:tcPr>
            <w:tcW w:w="122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(0.13)</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0A0A0A"/>
              </w:rPr>
              <w:t>NM</w:t>
            </w: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w:t>
            </w:r>
          </w:p>
        </w:tc>
        <w:tc>
          <w:tcPr>
            <w:tcW w:w="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w w:val="79"/>
              </w:rPr>
              <w:t>$</w:t>
            </w:r>
          </w:p>
        </w:tc>
        <w:tc>
          <w:tcPr>
            <w:tcW w:w="126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0.83</w:t>
            </w:r>
          </w:p>
        </w:tc>
        <w:tc>
          <w:tcPr>
            <w:tcW w:w="2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w:t>
            </w:r>
          </w:p>
        </w:tc>
        <w:tc>
          <w:tcPr>
            <w:tcW w:w="12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(0.13)</w:t>
            </w:r>
          </w:p>
        </w:tc>
        <w:tc>
          <w:tcPr>
            <w:tcW w:w="110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NM</w:t>
            </w: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Shares used for computation:</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Basic</w:t>
            </w:r>
          </w:p>
        </w:tc>
        <w:tc>
          <w:tcPr>
            <w:tcW w:w="10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57,156,159</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1"/>
              <w:spacing w:after="0" w:line="202" w:lineRule="exact"/>
              <w:rPr>
                <w:sz w:val="20"/>
                <w:szCs w:val="20"/>
                <w:color w:val="auto"/>
              </w:rPr>
            </w:pPr>
            <w:r>
              <w:rPr>
                <w:rFonts w:ascii="Arial" w:cs="Arial" w:eastAsia="Arial" w:hAnsi="Arial"/>
                <w:sz w:val="18"/>
                <w:szCs w:val="18"/>
                <w:color w:val="0A0A0A"/>
              </w:rPr>
              <w:t>46,805,950</w:t>
            </w:r>
          </w:p>
        </w:tc>
        <w:tc>
          <w:tcPr>
            <w:tcW w:w="1100" w:type="dxa"/>
            <w:vAlign w:val="bottom"/>
            <w:gridSpan w:val="2"/>
            <w:shd w:val="clear" w:color="auto" w:fill="C6F4F9"/>
          </w:tcPr>
          <w:p>
            <w:pPr>
              <w:jc w:val="right"/>
              <w:ind w:right="60"/>
              <w:spacing w:after="0" w:line="202" w:lineRule="exact"/>
              <w:rPr>
                <w:sz w:val="20"/>
                <w:szCs w:val="20"/>
                <w:color w:val="auto"/>
              </w:rPr>
            </w:pPr>
            <w:r>
              <w:rPr>
                <w:rFonts w:ascii="Arial" w:cs="Arial" w:eastAsia="Arial" w:hAnsi="Arial"/>
                <w:sz w:val="18"/>
                <w:szCs w:val="18"/>
                <w:color w:val="0A0A0A"/>
              </w:rPr>
              <w:t>22.1</w:t>
            </w:r>
          </w:p>
        </w:tc>
      </w:tr>
      <w:tr>
        <w:trPr>
          <w:trHeight w:val="217"/>
        </w:trPr>
        <w:tc>
          <w:tcPr>
            <w:tcW w:w="7280" w:type="dxa"/>
            <w:vAlign w:val="bottom"/>
          </w:tcPr>
          <w:p>
            <w:pPr>
              <w:spacing w:after="0"/>
              <w:rPr>
                <w:sz w:val="20"/>
                <w:szCs w:val="20"/>
                <w:color w:val="auto"/>
              </w:rPr>
            </w:pPr>
            <w:r>
              <w:rPr>
                <w:rFonts w:ascii="Arial" w:cs="Arial" w:eastAsia="Arial" w:hAnsi="Arial"/>
                <w:sz w:val="18"/>
                <w:szCs w:val="18"/>
                <w:color w:val="0A0A0A"/>
              </w:rPr>
              <w:t>Diluted</w:t>
            </w:r>
          </w:p>
        </w:tc>
        <w:tc>
          <w:tcPr>
            <w:tcW w:w="10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0A0A0A"/>
              </w:rPr>
              <w:t>61,982,441</w:t>
            </w:r>
          </w:p>
        </w:tc>
        <w:tc>
          <w:tcPr>
            <w:tcW w:w="28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0A0A0A"/>
              </w:rPr>
              <w:t>46,805,950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0A0A0A"/>
              </w:rPr>
              <w:t>32.4</w:t>
            </w:r>
          </w:p>
        </w:tc>
      </w:tr>
      <w:tr>
        <w:trPr>
          <w:trHeight w:val="519"/>
        </w:trPr>
        <w:tc>
          <w:tcPr>
            <w:tcW w:w="7280" w:type="dxa"/>
            <w:vAlign w:val="bottom"/>
            <w:tcBorders>
              <w:bottom w:val="single" w:sz="8" w:color="auto"/>
            </w:tcBorders>
          </w:tcPr>
          <w:p>
            <w:pPr>
              <w:ind w:left="5340"/>
              <w:spacing w:after="0"/>
              <w:rPr>
                <w:sz w:val="20"/>
                <w:szCs w:val="20"/>
                <w:color w:val="auto"/>
              </w:rPr>
            </w:pPr>
            <w:r>
              <w:rPr>
                <w:rFonts w:ascii="Arial" w:cs="Arial" w:eastAsia="Arial" w:hAnsi="Arial"/>
                <w:sz w:val="18"/>
                <w:szCs w:val="18"/>
                <w:color w:val="auto"/>
              </w:rPr>
              <w:t>Page 6</w:t>
            </w: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0A0A0A"/>
              </w:rPr>
              <w:t>Six Months Ended June 30,</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1"/>
              <w:spacing w:after="0"/>
              <w:rPr>
                <w:sz w:val="20"/>
                <w:szCs w:val="20"/>
                <w:color w:val="auto"/>
              </w:rPr>
            </w:pPr>
            <w:r>
              <w:rPr>
                <w:rFonts w:ascii="Arial" w:cs="Arial" w:eastAsia="Arial" w:hAnsi="Arial"/>
                <w:sz w:val="18"/>
                <w:szCs w:val="18"/>
                <w:b w:val="1"/>
                <w:bCs w:val="1"/>
                <w:color w:val="0A0A0A"/>
              </w:rPr>
              <w:t>2021</w:t>
            </w:r>
          </w:p>
        </w:tc>
        <w:tc>
          <w:tcPr>
            <w:tcW w:w="280" w:type="dxa"/>
            <w:vAlign w:val="bottom"/>
          </w:tcPr>
          <w:p>
            <w:pPr>
              <w:spacing w:after="0"/>
              <w:rPr>
                <w:sz w:val="19"/>
                <w:szCs w:val="19"/>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0A0A0A"/>
              </w:rPr>
              <w:t>2020</w:t>
            </w: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728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Operating Revenues:</w:t>
            </w:r>
          </w:p>
        </w:tc>
        <w:tc>
          <w:tcPr>
            <w:tcW w:w="160" w:type="dxa"/>
            <w:vAlign w:val="bottom"/>
            <w:tcBorders>
              <w:top w:val="single" w:sz="8" w:color="auto"/>
            </w:tcBorders>
            <w:shd w:val="clear" w:color="auto" w:fill="C6F4F9"/>
          </w:tcPr>
          <w:p>
            <w:pPr>
              <w:spacing w:after="0"/>
              <w:rPr>
                <w:sz w:val="17"/>
                <w:szCs w:val="17"/>
                <w:color w:val="auto"/>
              </w:rPr>
            </w:pPr>
          </w:p>
        </w:tc>
        <w:tc>
          <w:tcPr>
            <w:tcW w:w="1200" w:type="dxa"/>
            <w:vAlign w:val="bottom"/>
            <w:tcBorders>
              <w:top w:val="single" w:sz="8" w:color="auto"/>
            </w:tcBorders>
            <w:shd w:val="clear" w:color="auto" w:fill="C6F4F9"/>
          </w:tcPr>
          <w:p>
            <w:pPr>
              <w:spacing w:after="0"/>
              <w:rPr>
                <w:sz w:val="17"/>
                <w:szCs w:val="17"/>
                <w:color w:val="auto"/>
              </w:rPr>
            </w:pPr>
          </w:p>
        </w:tc>
        <w:tc>
          <w:tcPr>
            <w:tcW w:w="280" w:type="dxa"/>
            <w:vAlign w:val="bottom"/>
            <w:tcBorders>
              <w:top w:val="single" w:sz="8" w:color="auto"/>
            </w:tcBorders>
            <w:shd w:val="clear" w:color="auto" w:fill="C6F4F9"/>
          </w:tcPr>
          <w:p>
            <w:pPr>
              <w:spacing w:after="0"/>
              <w:rPr>
                <w:sz w:val="17"/>
                <w:szCs w:val="17"/>
                <w:color w:val="auto"/>
              </w:rPr>
            </w:pPr>
          </w:p>
        </w:tc>
        <w:tc>
          <w:tcPr>
            <w:tcW w:w="1220" w:type="dxa"/>
            <w:vAlign w:val="bottom"/>
            <w:tcBorders>
              <w:top w:val="single" w:sz="8" w:color="auto"/>
            </w:tcBorders>
            <w:shd w:val="clear" w:color="auto" w:fill="C6F4F9"/>
          </w:tcPr>
          <w:p>
            <w:pPr>
              <w:spacing w:after="0"/>
              <w:rPr>
                <w:sz w:val="17"/>
                <w:szCs w:val="17"/>
                <w:color w:val="auto"/>
              </w:rPr>
            </w:pPr>
          </w:p>
        </w:tc>
        <w:tc>
          <w:tcPr>
            <w:tcW w:w="1100" w:type="dxa"/>
            <w:vAlign w:val="bottom"/>
            <w:tcBorders>
              <w:top w:val="single" w:sz="8" w:color="auto"/>
            </w:tcBorders>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Scheduled Service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0A0A0A"/>
                <w:w w:val="79"/>
              </w:rPr>
              <w:t>$</w:t>
            </w:r>
          </w:p>
        </w:tc>
        <w:tc>
          <w:tcPr>
            <w:tcW w:w="120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121,693</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132,110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Charter Service</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54,703</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37,718</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Ancillary</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0A0A0A"/>
              </w:rPr>
              <w:t>52,929</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0A0A0A"/>
              </w:rPr>
              <w:t>39,999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Passenger</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51"/>
              <w:spacing w:after="0" w:line="196" w:lineRule="exact"/>
              <w:rPr>
                <w:sz w:val="20"/>
                <w:szCs w:val="20"/>
                <w:color w:val="auto"/>
              </w:rPr>
            </w:pPr>
            <w:r>
              <w:rPr>
                <w:rFonts w:ascii="Arial" w:cs="Arial" w:eastAsia="Arial" w:hAnsi="Arial"/>
                <w:sz w:val="18"/>
                <w:szCs w:val="18"/>
                <w:color w:val="0A0A0A"/>
              </w:rPr>
              <w:t>229,325</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196" w:lineRule="exact"/>
              <w:rPr>
                <w:sz w:val="20"/>
                <w:szCs w:val="20"/>
                <w:color w:val="auto"/>
              </w:rPr>
            </w:pPr>
            <w:r>
              <w:rPr>
                <w:rFonts w:ascii="Arial" w:cs="Arial" w:eastAsia="Arial" w:hAnsi="Arial"/>
                <w:sz w:val="18"/>
                <w:szCs w:val="18"/>
                <w:color w:val="0A0A0A"/>
              </w:rPr>
              <w:t>209,827</w:t>
            </w:r>
          </w:p>
        </w:tc>
        <w:tc>
          <w:tcPr>
            <w:tcW w:w="110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0A0A0A"/>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Cargo</w:t>
            </w:r>
          </w:p>
        </w:tc>
        <w:tc>
          <w:tcPr>
            <w:tcW w:w="160" w:type="dxa"/>
            <w:vAlign w:val="bottom"/>
          </w:tcPr>
          <w:p>
            <w:pPr>
              <w:spacing w:after="0"/>
              <w:rPr>
                <w:sz w:val="17"/>
                <w:szCs w:val="17"/>
                <w:color w:val="auto"/>
              </w:rPr>
            </w:pPr>
          </w:p>
        </w:tc>
        <w:tc>
          <w:tcPr>
            <w:tcW w:w="120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43,684</w:t>
            </w:r>
          </w:p>
        </w:tc>
        <w:tc>
          <w:tcPr>
            <w:tcW w:w="28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3,219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160" w:type="dxa"/>
            <w:vAlign w:val="bottom"/>
            <w:tcBorders>
              <w:bottom w:val="single" w:sz="8" w:color="auto"/>
            </w:tcBorders>
            <w:shd w:val="clear" w:color="auto" w:fill="C6F4F9"/>
          </w:tcPr>
          <w:p>
            <w:pPr>
              <w:spacing w:after="0"/>
              <w:rPr>
                <w:sz w:val="18"/>
                <w:szCs w:val="18"/>
                <w:color w:val="auto"/>
              </w:rPr>
            </w:pPr>
          </w:p>
        </w:tc>
        <w:tc>
          <w:tcPr>
            <w:tcW w:w="1200" w:type="dxa"/>
            <w:vAlign w:val="bottom"/>
            <w:tcBorders>
              <w:bottom w:val="single" w:sz="8" w:color="auto"/>
            </w:tcBorders>
            <w:shd w:val="clear" w:color="auto" w:fill="C6F4F9"/>
          </w:tcPr>
          <w:p>
            <w:pPr>
              <w:jc w:val="right"/>
              <w:ind w:right="51"/>
              <w:spacing w:after="0"/>
              <w:rPr>
                <w:sz w:val="20"/>
                <w:szCs w:val="20"/>
                <w:color w:val="auto"/>
              </w:rPr>
            </w:pPr>
            <w:r>
              <w:rPr>
                <w:rFonts w:ascii="Arial" w:cs="Arial" w:eastAsia="Arial" w:hAnsi="Arial"/>
                <w:sz w:val="18"/>
                <w:szCs w:val="18"/>
                <w:color w:val="0A0A0A"/>
              </w:rPr>
              <w:t>3,793</w:t>
            </w:r>
          </w:p>
        </w:tc>
        <w:tc>
          <w:tcPr>
            <w:tcW w:w="280" w:type="dxa"/>
            <w:vAlign w:val="bottom"/>
            <w:tcBorders>
              <w:bottom w:val="single" w:sz="8" w:color="auto"/>
            </w:tcBorders>
            <w:shd w:val="clear" w:color="auto" w:fill="C6F4F9"/>
          </w:tcPr>
          <w:p>
            <w:pPr>
              <w:spacing w:after="0"/>
              <w:rPr>
                <w:sz w:val="18"/>
                <w:szCs w:val="18"/>
                <w:color w:val="auto"/>
              </w:rPr>
            </w:pPr>
          </w:p>
        </w:tc>
        <w:tc>
          <w:tcPr>
            <w:tcW w:w="1220" w:type="dxa"/>
            <w:vAlign w:val="bottom"/>
            <w:tcBorders>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0A0A0A"/>
              </w:rPr>
              <w:t>2,660</w:t>
            </w:r>
          </w:p>
        </w:tc>
        <w:tc>
          <w:tcPr>
            <w:tcW w:w="11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Total Operating Revenue</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0A0A0A"/>
              </w:rPr>
              <w:t>276,802</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0A0A0A"/>
              </w:rPr>
              <w:t>215,706</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Operating Expenses:</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spacing w:after="0"/>
              <w:rPr>
                <w:sz w:val="17"/>
                <w:szCs w:val="17"/>
                <w:color w:val="auto"/>
              </w:rPr>
            </w:pPr>
          </w:p>
        </w:tc>
        <w:tc>
          <w:tcPr>
            <w:tcW w:w="110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Aircraft Fuel</w:t>
            </w:r>
          </w:p>
        </w:tc>
        <w:tc>
          <w:tcPr>
            <w:tcW w:w="160" w:type="dxa"/>
            <w:vAlign w:val="bottom"/>
          </w:tcPr>
          <w:p>
            <w:pPr>
              <w:spacing w:after="0"/>
              <w:rPr>
                <w:sz w:val="17"/>
                <w:szCs w:val="17"/>
                <w:color w:val="auto"/>
              </w:rPr>
            </w:pPr>
          </w:p>
        </w:tc>
        <w:tc>
          <w:tcPr>
            <w:tcW w:w="120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53,984</w:t>
            </w:r>
          </w:p>
        </w:tc>
        <w:tc>
          <w:tcPr>
            <w:tcW w:w="28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56,238</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86,392</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70,575</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Aircraft Rent</w:t>
            </w:r>
          </w:p>
        </w:tc>
        <w:tc>
          <w:tcPr>
            <w:tcW w:w="160" w:type="dxa"/>
            <w:vAlign w:val="bottom"/>
          </w:tcPr>
          <w:p>
            <w:pPr>
              <w:spacing w:after="0"/>
              <w:rPr>
                <w:sz w:val="17"/>
                <w:szCs w:val="17"/>
                <w:color w:val="auto"/>
              </w:rPr>
            </w:pPr>
          </w:p>
        </w:tc>
        <w:tc>
          <w:tcPr>
            <w:tcW w:w="120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9,414</w:t>
            </w:r>
          </w:p>
        </w:tc>
        <w:tc>
          <w:tcPr>
            <w:tcW w:w="28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16,966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(44.5)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Maintenance</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20,510</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8,904</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Sales and Marketing</w:t>
            </w:r>
          </w:p>
        </w:tc>
        <w:tc>
          <w:tcPr>
            <w:tcW w:w="160" w:type="dxa"/>
            <w:vAlign w:val="bottom"/>
          </w:tcPr>
          <w:p>
            <w:pPr>
              <w:spacing w:after="0"/>
              <w:rPr>
                <w:sz w:val="17"/>
                <w:szCs w:val="17"/>
                <w:color w:val="auto"/>
              </w:rPr>
            </w:pPr>
          </w:p>
        </w:tc>
        <w:tc>
          <w:tcPr>
            <w:tcW w:w="120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10,932</w:t>
            </w:r>
          </w:p>
        </w:tc>
        <w:tc>
          <w:tcPr>
            <w:tcW w:w="28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10,202</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26,075</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22,702</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Ground Handling</w:t>
            </w:r>
          </w:p>
        </w:tc>
        <w:tc>
          <w:tcPr>
            <w:tcW w:w="160" w:type="dxa"/>
            <w:vAlign w:val="bottom"/>
          </w:tcPr>
          <w:p>
            <w:pPr>
              <w:spacing w:after="0"/>
              <w:rPr>
                <w:sz w:val="17"/>
                <w:szCs w:val="17"/>
                <w:color w:val="auto"/>
              </w:rPr>
            </w:pPr>
          </w:p>
        </w:tc>
        <w:tc>
          <w:tcPr>
            <w:tcW w:w="120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11,781</w:t>
            </w:r>
          </w:p>
        </w:tc>
        <w:tc>
          <w:tcPr>
            <w:tcW w:w="28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10,906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17,537</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13,781</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Special Items, net</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(65,392)</w:t>
            </w:r>
          </w:p>
        </w:tc>
        <w:tc>
          <w:tcPr>
            <w:tcW w:w="280" w:type="dxa"/>
            <w:vAlign w:val="bottom"/>
          </w:tcPr>
          <w:p>
            <w:pPr>
              <w:spacing w:after="0"/>
              <w:rPr>
                <w:sz w:val="17"/>
                <w:szCs w:val="17"/>
                <w:color w:val="auto"/>
              </w:rPr>
            </w:pPr>
          </w:p>
        </w:tc>
        <w:tc>
          <w:tcPr>
            <w:tcW w:w="1220" w:type="dxa"/>
            <w:vAlign w:val="bottom"/>
          </w:tcPr>
          <w:p>
            <w:pPr>
              <w:jc w:val="right"/>
              <w:ind w:right="50"/>
              <w:spacing w:after="0" w:line="202" w:lineRule="exact"/>
              <w:rPr>
                <w:sz w:val="20"/>
                <w:szCs w:val="20"/>
                <w:color w:val="auto"/>
              </w:rPr>
            </w:pPr>
            <w:r>
              <w:rPr>
                <w:rFonts w:ascii="Arial" w:cs="Arial" w:eastAsia="Arial" w:hAnsi="Arial"/>
                <w:sz w:val="18"/>
                <w:szCs w:val="18"/>
                <w:color w:val="0A0A0A"/>
              </w:rPr>
              <w:t>(31,481)</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107.7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6F4F9"/>
          </w:tcPr>
          <w:p>
            <w:pPr>
              <w:spacing w:after="0"/>
              <w:rPr>
                <w:sz w:val="20"/>
                <w:szCs w:val="20"/>
                <w:color w:val="auto"/>
              </w:rPr>
            </w:pPr>
            <w:r>
              <w:rPr>
                <w:rFonts w:ascii="Arial" w:cs="Arial" w:eastAsia="Arial" w:hAnsi="Arial"/>
                <w:sz w:val="18"/>
                <w:szCs w:val="18"/>
                <w:color w:val="0A0A0A"/>
              </w:rPr>
              <w:t>Other Operating, net</w:t>
            </w:r>
          </w:p>
        </w:tc>
        <w:tc>
          <w:tcPr>
            <w:tcW w:w="160" w:type="dxa"/>
            <w:vAlign w:val="bottom"/>
            <w:tcBorders>
              <w:bottom w:val="single" w:sz="8" w:color="auto"/>
            </w:tcBorders>
            <w:shd w:val="clear" w:color="auto" w:fill="C6F4F9"/>
          </w:tcPr>
          <w:p>
            <w:pPr>
              <w:spacing w:after="0"/>
              <w:rPr>
                <w:sz w:val="18"/>
                <w:szCs w:val="18"/>
                <w:color w:val="auto"/>
              </w:rPr>
            </w:pPr>
          </w:p>
        </w:tc>
        <w:tc>
          <w:tcPr>
            <w:tcW w:w="1200" w:type="dxa"/>
            <w:vAlign w:val="bottom"/>
            <w:tcBorders>
              <w:bottom w:val="single" w:sz="8" w:color="auto"/>
            </w:tcBorders>
            <w:shd w:val="clear" w:color="auto" w:fill="C6F4F9"/>
          </w:tcPr>
          <w:p>
            <w:pPr>
              <w:jc w:val="right"/>
              <w:ind w:right="51"/>
              <w:spacing w:after="0"/>
              <w:rPr>
                <w:sz w:val="20"/>
                <w:szCs w:val="20"/>
                <w:color w:val="auto"/>
              </w:rPr>
            </w:pPr>
            <w:r>
              <w:rPr>
                <w:rFonts w:ascii="Arial" w:cs="Arial" w:eastAsia="Arial" w:hAnsi="Arial"/>
                <w:sz w:val="18"/>
                <w:szCs w:val="18"/>
                <w:color w:val="0A0A0A"/>
              </w:rPr>
              <w:t>31,397</w:t>
            </w:r>
          </w:p>
        </w:tc>
        <w:tc>
          <w:tcPr>
            <w:tcW w:w="280" w:type="dxa"/>
            <w:vAlign w:val="bottom"/>
            <w:tcBorders>
              <w:bottom w:val="single" w:sz="8" w:color="auto"/>
            </w:tcBorders>
            <w:shd w:val="clear" w:color="auto" w:fill="C6F4F9"/>
          </w:tcPr>
          <w:p>
            <w:pPr>
              <w:spacing w:after="0"/>
              <w:rPr>
                <w:sz w:val="18"/>
                <w:szCs w:val="18"/>
                <w:color w:val="auto"/>
              </w:rPr>
            </w:pPr>
          </w:p>
        </w:tc>
        <w:tc>
          <w:tcPr>
            <w:tcW w:w="1220" w:type="dxa"/>
            <w:vAlign w:val="bottom"/>
            <w:tcBorders>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0A0A0A"/>
              </w:rPr>
              <w:t>23,917</w:t>
            </w:r>
          </w:p>
        </w:tc>
        <w:tc>
          <w:tcPr>
            <w:tcW w:w="11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Total Operating Expenses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0A0A0A"/>
              </w:rPr>
              <w:t>202,630</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0A0A0A"/>
              </w:rPr>
              <w:t>202,710</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Operating Income</w:t>
            </w:r>
          </w:p>
        </w:tc>
        <w:tc>
          <w:tcPr>
            <w:tcW w:w="160" w:type="dxa"/>
            <w:vAlign w:val="bottom"/>
            <w:tcBorders>
              <w:bottom w:val="single" w:sz="8" w:color="auto"/>
            </w:tcBorders>
            <w:shd w:val="clear" w:color="auto" w:fill="C6F4F9"/>
          </w:tcPr>
          <w:p>
            <w:pPr>
              <w:spacing w:after="0"/>
              <w:rPr>
                <w:sz w:val="17"/>
                <w:szCs w:val="17"/>
                <w:color w:val="auto"/>
              </w:rPr>
            </w:pPr>
          </w:p>
        </w:tc>
        <w:tc>
          <w:tcPr>
            <w:tcW w:w="1200" w:type="dxa"/>
            <w:vAlign w:val="bottom"/>
            <w:tcBorders>
              <w:bottom w:val="single" w:sz="8" w:color="auto"/>
            </w:tcBorders>
            <w:shd w:val="clear" w:color="auto" w:fill="C6F4F9"/>
          </w:tcPr>
          <w:p>
            <w:pPr>
              <w:jc w:val="right"/>
              <w:ind w:right="51"/>
              <w:spacing w:after="0" w:line="196" w:lineRule="exact"/>
              <w:rPr>
                <w:sz w:val="20"/>
                <w:szCs w:val="20"/>
                <w:color w:val="auto"/>
              </w:rPr>
            </w:pPr>
            <w:r>
              <w:rPr>
                <w:rFonts w:ascii="Arial" w:cs="Arial" w:eastAsia="Arial" w:hAnsi="Arial"/>
                <w:sz w:val="18"/>
                <w:szCs w:val="18"/>
                <w:color w:val="0A0A0A"/>
              </w:rPr>
              <w:t>74,172</w:t>
            </w:r>
          </w:p>
        </w:tc>
        <w:tc>
          <w:tcPr>
            <w:tcW w:w="280" w:type="dxa"/>
            <w:vAlign w:val="bottom"/>
            <w:tcBorders>
              <w:bottom w:val="single" w:sz="8" w:color="auto"/>
            </w:tcBorders>
            <w:shd w:val="clear" w:color="auto" w:fill="C6F4F9"/>
          </w:tcPr>
          <w:p>
            <w:pPr>
              <w:spacing w:after="0"/>
              <w:rPr>
                <w:sz w:val="17"/>
                <w:szCs w:val="17"/>
                <w:color w:val="auto"/>
              </w:rPr>
            </w:pPr>
          </w:p>
        </w:tc>
        <w:tc>
          <w:tcPr>
            <w:tcW w:w="1220" w:type="dxa"/>
            <w:vAlign w:val="bottom"/>
            <w:tcBorders>
              <w:bottom w:val="single" w:sz="8" w:color="auto"/>
            </w:tcBorders>
            <w:shd w:val="clear" w:color="auto" w:fill="C6F4F9"/>
          </w:tcPr>
          <w:p>
            <w:pPr>
              <w:jc w:val="right"/>
              <w:ind w:right="110"/>
              <w:spacing w:after="0" w:line="196" w:lineRule="exact"/>
              <w:rPr>
                <w:sz w:val="20"/>
                <w:szCs w:val="20"/>
                <w:color w:val="auto"/>
              </w:rPr>
            </w:pPr>
            <w:r>
              <w:rPr>
                <w:rFonts w:ascii="Arial" w:cs="Arial" w:eastAsia="Arial" w:hAnsi="Arial"/>
                <w:sz w:val="18"/>
                <w:szCs w:val="18"/>
                <w:color w:val="0A0A0A"/>
              </w:rPr>
              <w:t>12,996</w:t>
            </w:r>
          </w:p>
        </w:tc>
        <w:tc>
          <w:tcPr>
            <w:tcW w:w="110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470.7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line="196" w:lineRule="exact"/>
              <w:rPr>
                <w:sz w:val="20"/>
                <w:szCs w:val="20"/>
                <w:color w:val="auto"/>
              </w:rPr>
            </w:pPr>
            <w:r>
              <w:rPr>
                <w:rFonts w:ascii="Arial" w:cs="Arial" w:eastAsia="Arial" w:hAnsi="Arial"/>
                <w:sz w:val="18"/>
                <w:szCs w:val="18"/>
                <w:b w:val="1"/>
                <w:bCs w:val="1"/>
                <w:color w:val="0A0A0A"/>
              </w:rPr>
              <w:t>Non-operating Income/(Expense):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Interest Income</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24</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314</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(92.4)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Interest Expense</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0A0A0A"/>
              </w:rPr>
              <w:t>(13,201)</w:t>
            </w:r>
          </w:p>
        </w:tc>
        <w:tc>
          <w:tcPr>
            <w:tcW w:w="280" w:type="dxa"/>
            <w:vAlign w:val="bottom"/>
          </w:tcPr>
          <w:p>
            <w:pPr>
              <w:spacing w:after="0"/>
              <w:rPr>
                <w:sz w:val="17"/>
                <w:szCs w:val="17"/>
                <w:color w:val="auto"/>
              </w:rPr>
            </w:pPr>
          </w:p>
        </w:tc>
        <w:tc>
          <w:tcPr>
            <w:tcW w:w="1220" w:type="dxa"/>
            <w:vAlign w:val="bottom"/>
          </w:tcPr>
          <w:p>
            <w:pPr>
              <w:jc w:val="right"/>
              <w:ind w:right="50"/>
              <w:spacing w:after="0" w:line="202" w:lineRule="exact"/>
              <w:rPr>
                <w:sz w:val="20"/>
                <w:szCs w:val="20"/>
                <w:color w:val="auto"/>
              </w:rPr>
            </w:pPr>
            <w:r>
              <w:rPr>
                <w:rFonts w:ascii="Arial" w:cs="Arial" w:eastAsia="Arial" w:hAnsi="Arial"/>
                <w:sz w:val="18"/>
                <w:szCs w:val="18"/>
                <w:color w:val="0A0A0A"/>
              </w:rPr>
              <w:t>(11,058)</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19.4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6F4F9"/>
          </w:tcPr>
          <w:p>
            <w:pPr>
              <w:spacing w:after="0"/>
              <w:rPr>
                <w:sz w:val="20"/>
                <w:szCs w:val="20"/>
                <w:color w:val="auto"/>
              </w:rPr>
            </w:pPr>
            <w:r>
              <w:rPr>
                <w:rFonts w:ascii="Arial" w:cs="Arial" w:eastAsia="Arial" w:hAnsi="Arial"/>
                <w:sz w:val="18"/>
                <w:szCs w:val="18"/>
                <w:color w:val="0A0A0A"/>
              </w:rPr>
              <w:t>Other, net</w:t>
            </w:r>
          </w:p>
        </w:tc>
        <w:tc>
          <w:tcPr>
            <w:tcW w:w="160" w:type="dxa"/>
            <w:vAlign w:val="bottom"/>
            <w:tcBorders>
              <w:bottom w:val="single" w:sz="8" w:color="auto"/>
            </w:tcBorders>
            <w:shd w:val="clear" w:color="auto" w:fill="C6F4F9"/>
          </w:tcPr>
          <w:p>
            <w:pPr>
              <w:spacing w:after="0"/>
              <w:rPr>
                <w:sz w:val="18"/>
                <w:szCs w:val="18"/>
                <w:color w:val="auto"/>
              </w:rPr>
            </w:pPr>
          </w:p>
        </w:tc>
        <w:tc>
          <w:tcPr>
            <w:tcW w:w="1200" w:type="dxa"/>
            <w:vAlign w:val="bottom"/>
            <w:tcBorders>
              <w:bottom w:val="single" w:sz="8" w:color="auto"/>
            </w:tcBorders>
            <w:shd w:val="clear" w:color="auto" w:fill="C6F4F9"/>
          </w:tcPr>
          <w:p>
            <w:pPr>
              <w:jc w:val="right"/>
              <w:ind w:right="51"/>
              <w:spacing w:after="0"/>
              <w:rPr>
                <w:sz w:val="20"/>
                <w:szCs w:val="20"/>
                <w:color w:val="auto"/>
              </w:rPr>
            </w:pPr>
            <w:r>
              <w:rPr>
                <w:rFonts w:ascii="Arial" w:cs="Arial" w:eastAsia="Arial" w:hAnsi="Arial"/>
                <w:sz w:val="18"/>
                <w:szCs w:val="18"/>
                <w:color w:val="0A0A0A"/>
              </w:rPr>
              <w:t>18,049</w:t>
            </w:r>
          </w:p>
        </w:tc>
        <w:tc>
          <w:tcPr>
            <w:tcW w:w="280" w:type="dxa"/>
            <w:vAlign w:val="bottom"/>
            <w:tcBorders>
              <w:bottom w:val="single" w:sz="8" w:color="auto"/>
            </w:tcBorders>
            <w:shd w:val="clear" w:color="auto" w:fill="C6F4F9"/>
          </w:tcPr>
          <w:p>
            <w:pPr>
              <w:spacing w:after="0"/>
              <w:rPr>
                <w:sz w:val="18"/>
                <w:szCs w:val="18"/>
                <w:color w:val="auto"/>
              </w:rPr>
            </w:pPr>
          </w:p>
        </w:tc>
        <w:tc>
          <w:tcPr>
            <w:tcW w:w="122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0A0A0A"/>
              </w:rPr>
              <w:t>(494)</w:t>
            </w:r>
          </w:p>
        </w:tc>
        <w:tc>
          <w:tcPr>
            <w:tcW w:w="11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line="196" w:lineRule="exact"/>
              <w:rPr>
                <w:sz w:val="20"/>
                <w:szCs w:val="20"/>
                <w:color w:val="auto"/>
              </w:rPr>
            </w:pPr>
            <w:r>
              <w:rPr>
                <w:rFonts w:ascii="Arial" w:cs="Arial" w:eastAsia="Arial" w:hAnsi="Arial"/>
                <w:sz w:val="18"/>
                <w:szCs w:val="18"/>
                <w:color w:val="0A0A0A"/>
              </w:rPr>
              <w:t>Total Non-operating Income (Expense), net</w:t>
            </w:r>
          </w:p>
        </w:tc>
        <w:tc>
          <w:tcPr>
            <w:tcW w:w="160" w:type="dxa"/>
            <w:vAlign w:val="bottom"/>
          </w:tcPr>
          <w:p>
            <w:pPr>
              <w:spacing w:after="0"/>
              <w:rPr>
                <w:sz w:val="17"/>
                <w:szCs w:val="17"/>
                <w:color w:val="auto"/>
              </w:rPr>
            </w:pPr>
          </w:p>
        </w:tc>
        <w:tc>
          <w:tcPr>
            <w:tcW w:w="1200" w:type="dxa"/>
            <w:vAlign w:val="bottom"/>
          </w:tcPr>
          <w:p>
            <w:pPr>
              <w:jc w:val="right"/>
              <w:ind w:right="51"/>
              <w:spacing w:after="0" w:line="196" w:lineRule="exact"/>
              <w:rPr>
                <w:sz w:val="20"/>
                <w:szCs w:val="20"/>
                <w:color w:val="auto"/>
              </w:rPr>
            </w:pPr>
            <w:r>
              <w:rPr>
                <w:rFonts w:ascii="Arial" w:cs="Arial" w:eastAsia="Arial" w:hAnsi="Arial"/>
                <w:sz w:val="18"/>
                <w:szCs w:val="18"/>
                <w:color w:val="0A0A0A"/>
              </w:rPr>
              <w:t>4,872</w:t>
            </w:r>
          </w:p>
        </w:tc>
        <w:tc>
          <w:tcPr>
            <w:tcW w:w="280" w:type="dxa"/>
            <w:vAlign w:val="bottom"/>
          </w:tcPr>
          <w:p>
            <w:pPr>
              <w:spacing w:after="0"/>
              <w:rPr>
                <w:sz w:val="17"/>
                <w:szCs w:val="17"/>
                <w:color w:val="auto"/>
              </w:rPr>
            </w:pPr>
          </w:p>
        </w:tc>
        <w:tc>
          <w:tcPr>
            <w:tcW w:w="1220" w:type="dxa"/>
            <w:vAlign w:val="bottom"/>
          </w:tcPr>
          <w:p>
            <w:pPr>
              <w:jc w:val="right"/>
              <w:ind w:right="50"/>
              <w:spacing w:after="0" w:line="196" w:lineRule="exact"/>
              <w:rPr>
                <w:sz w:val="20"/>
                <w:szCs w:val="20"/>
                <w:color w:val="auto"/>
              </w:rPr>
            </w:pPr>
            <w:r>
              <w:rPr>
                <w:rFonts w:ascii="Arial" w:cs="Arial" w:eastAsia="Arial" w:hAnsi="Arial"/>
                <w:sz w:val="18"/>
                <w:szCs w:val="18"/>
                <w:color w:val="0A0A0A"/>
              </w:rPr>
              <w:t>(11,238)</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0A0A0A"/>
              </w:rPr>
              <w:t>(143.4)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6F4F9"/>
          </w:tcPr>
          <w:p>
            <w:pPr>
              <w:spacing w:after="0"/>
              <w:rPr>
                <w:sz w:val="20"/>
                <w:szCs w:val="20"/>
                <w:color w:val="auto"/>
              </w:rPr>
            </w:pPr>
            <w:r>
              <w:rPr>
                <w:rFonts w:ascii="Arial" w:cs="Arial" w:eastAsia="Arial" w:hAnsi="Arial"/>
                <w:sz w:val="18"/>
                <w:szCs w:val="18"/>
                <w:color w:val="0A0A0A"/>
              </w:rPr>
              <w:t>Income before Income Tax</w:t>
            </w:r>
          </w:p>
        </w:tc>
        <w:tc>
          <w:tcPr>
            <w:tcW w:w="160" w:type="dxa"/>
            <w:vAlign w:val="bottom"/>
            <w:tcBorders>
              <w:bottom w:val="single" w:sz="8" w:color="auto"/>
            </w:tcBorders>
            <w:shd w:val="clear" w:color="auto" w:fill="C6F4F9"/>
          </w:tcPr>
          <w:p>
            <w:pPr>
              <w:spacing w:after="0"/>
              <w:rPr>
                <w:sz w:val="18"/>
                <w:szCs w:val="18"/>
                <w:color w:val="auto"/>
              </w:rPr>
            </w:pPr>
          </w:p>
        </w:tc>
        <w:tc>
          <w:tcPr>
            <w:tcW w:w="1200" w:type="dxa"/>
            <w:vAlign w:val="bottom"/>
            <w:tcBorders>
              <w:bottom w:val="single" w:sz="8" w:color="auto"/>
            </w:tcBorders>
            <w:shd w:val="clear" w:color="auto" w:fill="C6F4F9"/>
          </w:tcPr>
          <w:p>
            <w:pPr>
              <w:jc w:val="right"/>
              <w:ind w:right="51"/>
              <w:spacing w:after="0"/>
              <w:rPr>
                <w:sz w:val="20"/>
                <w:szCs w:val="20"/>
                <w:color w:val="auto"/>
              </w:rPr>
            </w:pPr>
            <w:r>
              <w:rPr>
                <w:rFonts w:ascii="Arial" w:cs="Arial" w:eastAsia="Arial" w:hAnsi="Arial"/>
                <w:sz w:val="18"/>
                <w:szCs w:val="18"/>
                <w:color w:val="0A0A0A"/>
              </w:rPr>
              <w:t>79,044</w:t>
            </w:r>
          </w:p>
        </w:tc>
        <w:tc>
          <w:tcPr>
            <w:tcW w:w="280" w:type="dxa"/>
            <w:vAlign w:val="bottom"/>
            <w:tcBorders>
              <w:bottom w:val="single" w:sz="8" w:color="auto"/>
            </w:tcBorders>
            <w:shd w:val="clear" w:color="auto" w:fill="C6F4F9"/>
          </w:tcPr>
          <w:p>
            <w:pPr>
              <w:spacing w:after="0"/>
              <w:rPr>
                <w:sz w:val="18"/>
                <w:szCs w:val="18"/>
                <w:color w:val="auto"/>
              </w:rPr>
            </w:pPr>
          </w:p>
        </w:tc>
        <w:tc>
          <w:tcPr>
            <w:tcW w:w="1220" w:type="dxa"/>
            <w:vAlign w:val="bottom"/>
            <w:tcBorders>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0A0A0A"/>
              </w:rPr>
              <w:t>1,758</w:t>
            </w:r>
          </w:p>
        </w:tc>
        <w:tc>
          <w:tcPr>
            <w:tcW w:w="11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Income Tax Expense</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0A0A0A"/>
              </w:rPr>
              <w:t>14,875</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0A0A0A"/>
              </w:rPr>
              <w:t>547</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80" w:type="dxa"/>
            <w:vAlign w:val="bottom"/>
            <w:tcBorders>
              <w:bottom w:val="single" w:sz="8" w:color="C6F4F9"/>
            </w:tcBorders>
            <w:shd w:val="clear" w:color="auto" w:fill="C6F4F9"/>
          </w:tcPr>
          <w:p>
            <w:pPr>
              <w:spacing w:after="0" w:line="197" w:lineRule="exact"/>
              <w:rPr>
                <w:sz w:val="20"/>
                <w:szCs w:val="20"/>
                <w:color w:val="auto"/>
              </w:rPr>
            </w:pPr>
            <w:r>
              <w:rPr>
                <w:rFonts w:ascii="Arial" w:cs="Arial" w:eastAsia="Arial" w:hAnsi="Arial"/>
                <w:sz w:val="18"/>
                <w:szCs w:val="18"/>
                <w:color w:val="0A0A0A"/>
              </w:rPr>
              <w:t>Net Income</w:t>
            </w:r>
          </w:p>
        </w:tc>
        <w:tc>
          <w:tcPr>
            <w:tcW w:w="16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w w:val="79"/>
              </w:rPr>
              <w:t>$</w:t>
            </w:r>
          </w:p>
        </w:tc>
        <w:tc>
          <w:tcPr>
            <w:tcW w:w="1200" w:type="dxa"/>
            <w:vAlign w:val="bottom"/>
            <w:tcBorders>
              <w:bottom w:val="single" w:sz="8" w:color="auto"/>
            </w:tcBorders>
            <w:shd w:val="clear" w:color="auto" w:fill="C6F4F9"/>
          </w:tcPr>
          <w:p>
            <w:pPr>
              <w:jc w:val="right"/>
              <w:ind w:right="51"/>
              <w:spacing w:after="0"/>
              <w:rPr>
                <w:sz w:val="20"/>
                <w:szCs w:val="20"/>
                <w:color w:val="auto"/>
              </w:rPr>
            </w:pPr>
            <w:r>
              <w:rPr>
                <w:rFonts w:ascii="Arial" w:cs="Arial" w:eastAsia="Arial" w:hAnsi="Arial"/>
                <w:sz w:val="18"/>
                <w:szCs w:val="18"/>
                <w:color w:val="0A0A0A"/>
              </w:rPr>
              <w:t>64,169</w:t>
            </w:r>
          </w:p>
        </w:tc>
        <w:tc>
          <w:tcPr>
            <w:tcW w:w="28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0A0A0A"/>
              </w:rPr>
              <w:t>$</w:t>
            </w:r>
          </w:p>
        </w:tc>
        <w:tc>
          <w:tcPr>
            <w:tcW w:w="1220" w:type="dxa"/>
            <w:vAlign w:val="bottom"/>
            <w:tcBorders>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0A0A0A"/>
              </w:rPr>
              <w:t>1,211</w:t>
            </w:r>
          </w:p>
        </w:tc>
        <w:tc>
          <w:tcPr>
            <w:tcW w:w="110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0A0A0A"/>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0A0A0A"/>
              </w:rPr>
              <w:t>Net Income per share to common stockholders: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Basic</w:t>
            </w:r>
          </w:p>
        </w:tc>
        <w:tc>
          <w:tcPr>
            <w:tcW w:w="1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w w:val="79"/>
              </w:rPr>
              <w:t>$</w:t>
            </w:r>
          </w:p>
        </w:tc>
        <w:tc>
          <w:tcPr>
            <w:tcW w:w="120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1.21</w:t>
            </w:r>
          </w:p>
        </w:tc>
        <w:tc>
          <w:tcPr>
            <w:tcW w:w="28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0A0A0A"/>
              </w:rPr>
              <w:t>$</w:t>
            </w: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0.03</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Diluted</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0A0A0A"/>
                <w:w w:val="79"/>
              </w:rPr>
              <w:t>$</w:t>
            </w:r>
          </w:p>
        </w:tc>
        <w:tc>
          <w:tcPr>
            <w:tcW w:w="120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1.12</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0A0A0A"/>
              </w:rPr>
              <w:t>$</w:t>
            </w: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0.02</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Shares used for computation:</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spacing w:after="0"/>
              <w:rPr>
                <w:sz w:val="17"/>
                <w:szCs w:val="17"/>
                <w:color w:val="auto"/>
              </w:rPr>
            </w:pPr>
          </w:p>
        </w:tc>
        <w:tc>
          <w:tcPr>
            <w:tcW w:w="1100" w:type="dxa"/>
            <w:vAlign w:val="bottom"/>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0A0A0A"/>
              </w:rPr>
              <w:t>Basic</w:t>
            </w:r>
          </w:p>
        </w:tc>
        <w:tc>
          <w:tcPr>
            <w:tcW w:w="160" w:type="dxa"/>
            <w:vAlign w:val="bottom"/>
          </w:tcPr>
          <w:p>
            <w:pPr>
              <w:spacing w:after="0"/>
              <w:rPr>
                <w:sz w:val="17"/>
                <w:szCs w:val="17"/>
                <w:color w:val="auto"/>
              </w:rPr>
            </w:pPr>
          </w:p>
        </w:tc>
        <w:tc>
          <w:tcPr>
            <w:tcW w:w="1200" w:type="dxa"/>
            <w:vAlign w:val="bottom"/>
          </w:tcPr>
          <w:p>
            <w:pPr>
              <w:jc w:val="right"/>
              <w:ind w:right="51"/>
              <w:spacing w:after="0" w:line="202" w:lineRule="exact"/>
              <w:rPr>
                <w:sz w:val="20"/>
                <w:szCs w:val="20"/>
                <w:color w:val="auto"/>
              </w:rPr>
            </w:pPr>
            <w:r>
              <w:rPr>
                <w:rFonts w:ascii="Arial" w:cs="Arial" w:eastAsia="Arial" w:hAnsi="Arial"/>
                <w:sz w:val="18"/>
                <w:szCs w:val="18"/>
                <w:color w:val="0A0A0A"/>
              </w:rPr>
              <w:t>52,850,041</w:t>
            </w:r>
          </w:p>
        </w:tc>
        <w:tc>
          <w:tcPr>
            <w:tcW w:w="280" w:type="dxa"/>
            <w:vAlign w:val="bottom"/>
          </w:tcPr>
          <w:p>
            <w:pPr>
              <w:spacing w:after="0"/>
              <w:rPr>
                <w:sz w:val="17"/>
                <w:szCs w:val="17"/>
                <w:color w:val="auto"/>
              </w:rPr>
            </w:pPr>
          </w:p>
        </w:tc>
        <w:tc>
          <w:tcPr>
            <w:tcW w:w="1220" w:type="dxa"/>
            <w:vAlign w:val="bottom"/>
          </w:tcPr>
          <w:p>
            <w:pPr>
              <w:jc w:val="right"/>
              <w:ind w:right="110"/>
              <w:spacing w:after="0" w:line="202" w:lineRule="exact"/>
              <w:rPr>
                <w:sz w:val="20"/>
                <w:szCs w:val="20"/>
                <w:color w:val="auto"/>
              </w:rPr>
            </w:pPr>
            <w:r>
              <w:rPr>
                <w:rFonts w:ascii="Arial" w:cs="Arial" w:eastAsia="Arial" w:hAnsi="Arial"/>
                <w:sz w:val="18"/>
                <w:szCs w:val="18"/>
                <w:color w:val="0A0A0A"/>
              </w:rPr>
              <w:t>46,805,950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0A0A0A"/>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w:t>
            </w:r>
          </w:p>
        </w:tc>
        <w:tc>
          <w:tcPr>
            <w:tcW w:w="160" w:type="dxa"/>
            <w:vAlign w:val="bottom"/>
            <w:shd w:val="clear" w:color="auto" w:fill="C6F4F9"/>
          </w:tcPr>
          <w:p>
            <w:pPr>
              <w:spacing w:after="0"/>
              <w:rPr>
                <w:sz w:val="17"/>
                <w:szCs w:val="17"/>
                <w:color w:val="auto"/>
              </w:rPr>
            </w:pPr>
          </w:p>
        </w:tc>
        <w:tc>
          <w:tcPr>
            <w:tcW w:w="120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0A0A0A"/>
              </w:rPr>
              <w:t>57,403,593</w:t>
            </w:r>
          </w:p>
        </w:tc>
        <w:tc>
          <w:tcPr>
            <w:tcW w:w="28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0A0A0A"/>
              </w:rPr>
              <w:t>48,243,146</w:t>
            </w: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7280" w:type="dxa"/>
            <w:vAlign w:val="bottom"/>
            <w:tcBorders>
              <w:bottom w:val="single" w:sz="8" w:color="auto"/>
            </w:tcBorders>
          </w:tcPr>
          <w:p>
            <w:pPr>
              <w:ind w:left="5340"/>
              <w:spacing w:after="0"/>
              <w:rPr>
                <w:sz w:val="20"/>
                <w:szCs w:val="20"/>
                <w:color w:val="auto"/>
              </w:rPr>
            </w:pPr>
            <w:r>
              <w:rPr>
                <w:rFonts w:ascii="Arial" w:cs="Arial" w:eastAsia="Arial" w:hAnsi="Arial"/>
                <w:sz w:val="18"/>
                <w:szCs w:val="18"/>
                <w:color w:val="auto"/>
              </w:rPr>
              <w:t>Page 7</w:t>
            </w: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b w:val="1"/>
                <w:bCs w:val="1"/>
                <w:color w:val="auto"/>
              </w:rPr>
              <w:t>Key Operating Statistics</w:t>
            </w:r>
          </w:p>
        </w:tc>
        <w:tc>
          <w:tcPr>
            <w:tcW w:w="2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05"/>
        </w:trPr>
        <w:tc>
          <w:tcPr>
            <w:tcW w:w="9880" w:type="dxa"/>
            <w:vAlign w:val="bottom"/>
            <w:gridSpan w:val="5"/>
          </w:tcPr>
          <w:p>
            <w:pPr>
              <w:spacing w:after="0"/>
              <w:rPr>
                <w:sz w:val="20"/>
                <w:szCs w:val="20"/>
                <w:color w:val="auto"/>
              </w:rPr>
            </w:pPr>
            <w:r>
              <w:rPr>
                <w:rFonts w:ascii="Arial" w:cs="Arial" w:eastAsia="Arial" w:hAnsi="Arial"/>
                <w:sz w:val="18"/>
                <w:szCs w:val="18"/>
                <w:color w:val="auto"/>
              </w:rPr>
              <w:t>The following table presents key operating statistics and metrics for the three months ended June 30, 2021.</w:t>
            </w:r>
          </w:p>
        </w:tc>
        <w:tc>
          <w:tcPr>
            <w:tcW w:w="1360" w:type="dxa"/>
            <w:vAlign w:val="bottom"/>
          </w:tcPr>
          <w:p>
            <w:pPr>
              <w:spacing w:after="0"/>
              <w:rPr>
                <w:sz w:val="24"/>
                <w:szCs w:val="24"/>
                <w:color w:val="auto"/>
              </w:rPr>
            </w:pPr>
          </w:p>
        </w:tc>
      </w:tr>
      <w:tr>
        <w:trPr>
          <w:trHeight w:val="369"/>
        </w:trPr>
        <w:tc>
          <w:tcPr>
            <w:tcW w:w="4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100" w:type="dxa"/>
            <w:vAlign w:val="bottom"/>
            <w:gridSpan w:val="3"/>
          </w:tcPr>
          <w:p>
            <w:pPr>
              <w:jc w:val="right"/>
              <w:ind w:right="391"/>
              <w:spacing w:after="0"/>
              <w:rPr>
                <w:sz w:val="20"/>
                <w:szCs w:val="20"/>
                <w:color w:val="auto"/>
              </w:rPr>
            </w:pPr>
            <w:r>
              <w:rPr>
                <w:rFonts w:ascii="Arial" w:cs="Arial" w:eastAsia="Arial" w:hAnsi="Arial"/>
                <w:sz w:val="18"/>
                <w:szCs w:val="18"/>
                <w:b w:val="1"/>
                <w:bCs w:val="1"/>
                <w:color w:val="auto"/>
              </w:rPr>
              <w:t>Three Months Ended June 30,</w:t>
            </w:r>
          </w:p>
        </w:tc>
        <w:tc>
          <w:tcPr>
            <w:tcW w:w="1360" w:type="dxa"/>
            <w:vAlign w:val="bottom"/>
          </w:tcPr>
          <w:p>
            <w:pPr>
              <w:spacing w:after="0"/>
              <w:rPr>
                <w:sz w:val="24"/>
                <w:szCs w:val="24"/>
                <w:color w:val="auto"/>
              </w:rPr>
            </w:pPr>
          </w:p>
        </w:tc>
      </w:tr>
      <w:tr>
        <w:trPr>
          <w:trHeight w:val="225"/>
        </w:trPr>
        <w:tc>
          <w:tcPr>
            <w:tcW w:w="45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auto"/>
              </w:rPr>
              <w:t>Scheduled service statistics: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Revenue passenger miles (RPMs) – thousands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919,034</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153,098</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500.3</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1,198,768</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318,049</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276.9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Load factor</w:t>
            </w:r>
          </w:p>
        </w:tc>
        <w:tc>
          <w:tcPr>
            <w:tcW w:w="2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c>
          <w:tcPr>
            <w:tcW w:w="180" w:type="dxa"/>
            <w:vAlign w:val="bottom"/>
          </w:tcPr>
          <w:p>
            <w:pPr>
              <w:spacing w:after="0"/>
              <w:rPr>
                <w:sz w:val="17"/>
                <w:szCs w:val="17"/>
                <w:color w:val="auto"/>
              </w:rPr>
            </w:pPr>
          </w:p>
        </w:tc>
        <w:tc>
          <w:tcPr>
            <w:tcW w:w="15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48.1%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28.6 pts</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Revenue passengers carried</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700,019</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121,922</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474.2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4,921</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1,376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257.6</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15,900</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4,177</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280.7</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Passenger revenue per ASM (PRASM) - cents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5.60</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5.62</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22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95.81</w:t>
            </w:r>
          </w:p>
        </w:tc>
        <w:tc>
          <w:tcPr>
            <w:tcW w:w="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146.66</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(34.7)</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Ancillary revenue per passenger</w:t>
            </w:r>
          </w:p>
        </w:tc>
        <w:tc>
          <w:tcPr>
            <w:tcW w:w="2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41.66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40.74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12,267</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3,028</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305.1</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b w:val="1"/>
                <w:bCs w:val="1"/>
                <w:color w:val="auto"/>
              </w:rPr>
              <w:t>Charter statistics:</w:t>
            </w:r>
          </w:p>
        </w:tc>
        <w:tc>
          <w:tcPr>
            <w:tcW w:w="2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Departures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1,727</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520</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232.1</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Block hours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3,656</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1,321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176.8</w:t>
            </w:r>
          </w:p>
        </w:tc>
      </w:tr>
      <w:tr>
        <w:trPr>
          <w:trHeight w:val="202"/>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seats miles (ASMs) - thousands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237,723</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97,827</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143.0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Fuel gallons - thousands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2,622</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946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177.2</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Cargo statistics: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2,752</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413</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566.3</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8,198</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1,076</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661.9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b w:val="1"/>
                <w:bCs w:val="1"/>
                <w:color w:val="auto"/>
              </w:rPr>
              <w:t>Total system statistics:</w:t>
            </w:r>
          </w:p>
        </w:tc>
        <w:tc>
          <w:tcPr>
            <w:tcW w:w="2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passenger aircraft</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31</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31</w:t>
            </w:r>
          </w:p>
        </w:tc>
        <w:tc>
          <w:tcPr>
            <w:tcW w:w="13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Passenger aircraft – end of period</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Cargo aircraft – end of period</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7</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71.4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1,442,744</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417,538</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245.5</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Departures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9,445</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2,324</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306.4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Block hours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27,874</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6,604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322.1</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Daily utilization – hours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7.0</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2.0</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Average stage length – miles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1,179</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1,180</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Total revenue per ASM (TRASM) - cents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8.81</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7.70</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14.4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Cost per ASM (CASM) - cents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6.93</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9.01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2"/>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CASM - cents</w:t>
            </w:r>
          </w:p>
        </w:tc>
        <w:tc>
          <w:tcPr>
            <w:tcW w:w="222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6.35</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14.57</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(56.4)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Fuel gallons - thousands</w:t>
            </w:r>
          </w:p>
        </w:tc>
        <w:tc>
          <w:tcPr>
            <w:tcW w:w="222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14,955</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3,991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274.7</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cost per gallon, excluding derivatives</w:t>
            </w:r>
          </w:p>
        </w:tc>
        <w:tc>
          <w:tcPr>
            <w:tcW w:w="22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2.07</w:t>
            </w:r>
          </w:p>
        </w:tc>
        <w:tc>
          <w:tcPr>
            <w:tcW w:w="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1.17</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76.9</w:t>
            </w: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Employees at end of period</w:t>
            </w:r>
          </w:p>
        </w:tc>
        <w:tc>
          <w:tcPr>
            <w:tcW w:w="222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1,815</w:t>
            </w:r>
          </w:p>
        </w:tc>
        <w:tc>
          <w:tcPr>
            <w:tcW w:w="180" w:type="dxa"/>
            <w:vAlign w:val="bottom"/>
          </w:tcPr>
          <w:p>
            <w:pPr>
              <w:spacing w:after="0"/>
              <w:rPr>
                <w:sz w:val="18"/>
                <w:szCs w:val="18"/>
                <w:color w:val="auto"/>
              </w:rPr>
            </w:pPr>
          </w:p>
        </w:tc>
        <w:tc>
          <w:tcPr>
            <w:tcW w:w="1560" w:type="dxa"/>
            <w:vAlign w:val="bottom"/>
          </w:tcPr>
          <w:p>
            <w:pPr>
              <w:jc w:val="right"/>
              <w:ind w:right="271"/>
              <w:spacing w:after="0"/>
              <w:rPr>
                <w:sz w:val="20"/>
                <w:szCs w:val="20"/>
                <w:color w:val="auto"/>
              </w:rPr>
            </w:pPr>
            <w:r>
              <w:rPr>
                <w:rFonts w:ascii="Arial" w:cs="Arial" w:eastAsia="Arial" w:hAnsi="Arial"/>
                <w:sz w:val="18"/>
                <w:szCs w:val="18"/>
                <w:color w:val="auto"/>
              </w:rPr>
              <w:t>1,660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722"/>
        </w:trPr>
        <w:tc>
          <w:tcPr>
            <w:tcW w:w="4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Page 8</w:t>
            </w: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key operating statistics and metrics for the six months ended June 30,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060" w:type="dxa"/>
            <w:vAlign w:val="bottom"/>
            <w:gridSpan w:val="3"/>
          </w:tcPr>
          <w:p>
            <w:pPr>
              <w:jc w:val="right"/>
              <w:ind w:right="491"/>
              <w:spacing w:after="0"/>
              <w:rPr>
                <w:sz w:val="20"/>
                <w:szCs w:val="20"/>
                <w:color w:val="auto"/>
              </w:rPr>
            </w:pPr>
            <w:r>
              <w:rPr>
                <w:rFonts w:ascii="Arial" w:cs="Arial" w:eastAsia="Arial" w:hAnsi="Arial"/>
                <w:sz w:val="18"/>
                <w:szCs w:val="18"/>
                <w:b w:val="1"/>
                <w:bCs w:val="1"/>
                <w:color w:val="auto"/>
              </w:rPr>
              <w:t>Six Months Ended June 30,</w:t>
            </w:r>
          </w:p>
        </w:tc>
        <w:tc>
          <w:tcPr>
            <w:tcW w:w="1360" w:type="dxa"/>
            <w:vAlign w:val="bottom"/>
          </w:tcPr>
          <w:p>
            <w:pPr>
              <w:spacing w:after="0"/>
              <w:rPr>
                <w:sz w:val="17"/>
                <w:szCs w:val="17"/>
                <w:color w:val="auto"/>
              </w:rPr>
            </w:pPr>
          </w:p>
        </w:tc>
      </w:tr>
      <w:tr>
        <w:trPr>
          <w:trHeight w:val="225"/>
        </w:trPr>
        <w:tc>
          <w:tcPr>
            <w:tcW w:w="4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auto"/>
              </w:rPr>
              <w:t>Scheduled service statistics: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Revenue passenger miles (RPMs) – thousands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1,694,033</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1,303,004</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30.0</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2,356,780</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1,826,245</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29.1</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Load factor</w:t>
            </w:r>
          </w:p>
        </w:tc>
        <w:tc>
          <w:tcPr>
            <w:tcW w:w="22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71.9%</w:t>
            </w:r>
          </w:p>
        </w:tc>
        <w:tc>
          <w:tcPr>
            <w:tcW w:w="180" w:type="dxa"/>
            <w:vAlign w:val="bottom"/>
          </w:tcPr>
          <w:p>
            <w:pPr>
              <w:spacing w:after="0"/>
              <w:rPr>
                <w:sz w:val="17"/>
                <w:szCs w:val="17"/>
                <w:color w:val="auto"/>
              </w:rPr>
            </w:pPr>
          </w:p>
        </w:tc>
        <w:tc>
          <w:tcPr>
            <w:tcW w:w="15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71.3%</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 pts</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Revenue passengers carried</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1,253,051</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935,860</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33.9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9,244</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7,182</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28.7</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31,107</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24,419</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27.4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Passenger revenue per ASM (PRASM) - cents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5.16</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7.23</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22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97.12</w:t>
            </w:r>
          </w:p>
        </w:tc>
        <w:tc>
          <w:tcPr>
            <w:tcW w:w="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141.16</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(31.2)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Ancillary revenue per passenger</w:t>
            </w:r>
          </w:p>
        </w:tc>
        <w:tc>
          <w:tcPr>
            <w:tcW w:w="22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42.24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42.74</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23,824</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18,779</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26.9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b w:val="1"/>
                <w:bCs w:val="1"/>
                <w:color w:val="auto"/>
              </w:rPr>
              <w:t>Charter statistics:</w:t>
            </w:r>
          </w:p>
        </w:tc>
        <w:tc>
          <w:tcPr>
            <w:tcW w:w="2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Departures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3,238</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2,156</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50.2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Block hours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6,987</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4,933</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41.6</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seats miles (ASMs) - thousands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449,444</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334,690</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34.3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Fuel gallons - thousands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4,979</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3,646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36.6</w:t>
            </w:r>
          </w:p>
        </w:tc>
      </w:tr>
      <w:tr>
        <w:trPr>
          <w:trHeight w:val="202"/>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Cargo statistics: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spacing w:after="0"/>
              <w:rPr>
                <w:sz w:val="17"/>
                <w:szCs w:val="17"/>
                <w:color w:val="auto"/>
              </w:rPr>
            </w:pPr>
          </w:p>
        </w:tc>
        <w:tc>
          <w:tcPr>
            <w:tcW w:w="1360" w:type="dxa"/>
            <w:vAlign w:val="bottom"/>
            <w:shd w:val="clear" w:color="auto" w:fill="C6F4F9"/>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5,317</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413</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16,440</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1,076</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b w:val="1"/>
                <w:bCs w:val="1"/>
                <w:color w:val="auto"/>
              </w:rPr>
              <w:t>Total system statistics:</w:t>
            </w:r>
          </w:p>
        </w:tc>
        <w:tc>
          <w:tcPr>
            <w:tcW w:w="2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passenger aircraft</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31.0</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31.5</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Passenger aircraft – end of period</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Cargo aircraft – end of period</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7</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71.4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2,819,540</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2,174,605</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29.7</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Departures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17,897</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9,847</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81.8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Block hours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54,806</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30,691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78.6</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Daily utilization – hours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6.8</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5.2</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30.8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Average stage length – miles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1,225</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1,254</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Total revenue per ASM (TRASM) - cents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8.27</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9.77</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(15.4)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Cost per ASM (CASM) - cents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7.19</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9.32</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CASM - cents</w:t>
            </w:r>
          </w:p>
        </w:tc>
        <w:tc>
          <w:tcPr>
            <w:tcW w:w="226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6.25</w:t>
            </w:r>
          </w:p>
        </w:tc>
        <w:tc>
          <w:tcPr>
            <w:tcW w:w="180" w:type="dxa"/>
            <w:vAlign w:val="bottom"/>
            <w:shd w:val="clear" w:color="auto" w:fill="C6F4F9"/>
          </w:tcPr>
          <w:p>
            <w:pPr>
              <w:spacing w:after="0"/>
              <w:rPr>
                <w:sz w:val="17"/>
                <w:szCs w:val="17"/>
                <w:color w:val="auto"/>
              </w:rPr>
            </w:pP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7.81</w:t>
            </w:r>
          </w:p>
        </w:tc>
        <w:tc>
          <w:tcPr>
            <w:tcW w:w="13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Fuel gallons - thousands</w:t>
            </w:r>
          </w:p>
        </w:tc>
        <w:tc>
          <w:tcPr>
            <w:tcW w:w="22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28,948</w:t>
            </w:r>
          </w:p>
        </w:tc>
        <w:tc>
          <w:tcPr>
            <w:tcW w:w="180" w:type="dxa"/>
            <w:vAlign w:val="bottom"/>
          </w:tcPr>
          <w:p>
            <w:pPr>
              <w:spacing w:after="0"/>
              <w:rPr>
                <w:sz w:val="17"/>
                <w:szCs w:val="17"/>
                <w:color w:val="auto"/>
              </w:rPr>
            </w:pPr>
          </w:p>
        </w:tc>
        <w:tc>
          <w:tcPr>
            <w:tcW w:w="1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22,562</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28.3</w:t>
            </w: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cost per gallon, excluding derivatives</w:t>
            </w:r>
          </w:p>
        </w:tc>
        <w:tc>
          <w:tcPr>
            <w:tcW w:w="22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1.99</w:t>
            </w:r>
          </w:p>
        </w:tc>
        <w:tc>
          <w:tcPr>
            <w:tcW w:w="1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6F4F9"/>
          </w:tcPr>
          <w:p>
            <w:pPr>
              <w:jc w:val="right"/>
              <w:ind w:right="271"/>
              <w:spacing w:after="0" w:line="202" w:lineRule="exact"/>
              <w:rPr>
                <w:sz w:val="20"/>
                <w:szCs w:val="20"/>
                <w:color w:val="auto"/>
              </w:rPr>
            </w:pPr>
            <w:r>
              <w:rPr>
                <w:rFonts w:ascii="Arial" w:cs="Arial" w:eastAsia="Arial" w:hAnsi="Arial"/>
                <w:sz w:val="18"/>
                <w:szCs w:val="18"/>
                <w:color w:val="auto"/>
              </w:rPr>
              <w:t>1.71</w:t>
            </w: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16.4</w:t>
            </w: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Employees at end of period</w:t>
            </w:r>
          </w:p>
        </w:tc>
        <w:tc>
          <w:tcPr>
            <w:tcW w:w="22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1,815</w:t>
            </w:r>
          </w:p>
        </w:tc>
        <w:tc>
          <w:tcPr>
            <w:tcW w:w="180" w:type="dxa"/>
            <w:vAlign w:val="bottom"/>
          </w:tcPr>
          <w:p>
            <w:pPr>
              <w:spacing w:after="0"/>
              <w:rPr>
                <w:sz w:val="18"/>
                <w:szCs w:val="18"/>
                <w:color w:val="auto"/>
              </w:rPr>
            </w:pPr>
          </w:p>
        </w:tc>
        <w:tc>
          <w:tcPr>
            <w:tcW w:w="1560" w:type="dxa"/>
            <w:vAlign w:val="bottom"/>
          </w:tcPr>
          <w:p>
            <w:pPr>
              <w:jc w:val="right"/>
              <w:ind w:right="271"/>
              <w:spacing w:after="0"/>
              <w:rPr>
                <w:sz w:val="20"/>
                <w:szCs w:val="20"/>
                <w:color w:val="auto"/>
              </w:rPr>
            </w:pPr>
            <w:r>
              <w:rPr>
                <w:rFonts w:ascii="Arial" w:cs="Arial" w:eastAsia="Arial" w:hAnsi="Arial"/>
                <w:sz w:val="18"/>
                <w:szCs w:val="18"/>
                <w:color w:val="auto"/>
              </w:rPr>
              <w:t>1,660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722"/>
        </w:trPr>
        <w:tc>
          <w:tcPr>
            <w:tcW w:w="4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Page 9</w:t>
            </w: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BALANCE SHEET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jc w:val="both"/>
        <w:ind w:left="7000"/>
        <w:spacing w:after="0"/>
        <w:tabs>
          <w:tab w:leader="none" w:pos="8500" w:val="left"/>
          <w:tab w:leader="none" w:pos="10060" w:val="left"/>
        </w:tabs>
        <w:rPr>
          <w:sz w:val="20"/>
          <w:szCs w:val="20"/>
          <w:color w:val="auto"/>
        </w:rPr>
      </w:pPr>
      <w:r>
        <w:rPr>
          <w:rFonts w:ascii="Arial" w:cs="Arial" w:eastAsia="Arial" w:hAnsi="Arial"/>
          <w:sz w:val="18"/>
          <w:szCs w:val="18"/>
          <w:b w:val="1"/>
          <w:bCs w:val="1"/>
          <w:color w:val="auto"/>
        </w:rPr>
        <w:t>6/30/2021</w:t>
      </w:r>
      <w:r>
        <w:rPr>
          <w:sz w:val="20"/>
          <w:szCs w:val="20"/>
          <w:color w:val="auto"/>
        </w:rPr>
        <w:tab/>
      </w:r>
      <w:r>
        <w:rPr>
          <w:rFonts w:ascii="Arial" w:cs="Arial" w:eastAsia="Arial" w:hAnsi="Arial"/>
          <w:sz w:val="18"/>
          <w:szCs w:val="18"/>
          <w:b w:val="1"/>
          <w:bCs w:val="1"/>
          <w:color w:val="auto"/>
        </w:rPr>
        <w:t>12/31/2020</w:t>
      </w:r>
      <w:r>
        <w:rPr>
          <w:sz w:val="20"/>
          <w:szCs w:val="20"/>
          <w:color w:val="auto"/>
        </w:rPr>
        <w:tab/>
      </w:r>
      <w:r>
        <w:rPr>
          <w:rFonts w:ascii="Arial" w:cs="Arial" w:eastAsia="Arial" w:hAnsi="Arial"/>
          <w:sz w:val="18"/>
          <w:szCs w:val="18"/>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A0A0A"/>
        </w:rPr>
        <w:t>Cash and cash equivalents</w:t>
      </w:r>
    </w:p>
    <w:p>
      <w:pPr>
        <w:spacing w:after="0"/>
        <w:rPr>
          <w:sz w:val="20"/>
          <w:szCs w:val="20"/>
          <w:color w:val="auto"/>
        </w:rPr>
      </w:pPr>
      <w:r>
        <w:rPr>
          <w:rFonts w:ascii="Arial" w:cs="Arial" w:eastAsia="Arial" w:hAnsi="Arial"/>
          <w:sz w:val="18"/>
          <w:szCs w:val="18"/>
          <w:color w:val="0A0A0A"/>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0A0A0A"/>
        </w:rPr>
        <w:t>Total current assets</w:t>
      </w:r>
    </w:p>
    <w:p>
      <w:pPr>
        <w:spacing w:after="0" w:line="234" w:lineRule="auto"/>
        <w:rPr>
          <w:sz w:val="20"/>
          <w:szCs w:val="20"/>
          <w:color w:val="auto"/>
        </w:rPr>
      </w:pPr>
      <w:r>
        <w:rPr>
          <w:rFonts w:ascii="Arial" w:cs="Arial" w:eastAsia="Arial" w:hAnsi="Arial"/>
          <w:sz w:val="18"/>
          <w:szCs w:val="18"/>
          <w:color w:val="0A0A0A"/>
        </w:rPr>
        <w:t>Total property &amp;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A0A0A"/>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A0A0A"/>
        </w:rPr>
        <w:t>Total assets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0A0A0A"/>
        </w:rPr>
        <w:t>Air traffic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0A0A0A"/>
        </w:rPr>
        <w:t>Current finance lease obligations</w:t>
      </w:r>
    </w:p>
    <w:p>
      <w:pPr>
        <w:spacing w:after="0" w:line="235" w:lineRule="auto"/>
        <w:rPr>
          <w:sz w:val="20"/>
          <w:szCs w:val="20"/>
          <w:color w:val="auto"/>
        </w:rPr>
      </w:pPr>
      <w:r>
        <w:rPr>
          <w:rFonts w:ascii="Arial" w:cs="Arial" w:eastAsia="Arial" w:hAnsi="Arial"/>
          <w:sz w:val="18"/>
          <w:szCs w:val="18"/>
          <w:color w:val="0A0A0A"/>
        </w:rPr>
        <w:t>Current operating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0A0A0A"/>
        </w:rPr>
        <w:t>Current maturities of long-term debt</w:t>
      </w:r>
    </w:p>
    <w:p>
      <w:pPr>
        <w:spacing w:after="0"/>
        <w:rPr>
          <w:sz w:val="20"/>
          <w:szCs w:val="20"/>
          <w:color w:val="auto"/>
        </w:rPr>
      </w:pPr>
      <w:r>
        <w:rPr>
          <w:rFonts w:ascii="Arial" w:cs="Arial" w:eastAsia="Arial" w:hAnsi="Arial"/>
          <w:sz w:val="18"/>
          <w:szCs w:val="18"/>
          <w:color w:val="0A0A0A"/>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0A0A0A"/>
        </w:rPr>
        <w:t>Total current liabilities</w:t>
      </w:r>
    </w:p>
    <w:p>
      <w:pPr>
        <w:spacing w:after="0" w:line="234" w:lineRule="auto"/>
        <w:rPr>
          <w:sz w:val="20"/>
          <w:szCs w:val="20"/>
          <w:color w:val="auto"/>
        </w:rPr>
      </w:pPr>
      <w:r>
        <w:rPr>
          <w:rFonts w:ascii="Arial" w:cs="Arial" w:eastAsia="Arial" w:hAnsi="Arial"/>
          <w:sz w:val="18"/>
          <w:szCs w:val="18"/>
          <w:color w:val="0A0A0A"/>
        </w:rPr>
        <w:t>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0A0A0A"/>
        </w:rPr>
        <w:t>Operating lease obligations</w:t>
      </w:r>
    </w:p>
    <w:p>
      <w:pPr>
        <w:spacing w:after="0" w:line="235" w:lineRule="auto"/>
        <w:rPr>
          <w:sz w:val="20"/>
          <w:szCs w:val="20"/>
          <w:color w:val="auto"/>
        </w:rPr>
      </w:pPr>
      <w:r>
        <w:rPr>
          <w:rFonts w:ascii="Arial" w:cs="Arial" w:eastAsia="Arial" w:hAnsi="Arial"/>
          <w:sz w:val="18"/>
          <w:szCs w:val="18"/>
          <w:color w:val="0A0A0A"/>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0A0A0A"/>
        </w:rPr>
        <w:t>Income tax receivable agreement</w:t>
      </w:r>
    </w:p>
    <w:p>
      <w:pPr>
        <w:spacing w:after="0"/>
        <w:rPr>
          <w:sz w:val="20"/>
          <w:szCs w:val="20"/>
          <w:color w:val="auto"/>
        </w:rPr>
      </w:pPr>
      <w:r>
        <w:rPr>
          <w:rFonts w:ascii="Arial" w:cs="Arial" w:eastAsia="Arial" w:hAnsi="Arial"/>
          <w:sz w:val="18"/>
          <w:szCs w:val="18"/>
          <w:color w:val="0A0A0A"/>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A0A0A"/>
        </w:rPr>
        <w:t>Total liabilities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CASH FLOW</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rPr>
          <w:sz w:val="20"/>
          <w:szCs w:val="20"/>
          <w:color w:val="auto"/>
        </w:rPr>
      </w:pPr>
      <w:r>
        <w:rPr>
          <w:rFonts w:ascii="Arial" w:cs="Arial" w:eastAsia="Arial" w:hAnsi="Arial"/>
          <w:sz w:val="17"/>
          <w:szCs w:val="17"/>
          <w:b w:val="1"/>
          <w:bCs w:val="1"/>
          <w:color w:val="auto"/>
        </w:rPr>
        <w:t>(Unaudited - amounts may not recalculate due to rounding)</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310.7</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62.0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401.1</w:t>
            </w:r>
          </w:p>
        </w:tc>
      </w:tr>
      <w:tr>
        <w:trPr>
          <w:trHeight w:val="203"/>
        </w:trPr>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60.5</w:t>
            </w: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64.7</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r>
      <w:tr>
        <w:trPr>
          <w:trHeight w:val="195"/>
        </w:trPr>
        <w:tc>
          <w:tcPr>
            <w:tcW w:w="440" w:type="dxa"/>
            <w:vAlign w:val="bottom"/>
          </w:tcPr>
          <w:p>
            <w:pPr>
              <w:spacing w:after="0"/>
              <w:rPr>
                <w:sz w:val="16"/>
                <w:szCs w:val="16"/>
                <w:color w:val="auto"/>
              </w:rPr>
            </w:pP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371.2</w:t>
            </w:r>
          </w:p>
        </w:tc>
        <w:tc>
          <w:tcPr>
            <w:tcW w:w="540" w:type="dxa"/>
            <w:vAlign w:val="bottom"/>
          </w:tcPr>
          <w:p>
            <w:pPr>
              <w:spacing w:after="0"/>
              <w:rPr>
                <w:sz w:val="16"/>
                <w:szCs w:val="16"/>
                <w:color w:val="auto"/>
              </w:rPr>
            </w:pPr>
          </w:p>
        </w:tc>
        <w:tc>
          <w:tcPr>
            <w:tcW w:w="14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126.7</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193.0</w:t>
            </w:r>
          </w:p>
        </w:tc>
      </w:tr>
      <w:tr>
        <w:trPr>
          <w:trHeight w:val="216"/>
        </w:trPr>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540" w:type="dxa"/>
            <w:vAlign w:val="bottom"/>
          </w:tcPr>
          <w:p>
            <w:pPr>
              <w:spacing w:after="0"/>
              <w:rPr>
                <w:sz w:val="18"/>
                <w:szCs w:val="18"/>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414.5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03"/>
        </w:trPr>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438.8</w:t>
            </w: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512.0</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w:t>
            </w:r>
          </w:p>
        </w:tc>
      </w:tr>
      <w:tr>
        <w:trPr>
          <w:trHeight w:val="195"/>
        </w:trPr>
        <w:tc>
          <w:tcPr>
            <w:tcW w:w="440" w:type="dxa"/>
            <w:vAlign w:val="bottom"/>
          </w:tcPr>
          <w:p>
            <w:pPr>
              <w:spacing w:after="0"/>
              <w:rPr>
                <w:sz w:val="16"/>
                <w:szCs w:val="16"/>
                <w:color w:val="auto"/>
              </w:rPr>
            </w:pP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1,310.0</w:t>
            </w:r>
          </w:p>
        </w:tc>
        <w:tc>
          <w:tcPr>
            <w:tcW w:w="540" w:type="dxa"/>
            <w:vAlign w:val="bottom"/>
          </w:tcPr>
          <w:p>
            <w:pPr>
              <w:spacing w:after="0"/>
              <w:rPr>
                <w:sz w:val="16"/>
                <w:szCs w:val="16"/>
                <w:color w:val="auto"/>
              </w:rPr>
            </w:pPr>
          </w:p>
        </w:tc>
        <w:tc>
          <w:tcPr>
            <w:tcW w:w="14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1,053.2</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24.4</w:t>
            </w:r>
          </w:p>
        </w:tc>
      </w:tr>
      <w:tr>
        <w:trPr>
          <w:trHeight w:val="203"/>
        </w:trPr>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113.8</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101.1</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w:t>
            </w:r>
          </w:p>
        </w:tc>
      </w:tr>
      <w:tr>
        <w:trPr>
          <w:trHeight w:val="203"/>
        </w:trPr>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11.5</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r>
      <w:tr>
        <w:trPr>
          <w:trHeight w:val="203"/>
        </w:trPr>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18.2</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34.5</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(47.2)</w:t>
            </w:r>
          </w:p>
        </w:tc>
      </w:tr>
      <w:tr>
        <w:trPr>
          <w:trHeight w:val="216"/>
        </w:trPr>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540" w:type="dxa"/>
            <w:vAlign w:val="bottom"/>
          </w:tcPr>
          <w:p>
            <w:pPr>
              <w:spacing w:after="0"/>
              <w:rPr>
                <w:sz w:val="18"/>
                <w:szCs w:val="18"/>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26.1</w:t>
            </w: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03"/>
        </w:trPr>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89.4</w:t>
            </w: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80.5</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10.9</w:t>
            </w:r>
          </w:p>
        </w:tc>
      </w:tr>
      <w:tr>
        <w:trPr>
          <w:trHeight w:val="195"/>
        </w:trPr>
        <w:tc>
          <w:tcPr>
            <w:tcW w:w="440" w:type="dxa"/>
            <w:vAlign w:val="bottom"/>
          </w:tcPr>
          <w:p>
            <w:pPr>
              <w:spacing w:after="0"/>
              <w:rPr>
                <w:sz w:val="16"/>
                <w:szCs w:val="16"/>
                <w:color w:val="auto"/>
              </w:rPr>
            </w:pP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250.8</w:t>
            </w:r>
          </w:p>
        </w:tc>
        <w:tc>
          <w:tcPr>
            <w:tcW w:w="540" w:type="dxa"/>
            <w:vAlign w:val="bottom"/>
          </w:tcPr>
          <w:p>
            <w:pPr>
              <w:spacing w:after="0"/>
              <w:rPr>
                <w:sz w:val="16"/>
                <w:szCs w:val="16"/>
                <w:color w:val="auto"/>
              </w:rPr>
            </w:pPr>
          </w:p>
        </w:tc>
        <w:tc>
          <w:tcPr>
            <w:tcW w:w="14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253.7</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r>
      <w:tr>
        <w:trPr>
          <w:trHeight w:val="203"/>
        </w:trPr>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135.1</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95.7</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41.2</w:t>
            </w:r>
          </w:p>
        </w:tc>
      </w:tr>
      <w:tr>
        <w:trPr>
          <w:trHeight w:val="203"/>
        </w:trPr>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68.4</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112.7</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(39.3)</w:t>
            </w:r>
          </w:p>
        </w:tc>
      </w:tr>
      <w:tr>
        <w:trPr>
          <w:trHeight w:val="202"/>
        </w:trPr>
        <w:tc>
          <w:tcPr>
            <w:tcW w:w="440" w:type="dxa"/>
            <w:vAlign w:val="bottom"/>
          </w:tcPr>
          <w:p>
            <w:pPr>
              <w:spacing w:after="0"/>
              <w:rPr>
                <w:sz w:val="17"/>
                <w:szCs w:val="17"/>
                <w:color w:val="auto"/>
              </w:rPr>
            </w:pP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267.7</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256.3</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w:t>
            </w:r>
          </w:p>
        </w:tc>
      </w:tr>
      <w:tr>
        <w:trPr>
          <w:trHeight w:val="216"/>
        </w:trPr>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540" w:type="dxa"/>
            <w:vAlign w:val="bottom"/>
          </w:tcPr>
          <w:p>
            <w:pPr>
              <w:spacing w:after="0"/>
              <w:rPr>
                <w:sz w:val="18"/>
                <w:szCs w:val="18"/>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NM</w:t>
            </w:r>
          </w:p>
        </w:tc>
      </w:tr>
      <w:tr>
        <w:trPr>
          <w:trHeight w:val="203"/>
        </w:trPr>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27.2</w:t>
            </w: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51.0</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(46.6)</w:t>
            </w:r>
          </w:p>
        </w:tc>
      </w:tr>
      <w:tr>
        <w:trPr>
          <w:trHeight w:val="195"/>
        </w:trPr>
        <w:tc>
          <w:tcPr>
            <w:tcW w:w="440" w:type="dxa"/>
            <w:vAlign w:val="bottom"/>
          </w:tcPr>
          <w:p>
            <w:pPr>
              <w:spacing w:after="0"/>
              <w:rPr>
                <w:sz w:val="16"/>
                <w:szCs w:val="16"/>
                <w:color w:val="auto"/>
              </w:rPr>
            </w:pP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845.7</w:t>
            </w:r>
          </w:p>
        </w:tc>
        <w:tc>
          <w:tcPr>
            <w:tcW w:w="540" w:type="dxa"/>
            <w:vAlign w:val="bottom"/>
          </w:tcPr>
          <w:p>
            <w:pPr>
              <w:spacing w:after="0"/>
              <w:rPr>
                <w:sz w:val="16"/>
                <w:szCs w:val="16"/>
                <w:color w:val="auto"/>
              </w:rPr>
            </w:pPr>
          </w:p>
        </w:tc>
        <w:tc>
          <w:tcPr>
            <w:tcW w:w="14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769.4</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9.9</w:t>
            </w:r>
          </w:p>
        </w:tc>
      </w:tr>
      <w:tr>
        <w:trPr>
          <w:trHeight w:val="21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464.3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283.8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63.6</w:t>
            </w:r>
          </w:p>
        </w:tc>
      </w:tr>
    </w:tbl>
    <w:p>
      <w:pPr>
        <w:spacing w:after="0" w:line="796" w:lineRule="exact"/>
        <w:rPr>
          <w:sz w:val="20"/>
          <w:szCs w:val="20"/>
          <w:color w:val="auto"/>
        </w:rPr>
      </w:pPr>
    </w:p>
    <w:p>
      <w:pPr>
        <w:sectPr>
          <w:pgSz w:w="11900" w:h="16838" w:orient="portrait"/>
          <w:cols w:equalWidth="0" w:num="2">
            <w:col w:w="5920" w:space="720"/>
            <w:col w:w="46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66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gridSpan w:val="3"/>
          </w:tcPr>
          <w:p>
            <w:pPr>
              <w:jc w:val="right"/>
              <w:ind w:right="290"/>
              <w:spacing w:after="0" w:line="173" w:lineRule="exact"/>
              <w:rPr>
                <w:sz w:val="20"/>
                <w:szCs w:val="20"/>
                <w:color w:val="auto"/>
              </w:rPr>
            </w:pPr>
            <w:r>
              <w:rPr>
                <w:rFonts w:ascii="Arial" w:cs="Arial" w:eastAsia="Arial" w:hAnsi="Arial"/>
                <w:sz w:val="18"/>
                <w:szCs w:val="18"/>
                <w:b w:val="1"/>
                <w:bCs w:val="1"/>
                <w:color w:val="auto"/>
              </w:rPr>
              <w:t>Six Months Ended June 30,</w:t>
            </w:r>
          </w:p>
        </w:tc>
        <w:tc>
          <w:tcPr>
            <w:tcW w:w="1520" w:type="dxa"/>
            <w:vAlign w:val="bottom"/>
            <w:tcBorders>
              <w:top w:val="single" w:sz="8" w:color="auto"/>
            </w:tcBorders>
          </w:tcPr>
          <w:p>
            <w:pPr>
              <w:spacing w:after="0"/>
              <w:rPr>
                <w:sz w:val="15"/>
                <w:szCs w:val="15"/>
                <w:color w:val="auto"/>
              </w:rPr>
            </w:pPr>
          </w:p>
        </w:tc>
      </w:tr>
      <w:tr>
        <w:trPr>
          <w:trHeight w:val="225"/>
        </w:trPr>
        <w:tc>
          <w:tcPr>
            <w:tcW w:w="6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Change</w:t>
            </w:r>
          </w:p>
        </w:tc>
      </w:tr>
      <w:tr>
        <w:trPr>
          <w:trHeight w:val="196"/>
        </w:trPr>
        <w:tc>
          <w:tcPr>
            <w:tcW w:w="664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Net cash provided by (Used in) operating activities</w:t>
            </w:r>
          </w:p>
        </w:tc>
        <w:tc>
          <w:tcPr>
            <w:tcW w:w="240" w:type="dxa"/>
            <w:vAlign w:val="bottom"/>
            <w:shd w:val="clear" w:color="auto" w:fill="C6F4F9"/>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89.8</w:t>
            </w:r>
          </w:p>
        </w:tc>
        <w:tc>
          <w:tcPr>
            <w:tcW w:w="400" w:type="dxa"/>
            <w:vAlign w:val="bottom"/>
            <w:shd w:val="clear" w:color="auto" w:fill="C6F4F9"/>
          </w:tcPr>
          <w:p>
            <w:pPr>
              <w:jc w:val="right"/>
              <w:ind w:right="136"/>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(12.9)</w:t>
            </w:r>
          </w:p>
        </w:tc>
        <w:tc>
          <w:tcPr>
            <w:tcW w:w="152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0A0A0A"/>
              </w:rPr>
              <w:t>Purchases of property &amp; equipment</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(66.7)</w:t>
            </w: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r>
      <w:tr>
        <w:trPr>
          <w:trHeight w:val="216"/>
        </w:trPr>
        <w:tc>
          <w:tcPr>
            <w:tcW w:w="664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240" w:type="dxa"/>
            <w:vAlign w:val="bottom"/>
            <w:tcBorders>
              <w:bottom w:val="single" w:sz="8" w:color="auto"/>
            </w:tcBorders>
            <w:shd w:val="clear" w:color="auto" w:fill="C6F4F9"/>
          </w:tcPr>
          <w:p>
            <w:pPr>
              <w:spacing w:after="0"/>
              <w:rPr>
                <w:sz w:val="18"/>
                <w:szCs w:val="18"/>
                <w:color w:val="auto"/>
              </w:rPr>
            </w:pPr>
          </w:p>
        </w:tc>
        <w:tc>
          <w:tcPr>
            <w:tcW w:w="128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auto"/>
            </w:tcBorders>
            <w:shd w:val="clear" w:color="auto" w:fill="C6F4F9"/>
          </w:tcPr>
          <w:p>
            <w:pPr>
              <w:spacing w:after="0"/>
              <w:rPr>
                <w:sz w:val="18"/>
                <w:szCs w:val="18"/>
                <w:color w:val="auto"/>
              </w:rPr>
            </w:pPr>
          </w:p>
        </w:tc>
        <w:tc>
          <w:tcPr>
            <w:tcW w:w="116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(600)</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0A0A0A"/>
              </w:rPr>
              <w:t>Net cash used in investing activities</w:t>
            </w:r>
          </w:p>
        </w:tc>
        <w:tc>
          <w:tcPr>
            <w:tcW w:w="2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(67.2)</w:t>
            </w:r>
          </w:p>
        </w:tc>
        <w:tc>
          <w:tcPr>
            <w:tcW w:w="4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(93.6)</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(28.2)</w:t>
            </w: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Cash received from stock offering</w:t>
            </w:r>
          </w:p>
        </w:tc>
        <w:tc>
          <w:tcPr>
            <w:tcW w:w="240" w:type="dxa"/>
            <w:vAlign w:val="bottom"/>
            <w:shd w:val="clear" w:color="auto" w:fill="C6F4F9"/>
          </w:tcPr>
          <w:p>
            <w:pPr>
              <w:spacing w:after="0"/>
              <w:rPr>
                <w:sz w:val="17"/>
                <w:szCs w:val="17"/>
                <w:color w:val="auto"/>
              </w:rPr>
            </w:pPr>
          </w:p>
        </w:tc>
        <w:tc>
          <w:tcPr>
            <w:tcW w:w="128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235.9</w:t>
            </w:r>
          </w:p>
        </w:tc>
        <w:tc>
          <w:tcPr>
            <w:tcW w:w="400" w:type="dxa"/>
            <w:vAlign w:val="bottom"/>
            <w:shd w:val="clear" w:color="auto" w:fill="C6F4F9"/>
          </w:tcPr>
          <w:p>
            <w:pPr>
              <w:spacing w:after="0"/>
              <w:rPr>
                <w:sz w:val="17"/>
                <w:szCs w:val="17"/>
                <w:color w:val="auto"/>
              </w:rPr>
            </w:pPr>
          </w:p>
        </w:tc>
        <w:tc>
          <w:tcPr>
            <w:tcW w:w="11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0.0</w:t>
            </w:r>
          </w:p>
        </w:tc>
        <w:tc>
          <w:tcPr>
            <w:tcW w:w="15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0A0A0A"/>
              </w:rPr>
              <w:t>Proceeds from borrowing</w:t>
            </w:r>
          </w:p>
        </w:tc>
        <w:tc>
          <w:tcPr>
            <w:tcW w:w="240" w:type="dxa"/>
            <w:vAlign w:val="bottom"/>
          </w:tcPr>
          <w:p>
            <w:pPr>
              <w:spacing w:after="0"/>
              <w:rPr>
                <w:sz w:val="17"/>
                <w:szCs w:val="17"/>
                <w:color w:val="auto"/>
              </w:rPr>
            </w:pP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80.5</w:t>
            </w:r>
          </w:p>
        </w:tc>
        <w:tc>
          <w:tcPr>
            <w:tcW w:w="40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220.3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(63.5)</w:t>
            </w: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Repayment of finance lease obligations</w:t>
            </w:r>
          </w:p>
        </w:tc>
        <w:tc>
          <w:tcPr>
            <w:tcW w:w="240" w:type="dxa"/>
            <w:vAlign w:val="bottom"/>
            <w:shd w:val="clear" w:color="auto" w:fill="C6F4F9"/>
          </w:tcPr>
          <w:p>
            <w:pPr>
              <w:spacing w:after="0"/>
              <w:rPr>
                <w:sz w:val="17"/>
                <w:szCs w:val="17"/>
                <w:color w:val="auto"/>
              </w:rPr>
            </w:pPr>
          </w:p>
        </w:tc>
        <w:tc>
          <w:tcPr>
            <w:tcW w:w="128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(7.9)</w:t>
            </w:r>
          </w:p>
        </w:tc>
        <w:tc>
          <w:tcPr>
            <w:tcW w:w="400" w:type="dxa"/>
            <w:vAlign w:val="bottom"/>
            <w:shd w:val="clear" w:color="auto" w:fill="C6F4F9"/>
          </w:tcPr>
          <w:p>
            <w:pPr>
              <w:spacing w:after="0"/>
              <w:rPr>
                <w:sz w:val="17"/>
                <w:szCs w:val="17"/>
                <w:color w:val="auto"/>
              </w:rPr>
            </w:pPr>
          </w:p>
        </w:tc>
        <w:tc>
          <w:tcPr>
            <w:tcW w:w="11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(86.0)</w:t>
            </w:r>
          </w:p>
        </w:tc>
        <w:tc>
          <w:tcPr>
            <w:tcW w:w="15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(90.8)</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0A0A0A"/>
              </w:rPr>
              <w:t>Repayment of borrowings</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(74.7)</w:t>
            </w: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36.1</w:t>
            </w:r>
          </w:p>
        </w:tc>
      </w:tr>
      <w:tr>
        <w:trPr>
          <w:trHeight w:val="216"/>
        </w:trPr>
        <w:tc>
          <w:tcPr>
            <w:tcW w:w="664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240" w:type="dxa"/>
            <w:vAlign w:val="bottom"/>
            <w:tcBorders>
              <w:bottom w:val="single" w:sz="8" w:color="auto"/>
            </w:tcBorders>
            <w:shd w:val="clear" w:color="auto" w:fill="C6F4F9"/>
          </w:tcPr>
          <w:p>
            <w:pPr>
              <w:spacing w:after="0"/>
              <w:rPr>
                <w:sz w:val="18"/>
                <w:szCs w:val="18"/>
                <w:color w:val="auto"/>
              </w:rPr>
            </w:pPr>
          </w:p>
        </w:tc>
        <w:tc>
          <w:tcPr>
            <w:tcW w:w="128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Borders>
              <w:bottom w:val="single" w:sz="8" w:color="auto"/>
            </w:tcBorders>
            <w:shd w:val="clear" w:color="auto" w:fill="C6F4F9"/>
          </w:tcPr>
          <w:p>
            <w:pPr>
              <w:spacing w:after="0"/>
              <w:rPr>
                <w:sz w:val="18"/>
                <w:szCs w:val="18"/>
                <w:color w:val="auto"/>
              </w:rPr>
            </w:pPr>
          </w:p>
        </w:tc>
        <w:tc>
          <w:tcPr>
            <w:tcW w:w="1160" w:type="dxa"/>
            <w:vAlign w:val="bottom"/>
            <w:tcBorders>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(2.7)</w:t>
            </w:r>
          </w:p>
        </w:tc>
        <w:tc>
          <w:tcPr>
            <w:tcW w:w="15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318.5</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0A0A0A"/>
              </w:rPr>
              <w:t>Net cash provided by financing activities</w:t>
            </w:r>
          </w:p>
        </w:tc>
        <w:tc>
          <w:tcPr>
            <w:tcW w:w="240" w:type="dxa"/>
            <w:vAlign w:val="bottom"/>
          </w:tcPr>
          <w:p>
            <w:pPr>
              <w:spacing w:after="0"/>
              <w:rPr>
                <w:sz w:val="17"/>
                <w:szCs w:val="17"/>
                <w:color w:val="auto"/>
              </w:rPr>
            </w:pPr>
          </w:p>
        </w:tc>
        <w:tc>
          <w:tcPr>
            <w:tcW w:w="12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222.5</w:t>
            </w:r>
          </w:p>
        </w:tc>
        <w:tc>
          <w:tcPr>
            <w:tcW w:w="400" w:type="dxa"/>
            <w:vAlign w:val="bottom"/>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76.7</w:t>
            </w:r>
          </w:p>
        </w:tc>
        <w:tc>
          <w:tcPr>
            <w:tcW w:w="1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190.1</w:t>
            </w: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Change in cash</w:t>
            </w:r>
          </w:p>
        </w:tc>
        <w:tc>
          <w:tcPr>
            <w:tcW w:w="240" w:type="dxa"/>
            <w:vAlign w:val="bottom"/>
            <w:shd w:val="clear" w:color="auto" w:fill="C6F4F9"/>
          </w:tcPr>
          <w:p>
            <w:pPr>
              <w:spacing w:after="0"/>
              <w:rPr>
                <w:sz w:val="17"/>
                <w:szCs w:val="17"/>
                <w:color w:val="auto"/>
              </w:rPr>
            </w:pPr>
          </w:p>
        </w:tc>
        <w:tc>
          <w:tcPr>
            <w:tcW w:w="128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245.1</w:t>
            </w:r>
          </w:p>
        </w:tc>
        <w:tc>
          <w:tcPr>
            <w:tcW w:w="400" w:type="dxa"/>
            <w:vAlign w:val="bottom"/>
            <w:shd w:val="clear" w:color="auto" w:fill="C6F4F9"/>
          </w:tcPr>
          <w:p>
            <w:pPr>
              <w:spacing w:after="0"/>
              <w:rPr>
                <w:sz w:val="17"/>
                <w:szCs w:val="17"/>
                <w:color w:val="auto"/>
              </w:rPr>
            </w:pPr>
          </w:p>
        </w:tc>
        <w:tc>
          <w:tcPr>
            <w:tcW w:w="11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(29.8)</w:t>
            </w:r>
          </w:p>
        </w:tc>
        <w:tc>
          <w:tcPr>
            <w:tcW w:w="15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0A0A0A"/>
              </w:rPr>
              <w:t>Cash and equivalents and restricted cash – beginning of the period</w:t>
            </w:r>
          </w:p>
        </w:tc>
        <w:tc>
          <w:tcPr>
            <w:tcW w:w="240" w:type="dxa"/>
            <w:vAlign w:val="bottom"/>
          </w:tcPr>
          <w:p>
            <w:pPr>
              <w:spacing w:after="0"/>
              <w:rPr>
                <w:sz w:val="17"/>
                <w:szCs w:val="17"/>
                <w:color w:val="auto"/>
              </w:rPr>
            </w:pP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70.4</w:t>
            </w:r>
          </w:p>
        </w:tc>
        <w:tc>
          <w:tcPr>
            <w:tcW w:w="40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64.5</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w:t>
            </w:r>
          </w:p>
        </w:tc>
      </w:tr>
      <w:tr>
        <w:trPr>
          <w:trHeight w:val="203"/>
        </w:trPr>
        <w:tc>
          <w:tcPr>
            <w:tcW w:w="66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Cash and equivalents and restricted cash – end of the period</w:t>
            </w:r>
          </w:p>
        </w:tc>
        <w:tc>
          <w:tcPr>
            <w:tcW w:w="240" w:type="dxa"/>
            <w:vAlign w:val="bottom"/>
            <w:shd w:val="clear" w:color="auto" w:fill="C6F4F9"/>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315.5</w:t>
            </w:r>
          </w:p>
        </w:tc>
        <w:tc>
          <w:tcPr>
            <w:tcW w:w="400" w:type="dxa"/>
            <w:vAlign w:val="bottom"/>
            <w:shd w:val="clear" w:color="auto" w:fill="C6F4F9"/>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34.7</w:t>
            </w:r>
          </w:p>
        </w:tc>
        <w:tc>
          <w:tcPr>
            <w:tcW w:w="15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809.2</w:t>
            </w:r>
          </w:p>
        </w:tc>
      </w:tr>
      <w:tr>
        <w:trPr>
          <w:trHeight w:val="736"/>
        </w:trPr>
        <w:tc>
          <w:tcPr>
            <w:tcW w:w="6640" w:type="dxa"/>
            <w:vAlign w:val="bottom"/>
            <w:tcBorders>
              <w:bottom w:val="single" w:sz="8" w:color="auto"/>
            </w:tcBorders>
          </w:tcPr>
          <w:p>
            <w:pPr>
              <w:ind w:left="5300"/>
              <w:spacing w:after="0"/>
              <w:rPr>
                <w:sz w:val="20"/>
                <w:szCs w:val="20"/>
                <w:color w:val="auto"/>
              </w:rPr>
            </w:pPr>
            <w:r>
              <w:rPr>
                <w:rFonts w:ascii="Arial" w:cs="Arial" w:eastAsia="Arial" w:hAnsi="Arial"/>
                <w:sz w:val="18"/>
                <w:szCs w:val="18"/>
                <w:color w:val="auto"/>
              </w:rPr>
              <w:t>Page 10</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766445</wp:posOffset>
            </wp:positionV>
            <wp:extent cx="2254250" cy="908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of Special Items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lists the items that are included as Special Items, net.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CARES Act grant recognition </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8"/>
          <w:szCs w:val="28"/>
          <w:color w:val="auto"/>
          <w:vertAlign w:val="superscript"/>
        </w:rPr>
        <w:t>(2)</w:t>
      </w:r>
    </w:p>
    <w:p>
      <w:pPr>
        <w:spacing w:after="0" w:line="184" w:lineRule="auto"/>
        <w:rPr>
          <w:sz w:val="20"/>
          <w:szCs w:val="20"/>
          <w:color w:val="auto"/>
        </w:rPr>
      </w:pPr>
      <w:r>
        <w:rPr>
          <w:rFonts w:ascii="Arial" w:cs="Arial" w:eastAsia="Arial" w:hAnsi="Arial"/>
          <w:sz w:val="18"/>
          <w:szCs w:val="18"/>
          <w:color w:val="auto"/>
        </w:rPr>
        <w:t xml:space="preserve">Aircraft purchase impacts </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special items, net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8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Three Months Ended June 30,</w:t>
            </w:r>
          </w:p>
        </w:tc>
      </w:tr>
      <w:tr>
        <w:trPr>
          <w:trHeight w:val="225"/>
        </w:trPr>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37"/>
        </w:trPr>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470"/>
              <w:spacing w:after="0"/>
              <w:rPr>
                <w:sz w:val="20"/>
                <w:szCs w:val="20"/>
                <w:color w:val="auto"/>
              </w:rPr>
            </w:pPr>
            <w:r>
              <w:rPr>
                <w:rFonts w:ascii="Arial" w:cs="Arial" w:eastAsia="Arial" w:hAnsi="Arial"/>
                <w:sz w:val="18"/>
                <w:szCs w:val="18"/>
                <w:color w:val="auto"/>
              </w:rPr>
              <w:t>(31.5)</w:t>
            </w:r>
          </w:p>
        </w:tc>
      </w:tr>
      <w:tr>
        <w:trPr>
          <w:trHeight w:val="243"/>
        </w:trPr>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21"/>
                <w:szCs w:val="21"/>
                <w:color w:val="auto"/>
              </w:rPr>
            </w:pPr>
          </w:p>
        </w:tc>
        <w:tc>
          <w:tcPr>
            <w:tcW w:w="1120" w:type="dxa"/>
            <w:vAlign w:val="bottom"/>
          </w:tcPr>
          <w:p>
            <w:pPr>
              <w:jc w:val="center"/>
              <w:ind w:left="450"/>
              <w:spacing w:after="0"/>
              <w:rPr>
                <w:sz w:val="20"/>
                <w:szCs w:val="20"/>
                <w:color w:val="auto"/>
              </w:rPr>
            </w:pPr>
            <w:r>
              <w:rPr>
                <w:rFonts w:ascii="Arial" w:cs="Arial" w:eastAsia="Arial" w:hAnsi="Arial"/>
                <w:sz w:val="18"/>
                <w:szCs w:val="18"/>
                <w:color w:val="auto"/>
                <w:w w:val="99"/>
              </w:rPr>
              <w:t>—</w:t>
            </w:r>
          </w:p>
        </w:tc>
      </w:tr>
      <w:tr>
        <w:trPr>
          <w:trHeight w:val="243"/>
        </w:trPr>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9"/>
              </w:rPr>
              <w:t>—</w:t>
            </w:r>
          </w:p>
        </w:tc>
      </w:tr>
      <w:tr>
        <w:trPr>
          <w:trHeight w:val="209"/>
        </w:trPr>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rPr>
              <w:t>(31.5)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0" w:space="720"/>
            <w:col w:w="4480"/>
          </w:cols>
          <w:pgMar w:left="320" w:top="1440" w:right="339" w:bottom="1440" w:gutter="0" w:footer="0" w:header="0"/>
          <w:type w:val="continuous"/>
        </w:sectPr>
      </w:pPr>
    </w:p>
    <w:p>
      <w:pPr>
        <w:spacing w:after="0" w:line="2" w:lineRule="exact"/>
        <w:rPr>
          <w:sz w:val="20"/>
          <w:szCs w:val="20"/>
          <w:color w:val="auto"/>
        </w:rPr>
      </w:pPr>
    </w:p>
    <w:p>
      <w:pPr>
        <w:jc w:val="both"/>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 quarter ended March 31, 2021, </w:t>
      </w:r>
      <w:r>
        <w:rPr>
          <w:rFonts w:ascii="Arial" w:cs="Arial" w:eastAsia="Arial" w:hAnsi="Arial"/>
          <w:sz w:val="18"/>
          <w:szCs w:val="18"/>
          <w:color w:val="212529"/>
        </w:rPr>
        <w:t>the Treasury awarded the Company</w:t>
      </w:r>
      <w:r>
        <w:rPr>
          <w:rFonts w:ascii="Arial" w:cs="Arial" w:eastAsia="Arial" w:hAnsi="Arial"/>
          <w:sz w:val="18"/>
          <w:szCs w:val="18"/>
          <w:color w:val="auto"/>
        </w:rPr>
        <w:t xml:space="preserve"> a grant of $32.2 under PSP2</w:t>
      </w:r>
      <w:r>
        <w:rPr>
          <w:rFonts w:ascii="Arial" w:cs="Arial" w:eastAsia="Arial" w:hAnsi="Arial"/>
          <w:sz w:val="18"/>
          <w:szCs w:val="18"/>
          <w:color w:val="212529"/>
        </w:rPr>
        <w:t>.</w:t>
      </w:r>
      <w:r>
        <w:rPr>
          <w:rFonts w:ascii="Arial" w:cs="Arial" w:eastAsia="Arial" w:hAnsi="Arial"/>
          <w:sz w:val="18"/>
          <w:szCs w:val="18"/>
          <w:color w:val="auto"/>
        </w:rPr>
        <w:t xml:space="preserve"> On April 22, 2021, the Company received $4.8 from the Treasury as a top-off grant under PSP2. Further, the Company received a grant of $34.5 under PSP3, which was received during the quarter ended June 30, 2021</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Relates to a credit recognized under the CARES Act Employee Retention credit which is a refundable tax credit against certain employee taxes</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212529"/>
        </w:rPr>
        <w:t xml:space="preserve">One aircraft was purchased in April 2021 that was previously under an operating lease. </w:t>
      </w:r>
      <w:r>
        <w:rPr>
          <w:rFonts w:ascii="Arial" w:cs="Arial" w:eastAsia="Arial" w:hAnsi="Arial"/>
          <w:sz w:val="18"/>
          <w:szCs w:val="18"/>
          <w:color w:val="000000"/>
        </w:rPr>
        <w:t>Aircraft lease buy-out expense represents</w:t>
      </w:r>
      <w:r>
        <w:rPr>
          <w:rFonts w:ascii="Arial" w:cs="Arial" w:eastAsia="Arial" w:hAnsi="Arial"/>
          <w:sz w:val="18"/>
          <w:szCs w:val="18"/>
          <w:color w:val="212529"/>
        </w:rPr>
        <w:t xml:space="preserve"> </w:t>
      </w:r>
      <w:r>
        <w:rPr>
          <w:rFonts w:ascii="Arial" w:cs="Arial" w:eastAsia="Arial" w:hAnsi="Arial"/>
          <w:sz w:val="18"/>
          <w:szCs w:val="18"/>
          <w:color w:val="000000"/>
        </w:rPr>
        <w:t>the net costs incurred to terminate the lease on that aircraft. This includes the associated lease termination costs, write-off of previously capitalized maintenance deposits, and the write-off of over-market liabilities</w:t>
      </w:r>
    </w:p>
    <w:tbl>
      <w:tblPr>
        <w:tblLayout w:type="fixed"/>
        <w:tblInd w:w="0" w:type="dxa"/>
        <w:tblCellMar>
          <w:top w:w="0" w:type="dxa"/>
          <w:left w:w="0" w:type="dxa"/>
          <w:bottom w:w="0" w:type="dxa"/>
          <w:right w:w="0" w:type="dxa"/>
        </w:tblCellMar>
      </w:tblPr>
      <w:tr>
        <w:trPr>
          <w:trHeight w:val="183"/>
        </w:trPr>
        <w:tc>
          <w:tcPr>
            <w:tcW w:w="6760" w:type="dxa"/>
            <w:vAlign w:val="bottom"/>
          </w:tcPr>
          <w:p>
            <w:pPr>
              <w:spacing w:after="0"/>
              <w:rPr>
                <w:sz w:val="15"/>
                <w:szCs w:val="15"/>
                <w:color w:val="auto"/>
              </w:rPr>
            </w:pPr>
          </w:p>
        </w:tc>
        <w:tc>
          <w:tcPr>
            <w:tcW w:w="4480" w:type="dxa"/>
            <w:vAlign w:val="bottom"/>
            <w:gridSpan w:val="5"/>
          </w:tcPr>
          <w:p>
            <w:pPr>
              <w:ind w:left="460"/>
              <w:spacing w:after="0" w:line="182" w:lineRule="exact"/>
              <w:rPr>
                <w:sz w:val="20"/>
                <w:szCs w:val="20"/>
                <w:color w:val="auto"/>
              </w:rPr>
            </w:pPr>
            <w:r>
              <w:rPr>
                <w:rFonts w:ascii="Arial" w:cs="Arial" w:eastAsia="Arial" w:hAnsi="Arial"/>
                <w:sz w:val="18"/>
                <w:szCs w:val="18"/>
                <w:b w:val="1"/>
                <w:bCs w:val="1"/>
                <w:color w:val="auto"/>
              </w:rPr>
              <w:t>Six Months Ended June 30,</w:t>
            </w:r>
          </w:p>
        </w:tc>
      </w:tr>
      <w:tr>
        <w:trPr>
          <w:trHeight w:val="225"/>
        </w:trPr>
        <w:tc>
          <w:tcPr>
            <w:tcW w:w="6760" w:type="dxa"/>
            <w:vAlign w:val="bottom"/>
            <w:tcBorders>
              <w:bottom w:val="single" w:sz="8" w:color="C6F4F9"/>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C6F4F9"/>
            </w:tcBorders>
          </w:tcPr>
          <w:p>
            <w:pPr>
              <w:spacing w:after="0"/>
              <w:rPr>
                <w:sz w:val="19"/>
                <w:szCs w:val="19"/>
                <w:color w:val="auto"/>
              </w:rPr>
            </w:pPr>
          </w:p>
        </w:tc>
      </w:tr>
      <w:tr>
        <w:trPr>
          <w:trHeight w:val="223"/>
        </w:trPr>
        <w:tc>
          <w:tcPr>
            <w:tcW w:w="6760" w:type="dxa"/>
            <w:vAlign w:val="bottom"/>
            <w:shd w:val="clear" w:color="auto" w:fill="C6F4F9"/>
          </w:tcPr>
          <w:p>
            <w:pPr>
              <w:spacing w:after="0" w:line="223" w:lineRule="exact"/>
              <w:rPr>
                <w:sz w:val="20"/>
                <w:szCs w:val="20"/>
                <w:color w:val="auto"/>
              </w:rPr>
            </w:pPr>
            <w:r>
              <w:rPr>
                <w:rFonts w:ascii="Arial" w:cs="Arial" w:eastAsia="Arial" w:hAnsi="Arial"/>
                <w:sz w:val="16"/>
                <w:szCs w:val="16"/>
                <w:color w:val="auto"/>
              </w:rPr>
              <w:t xml:space="preserve">CARES Act grant recognition </w:t>
            </w:r>
            <w:r>
              <w:rPr>
                <w:rFonts w:ascii="Arial" w:cs="Arial" w:eastAsia="Arial" w:hAnsi="Arial"/>
                <w:sz w:val="25"/>
                <w:szCs w:val="25"/>
                <w:color w:val="auto"/>
                <w:vertAlign w:val="superscript"/>
              </w:rPr>
              <w:t>(1)</w:t>
            </w:r>
          </w:p>
        </w:tc>
        <w:tc>
          <w:tcPr>
            <w:tcW w:w="1060" w:type="dxa"/>
            <w:vAlign w:val="bottom"/>
            <w:shd w:val="clear" w:color="auto" w:fill="C6F4F9"/>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spacing w:after="0"/>
              <w:rPr>
                <w:sz w:val="20"/>
                <w:szCs w:val="20"/>
                <w:color w:val="auto"/>
              </w:rPr>
            </w:pPr>
            <w:r>
              <w:rPr>
                <w:rFonts w:ascii="Arial" w:cs="Arial" w:eastAsia="Arial" w:hAnsi="Arial"/>
                <w:sz w:val="18"/>
                <w:szCs w:val="18"/>
                <w:color w:val="auto"/>
                <w:w w:val="97"/>
              </w:rPr>
              <w:t>(71.6)</w:t>
            </w:r>
          </w:p>
        </w:tc>
        <w:tc>
          <w:tcPr>
            <w:tcW w:w="4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center"/>
              <w:ind w:left="470"/>
              <w:spacing w:after="0"/>
              <w:rPr>
                <w:sz w:val="20"/>
                <w:szCs w:val="20"/>
                <w:color w:val="auto"/>
              </w:rPr>
            </w:pPr>
            <w:r>
              <w:rPr>
                <w:rFonts w:ascii="Arial" w:cs="Arial" w:eastAsia="Arial" w:hAnsi="Arial"/>
                <w:sz w:val="18"/>
                <w:szCs w:val="18"/>
                <w:color w:val="auto"/>
              </w:rPr>
              <w:t>(31.5)</w:t>
            </w:r>
          </w:p>
        </w:tc>
        <w:tc>
          <w:tcPr>
            <w:tcW w:w="1340" w:type="dxa"/>
            <w:vAlign w:val="bottom"/>
            <w:shd w:val="clear" w:color="auto" w:fill="C6F4F9"/>
          </w:tcPr>
          <w:p>
            <w:pPr>
              <w:spacing w:after="0"/>
              <w:rPr>
                <w:sz w:val="19"/>
                <w:szCs w:val="19"/>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8"/>
                <w:szCs w:val="28"/>
                <w:color w:val="auto"/>
                <w:vertAlign w:val="superscript"/>
              </w:rPr>
              <w:t>(2)</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21"/>
                <w:szCs w:val="21"/>
                <w:color w:val="auto"/>
              </w:rPr>
            </w:pPr>
          </w:p>
        </w:tc>
        <w:tc>
          <w:tcPr>
            <w:tcW w:w="246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w:t>
            </w:r>
          </w:p>
        </w:tc>
      </w:tr>
      <w:tr>
        <w:trPr>
          <w:trHeight w:val="256"/>
        </w:trPr>
        <w:tc>
          <w:tcPr>
            <w:tcW w:w="6760" w:type="dxa"/>
            <w:vAlign w:val="bottom"/>
            <w:shd w:val="clear" w:color="auto" w:fill="C6F4F9"/>
          </w:tcPr>
          <w:p>
            <w:pPr>
              <w:spacing w:after="0" w:line="256" w:lineRule="exact"/>
              <w:rPr>
                <w:sz w:val="20"/>
                <w:szCs w:val="20"/>
                <w:color w:val="auto"/>
              </w:rPr>
            </w:pPr>
            <w:r>
              <w:rPr>
                <w:rFonts w:ascii="Arial" w:cs="Arial" w:eastAsia="Arial" w:hAnsi="Arial"/>
                <w:sz w:val="18"/>
                <w:szCs w:val="18"/>
                <w:color w:val="auto"/>
              </w:rPr>
              <w:t xml:space="preserve">Aircraft purchase impacts </w:t>
            </w:r>
            <w:r>
              <w:rPr>
                <w:rFonts w:ascii="Arial" w:cs="Arial" w:eastAsia="Arial" w:hAnsi="Arial"/>
                <w:sz w:val="29"/>
                <w:szCs w:val="29"/>
                <w:color w:val="auto"/>
                <w:vertAlign w:val="superscript"/>
              </w:rPr>
              <w:t>(3)</w:t>
            </w:r>
          </w:p>
        </w:tc>
        <w:tc>
          <w:tcPr>
            <w:tcW w:w="1060" w:type="dxa"/>
            <w:vAlign w:val="bottom"/>
            <w:shd w:val="clear" w:color="auto" w:fill="C6F4F9"/>
          </w:tcPr>
          <w:p>
            <w:pPr>
              <w:spacing w:after="0"/>
              <w:rPr>
                <w:sz w:val="22"/>
                <w:szCs w:val="22"/>
                <w:color w:val="auto"/>
              </w:rPr>
            </w:pPr>
          </w:p>
        </w:tc>
        <w:tc>
          <w:tcPr>
            <w:tcW w:w="56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6F4F9"/>
          </w:tcPr>
          <w:p>
            <w:pPr>
              <w:spacing w:after="0"/>
              <w:rPr>
                <w:sz w:val="22"/>
                <w:szCs w:val="22"/>
                <w:color w:val="auto"/>
              </w:rPr>
            </w:pPr>
          </w:p>
        </w:tc>
        <w:tc>
          <w:tcPr>
            <w:tcW w:w="2460" w:type="dxa"/>
            <w:vAlign w:val="bottom"/>
            <w:gridSpan w:val="2"/>
            <w:shd w:val="clear" w:color="auto" w:fill="C6F4F9"/>
          </w:tcPr>
          <w:p>
            <w:pPr>
              <w:jc w:val="center"/>
              <w:ind w:right="800"/>
              <w:spacing w:after="0"/>
              <w:rPr>
                <w:sz w:val="20"/>
                <w:szCs w:val="20"/>
                <w:color w:val="auto"/>
              </w:rPr>
            </w:pPr>
            <w:r>
              <w:rPr>
                <w:rFonts w:ascii="Arial" w:cs="Arial" w:eastAsia="Arial" w:hAnsi="Arial"/>
                <w:sz w:val="18"/>
                <w:szCs w:val="18"/>
                <w:color w:val="auto"/>
                <w:w w:val="99"/>
              </w:rPr>
              <w:t>—</w:t>
            </w:r>
          </w:p>
        </w:tc>
      </w:tr>
      <w:tr>
        <w:trPr>
          <w:trHeight w:val="210"/>
        </w:trPr>
        <w:tc>
          <w:tcPr>
            <w:tcW w:w="6760" w:type="dxa"/>
            <w:vAlign w:val="bottom"/>
          </w:tcPr>
          <w:p>
            <w:pPr>
              <w:spacing w:after="0" w:line="197" w:lineRule="exact"/>
              <w:rPr>
                <w:sz w:val="20"/>
                <w:szCs w:val="20"/>
                <w:color w:val="auto"/>
              </w:rPr>
            </w:pPr>
            <w:r>
              <w:rPr>
                <w:rFonts w:ascii="Arial" w:cs="Arial" w:eastAsia="Arial" w:hAnsi="Arial"/>
                <w:sz w:val="18"/>
                <w:szCs w:val="18"/>
                <w:color w:val="auto"/>
              </w:rPr>
              <w:t>Total special items, net</w:t>
            </w:r>
          </w:p>
        </w:tc>
        <w:tc>
          <w:tcPr>
            <w:tcW w:w="10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(65.4)</w:t>
            </w:r>
          </w:p>
        </w:tc>
        <w:tc>
          <w:tcPr>
            <w:tcW w:w="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rPr>
              <w:t>(31.5)</w:t>
            </w:r>
          </w:p>
        </w:tc>
        <w:tc>
          <w:tcPr>
            <w:tcW w:w="134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-641985</wp:posOffset>
            </wp:positionV>
            <wp:extent cx="84836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-333375</wp:posOffset>
            </wp:positionV>
            <wp:extent cx="84836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8360" cy="162560"/>
                    </a:xfrm>
                    <a:prstGeom prst="rect">
                      <a:avLst/>
                    </a:prstGeom>
                    <a:noFill/>
                  </pic:spPr>
                </pic:pic>
              </a:graphicData>
            </a:graphic>
          </wp:anchor>
        </w:drawing>
      </w:r>
    </w:p>
    <w:p>
      <w:pPr>
        <w:spacing w:after="0" w:line="182" w:lineRule="exact"/>
        <w:rPr>
          <w:sz w:val="20"/>
          <w:szCs w:val="20"/>
          <w:color w:val="auto"/>
        </w:rPr>
      </w:pPr>
    </w:p>
    <w:p>
      <w:pPr>
        <w:jc w:val="both"/>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the quarter ended March 31, 2021, </w:t>
      </w:r>
      <w:r>
        <w:rPr>
          <w:rFonts w:ascii="Arial" w:cs="Arial" w:eastAsia="Arial" w:hAnsi="Arial"/>
          <w:sz w:val="18"/>
          <w:szCs w:val="18"/>
          <w:color w:val="212529"/>
        </w:rPr>
        <w:t>the Treasury awarded the Company</w:t>
      </w:r>
      <w:r>
        <w:rPr>
          <w:rFonts w:ascii="Arial" w:cs="Arial" w:eastAsia="Arial" w:hAnsi="Arial"/>
          <w:sz w:val="18"/>
          <w:szCs w:val="18"/>
          <w:color w:val="auto"/>
        </w:rPr>
        <w:t xml:space="preserve"> a grant of $32.2 under PSP2</w:t>
      </w:r>
      <w:r>
        <w:rPr>
          <w:rFonts w:ascii="Arial" w:cs="Arial" w:eastAsia="Arial" w:hAnsi="Arial"/>
          <w:sz w:val="18"/>
          <w:szCs w:val="18"/>
          <w:color w:val="212529"/>
        </w:rPr>
        <w:t>.</w:t>
      </w:r>
      <w:r>
        <w:rPr>
          <w:rFonts w:ascii="Arial" w:cs="Arial" w:eastAsia="Arial" w:hAnsi="Arial"/>
          <w:sz w:val="18"/>
          <w:szCs w:val="18"/>
          <w:color w:val="auto"/>
        </w:rPr>
        <w:t xml:space="preserve"> On April 22, 2021, the Company received $4.8 from the Treasury as a top-off grant under PSP2. Further, the Company received a grant of $34.5 under PSP3, which was received during the quarter ended June 30, 2021</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Relates to a credit recognized under the CARES Act Employee Retention credit which is a refundable tax credit against certain employee taxes</w:t>
      </w:r>
    </w:p>
    <w:p>
      <w:pPr>
        <w:spacing w:after="0" w:line="1"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212529"/>
        </w:rPr>
        <w:t xml:space="preserve">Five aircraft were purchased in March 2021 that were previously under operating leases. One additional aircraft was purchased in April 2021 that was previously under an operating lease. </w:t>
      </w:r>
      <w:r>
        <w:rPr>
          <w:rFonts w:ascii="Arial" w:cs="Arial" w:eastAsia="Arial" w:hAnsi="Arial"/>
          <w:sz w:val="18"/>
          <w:szCs w:val="18"/>
          <w:color w:val="000000"/>
        </w:rPr>
        <w:t>Aircraft lease buy-out expense represents the net costs incurred to</w:t>
      </w:r>
      <w:r>
        <w:rPr>
          <w:rFonts w:ascii="Arial" w:cs="Arial" w:eastAsia="Arial" w:hAnsi="Arial"/>
          <w:sz w:val="18"/>
          <w:szCs w:val="18"/>
          <w:color w:val="212529"/>
        </w:rPr>
        <w:t xml:space="preserve"> </w:t>
      </w:r>
      <w:r>
        <w:rPr>
          <w:rFonts w:ascii="Arial" w:cs="Arial" w:eastAsia="Arial" w:hAnsi="Arial"/>
          <w:sz w:val="18"/>
          <w:szCs w:val="18"/>
          <w:color w:val="000000"/>
        </w:rPr>
        <w:t>terminate the leases on those six aircraft. This includes the associated lease termination costs, write-off of previously capitalized maintenance deposits, and the write-off of over-market liabilities</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Income Statement</w:t>
      </w:r>
    </w:p>
    <w:p>
      <w:pPr>
        <w:spacing w:after="0" w:line="22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following tables present revenue line items, expense line items and select operating statistics to provide a better comparison for 2021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except for operating statistics)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 amounts may not recalculate due to rounding)</w:t>
      </w:r>
    </w:p>
    <w:tbl>
      <w:tblPr>
        <w:tblLayout w:type="fixed"/>
        <w:tblInd w:w="0" w:type="dxa"/>
        <w:tblCellMar>
          <w:top w:w="0" w:type="dxa"/>
          <w:left w:w="0" w:type="dxa"/>
          <w:bottom w:w="0" w:type="dxa"/>
          <w:right w:w="0" w:type="dxa"/>
        </w:tblCellMar>
      </w:tblPr>
      <w:tr>
        <w:trPr>
          <w:trHeight w:val="173"/>
        </w:trPr>
        <w:tc>
          <w:tcPr>
            <w:tcW w:w="47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30"/>
              <w:spacing w:after="0" w:line="173" w:lineRule="exact"/>
              <w:rPr>
                <w:sz w:val="20"/>
                <w:szCs w:val="20"/>
                <w:color w:val="auto"/>
              </w:rPr>
            </w:pPr>
            <w:r>
              <w:rPr>
                <w:rFonts w:ascii="Arial" w:cs="Arial" w:eastAsia="Arial" w:hAnsi="Arial"/>
                <w:sz w:val="18"/>
                <w:szCs w:val="18"/>
                <w:b w:val="1"/>
                <w:bCs w:val="1"/>
                <w:color w:val="auto"/>
              </w:rPr>
              <w:t>2020</w:t>
            </w: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03"/>
        </w:trPr>
        <w:tc>
          <w:tcPr>
            <w:tcW w:w="4740" w:type="dxa"/>
            <w:vAlign w:val="bottom"/>
          </w:tcPr>
          <w:p>
            <w:pPr>
              <w:spacing w:after="0"/>
              <w:rPr>
                <w:sz w:val="17"/>
                <w:szCs w:val="17"/>
                <w:color w:val="auto"/>
              </w:rPr>
            </w:pP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3 Mos Ended</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3 Mos Ended</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 Mos Ended</w:t>
            </w:r>
          </w:p>
        </w:tc>
        <w:tc>
          <w:tcPr>
            <w:tcW w:w="2420" w:type="dxa"/>
            <w:vAlign w:val="bottom"/>
            <w:gridSpan w:val="3"/>
          </w:tcPr>
          <w:p>
            <w:pPr>
              <w:jc w:val="center"/>
              <w:ind w:right="1040"/>
              <w:spacing w:after="0" w:line="202" w:lineRule="exact"/>
              <w:rPr>
                <w:sz w:val="20"/>
                <w:szCs w:val="20"/>
                <w:color w:val="auto"/>
              </w:rPr>
            </w:pPr>
            <w:r>
              <w:rPr>
                <w:rFonts w:ascii="Arial" w:cs="Arial" w:eastAsia="Arial" w:hAnsi="Arial"/>
                <w:sz w:val="18"/>
                <w:szCs w:val="18"/>
                <w:b w:val="1"/>
                <w:bCs w:val="1"/>
                <w:color w:val="auto"/>
                <w:w w:val="99"/>
              </w:rPr>
              <w:t>3 Mos Ended</w:t>
            </w:r>
          </w:p>
        </w:tc>
      </w:tr>
      <w:tr>
        <w:trPr>
          <w:trHeight w:val="225"/>
        </w:trPr>
        <w:tc>
          <w:tcPr>
            <w:tcW w:w="4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 31</w:t>
            </w:r>
          </w:p>
        </w:tc>
        <w:tc>
          <w:tcPr>
            <w:tcW w:w="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Arial" w:cs="Arial" w:eastAsia="Arial" w:hAnsi="Arial"/>
                <w:sz w:val="18"/>
                <w:szCs w:val="18"/>
                <w:b w:val="1"/>
                <w:bCs w:val="1"/>
                <w:color w:val="auto"/>
              </w:rPr>
              <w:t>Sep 30</w:t>
            </w:r>
          </w:p>
        </w:tc>
        <w:tc>
          <w:tcPr>
            <w:tcW w:w="300" w:type="dxa"/>
            <w:vAlign w:val="bottom"/>
          </w:tcPr>
          <w:p>
            <w:pPr>
              <w:spacing w:after="0"/>
              <w:rPr>
                <w:sz w:val="19"/>
                <w:szCs w:val="19"/>
                <w:color w:val="auto"/>
              </w:rPr>
            </w:pPr>
          </w:p>
        </w:tc>
        <w:tc>
          <w:tcPr>
            <w:tcW w:w="212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9"/>
              </w:rPr>
              <w:t>Dec 31</w:t>
            </w:r>
          </w:p>
        </w:tc>
      </w:tr>
      <w:tr>
        <w:trPr>
          <w:trHeight w:val="196"/>
        </w:trPr>
        <w:tc>
          <w:tcPr>
            <w:tcW w:w="474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Operating Revenues:</w:t>
            </w:r>
          </w:p>
        </w:tc>
        <w:tc>
          <w:tcPr>
            <w:tcW w:w="340" w:type="dxa"/>
            <w:vAlign w:val="bottom"/>
            <w:tcBorders>
              <w:top w:val="single" w:sz="8" w:color="auto"/>
            </w:tcBorders>
            <w:shd w:val="clear" w:color="auto" w:fill="C6F4F9"/>
          </w:tcPr>
          <w:p>
            <w:pPr>
              <w:spacing w:after="0"/>
              <w:rPr>
                <w:sz w:val="17"/>
                <w:szCs w:val="17"/>
                <w:color w:val="auto"/>
              </w:rPr>
            </w:pPr>
          </w:p>
        </w:tc>
        <w:tc>
          <w:tcPr>
            <w:tcW w:w="1060" w:type="dxa"/>
            <w:vAlign w:val="bottom"/>
            <w:tcBorders>
              <w:top w:val="single" w:sz="8" w:color="auto"/>
            </w:tcBorders>
            <w:shd w:val="clear" w:color="auto" w:fill="C6F4F9"/>
          </w:tcPr>
          <w:p>
            <w:pPr>
              <w:spacing w:after="0"/>
              <w:rPr>
                <w:sz w:val="17"/>
                <w:szCs w:val="17"/>
                <w:color w:val="auto"/>
              </w:rPr>
            </w:pPr>
          </w:p>
        </w:tc>
        <w:tc>
          <w:tcPr>
            <w:tcW w:w="300" w:type="dxa"/>
            <w:vAlign w:val="bottom"/>
            <w:tcBorders>
              <w:top w:val="single" w:sz="8" w:color="auto"/>
            </w:tcBorders>
            <w:shd w:val="clear" w:color="auto" w:fill="C6F4F9"/>
          </w:tcPr>
          <w:p>
            <w:pPr>
              <w:spacing w:after="0"/>
              <w:rPr>
                <w:sz w:val="17"/>
                <w:szCs w:val="17"/>
                <w:color w:val="auto"/>
              </w:rPr>
            </w:pPr>
          </w:p>
        </w:tc>
        <w:tc>
          <w:tcPr>
            <w:tcW w:w="1060" w:type="dxa"/>
            <w:vAlign w:val="bottom"/>
            <w:tcBorders>
              <w:top w:val="single" w:sz="8" w:color="auto"/>
            </w:tcBorders>
            <w:shd w:val="clear" w:color="auto" w:fill="C6F4F9"/>
          </w:tcPr>
          <w:p>
            <w:pPr>
              <w:spacing w:after="0"/>
              <w:rPr>
                <w:sz w:val="17"/>
                <w:szCs w:val="17"/>
                <w:color w:val="auto"/>
              </w:rPr>
            </w:pPr>
          </w:p>
        </w:tc>
        <w:tc>
          <w:tcPr>
            <w:tcW w:w="300" w:type="dxa"/>
            <w:vAlign w:val="bottom"/>
            <w:tcBorders>
              <w:top w:val="single" w:sz="8" w:color="auto"/>
            </w:tcBorders>
            <w:shd w:val="clear" w:color="auto" w:fill="C6F4F9"/>
          </w:tcPr>
          <w:p>
            <w:pPr>
              <w:spacing w:after="0"/>
              <w:rPr>
                <w:sz w:val="17"/>
                <w:szCs w:val="17"/>
                <w:color w:val="auto"/>
              </w:rPr>
            </w:pPr>
          </w:p>
        </w:tc>
        <w:tc>
          <w:tcPr>
            <w:tcW w:w="1020" w:type="dxa"/>
            <w:vAlign w:val="bottom"/>
            <w:tcBorders>
              <w:top w:val="single" w:sz="8" w:color="auto"/>
            </w:tcBorders>
            <w:shd w:val="clear" w:color="auto" w:fill="C6F4F9"/>
          </w:tcPr>
          <w:p>
            <w:pPr>
              <w:spacing w:after="0"/>
              <w:rPr>
                <w:sz w:val="17"/>
                <w:szCs w:val="17"/>
                <w:color w:val="auto"/>
              </w:rPr>
            </w:pPr>
          </w:p>
        </w:tc>
        <w:tc>
          <w:tcPr>
            <w:tcW w:w="300" w:type="dxa"/>
            <w:vAlign w:val="bottom"/>
            <w:tcBorders>
              <w:top w:val="single" w:sz="8" w:color="auto"/>
            </w:tcBorders>
            <w:shd w:val="clear" w:color="auto" w:fill="C6F4F9"/>
          </w:tcPr>
          <w:p>
            <w:pPr>
              <w:spacing w:after="0"/>
              <w:rPr>
                <w:sz w:val="17"/>
                <w:szCs w:val="17"/>
                <w:color w:val="auto"/>
              </w:rPr>
            </w:pPr>
          </w:p>
        </w:tc>
        <w:tc>
          <w:tcPr>
            <w:tcW w:w="1000" w:type="dxa"/>
            <w:vAlign w:val="bottom"/>
            <w:tcBorders>
              <w:top w:val="single" w:sz="8" w:color="auto"/>
            </w:tcBorders>
            <w:shd w:val="clear" w:color="auto" w:fill="C6F4F9"/>
          </w:tcPr>
          <w:p>
            <w:pPr>
              <w:spacing w:after="0"/>
              <w:rPr>
                <w:sz w:val="17"/>
                <w:szCs w:val="17"/>
                <w:color w:val="auto"/>
              </w:rPr>
            </w:pPr>
          </w:p>
        </w:tc>
        <w:tc>
          <w:tcPr>
            <w:tcW w:w="1120" w:type="dxa"/>
            <w:vAlign w:val="bottom"/>
            <w:tcBorders>
              <w:top w:val="single" w:sz="8" w:color="C6F4F9"/>
            </w:tcBorders>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Scheduled Service</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114.2</w:t>
            </w: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17.9</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27.0</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34.0</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Charter Service</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29.2</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8.5</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23.3</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37.1</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Ancillary</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35.0</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5.0</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12.3</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Cargo</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3.2</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14.2</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19.3</w:t>
            </w:r>
          </w:p>
        </w:tc>
        <w:tc>
          <w:tcPr>
            <w:tcW w:w="1120" w:type="dxa"/>
            <w:vAlign w:val="bottom"/>
            <w:shd w:val="clear" w:color="auto" w:fill="C6F4F9"/>
          </w:tcPr>
          <w:p>
            <w:pPr>
              <w:spacing w:after="0"/>
              <w:rPr>
                <w:sz w:val="17"/>
                <w:szCs w:val="17"/>
                <w:color w:val="auto"/>
              </w:rPr>
            </w:pPr>
          </w:p>
        </w:tc>
      </w:tr>
      <w:tr>
        <w:trPr>
          <w:trHeight w:val="216"/>
        </w:trPr>
        <w:tc>
          <w:tcPr>
            <w:tcW w:w="474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C6F4F9"/>
            </w:tcBorders>
          </w:tcPr>
          <w:p>
            <w:pPr>
              <w:spacing w:after="0"/>
              <w:rPr>
                <w:sz w:val="18"/>
                <w:szCs w:val="18"/>
                <w:color w:val="auto"/>
              </w:rPr>
            </w:pPr>
          </w:p>
        </w:tc>
      </w:tr>
      <w:tr>
        <w:trPr>
          <w:trHeight w:val="196"/>
        </w:trPr>
        <w:tc>
          <w:tcPr>
            <w:tcW w:w="474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Total Operating Revenue</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180.3</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35.4</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196" w:lineRule="exact"/>
              <w:rPr>
                <w:sz w:val="20"/>
                <w:szCs w:val="20"/>
                <w:color w:val="auto"/>
              </w:rPr>
            </w:pPr>
            <w:r>
              <w:rPr>
                <w:rFonts w:ascii="Arial" w:cs="Arial" w:eastAsia="Arial" w:hAnsi="Arial"/>
                <w:sz w:val="18"/>
                <w:szCs w:val="18"/>
                <w:color w:val="auto"/>
              </w:rPr>
              <w:t>78.0</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107.8</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0A0A0A"/>
              </w:rPr>
              <w:t>Operating Expenses: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Fuel</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55.6</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0.7</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13.1</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14.0</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38.1</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32.5</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36.3</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34.7</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Rent</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11.0</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5.9</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6.4</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7.6</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Maintenance</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6.5</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2.4</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6.3</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w:t>
            </w:r>
          </w:p>
        </w:tc>
        <w:tc>
          <w:tcPr>
            <w:tcW w:w="1120" w:type="dxa"/>
            <w:vAlign w:val="bottom"/>
          </w:tcPr>
          <w:p>
            <w:pPr>
              <w:spacing w:after="0"/>
              <w:rPr>
                <w:sz w:val="17"/>
                <w:szCs w:val="17"/>
                <w:color w:val="auto"/>
              </w:rPr>
            </w:pPr>
          </w:p>
        </w:tc>
      </w:tr>
      <w:tr>
        <w:trPr>
          <w:trHeight w:val="202"/>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Sales and Marketing</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8.6</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1.6</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2.9</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3.4</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12.2</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12.9</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Ground Handling</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9.3</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1.6</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4.9</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4.8</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11.1</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8.6</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Special Items, net</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(31.5)</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(32.9)</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(0.2)</w:t>
            </w:r>
          </w:p>
        </w:tc>
        <w:tc>
          <w:tcPr>
            <w:tcW w:w="1120" w:type="dxa"/>
            <w:vAlign w:val="bottom"/>
            <w:shd w:val="clear" w:color="auto" w:fill="C6F4F9"/>
          </w:tcPr>
          <w:p>
            <w:pPr>
              <w:spacing w:after="0"/>
              <w:rPr>
                <w:sz w:val="17"/>
                <w:szCs w:val="17"/>
                <w:color w:val="auto"/>
              </w:rPr>
            </w:pPr>
          </w:p>
        </w:tc>
      </w:tr>
      <w:tr>
        <w:trPr>
          <w:trHeight w:val="216"/>
        </w:trPr>
        <w:tc>
          <w:tcPr>
            <w:tcW w:w="474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Operating, net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14.4</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120" w:type="dxa"/>
            <w:vAlign w:val="bottom"/>
            <w:tcBorders>
              <w:bottom w:val="single" w:sz="8" w:color="C6F4F9"/>
            </w:tcBorders>
          </w:tcPr>
          <w:p>
            <w:pPr>
              <w:spacing w:after="0"/>
              <w:rPr>
                <w:sz w:val="18"/>
                <w:szCs w:val="18"/>
                <w:color w:val="auto"/>
              </w:rPr>
            </w:pPr>
          </w:p>
        </w:tc>
      </w:tr>
      <w:tr>
        <w:trPr>
          <w:trHeight w:val="196"/>
        </w:trPr>
        <w:tc>
          <w:tcPr>
            <w:tcW w:w="474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Total Operating Expenses</w:t>
            </w:r>
          </w:p>
        </w:tc>
        <w:tc>
          <w:tcPr>
            <w:tcW w:w="340" w:type="dxa"/>
            <w:vAlign w:val="bottom"/>
            <w:tcBorders>
              <w:bottom w:val="single" w:sz="8" w:color="auto"/>
            </w:tcBorders>
            <w:shd w:val="clear" w:color="auto" w:fill="C6F4F9"/>
          </w:tcPr>
          <w:p>
            <w:pPr>
              <w:spacing w:after="0"/>
              <w:rPr>
                <w:sz w:val="17"/>
                <w:szCs w:val="17"/>
                <w:color w:val="auto"/>
              </w:rPr>
            </w:pPr>
          </w:p>
        </w:tc>
        <w:tc>
          <w:tcPr>
            <w:tcW w:w="1060" w:type="dxa"/>
            <w:vAlign w:val="bottom"/>
            <w:tcBorders>
              <w:bottom w:val="single" w:sz="8" w:color="auto"/>
            </w:tcBorders>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165.1</w:t>
            </w:r>
          </w:p>
        </w:tc>
        <w:tc>
          <w:tcPr>
            <w:tcW w:w="300" w:type="dxa"/>
            <w:vAlign w:val="bottom"/>
            <w:tcBorders>
              <w:bottom w:val="single" w:sz="8" w:color="auto"/>
            </w:tcBorders>
            <w:shd w:val="clear" w:color="auto" w:fill="C6F4F9"/>
          </w:tcPr>
          <w:p>
            <w:pPr>
              <w:spacing w:after="0"/>
              <w:rPr>
                <w:sz w:val="17"/>
                <w:szCs w:val="17"/>
                <w:color w:val="auto"/>
              </w:rPr>
            </w:pPr>
          </w:p>
        </w:tc>
        <w:tc>
          <w:tcPr>
            <w:tcW w:w="1060" w:type="dxa"/>
            <w:vAlign w:val="bottom"/>
            <w:tcBorders>
              <w:bottom w:val="single" w:sz="8" w:color="auto"/>
            </w:tcBorders>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37.6</w:t>
            </w:r>
          </w:p>
        </w:tc>
        <w:tc>
          <w:tcPr>
            <w:tcW w:w="300" w:type="dxa"/>
            <w:vAlign w:val="bottom"/>
            <w:tcBorders>
              <w:bottom w:val="single" w:sz="8" w:color="auto"/>
            </w:tcBorders>
            <w:shd w:val="clear" w:color="auto" w:fill="C6F4F9"/>
          </w:tcPr>
          <w:p>
            <w:pPr>
              <w:spacing w:after="0"/>
              <w:rPr>
                <w:sz w:val="17"/>
                <w:szCs w:val="17"/>
                <w:color w:val="auto"/>
              </w:rPr>
            </w:pPr>
          </w:p>
        </w:tc>
        <w:tc>
          <w:tcPr>
            <w:tcW w:w="1020" w:type="dxa"/>
            <w:vAlign w:val="bottom"/>
            <w:tcBorders>
              <w:bottom w:val="single" w:sz="8" w:color="auto"/>
            </w:tcBorders>
            <w:shd w:val="clear" w:color="auto" w:fill="C6F4F9"/>
          </w:tcPr>
          <w:p>
            <w:pPr>
              <w:jc w:val="right"/>
              <w:ind w:right="51"/>
              <w:spacing w:after="0" w:line="196" w:lineRule="exact"/>
              <w:rPr>
                <w:sz w:val="20"/>
                <w:szCs w:val="20"/>
                <w:color w:val="auto"/>
              </w:rPr>
            </w:pPr>
            <w:r>
              <w:rPr>
                <w:rFonts w:ascii="Arial" w:cs="Arial" w:eastAsia="Arial" w:hAnsi="Arial"/>
                <w:sz w:val="18"/>
                <w:szCs w:val="18"/>
                <w:color w:val="auto"/>
              </w:rPr>
              <w:t>69.2</w:t>
            </w:r>
          </w:p>
        </w:tc>
        <w:tc>
          <w:tcPr>
            <w:tcW w:w="300" w:type="dxa"/>
            <w:vAlign w:val="bottom"/>
            <w:tcBorders>
              <w:bottom w:val="single" w:sz="8" w:color="auto"/>
            </w:tcBorders>
            <w:shd w:val="clear" w:color="auto" w:fill="C6F4F9"/>
          </w:tcPr>
          <w:p>
            <w:pPr>
              <w:spacing w:after="0"/>
              <w:rPr>
                <w:sz w:val="17"/>
                <w:szCs w:val="17"/>
                <w:color w:val="auto"/>
              </w:rPr>
            </w:pPr>
          </w:p>
        </w:tc>
        <w:tc>
          <w:tcPr>
            <w:tcW w:w="100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112.2</w:t>
            </w:r>
          </w:p>
        </w:tc>
        <w:tc>
          <w:tcPr>
            <w:tcW w:w="1120" w:type="dxa"/>
            <w:vAlign w:val="bottom"/>
            <w:shd w:val="clear" w:color="auto" w:fill="C6F4F9"/>
          </w:tcPr>
          <w:p>
            <w:pPr>
              <w:spacing w:after="0"/>
              <w:rPr>
                <w:sz w:val="17"/>
                <w:szCs w:val="17"/>
                <w:color w:val="auto"/>
              </w:rPr>
            </w:pPr>
          </w:p>
        </w:tc>
      </w:tr>
      <w:tr>
        <w:trPr>
          <w:trHeight w:val="196"/>
        </w:trPr>
        <w:tc>
          <w:tcPr>
            <w:tcW w:w="4740" w:type="dxa"/>
            <w:vAlign w:val="bottom"/>
          </w:tcPr>
          <w:p>
            <w:pPr>
              <w:spacing w:after="0" w:line="196" w:lineRule="exact"/>
              <w:rPr>
                <w:sz w:val="20"/>
                <w:szCs w:val="20"/>
                <w:color w:val="auto"/>
              </w:rPr>
            </w:pPr>
            <w:r>
              <w:rPr>
                <w:rFonts w:ascii="Arial" w:cs="Arial" w:eastAsia="Arial" w:hAnsi="Arial"/>
                <w:sz w:val="18"/>
                <w:szCs w:val="18"/>
                <w:b w:val="1"/>
                <w:bCs w:val="1"/>
                <w:color w:val="0A0A0A"/>
              </w:rPr>
              <w:t>Operating Income (Loss)</w:t>
            </w:r>
          </w:p>
        </w:tc>
        <w:tc>
          <w:tcPr>
            <w:tcW w:w="3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15.2</w:t>
            </w:r>
          </w:p>
        </w:tc>
        <w:tc>
          <w:tcPr>
            <w:tcW w:w="3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line="196" w:lineRule="exact"/>
              <w:rPr>
                <w:sz w:val="20"/>
                <w:szCs w:val="20"/>
                <w:color w:val="auto"/>
              </w:rPr>
            </w:pPr>
            <w:r>
              <w:rPr>
                <w:rFonts w:ascii="Arial" w:cs="Arial" w:eastAsia="Arial" w:hAnsi="Arial"/>
                <w:sz w:val="18"/>
                <w:szCs w:val="18"/>
                <w:color w:val="auto"/>
              </w:rPr>
              <w:t>8.8</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0A0A0A"/>
              </w:rPr>
              <w:t>Operating Statistics:</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spacing w:after="0"/>
              <w:rPr>
                <w:sz w:val="17"/>
                <w:szCs w:val="17"/>
                <w:color w:val="auto"/>
              </w:rPr>
            </w:pP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Scheduled ASMs (millions)</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1,508.2</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318.0</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763.4</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876.6</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Total ASMs (millions)</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1,757.1</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417.5</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974.6</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1,162.0</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Charter Block hours</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3,612</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1,321</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2,920</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4,259</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Cargo Block hours</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1,076</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5,168</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7,604</w:t>
            </w:r>
          </w:p>
        </w:tc>
        <w:tc>
          <w:tcPr>
            <w:tcW w:w="1120" w:type="dxa"/>
            <w:vAlign w:val="bottom"/>
            <w:shd w:val="clear" w:color="auto" w:fill="C6F4F9"/>
          </w:tcPr>
          <w:p>
            <w:pPr>
              <w:spacing w:after="0"/>
              <w:rPr>
                <w:sz w:val="17"/>
                <w:szCs w:val="17"/>
                <w:color w:val="auto"/>
              </w:rPr>
            </w:pPr>
          </w:p>
        </w:tc>
      </w:tr>
      <w:tr>
        <w:trPr>
          <w:trHeight w:val="938"/>
        </w:trPr>
        <w:tc>
          <w:tcPr>
            <w:tcW w:w="4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Page 12</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-3874135</wp:posOffset>
            </wp:positionV>
            <wp:extent cx="71183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835"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-3608070</wp:posOffset>
            </wp:positionV>
            <wp:extent cx="71183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-3350895</wp:posOffset>
            </wp:positionV>
            <wp:extent cx="71183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-3085465</wp:posOffset>
            </wp:positionV>
            <wp:extent cx="71183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835"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-2819400</wp:posOffset>
            </wp:positionV>
            <wp:extent cx="71183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-2562225</wp:posOffset>
            </wp:positionV>
            <wp:extent cx="71183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-2305050</wp:posOffset>
            </wp:positionV>
            <wp:extent cx="711835"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835" cy="12827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-2047875</wp:posOffset>
            </wp:positionV>
            <wp:extent cx="71183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-1790700</wp:posOffset>
            </wp:positionV>
            <wp:extent cx="71183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-1525270</wp:posOffset>
            </wp:positionV>
            <wp:extent cx="71183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835"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-1250950</wp:posOffset>
            </wp:positionV>
            <wp:extent cx="71183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-993775</wp:posOffset>
            </wp:positionV>
            <wp:extent cx="71183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-736600</wp:posOffset>
            </wp:positionV>
            <wp:extent cx="71183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835" cy="1289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except for operating statistics)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 amounts may not recalculate due to rounding)</w:t>
      </w:r>
    </w:p>
    <w:tbl>
      <w:tblPr>
        <w:tblLayout w:type="fixed"/>
        <w:tblInd w:w="0" w:type="dxa"/>
        <w:tblCellMar>
          <w:top w:w="0" w:type="dxa"/>
          <w:left w:w="0" w:type="dxa"/>
          <w:bottom w:w="0" w:type="dxa"/>
          <w:right w:w="0" w:type="dxa"/>
        </w:tblCellMar>
      </w:tblPr>
      <w:tr>
        <w:trPr>
          <w:trHeight w:val="173"/>
        </w:trPr>
        <w:tc>
          <w:tcPr>
            <w:tcW w:w="47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30"/>
              <w:spacing w:after="0" w:line="173" w:lineRule="exact"/>
              <w:rPr>
                <w:sz w:val="20"/>
                <w:szCs w:val="20"/>
                <w:color w:val="auto"/>
              </w:rPr>
            </w:pPr>
            <w:r>
              <w:rPr>
                <w:rFonts w:ascii="Arial" w:cs="Arial" w:eastAsia="Arial" w:hAnsi="Arial"/>
                <w:sz w:val="18"/>
                <w:szCs w:val="18"/>
                <w:b w:val="1"/>
                <w:bCs w:val="1"/>
                <w:color w:val="auto"/>
              </w:rPr>
              <w:t>2019</w:t>
            </w: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03"/>
        </w:trPr>
        <w:tc>
          <w:tcPr>
            <w:tcW w:w="4740" w:type="dxa"/>
            <w:vAlign w:val="bottom"/>
          </w:tcPr>
          <w:p>
            <w:pPr>
              <w:spacing w:after="0"/>
              <w:rPr>
                <w:sz w:val="17"/>
                <w:szCs w:val="17"/>
                <w:color w:val="auto"/>
              </w:rPr>
            </w:pPr>
          </w:p>
        </w:tc>
        <w:tc>
          <w:tcPr>
            <w:tcW w:w="140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3 Mos Ended</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3 Mos Ended</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 Mos Ended</w:t>
            </w:r>
          </w:p>
        </w:tc>
        <w:tc>
          <w:tcPr>
            <w:tcW w:w="2420" w:type="dxa"/>
            <w:vAlign w:val="bottom"/>
            <w:gridSpan w:val="3"/>
          </w:tcPr>
          <w:p>
            <w:pPr>
              <w:jc w:val="center"/>
              <w:ind w:right="1040"/>
              <w:spacing w:after="0" w:line="202" w:lineRule="exact"/>
              <w:rPr>
                <w:sz w:val="20"/>
                <w:szCs w:val="20"/>
                <w:color w:val="auto"/>
              </w:rPr>
            </w:pPr>
            <w:r>
              <w:rPr>
                <w:rFonts w:ascii="Arial" w:cs="Arial" w:eastAsia="Arial" w:hAnsi="Arial"/>
                <w:sz w:val="18"/>
                <w:szCs w:val="18"/>
                <w:b w:val="1"/>
                <w:bCs w:val="1"/>
                <w:color w:val="auto"/>
                <w:w w:val="99"/>
              </w:rPr>
              <w:t>3 Mos Ended</w:t>
            </w:r>
          </w:p>
        </w:tc>
      </w:tr>
      <w:tr>
        <w:trPr>
          <w:trHeight w:val="225"/>
        </w:trPr>
        <w:tc>
          <w:tcPr>
            <w:tcW w:w="4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 31</w:t>
            </w:r>
          </w:p>
        </w:tc>
        <w:tc>
          <w:tcPr>
            <w:tcW w:w="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Arial" w:cs="Arial" w:eastAsia="Arial" w:hAnsi="Arial"/>
                <w:sz w:val="18"/>
                <w:szCs w:val="18"/>
                <w:b w:val="1"/>
                <w:bCs w:val="1"/>
                <w:color w:val="auto"/>
              </w:rPr>
              <w:t>Sep 30</w:t>
            </w:r>
          </w:p>
        </w:tc>
        <w:tc>
          <w:tcPr>
            <w:tcW w:w="300" w:type="dxa"/>
            <w:vAlign w:val="bottom"/>
          </w:tcPr>
          <w:p>
            <w:pPr>
              <w:spacing w:after="0"/>
              <w:rPr>
                <w:sz w:val="19"/>
                <w:szCs w:val="19"/>
                <w:color w:val="auto"/>
              </w:rPr>
            </w:pPr>
          </w:p>
        </w:tc>
        <w:tc>
          <w:tcPr>
            <w:tcW w:w="212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9"/>
              </w:rPr>
              <w:t>Dec 31</w:t>
            </w:r>
          </w:p>
        </w:tc>
      </w:tr>
      <w:tr>
        <w:trPr>
          <w:trHeight w:val="196"/>
        </w:trPr>
        <w:tc>
          <w:tcPr>
            <w:tcW w:w="474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Operating Revenues:</w:t>
            </w:r>
          </w:p>
        </w:tc>
        <w:tc>
          <w:tcPr>
            <w:tcW w:w="340" w:type="dxa"/>
            <w:vAlign w:val="bottom"/>
            <w:tcBorders>
              <w:top w:val="single" w:sz="8" w:color="auto"/>
            </w:tcBorders>
            <w:shd w:val="clear" w:color="auto" w:fill="C6F4F9"/>
          </w:tcPr>
          <w:p>
            <w:pPr>
              <w:spacing w:after="0"/>
              <w:rPr>
                <w:sz w:val="17"/>
                <w:szCs w:val="17"/>
                <w:color w:val="auto"/>
              </w:rPr>
            </w:pPr>
          </w:p>
        </w:tc>
        <w:tc>
          <w:tcPr>
            <w:tcW w:w="1060" w:type="dxa"/>
            <w:vAlign w:val="bottom"/>
            <w:tcBorders>
              <w:top w:val="single" w:sz="8" w:color="auto"/>
            </w:tcBorders>
            <w:shd w:val="clear" w:color="auto" w:fill="C6F4F9"/>
          </w:tcPr>
          <w:p>
            <w:pPr>
              <w:spacing w:after="0"/>
              <w:rPr>
                <w:sz w:val="17"/>
                <w:szCs w:val="17"/>
                <w:color w:val="auto"/>
              </w:rPr>
            </w:pPr>
          </w:p>
        </w:tc>
        <w:tc>
          <w:tcPr>
            <w:tcW w:w="300" w:type="dxa"/>
            <w:vAlign w:val="bottom"/>
            <w:tcBorders>
              <w:top w:val="single" w:sz="8" w:color="auto"/>
            </w:tcBorders>
            <w:shd w:val="clear" w:color="auto" w:fill="C6F4F9"/>
          </w:tcPr>
          <w:p>
            <w:pPr>
              <w:spacing w:after="0"/>
              <w:rPr>
                <w:sz w:val="17"/>
                <w:szCs w:val="17"/>
                <w:color w:val="auto"/>
              </w:rPr>
            </w:pPr>
          </w:p>
        </w:tc>
        <w:tc>
          <w:tcPr>
            <w:tcW w:w="1060" w:type="dxa"/>
            <w:vAlign w:val="bottom"/>
            <w:tcBorders>
              <w:top w:val="single" w:sz="8" w:color="auto"/>
            </w:tcBorders>
            <w:shd w:val="clear" w:color="auto" w:fill="C6F4F9"/>
          </w:tcPr>
          <w:p>
            <w:pPr>
              <w:spacing w:after="0"/>
              <w:rPr>
                <w:sz w:val="17"/>
                <w:szCs w:val="17"/>
                <w:color w:val="auto"/>
              </w:rPr>
            </w:pPr>
          </w:p>
        </w:tc>
        <w:tc>
          <w:tcPr>
            <w:tcW w:w="300" w:type="dxa"/>
            <w:vAlign w:val="bottom"/>
            <w:tcBorders>
              <w:top w:val="single" w:sz="8" w:color="auto"/>
            </w:tcBorders>
            <w:shd w:val="clear" w:color="auto" w:fill="C6F4F9"/>
          </w:tcPr>
          <w:p>
            <w:pPr>
              <w:spacing w:after="0"/>
              <w:rPr>
                <w:sz w:val="17"/>
                <w:szCs w:val="17"/>
                <w:color w:val="auto"/>
              </w:rPr>
            </w:pPr>
          </w:p>
        </w:tc>
        <w:tc>
          <w:tcPr>
            <w:tcW w:w="1020" w:type="dxa"/>
            <w:vAlign w:val="bottom"/>
            <w:tcBorders>
              <w:top w:val="single" w:sz="8" w:color="auto"/>
            </w:tcBorders>
            <w:shd w:val="clear" w:color="auto" w:fill="C6F4F9"/>
          </w:tcPr>
          <w:p>
            <w:pPr>
              <w:spacing w:after="0"/>
              <w:rPr>
                <w:sz w:val="17"/>
                <w:szCs w:val="17"/>
                <w:color w:val="auto"/>
              </w:rPr>
            </w:pPr>
          </w:p>
        </w:tc>
        <w:tc>
          <w:tcPr>
            <w:tcW w:w="300" w:type="dxa"/>
            <w:vAlign w:val="bottom"/>
            <w:tcBorders>
              <w:top w:val="single" w:sz="8" w:color="auto"/>
            </w:tcBorders>
            <w:shd w:val="clear" w:color="auto" w:fill="C6F4F9"/>
          </w:tcPr>
          <w:p>
            <w:pPr>
              <w:spacing w:after="0"/>
              <w:rPr>
                <w:sz w:val="17"/>
                <w:szCs w:val="17"/>
                <w:color w:val="auto"/>
              </w:rPr>
            </w:pPr>
          </w:p>
        </w:tc>
        <w:tc>
          <w:tcPr>
            <w:tcW w:w="1000" w:type="dxa"/>
            <w:vAlign w:val="bottom"/>
            <w:tcBorders>
              <w:top w:val="single" w:sz="8" w:color="auto"/>
            </w:tcBorders>
            <w:shd w:val="clear" w:color="auto" w:fill="C6F4F9"/>
          </w:tcPr>
          <w:p>
            <w:pPr>
              <w:spacing w:after="0"/>
              <w:rPr>
                <w:sz w:val="17"/>
                <w:szCs w:val="17"/>
                <w:color w:val="auto"/>
              </w:rPr>
            </w:pPr>
          </w:p>
        </w:tc>
        <w:tc>
          <w:tcPr>
            <w:tcW w:w="1120" w:type="dxa"/>
            <w:vAlign w:val="bottom"/>
            <w:tcBorders>
              <w:top w:val="single" w:sz="8" w:color="C6F4F9"/>
            </w:tcBorders>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Scheduled Service</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124,1</w:t>
            </w: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95.4</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93.0</w:t>
            </w: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83.6</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Charter Service</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38.2</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41.7</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45.9</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48.8</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Ancillary</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29.4</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29.2</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30.5</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29.0</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Cargo</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7"/>
                <w:szCs w:val="17"/>
                <w:color w:val="auto"/>
              </w:rPr>
            </w:pPr>
          </w:p>
        </w:tc>
        <w:tc>
          <w:tcPr>
            <w:tcW w:w="2120" w:type="dxa"/>
            <w:vAlign w:val="bottom"/>
            <w:gridSpan w:val="2"/>
            <w:shd w:val="clear" w:color="auto" w:fill="C6F4F9"/>
          </w:tcPr>
          <w:p>
            <w:pPr>
              <w:ind w:left="620"/>
              <w:spacing w:after="0" w:line="202" w:lineRule="exact"/>
              <w:rPr>
                <w:sz w:val="20"/>
                <w:szCs w:val="20"/>
                <w:color w:val="auto"/>
              </w:rPr>
            </w:pPr>
            <w:r>
              <w:rPr>
                <w:rFonts w:ascii="Arial" w:cs="Arial" w:eastAsia="Arial" w:hAnsi="Arial"/>
                <w:sz w:val="18"/>
                <w:szCs w:val="18"/>
                <w:color w:val="auto"/>
              </w:rPr>
              <w:t>—</w:t>
            </w:r>
          </w:p>
        </w:tc>
      </w:tr>
      <w:tr>
        <w:trPr>
          <w:trHeight w:val="216"/>
        </w:trPr>
        <w:tc>
          <w:tcPr>
            <w:tcW w:w="474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120" w:type="dxa"/>
            <w:vAlign w:val="bottom"/>
            <w:tcBorders>
              <w:bottom w:val="single" w:sz="8" w:color="C6F4F9"/>
            </w:tcBorders>
          </w:tcPr>
          <w:p>
            <w:pPr>
              <w:spacing w:after="0"/>
              <w:rPr>
                <w:sz w:val="18"/>
                <w:szCs w:val="18"/>
                <w:color w:val="auto"/>
              </w:rPr>
            </w:pPr>
          </w:p>
        </w:tc>
      </w:tr>
      <w:tr>
        <w:trPr>
          <w:trHeight w:val="196"/>
        </w:trPr>
        <w:tc>
          <w:tcPr>
            <w:tcW w:w="474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Total Operating Revenue</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196.7</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169.4</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196" w:lineRule="exact"/>
              <w:rPr>
                <w:sz w:val="20"/>
                <w:szCs w:val="20"/>
                <w:color w:val="auto"/>
              </w:rPr>
            </w:pPr>
            <w:r>
              <w:rPr>
                <w:rFonts w:ascii="Arial" w:cs="Arial" w:eastAsia="Arial" w:hAnsi="Arial"/>
                <w:sz w:val="18"/>
                <w:szCs w:val="18"/>
                <w:color w:val="auto"/>
              </w:rPr>
              <w:t>171.5</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163.9</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0A0A0A"/>
              </w:rPr>
              <w:t>Operating Expenses: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Fuel</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36.6</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43.5</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47.3</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38.3</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34.8</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36.3</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34.6</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35.1</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Rent</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14.6</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12.4</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10.9</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11.9</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Maintenance</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9.5</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6.1</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9.4</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Sales and Marketing</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10.6</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9.0</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7.8</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8.0</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7.5</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8.5</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9.4</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9.5</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Ground Handling</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10.1</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10.0</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10.9</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10.7</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11.1</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12.2</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Special Items, net</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7.4</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0.0</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0.7</w:t>
            </w:r>
          </w:p>
        </w:tc>
        <w:tc>
          <w:tcPr>
            <w:tcW w:w="1120" w:type="dxa"/>
            <w:vAlign w:val="bottom"/>
            <w:shd w:val="clear" w:color="auto" w:fill="C6F4F9"/>
          </w:tcPr>
          <w:p>
            <w:pPr>
              <w:spacing w:after="0"/>
              <w:rPr>
                <w:sz w:val="17"/>
                <w:szCs w:val="17"/>
                <w:color w:val="auto"/>
              </w:rPr>
            </w:pPr>
          </w:p>
        </w:tc>
      </w:tr>
      <w:tr>
        <w:trPr>
          <w:trHeight w:val="216"/>
        </w:trPr>
        <w:tc>
          <w:tcPr>
            <w:tcW w:w="474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Other Operating, net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18.6</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1120" w:type="dxa"/>
            <w:vAlign w:val="bottom"/>
            <w:tcBorders>
              <w:bottom w:val="single" w:sz="8" w:color="C6F4F9"/>
            </w:tcBorders>
          </w:tcPr>
          <w:p>
            <w:pPr>
              <w:spacing w:after="0"/>
              <w:rPr>
                <w:sz w:val="18"/>
                <w:szCs w:val="18"/>
                <w:color w:val="auto"/>
              </w:rPr>
            </w:pPr>
          </w:p>
        </w:tc>
      </w:tr>
      <w:tr>
        <w:trPr>
          <w:trHeight w:val="196"/>
        </w:trPr>
        <w:tc>
          <w:tcPr>
            <w:tcW w:w="474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Total Operating Expenses</w:t>
            </w:r>
          </w:p>
        </w:tc>
        <w:tc>
          <w:tcPr>
            <w:tcW w:w="340" w:type="dxa"/>
            <w:vAlign w:val="bottom"/>
            <w:tcBorders>
              <w:bottom w:val="single" w:sz="8" w:color="auto"/>
            </w:tcBorders>
            <w:shd w:val="clear" w:color="auto" w:fill="C6F4F9"/>
          </w:tcPr>
          <w:p>
            <w:pPr>
              <w:spacing w:after="0"/>
              <w:rPr>
                <w:sz w:val="17"/>
                <w:szCs w:val="17"/>
                <w:color w:val="auto"/>
              </w:rPr>
            </w:pPr>
          </w:p>
        </w:tc>
        <w:tc>
          <w:tcPr>
            <w:tcW w:w="1060" w:type="dxa"/>
            <w:vAlign w:val="bottom"/>
            <w:tcBorders>
              <w:bottom w:val="single" w:sz="8" w:color="auto"/>
            </w:tcBorders>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150.2</w:t>
            </w:r>
          </w:p>
        </w:tc>
        <w:tc>
          <w:tcPr>
            <w:tcW w:w="300" w:type="dxa"/>
            <w:vAlign w:val="bottom"/>
            <w:tcBorders>
              <w:bottom w:val="single" w:sz="8" w:color="auto"/>
            </w:tcBorders>
            <w:shd w:val="clear" w:color="auto" w:fill="C6F4F9"/>
          </w:tcPr>
          <w:p>
            <w:pPr>
              <w:spacing w:after="0"/>
              <w:rPr>
                <w:sz w:val="17"/>
                <w:szCs w:val="17"/>
                <w:color w:val="auto"/>
              </w:rPr>
            </w:pPr>
          </w:p>
        </w:tc>
        <w:tc>
          <w:tcPr>
            <w:tcW w:w="1060" w:type="dxa"/>
            <w:vAlign w:val="bottom"/>
            <w:tcBorders>
              <w:bottom w:val="single" w:sz="8" w:color="auto"/>
            </w:tcBorders>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159.8</w:t>
            </w:r>
          </w:p>
        </w:tc>
        <w:tc>
          <w:tcPr>
            <w:tcW w:w="300" w:type="dxa"/>
            <w:vAlign w:val="bottom"/>
            <w:tcBorders>
              <w:bottom w:val="single" w:sz="8" w:color="auto"/>
            </w:tcBorders>
            <w:shd w:val="clear" w:color="auto" w:fill="C6F4F9"/>
          </w:tcPr>
          <w:p>
            <w:pPr>
              <w:spacing w:after="0"/>
              <w:rPr>
                <w:sz w:val="17"/>
                <w:szCs w:val="17"/>
                <w:color w:val="auto"/>
              </w:rPr>
            </w:pPr>
          </w:p>
        </w:tc>
        <w:tc>
          <w:tcPr>
            <w:tcW w:w="1020" w:type="dxa"/>
            <w:vAlign w:val="bottom"/>
            <w:tcBorders>
              <w:bottom w:val="single" w:sz="8" w:color="auto"/>
            </w:tcBorders>
            <w:shd w:val="clear" w:color="auto" w:fill="C6F4F9"/>
          </w:tcPr>
          <w:p>
            <w:pPr>
              <w:jc w:val="right"/>
              <w:ind w:right="51"/>
              <w:spacing w:after="0" w:line="196" w:lineRule="exact"/>
              <w:rPr>
                <w:sz w:val="20"/>
                <w:szCs w:val="20"/>
                <w:color w:val="auto"/>
              </w:rPr>
            </w:pPr>
            <w:r>
              <w:rPr>
                <w:rFonts w:ascii="Arial" w:cs="Arial" w:eastAsia="Arial" w:hAnsi="Arial"/>
                <w:sz w:val="18"/>
                <w:szCs w:val="18"/>
                <w:color w:val="auto"/>
              </w:rPr>
              <w:t>161.0</w:t>
            </w:r>
          </w:p>
        </w:tc>
        <w:tc>
          <w:tcPr>
            <w:tcW w:w="300" w:type="dxa"/>
            <w:vAlign w:val="bottom"/>
            <w:tcBorders>
              <w:bottom w:val="single" w:sz="8" w:color="auto"/>
            </w:tcBorders>
            <w:shd w:val="clear" w:color="auto" w:fill="C6F4F9"/>
          </w:tcPr>
          <w:p>
            <w:pPr>
              <w:spacing w:after="0"/>
              <w:rPr>
                <w:sz w:val="17"/>
                <w:szCs w:val="17"/>
                <w:color w:val="auto"/>
              </w:rPr>
            </w:pPr>
          </w:p>
        </w:tc>
        <w:tc>
          <w:tcPr>
            <w:tcW w:w="1000" w:type="dxa"/>
            <w:vAlign w:val="bottom"/>
            <w:tcBorders>
              <w:bottom w:val="single" w:sz="8" w:color="auto"/>
            </w:tcBorders>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152.3</w:t>
            </w:r>
          </w:p>
        </w:tc>
        <w:tc>
          <w:tcPr>
            <w:tcW w:w="1120" w:type="dxa"/>
            <w:vAlign w:val="bottom"/>
            <w:shd w:val="clear" w:color="auto" w:fill="C6F4F9"/>
          </w:tcPr>
          <w:p>
            <w:pPr>
              <w:spacing w:after="0"/>
              <w:rPr>
                <w:sz w:val="17"/>
                <w:szCs w:val="17"/>
                <w:color w:val="auto"/>
              </w:rPr>
            </w:pPr>
          </w:p>
        </w:tc>
      </w:tr>
      <w:tr>
        <w:trPr>
          <w:trHeight w:val="196"/>
        </w:trPr>
        <w:tc>
          <w:tcPr>
            <w:tcW w:w="4740" w:type="dxa"/>
            <w:vAlign w:val="bottom"/>
          </w:tcPr>
          <w:p>
            <w:pPr>
              <w:spacing w:after="0" w:line="196" w:lineRule="exact"/>
              <w:rPr>
                <w:sz w:val="20"/>
                <w:szCs w:val="20"/>
                <w:color w:val="auto"/>
              </w:rPr>
            </w:pPr>
            <w:r>
              <w:rPr>
                <w:rFonts w:ascii="Arial" w:cs="Arial" w:eastAsia="Arial" w:hAnsi="Arial"/>
                <w:sz w:val="18"/>
                <w:szCs w:val="18"/>
                <w:b w:val="1"/>
                <w:bCs w:val="1"/>
                <w:color w:val="0A0A0A"/>
              </w:rPr>
              <w:t>Operating Income</w:t>
            </w:r>
          </w:p>
        </w:tc>
        <w:tc>
          <w:tcPr>
            <w:tcW w:w="3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46.5</w:t>
            </w:r>
          </w:p>
        </w:tc>
        <w:tc>
          <w:tcPr>
            <w:tcW w:w="3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9.5</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10.5</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11.6</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0A0A0A"/>
              </w:rPr>
              <w:t>Operating Statistics:</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spacing w:after="0"/>
              <w:rPr>
                <w:sz w:val="17"/>
                <w:szCs w:val="17"/>
                <w:color w:val="auto"/>
              </w:rPr>
            </w:pP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Scheduled ASMs (millions)</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1,532.6</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1,429.4</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1,486.2</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1,299.1</w:t>
            </w:r>
          </w:p>
        </w:tc>
        <w:tc>
          <w:tcPr>
            <w:tcW w:w="1120" w:type="dxa"/>
            <w:vAlign w:val="bottom"/>
          </w:tcPr>
          <w:p>
            <w:pPr>
              <w:spacing w:after="0"/>
              <w:rPr>
                <w:sz w:val="17"/>
                <w:szCs w:val="17"/>
                <w:color w:val="auto"/>
              </w:rPr>
            </w:pPr>
          </w:p>
        </w:tc>
      </w:tr>
      <w:tr>
        <w:trPr>
          <w:trHeight w:val="203"/>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Total ASMs (millions)</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1,813.5</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1,744.3</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51"/>
              <w:spacing w:after="0" w:line="202" w:lineRule="exact"/>
              <w:rPr>
                <w:sz w:val="20"/>
                <w:szCs w:val="20"/>
                <w:color w:val="auto"/>
              </w:rPr>
            </w:pPr>
            <w:r>
              <w:rPr>
                <w:rFonts w:ascii="Arial" w:cs="Arial" w:eastAsia="Arial" w:hAnsi="Arial"/>
                <w:sz w:val="18"/>
                <w:szCs w:val="18"/>
                <w:color w:val="auto"/>
              </w:rPr>
              <w:t>1,851.8</w:t>
            </w:r>
          </w:p>
        </w:tc>
        <w:tc>
          <w:tcPr>
            <w:tcW w:w="300" w:type="dxa"/>
            <w:vAlign w:val="bottom"/>
            <w:shd w:val="clear" w:color="auto" w:fill="C6F4F9"/>
          </w:tcPr>
          <w:p>
            <w:pPr>
              <w:spacing w:after="0"/>
              <w:rPr>
                <w:sz w:val="17"/>
                <w:szCs w:val="17"/>
                <w:color w:val="auto"/>
              </w:rPr>
            </w:pPr>
          </w:p>
        </w:tc>
        <w:tc>
          <w:tcPr>
            <w:tcW w:w="100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1,654.9</w:t>
            </w:r>
          </w:p>
        </w:tc>
        <w:tc>
          <w:tcPr>
            <w:tcW w:w="1120" w:type="dxa"/>
            <w:vAlign w:val="bottom"/>
            <w:shd w:val="clear" w:color="auto" w:fill="C6F4F9"/>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0A0A0A"/>
              </w:rPr>
              <w:t>Charter Block hours</w:t>
            </w:r>
          </w:p>
        </w:tc>
        <w:tc>
          <w:tcPr>
            <w:tcW w:w="340" w:type="dxa"/>
            <w:vAlign w:val="bottom"/>
          </w:tcPr>
          <w:p>
            <w:pPr>
              <w:spacing w:after="0"/>
              <w:rPr>
                <w:sz w:val="17"/>
                <w:szCs w:val="17"/>
                <w:color w:val="auto"/>
              </w:rPr>
            </w:pP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4,441</w:t>
            </w:r>
          </w:p>
        </w:tc>
        <w:tc>
          <w:tcPr>
            <w:tcW w:w="300" w:type="dxa"/>
            <w:vAlign w:val="bottom"/>
          </w:tcPr>
          <w:p>
            <w:pPr>
              <w:spacing w:after="0"/>
              <w:rPr>
                <w:sz w:val="17"/>
                <w:szCs w:val="17"/>
                <w:color w:val="auto"/>
              </w:rPr>
            </w:pP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4,820</w:t>
            </w:r>
          </w:p>
        </w:tc>
        <w:tc>
          <w:tcPr>
            <w:tcW w:w="30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5,300</w:t>
            </w:r>
          </w:p>
        </w:tc>
        <w:tc>
          <w:tcPr>
            <w:tcW w:w="3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5,292</w:t>
            </w:r>
          </w:p>
        </w:tc>
        <w:tc>
          <w:tcPr>
            <w:tcW w:w="1120" w:type="dxa"/>
            <w:vAlign w:val="bottom"/>
          </w:tcPr>
          <w:p>
            <w:pPr>
              <w:spacing w:after="0"/>
              <w:rPr>
                <w:sz w:val="17"/>
                <w:szCs w:val="17"/>
                <w:color w:val="auto"/>
              </w:rPr>
            </w:pPr>
          </w:p>
        </w:tc>
      </w:tr>
      <w:tr>
        <w:trPr>
          <w:trHeight w:val="202"/>
        </w:trPr>
        <w:tc>
          <w:tcPr>
            <w:tcW w:w="47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Cargo Block hours</w:t>
            </w:r>
          </w:p>
        </w:tc>
        <w:tc>
          <w:tcPr>
            <w:tcW w:w="34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7"/>
                <w:szCs w:val="17"/>
                <w:color w:val="auto"/>
              </w:rPr>
            </w:pPr>
          </w:p>
        </w:tc>
        <w:tc>
          <w:tcPr>
            <w:tcW w:w="106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7"/>
                <w:szCs w:val="17"/>
                <w:color w:val="auto"/>
              </w:rPr>
            </w:pPr>
          </w:p>
        </w:tc>
        <w:tc>
          <w:tcPr>
            <w:tcW w:w="1020" w:type="dxa"/>
            <w:vAlign w:val="bottom"/>
            <w:shd w:val="clear" w:color="auto" w:fill="C6F4F9"/>
          </w:tcPr>
          <w:p>
            <w:pPr>
              <w:jc w:val="right"/>
              <w:ind w:right="15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6F4F9"/>
          </w:tcPr>
          <w:p>
            <w:pPr>
              <w:spacing w:after="0"/>
              <w:rPr>
                <w:sz w:val="17"/>
                <w:szCs w:val="17"/>
                <w:color w:val="auto"/>
              </w:rPr>
            </w:pPr>
          </w:p>
        </w:tc>
        <w:tc>
          <w:tcPr>
            <w:tcW w:w="2120" w:type="dxa"/>
            <w:vAlign w:val="bottom"/>
            <w:gridSpan w:val="2"/>
            <w:shd w:val="clear" w:color="auto" w:fill="C6F4F9"/>
          </w:tcPr>
          <w:p>
            <w:pPr>
              <w:ind w:left="620"/>
              <w:spacing w:after="0" w:line="202" w:lineRule="exact"/>
              <w:rPr>
                <w:sz w:val="20"/>
                <w:szCs w:val="20"/>
                <w:color w:val="auto"/>
              </w:rPr>
            </w:pPr>
            <w:r>
              <w:rPr>
                <w:rFonts w:ascii="Arial" w:cs="Arial" w:eastAsia="Arial" w:hAnsi="Arial"/>
                <w:sz w:val="18"/>
                <w:szCs w:val="18"/>
                <w:color w:val="auto"/>
              </w:rPr>
              <w:t>—</w:t>
            </w:r>
          </w:p>
        </w:tc>
      </w:tr>
      <w:tr>
        <w:trPr>
          <w:trHeight w:val="939"/>
        </w:trPr>
        <w:tc>
          <w:tcPr>
            <w:tcW w:w="4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Page 13</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-3874135</wp:posOffset>
            </wp:positionV>
            <wp:extent cx="71183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835"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-3608070</wp:posOffset>
            </wp:positionV>
            <wp:extent cx="71183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-3350895</wp:posOffset>
            </wp:positionV>
            <wp:extent cx="71183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-3085465</wp:posOffset>
            </wp:positionV>
            <wp:extent cx="71183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835"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-2820035</wp:posOffset>
            </wp:positionV>
            <wp:extent cx="71183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-2562860</wp:posOffset>
            </wp:positionV>
            <wp:extent cx="71183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-2305685</wp:posOffset>
            </wp:positionV>
            <wp:extent cx="71183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-2048510</wp:posOffset>
            </wp:positionV>
            <wp:extent cx="71183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-1790700</wp:posOffset>
            </wp:positionV>
            <wp:extent cx="71183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-1525270</wp:posOffset>
            </wp:positionV>
            <wp:extent cx="71183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835" cy="1371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-1250950</wp:posOffset>
            </wp:positionV>
            <wp:extent cx="71183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-993775</wp:posOffset>
            </wp:positionV>
            <wp:extent cx="71183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835" cy="1289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-736600</wp:posOffset>
            </wp:positionV>
            <wp:extent cx="711835" cy="128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835" cy="12827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EBITDAR and Adjusted EBITDAR Margin</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and Adjusted EBITDAR Margin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and Adjusted EBITDAR Margin may be recurring in nature and should not be disregarded in evaluation of our earnings performance, Adjusted EBITDAR and Adjusted EBITDAR Margin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and Adjusted EBITDAR Margin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20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EBITDAR and Adjusted EBITDAR Margin have limitations as analytical tools. Some of the limitations applicable to these measures include: Adjusted Operating Income, Adjusted Operating Income Margin, Adjusted Income Before Income Tax, Adjusted Pre-tax Margin, Adjusted Net Income, Adjusted EBITDAR and Adjusted EBITDAR Margin do not reflect the impact of certain cash charges resulting from matters we consider not to be indicative of our ongoing operations; Adjusted EBITDAR and Adjusted EBITDAR Margin does not reflect our cash expenditures, or future requirements, for capital expenditures or contractual commitments; Adjusted EBITDAR and Adjusted EBITDAR Margin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and Adjusted EBITDAR Margin does not reflect any cash requirements for such replacements; and other companies in our industry may calculate Adjusted Operating Income, Adjusted Operating Income Margin, Adjusted Income Before Income Tax, Adjusted Pre-tax Margin, Adjusted Net Income, Adjusted EBITDAR and Adjusted EBITDAR Margin differently than we do, limiting each measure’s usefulness as a comparative measure. Because of these limitations, Adjusted Operating Income, Adjusted Operating Income Margin, Adjusted Income Before Income Tax, Adjusted Pre-tax Margin, Adjusted Net Income, Adjusted EBITDAR and Adjusted EBITDAR Margin should not be considered in isolation or as a substitute for performance measures calculated in accordance with GAAP.</w:t>
      </w:r>
    </w:p>
    <w:p>
      <w:pPr>
        <w:spacing w:after="0" w:line="20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As derivations of Adjusted Operating Income, Adjusted Operating Income Margin, Adjusted Income Before Income Tax, Adjusted Pre-tax Margin, Adjusted Net Income, Adjusted EBITDAR and Adjusted EBITDAR Margin are not determined in accordance with GAAP, such measures are susceptible to varying calculations and not all companies calculate the measures in the same manner. As a result, derivations of net income, including Adjusted Operating Income, Adjusted Operating Income Margin, Adjusted Income Before Income</w:t>
      </w:r>
    </w:p>
    <w:p>
      <w:pPr>
        <w:spacing w:after="0" w:line="200" w:lineRule="exact"/>
        <w:rPr>
          <w:sz w:val="20"/>
          <w:szCs w:val="20"/>
          <w:color w:val="auto"/>
        </w:rPr>
      </w:pPr>
    </w:p>
    <w:p>
      <w:pPr>
        <w:spacing w:after="0" w:line="302"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509270</wp:posOffset>
            </wp:positionV>
            <wp:extent cx="2254250" cy="908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Tax, Adjusted Pre-tax Margin, Adjusted Net Income, Adjusted EBITDAR and Adjusted EBITDAR Margin, as presented may not be directly comparable to similarly titled measures presented by other companies. For the foregoing reasons, each of Adjusted Operating Income, Adjusted Operating Income Margin, Adjusted Income Before Income Tax, Adjusted Pre-tax Margin, Adjusted Net Income, Adjusted EBITDAR and Adjusted EBITDAR Margin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15</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5085715</wp:posOffset>
            </wp:positionH>
            <wp:positionV relativeFrom="page">
              <wp:posOffset>509270</wp:posOffset>
            </wp:positionV>
            <wp:extent cx="2254250" cy="908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540"/>
        <w:spacing w:after="0" w:line="271" w:lineRule="auto"/>
        <w:rPr>
          <w:sz w:val="20"/>
          <w:szCs w:val="20"/>
          <w:color w:val="auto"/>
        </w:rPr>
      </w:pPr>
      <w:r>
        <w:rPr>
          <w:rFonts w:ascii="Arial" w:cs="Arial" w:eastAsia="Arial" w:hAnsi="Arial"/>
          <w:sz w:val="18"/>
          <w:szCs w:val="18"/>
          <w:b w:val="1"/>
          <w:bCs w:val="1"/>
          <w:color w:val="auto"/>
        </w:rPr>
        <w:t>Reconciliation of Adjusted Operating Income to GAAP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adjusted operating income to GAAP operating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80" w:type="dxa"/>
            <w:vAlign w:val="bottom"/>
            <w:gridSpan w:val="4"/>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Operating revenue</w:t>
            </w:r>
          </w:p>
        </w:tc>
        <w:tc>
          <w:tcPr>
            <w:tcW w:w="2080" w:type="dxa"/>
            <w:vAlign w:val="bottom"/>
            <w:gridSpan w:val="2"/>
            <w:shd w:val="clear" w:color="auto" w:fill="C6F4F9"/>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149.2</w:t>
            </w:r>
          </w:p>
        </w:tc>
        <w:tc>
          <w:tcPr>
            <w:tcW w:w="520" w:type="dxa"/>
            <w:vAlign w:val="bottom"/>
            <w:shd w:val="clear" w:color="auto" w:fill="C6F4F9"/>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35.4</w:t>
            </w:r>
          </w:p>
        </w:tc>
        <w:tc>
          <w:tcPr>
            <w:tcW w:w="132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49.2</w:t>
            </w:r>
          </w:p>
        </w:tc>
        <w:tc>
          <w:tcPr>
            <w:tcW w:w="52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760" w:type="dxa"/>
            <w:vAlign w:val="bottom"/>
            <w:shd w:val="clear" w:color="auto" w:fill="C6F4F9"/>
          </w:tcPr>
          <w:p>
            <w:pPr>
              <w:spacing w:after="0"/>
              <w:rPr>
                <w:sz w:val="21"/>
                <w:szCs w:val="21"/>
                <w:color w:val="auto"/>
              </w:rPr>
            </w:pPr>
          </w:p>
        </w:tc>
        <w:tc>
          <w:tcPr>
            <w:tcW w:w="320" w:type="dxa"/>
            <w:vAlign w:val="bottom"/>
            <w:shd w:val="clear" w:color="auto" w:fill="C6F4F9"/>
          </w:tcPr>
          <w:p>
            <w:pPr>
              <w:spacing w:after="0"/>
              <w:rPr>
                <w:sz w:val="21"/>
                <w:szCs w:val="21"/>
                <w:color w:val="auto"/>
              </w:rPr>
            </w:pPr>
          </w:p>
        </w:tc>
        <w:tc>
          <w:tcPr>
            <w:tcW w:w="124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(38.5)</w:t>
            </w:r>
          </w:p>
        </w:tc>
        <w:tc>
          <w:tcPr>
            <w:tcW w:w="520" w:type="dxa"/>
            <w:vAlign w:val="bottom"/>
            <w:shd w:val="clear" w:color="auto" w:fill="C6F4F9"/>
          </w:tcPr>
          <w:p>
            <w:pPr>
              <w:spacing w:after="0"/>
              <w:rPr>
                <w:sz w:val="21"/>
                <w:szCs w:val="21"/>
                <w:color w:val="auto"/>
              </w:rPr>
            </w:pPr>
          </w:p>
        </w:tc>
        <w:tc>
          <w:tcPr>
            <w:tcW w:w="110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(31.5)</w:t>
            </w:r>
          </w:p>
        </w:tc>
        <w:tc>
          <w:tcPr>
            <w:tcW w:w="1320" w:type="dxa"/>
            <w:vAlign w:val="bottom"/>
            <w:shd w:val="clear" w:color="auto" w:fill="C6F4F9"/>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0.7</w:t>
            </w:r>
          </w:p>
        </w:tc>
        <w:tc>
          <w:tcPr>
            <w:tcW w:w="520" w:type="dxa"/>
            <w:vAlign w:val="bottom"/>
          </w:tcPr>
          <w:p>
            <w:pPr>
              <w:spacing w:after="0"/>
              <w:rPr>
                <w:sz w:val="17"/>
                <w:szCs w:val="17"/>
                <w:color w:val="auto"/>
              </w:rPr>
            </w:pPr>
          </w:p>
        </w:tc>
        <w:tc>
          <w:tcPr>
            <w:tcW w:w="11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0.4</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1760" w:type="dxa"/>
            <w:vAlign w:val="bottom"/>
            <w:shd w:val="clear" w:color="auto" w:fill="C6F4F9"/>
          </w:tcPr>
          <w:p>
            <w:pPr>
              <w:spacing w:after="0"/>
              <w:rPr>
                <w:sz w:val="21"/>
                <w:szCs w:val="21"/>
                <w:color w:val="auto"/>
              </w:rPr>
            </w:pPr>
          </w:p>
        </w:tc>
        <w:tc>
          <w:tcPr>
            <w:tcW w:w="320" w:type="dxa"/>
            <w:vAlign w:val="bottom"/>
            <w:shd w:val="clear" w:color="auto" w:fill="C6F4F9"/>
          </w:tcPr>
          <w:p>
            <w:pPr>
              <w:spacing w:after="0"/>
              <w:rPr>
                <w:sz w:val="21"/>
                <w:szCs w:val="21"/>
                <w:color w:val="auto"/>
              </w:rPr>
            </w:pPr>
          </w:p>
        </w:tc>
        <w:tc>
          <w:tcPr>
            <w:tcW w:w="124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6F4F9"/>
          </w:tcPr>
          <w:p>
            <w:pPr>
              <w:spacing w:after="0"/>
              <w:rPr>
                <w:sz w:val="21"/>
                <w:szCs w:val="21"/>
                <w:color w:val="auto"/>
              </w:rPr>
            </w:pPr>
          </w:p>
        </w:tc>
        <w:tc>
          <w:tcPr>
            <w:tcW w:w="2420" w:type="dxa"/>
            <w:vAlign w:val="bottom"/>
            <w:gridSpan w:val="2"/>
            <w:shd w:val="clear" w:color="auto" w:fill="C6F4F9"/>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C6F4F9"/>
            </w:tcBorders>
          </w:tcPr>
          <w:p>
            <w:pPr>
              <w:spacing w:after="0" w:line="256" w:lineRule="exact"/>
              <w:rPr>
                <w:sz w:val="20"/>
                <w:szCs w:val="20"/>
                <w:color w:val="auto"/>
              </w:rPr>
            </w:pPr>
            <w:r>
              <w:rPr>
                <w:rFonts w:ascii="Arial" w:cs="Arial" w:eastAsia="Arial" w:hAnsi="Arial"/>
                <w:sz w:val="18"/>
                <w:szCs w:val="18"/>
                <w:color w:val="auto"/>
              </w:rPr>
              <w:t xml:space="preserve">Voluntary leave expense </w:t>
            </w:r>
            <w:r>
              <w:rPr>
                <w:rFonts w:ascii="Arial" w:cs="Arial" w:eastAsia="Arial" w:hAnsi="Arial"/>
                <w:sz w:val="29"/>
                <w:szCs w:val="29"/>
                <w:color w:val="auto"/>
                <w:vertAlign w:val="superscript"/>
              </w:rPr>
              <w:t>(3)</w:t>
            </w:r>
          </w:p>
        </w:tc>
        <w:tc>
          <w:tcPr>
            <w:tcW w:w="1760" w:type="dxa"/>
            <w:vAlign w:val="bottom"/>
            <w:tcBorders>
              <w:bottom w:val="single" w:sz="8" w:color="C6F4F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1320" w:type="dxa"/>
            <w:vAlign w:val="bottom"/>
            <w:tcBorders>
              <w:bottom w:val="single" w:sz="8" w:color="C6F4F9"/>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6F4F9"/>
          </w:tcPr>
          <w:p>
            <w:pPr>
              <w:spacing w:after="0" w:line="197" w:lineRule="exact"/>
              <w:rPr>
                <w:sz w:val="20"/>
                <w:szCs w:val="20"/>
                <w:color w:val="auto"/>
              </w:rPr>
            </w:pPr>
            <w:r>
              <w:rPr>
                <w:rFonts w:ascii="Arial" w:cs="Arial" w:eastAsia="Arial" w:hAnsi="Arial"/>
                <w:sz w:val="18"/>
                <w:szCs w:val="18"/>
                <w:color w:val="auto"/>
              </w:rPr>
              <w:t>Adjusted operating income (loss)</w:t>
            </w:r>
          </w:p>
        </w:tc>
        <w:tc>
          <w:tcPr>
            <w:tcW w:w="2080" w:type="dxa"/>
            <w:vAlign w:val="bottom"/>
            <w:gridSpan w:val="2"/>
            <w:shd w:val="clear" w:color="auto" w:fill="C6F4F9"/>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11.5</w:t>
            </w:r>
          </w:p>
        </w:tc>
        <w:tc>
          <w:tcPr>
            <w:tcW w:w="520" w:type="dxa"/>
            <w:vAlign w:val="bottom"/>
            <w:shd w:val="clear" w:color="auto" w:fill="C6F4F9"/>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(30.8)</w:t>
            </w:r>
          </w:p>
        </w:tc>
        <w:tc>
          <w:tcPr>
            <w:tcW w:w="132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6F4F9"/>
              <w:bottom w:val="single" w:sz="8" w:color="C6F4F9"/>
            </w:tcBorders>
            <w:vMerge w:val="restart"/>
          </w:tcPr>
          <w:p>
            <w:pPr>
              <w:spacing w:after="0"/>
              <w:rPr>
                <w:sz w:val="20"/>
                <w:szCs w:val="20"/>
                <w:color w:val="auto"/>
              </w:rPr>
            </w:pPr>
            <w:r>
              <w:rPr>
                <w:rFonts w:ascii="Arial" w:cs="Arial" w:eastAsia="Arial" w:hAnsi="Arial"/>
                <w:sz w:val="18"/>
                <w:szCs w:val="18"/>
                <w:color w:val="auto"/>
              </w:rPr>
              <w:t>Operating income (loss) margin</w:t>
            </w:r>
          </w:p>
        </w:tc>
        <w:tc>
          <w:tcPr>
            <w:tcW w:w="1760" w:type="dxa"/>
            <w:vAlign w:val="bottom"/>
            <w:tcBorders>
              <w:top w:val="single" w:sz="8" w:color="C6F4F9"/>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6F4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8"/>
                <w:szCs w:val="18"/>
                <w:color w:val="auto"/>
              </w:rPr>
              <w:t>33.0%</w:t>
            </w:r>
          </w:p>
        </w:tc>
        <w:tc>
          <w:tcPr>
            <w:tcW w:w="5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(6.3%)</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operating income (loss) margin</w:t>
            </w:r>
          </w:p>
        </w:tc>
        <w:tc>
          <w:tcPr>
            <w:tcW w:w="176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124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7.7%</w:t>
            </w:r>
          </w:p>
        </w:tc>
        <w:tc>
          <w:tcPr>
            <w:tcW w:w="520" w:type="dxa"/>
            <w:vAlign w:val="bottom"/>
            <w:shd w:val="clear" w:color="auto" w:fill="C6F4F9"/>
          </w:tcPr>
          <w:p>
            <w:pPr>
              <w:spacing w:after="0"/>
              <w:rPr>
                <w:sz w:val="17"/>
                <w:szCs w:val="17"/>
                <w:color w:val="auto"/>
              </w:rPr>
            </w:pPr>
          </w:p>
        </w:tc>
        <w:tc>
          <w:tcPr>
            <w:tcW w:w="11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(87.0%)</w:t>
            </w:r>
          </w:p>
        </w:tc>
        <w:tc>
          <w:tcPr>
            <w:tcW w:w="132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-1293495</wp:posOffset>
            </wp:positionV>
            <wp:extent cx="84010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-1028065</wp:posOffset>
            </wp:positionV>
            <wp:extent cx="84010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-744855</wp:posOffset>
            </wp:positionV>
            <wp:extent cx="84010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-427990</wp:posOffset>
            </wp:positionV>
            <wp:extent cx="84010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-128270</wp:posOffset>
            </wp:positionV>
            <wp:extent cx="8401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40105" cy="12890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jc w:val="both"/>
        <w:ind w:left="660" w:right="4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7" w:lineRule="exact"/>
        <w:rPr>
          <w:sz w:val="20"/>
          <w:szCs w:val="20"/>
          <w:color w:val="auto"/>
        </w:rPr>
      </w:pPr>
    </w:p>
    <w:p>
      <w:pPr>
        <w:ind w:right="4540"/>
        <w:spacing w:after="0" w:line="271" w:lineRule="auto"/>
        <w:rPr>
          <w:sz w:val="20"/>
          <w:szCs w:val="20"/>
          <w:color w:val="auto"/>
        </w:rPr>
      </w:pPr>
      <w:r>
        <w:rPr>
          <w:rFonts w:ascii="Arial" w:cs="Arial" w:eastAsia="Arial" w:hAnsi="Arial"/>
          <w:sz w:val="18"/>
          <w:szCs w:val="18"/>
          <w:b w:val="1"/>
          <w:bCs w:val="1"/>
          <w:color w:val="auto"/>
        </w:rPr>
        <w:t>Reconciliation of Adjusted Operating Income to GAAP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adjusted operating income to GAAP operating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gridSpan w:val="4"/>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Operating revenue</w:t>
            </w:r>
          </w:p>
        </w:tc>
        <w:tc>
          <w:tcPr>
            <w:tcW w:w="2020" w:type="dxa"/>
            <w:vAlign w:val="bottom"/>
            <w:gridSpan w:val="2"/>
            <w:shd w:val="clear" w:color="auto" w:fill="C6F4F9"/>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276.8</w:t>
            </w:r>
          </w:p>
        </w:tc>
        <w:tc>
          <w:tcPr>
            <w:tcW w:w="4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215.7</w:t>
            </w:r>
          </w:p>
        </w:tc>
        <w:tc>
          <w:tcPr>
            <w:tcW w:w="132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74.2</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13.0</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760" w:type="dxa"/>
            <w:vAlign w:val="bottom"/>
            <w:shd w:val="clear" w:color="auto" w:fill="C6F4F9"/>
          </w:tcPr>
          <w:p>
            <w:pPr>
              <w:spacing w:after="0"/>
              <w:rPr>
                <w:sz w:val="21"/>
                <w:szCs w:val="21"/>
                <w:color w:val="auto"/>
              </w:rPr>
            </w:pPr>
          </w:p>
        </w:tc>
        <w:tc>
          <w:tcPr>
            <w:tcW w:w="26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(65.4)</w:t>
            </w:r>
          </w:p>
        </w:tc>
        <w:tc>
          <w:tcPr>
            <w:tcW w:w="400" w:type="dxa"/>
            <w:vAlign w:val="bottom"/>
            <w:shd w:val="clear" w:color="auto" w:fill="C6F4F9"/>
          </w:tcPr>
          <w:p>
            <w:pPr>
              <w:spacing w:after="0"/>
              <w:rPr>
                <w:sz w:val="21"/>
                <w:szCs w:val="21"/>
                <w:color w:val="auto"/>
              </w:rPr>
            </w:pPr>
          </w:p>
        </w:tc>
        <w:tc>
          <w:tcPr>
            <w:tcW w:w="122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(31.5)</w:t>
            </w:r>
          </w:p>
        </w:tc>
        <w:tc>
          <w:tcPr>
            <w:tcW w:w="1320" w:type="dxa"/>
            <w:vAlign w:val="bottom"/>
            <w:shd w:val="clear" w:color="auto" w:fill="C6F4F9"/>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3.6</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0.8</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1760" w:type="dxa"/>
            <w:vAlign w:val="bottom"/>
            <w:shd w:val="clear" w:color="auto" w:fill="C6F4F9"/>
          </w:tcPr>
          <w:p>
            <w:pPr>
              <w:spacing w:after="0"/>
              <w:rPr>
                <w:sz w:val="21"/>
                <w:szCs w:val="21"/>
                <w:color w:val="auto"/>
              </w:rPr>
            </w:pPr>
          </w:p>
        </w:tc>
        <w:tc>
          <w:tcPr>
            <w:tcW w:w="260" w:type="dxa"/>
            <w:vAlign w:val="bottom"/>
            <w:shd w:val="clear" w:color="auto" w:fill="C6F4F9"/>
          </w:tcPr>
          <w:p>
            <w:pPr>
              <w:spacing w:after="0"/>
              <w:rPr>
                <w:sz w:val="21"/>
                <w:szCs w:val="21"/>
                <w:color w:val="auto"/>
              </w:rPr>
            </w:pPr>
          </w:p>
        </w:tc>
        <w:tc>
          <w:tcPr>
            <w:tcW w:w="13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6F4F9"/>
          </w:tcPr>
          <w:p>
            <w:pPr>
              <w:spacing w:after="0"/>
              <w:rPr>
                <w:sz w:val="21"/>
                <w:szCs w:val="21"/>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C6F4F9"/>
            </w:tcBorders>
          </w:tcPr>
          <w:p>
            <w:pPr>
              <w:spacing w:after="0" w:line="256" w:lineRule="exact"/>
              <w:rPr>
                <w:sz w:val="20"/>
                <w:szCs w:val="20"/>
                <w:color w:val="auto"/>
              </w:rPr>
            </w:pPr>
            <w:r>
              <w:rPr>
                <w:rFonts w:ascii="Arial" w:cs="Arial" w:eastAsia="Arial" w:hAnsi="Arial"/>
                <w:sz w:val="18"/>
                <w:szCs w:val="18"/>
                <w:color w:val="auto"/>
              </w:rPr>
              <w:t xml:space="preserve">Voluntary leave expense </w:t>
            </w:r>
            <w:r>
              <w:rPr>
                <w:rFonts w:ascii="Arial" w:cs="Arial" w:eastAsia="Arial" w:hAnsi="Arial"/>
                <w:sz w:val="29"/>
                <w:szCs w:val="29"/>
                <w:color w:val="auto"/>
                <w:vertAlign w:val="superscript"/>
              </w:rPr>
              <w:t>(3)</w:t>
            </w:r>
          </w:p>
        </w:tc>
        <w:tc>
          <w:tcPr>
            <w:tcW w:w="1760" w:type="dxa"/>
            <w:vAlign w:val="bottom"/>
            <w:tcBorders>
              <w:bottom w:val="single" w:sz="8" w:color="C6F4F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1320" w:type="dxa"/>
            <w:vAlign w:val="bottom"/>
            <w:tcBorders>
              <w:bottom w:val="single" w:sz="8" w:color="C6F4F9"/>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6F4F9"/>
          </w:tcPr>
          <w:p>
            <w:pPr>
              <w:spacing w:after="0" w:line="197" w:lineRule="exact"/>
              <w:rPr>
                <w:sz w:val="20"/>
                <w:szCs w:val="20"/>
                <w:color w:val="auto"/>
              </w:rPr>
            </w:pPr>
            <w:r>
              <w:rPr>
                <w:rFonts w:ascii="Arial" w:cs="Arial" w:eastAsia="Arial" w:hAnsi="Arial"/>
                <w:sz w:val="18"/>
                <w:szCs w:val="18"/>
                <w:color w:val="auto"/>
              </w:rPr>
              <w:t>Adjusted operating income (loss)</w:t>
            </w:r>
          </w:p>
        </w:tc>
        <w:tc>
          <w:tcPr>
            <w:tcW w:w="202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6F4F9"/>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(15.2)</w:t>
            </w:r>
          </w:p>
        </w:tc>
        <w:tc>
          <w:tcPr>
            <w:tcW w:w="132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6F4F9"/>
              <w:bottom w:val="single" w:sz="8" w:color="C6F4F9"/>
            </w:tcBorders>
            <w:vMerge w:val="restart"/>
          </w:tcPr>
          <w:p>
            <w:pPr>
              <w:spacing w:after="0"/>
              <w:rPr>
                <w:sz w:val="20"/>
                <w:szCs w:val="20"/>
                <w:color w:val="auto"/>
              </w:rPr>
            </w:pPr>
            <w:r>
              <w:rPr>
                <w:rFonts w:ascii="Arial" w:cs="Arial" w:eastAsia="Arial" w:hAnsi="Arial"/>
                <w:sz w:val="18"/>
                <w:szCs w:val="18"/>
                <w:color w:val="auto"/>
              </w:rPr>
              <w:t>Operating income (loss) margin</w:t>
            </w:r>
          </w:p>
        </w:tc>
        <w:tc>
          <w:tcPr>
            <w:tcW w:w="1760" w:type="dxa"/>
            <w:vAlign w:val="bottom"/>
            <w:tcBorders>
              <w:top w:val="single" w:sz="8" w:color="C6F4F9"/>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C6F4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26.8%</w:t>
            </w:r>
          </w:p>
        </w:tc>
        <w:tc>
          <w:tcPr>
            <w:tcW w:w="40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6.0%</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operating income (loss) margin</w:t>
            </w:r>
          </w:p>
        </w:tc>
        <w:tc>
          <w:tcPr>
            <w:tcW w:w="1760" w:type="dxa"/>
            <w:vAlign w:val="bottom"/>
            <w:shd w:val="clear" w:color="auto" w:fill="C6F4F9"/>
          </w:tcPr>
          <w:p>
            <w:pPr>
              <w:spacing w:after="0"/>
              <w:rPr>
                <w:sz w:val="17"/>
                <w:szCs w:val="17"/>
                <w:color w:val="auto"/>
              </w:rPr>
            </w:pPr>
          </w:p>
        </w:tc>
        <w:tc>
          <w:tcPr>
            <w:tcW w:w="260" w:type="dxa"/>
            <w:vAlign w:val="bottom"/>
            <w:shd w:val="clear" w:color="auto" w:fill="C6F4F9"/>
          </w:tcPr>
          <w:p>
            <w:pPr>
              <w:spacing w:after="0"/>
              <w:rPr>
                <w:sz w:val="17"/>
                <w:szCs w:val="17"/>
                <w:color w:val="auto"/>
              </w:rPr>
            </w:pPr>
          </w:p>
        </w:tc>
        <w:tc>
          <w:tcPr>
            <w:tcW w:w="130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4.6%</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(7.0%)</w:t>
            </w:r>
          </w:p>
        </w:tc>
        <w:tc>
          <w:tcPr>
            <w:tcW w:w="132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-1293495</wp:posOffset>
            </wp:positionV>
            <wp:extent cx="84010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-1028065</wp:posOffset>
            </wp:positionV>
            <wp:extent cx="84010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-745490</wp:posOffset>
            </wp:positionV>
            <wp:extent cx="84010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-427990</wp:posOffset>
            </wp:positionV>
            <wp:extent cx="84010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-128270</wp:posOffset>
            </wp:positionV>
            <wp:extent cx="84010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40105" cy="12890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jc w:val="both"/>
        <w:ind w:left="660" w:right="4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16</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560"/>
        <w:spacing w:after="0" w:line="271" w:lineRule="auto"/>
        <w:rPr>
          <w:sz w:val="20"/>
          <w:szCs w:val="20"/>
          <w:color w:val="auto"/>
        </w:rPr>
      </w:pPr>
      <w:r>
        <w:rPr>
          <w:rFonts w:ascii="Arial" w:cs="Arial" w:eastAsia="Arial" w:hAnsi="Arial"/>
          <w:sz w:val="18"/>
          <w:szCs w:val="18"/>
          <w:b w:val="1"/>
          <w:bCs w:val="1"/>
          <w:color w:val="auto"/>
        </w:rPr>
        <w:t>Reconciliation of Adjusted Income Before Income Tax to GAAP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adjusted income before income tax to GAAP income before income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 June 30,</w:t>
            </w:r>
          </w:p>
        </w:tc>
      </w:tr>
      <w:tr>
        <w:trPr>
          <w:trHeight w:val="225"/>
        </w:trPr>
        <w:tc>
          <w:tcPr>
            <w:tcW w:w="6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C6F4F9"/>
            </w:tcBorders>
          </w:tcPr>
          <w:p>
            <w:pPr>
              <w:spacing w:after="0"/>
              <w:rPr>
                <w:sz w:val="19"/>
                <w:szCs w:val="19"/>
                <w:color w:val="auto"/>
              </w:rPr>
            </w:pPr>
          </w:p>
        </w:tc>
      </w:tr>
      <w:tr>
        <w:trPr>
          <w:trHeight w:val="196"/>
        </w:trPr>
        <w:tc>
          <w:tcPr>
            <w:tcW w:w="67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 (loss)</w:t>
            </w:r>
          </w:p>
        </w:tc>
        <w:tc>
          <w:tcPr>
            <w:tcW w:w="20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51.8</w:t>
            </w:r>
          </w:p>
        </w:tc>
        <w:tc>
          <w:tcPr>
            <w:tcW w:w="4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90"/>
              <w:spacing w:after="0" w:line="196" w:lineRule="exact"/>
              <w:rPr>
                <w:sz w:val="20"/>
                <w:szCs w:val="20"/>
                <w:color w:val="auto"/>
              </w:rPr>
            </w:pPr>
            <w:r>
              <w:rPr>
                <w:rFonts w:ascii="Arial" w:cs="Arial" w:eastAsia="Arial" w:hAnsi="Arial"/>
                <w:sz w:val="18"/>
                <w:szCs w:val="18"/>
                <w:color w:val="auto"/>
              </w:rPr>
              <w:t>(6.0)</w:t>
            </w:r>
          </w:p>
        </w:tc>
        <w:tc>
          <w:tcPr>
            <w:tcW w:w="1320" w:type="dxa"/>
            <w:vAlign w:val="bottom"/>
            <w:shd w:val="clear" w:color="auto" w:fill="C6F4F9"/>
          </w:tcPr>
          <w:p>
            <w:pPr>
              <w:spacing w:after="0"/>
              <w:rPr>
                <w:sz w:val="17"/>
                <w:szCs w:val="17"/>
                <w:color w:val="auto"/>
              </w:rPr>
            </w:pPr>
          </w:p>
        </w:tc>
      </w:tr>
      <w:tr>
        <w:trPr>
          <w:trHeight w:val="216"/>
        </w:trPr>
        <w:tc>
          <w:tcPr>
            <w:tcW w:w="676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Add: Provision for income tax expense</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w:t>
            </w:r>
          </w:p>
        </w:tc>
        <w:tc>
          <w:tcPr>
            <w:tcW w:w="1320" w:type="dxa"/>
            <w:vAlign w:val="bottom"/>
            <w:tcBorders>
              <w:bottom w:val="single" w:sz="8" w:color="C6F4F9"/>
            </w:tcBorders>
          </w:tcPr>
          <w:p>
            <w:pPr>
              <w:spacing w:after="0"/>
              <w:rPr>
                <w:sz w:val="18"/>
                <w:szCs w:val="18"/>
                <w:color w:val="auto"/>
              </w:rPr>
            </w:pPr>
          </w:p>
        </w:tc>
      </w:tr>
      <w:tr>
        <w:trPr>
          <w:trHeight w:val="196"/>
        </w:trPr>
        <w:tc>
          <w:tcPr>
            <w:tcW w:w="67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Income (loss) before income tax, as reported</w:t>
            </w:r>
          </w:p>
        </w:tc>
        <w:tc>
          <w:tcPr>
            <w:tcW w:w="20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61.2</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90"/>
              <w:spacing w:after="0" w:line="196" w:lineRule="exact"/>
              <w:rPr>
                <w:sz w:val="20"/>
                <w:szCs w:val="20"/>
                <w:color w:val="auto"/>
              </w:rPr>
            </w:pPr>
            <w:r>
              <w:rPr>
                <w:rFonts w:ascii="Arial" w:cs="Arial" w:eastAsia="Arial" w:hAnsi="Arial"/>
                <w:sz w:val="18"/>
                <w:szCs w:val="18"/>
                <w:color w:val="auto"/>
              </w:rPr>
              <w:t>(7.9)</w:t>
            </w:r>
          </w:p>
        </w:tc>
        <w:tc>
          <w:tcPr>
            <w:tcW w:w="1320" w:type="dxa"/>
            <w:vAlign w:val="bottom"/>
            <w:shd w:val="clear" w:color="auto" w:fill="C6F4F9"/>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Pre-tax margin</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1320" w:type="dxa"/>
            <w:vAlign w:val="bottom"/>
          </w:tcPr>
          <w:p>
            <w:pPr>
              <w:spacing w:after="0"/>
              <w:rPr>
                <w:sz w:val="17"/>
                <w:szCs w:val="17"/>
                <w:color w:val="auto"/>
              </w:rPr>
            </w:pPr>
          </w:p>
        </w:tc>
      </w:tr>
      <w:tr>
        <w:trPr>
          <w:trHeight w:val="243"/>
        </w:trPr>
        <w:tc>
          <w:tcPr>
            <w:tcW w:w="67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200" w:type="dxa"/>
            <w:vAlign w:val="bottom"/>
            <w:shd w:val="clear" w:color="auto" w:fill="C6F4F9"/>
          </w:tcPr>
          <w:p>
            <w:pPr>
              <w:spacing w:after="0"/>
              <w:rPr>
                <w:sz w:val="21"/>
                <w:szCs w:val="21"/>
                <w:color w:val="auto"/>
              </w:rPr>
            </w:pPr>
          </w:p>
        </w:tc>
        <w:tc>
          <w:tcPr>
            <w:tcW w:w="134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(38.5)</w:t>
            </w:r>
          </w:p>
        </w:tc>
        <w:tc>
          <w:tcPr>
            <w:tcW w:w="400" w:type="dxa"/>
            <w:vAlign w:val="bottom"/>
            <w:shd w:val="clear" w:color="auto" w:fill="C6F4F9"/>
          </w:tcPr>
          <w:p>
            <w:pPr>
              <w:spacing w:after="0"/>
              <w:rPr>
                <w:sz w:val="21"/>
                <w:szCs w:val="21"/>
                <w:color w:val="auto"/>
              </w:rPr>
            </w:pPr>
          </w:p>
        </w:tc>
        <w:tc>
          <w:tcPr>
            <w:tcW w:w="122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(31.5)</w:t>
            </w:r>
          </w:p>
        </w:tc>
        <w:tc>
          <w:tcPr>
            <w:tcW w:w="1320" w:type="dxa"/>
            <w:vAlign w:val="bottom"/>
            <w:shd w:val="clear" w:color="auto" w:fill="C6F4F9"/>
          </w:tcPr>
          <w:p>
            <w:pPr>
              <w:spacing w:after="0"/>
              <w:rPr>
                <w:sz w:val="21"/>
                <w:szCs w:val="2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0.7</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0.4</w:t>
            </w:r>
          </w:p>
        </w:tc>
        <w:tc>
          <w:tcPr>
            <w:tcW w:w="1320" w:type="dxa"/>
            <w:vAlign w:val="bottom"/>
          </w:tcPr>
          <w:p>
            <w:pPr>
              <w:spacing w:after="0"/>
              <w:rPr>
                <w:sz w:val="17"/>
                <w:szCs w:val="17"/>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20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0.3</w:t>
            </w:r>
          </w:p>
        </w:tc>
        <w:tc>
          <w:tcPr>
            <w:tcW w:w="1320" w:type="dxa"/>
            <w:vAlign w:val="bottom"/>
            <w:shd w:val="clear" w:color="auto" w:fill="C6F4F9"/>
          </w:tcPr>
          <w:p>
            <w:pPr>
              <w:spacing w:after="0"/>
              <w:rPr>
                <w:sz w:val="17"/>
                <w:szCs w:val="17"/>
                <w:color w:val="auto"/>
              </w:rPr>
            </w:pP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2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1"/>
                <w:szCs w:val="21"/>
                <w:color w:val="auto"/>
              </w:rPr>
            </w:pPr>
          </w:p>
        </w:tc>
        <w:tc>
          <w:tcPr>
            <w:tcW w:w="25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200" w:type="dxa"/>
            <w:vAlign w:val="bottom"/>
            <w:shd w:val="clear" w:color="auto" w:fill="C6F4F9"/>
          </w:tcPr>
          <w:p>
            <w:pPr>
              <w:spacing w:after="0"/>
              <w:rPr>
                <w:sz w:val="21"/>
                <w:szCs w:val="21"/>
                <w:color w:val="auto"/>
              </w:rPr>
            </w:pPr>
          </w:p>
        </w:tc>
        <w:tc>
          <w:tcPr>
            <w:tcW w:w="134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6F4F9"/>
          </w:tcPr>
          <w:p>
            <w:pPr>
              <w:spacing w:after="0"/>
              <w:rPr>
                <w:sz w:val="21"/>
                <w:szCs w:val="21"/>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200" w:type="dxa"/>
            <w:vAlign w:val="bottom"/>
          </w:tcPr>
          <w:p>
            <w:pPr>
              <w:spacing w:after="0"/>
              <w:rPr>
                <w:sz w:val="21"/>
                <w:szCs w:val="21"/>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320" w:type="dxa"/>
            <w:vAlign w:val="bottom"/>
          </w:tcPr>
          <w:p>
            <w:pPr>
              <w:spacing w:after="0"/>
              <w:rPr>
                <w:sz w:val="21"/>
                <w:szCs w:val="21"/>
                <w:color w:val="auto"/>
              </w:rPr>
            </w:pPr>
          </w:p>
        </w:tc>
      </w:tr>
      <w:tr>
        <w:trPr>
          <w:trHeight w:val="216"/>
        </w:trPr>
        <w:tc>
          <w:tcPr>
            <w:tcW w:w="6760" w:type="dxa"/>
            <w:vAlign w:val="bottom"/>
            <w:shd w:val="clear" w:color="auto" w:fill="C6F4F9"/>
          </w:tcPr>
          <w:p>
            <w:pPr>
              <w:spacing w:after="0"/>
              <w:rPr>
                <w:sz w:val="20"/>
                <w:szCs w:val="20"/>
                <w:color w:val="auto"/>
              </w:rPr>
            </w:pPr>
            <w:r>
              <w:rPr>
                <w:rFonts w:ascii="Arial" w:cs="Arial" w:eastAsia="Arial" w:hAnsi="Arial"/>
                <w:sz w:val="18"/>
                <w:szCs w:val="18"/>
                <w:color w:val="auto"/>
              </w:rPr>
              <w:t>Secondary offering related expense</w:t>
            </w:r>
          </w:p>
        </w:tc>
        <w:tc>
          <w:tcPr>
            <w:tcW w:w="200" w:type="dxa"/>
            <w:vAlign w:val="bottom"/>
            <w:shd w:val="clear" w:color="auto" w:fill="C6F4F9"/>
          </w:tcPr>
          <w:p>
            <w:pPr>
              <w:spacing w:after="0"/>
              <w:rPr>
                <w:sz w:val="18"/>
                <w:szCs w:val="18"/>
                <w:color w:val="auto"/>
              </w:rPr>
            </w:pPr>
          </w:p>
        </w:tc>
        <w:tc>
          <w:tcPr>
            <w:tcW w:w="134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6F4F9"/>
          </w:tcPr>
          <w:p>
            <w:pPr>
              <w:spacing w:after="0"/>
              <w:rPr>
                <w:sz w:val="18"/>
                <w:szCs w:val="18"/>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r>
      <w:tr>
        <w:trPr>
          <w:trHeight w:val="249"/>
        </w:trPr>
        <w:tc>
          <w:tcPr>
            <w:tcW w:w="676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income (loss) before income tax</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5.4</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(36.2)</w:t>
            </w:r>
          </w:p>
        </w:tc>
        <w:tc>
          <w:tcPr>
            <w:tcW w:w="1320" w:type="dxa"/>
            <w:vAlign w:val="bottom"/>
            <w:tcBorders>
              <w:bottom w:val="single" w:sz="8" w:color="C6F4F9"/>
            </w:tcBorders>
          </w:tcPr>
          <w:p>
            <w:pPr>
              <w:spacing w:after="0"/>
              <w:rPr>
                <w:sz w:val="21"/>
                <w:szCs w:val="21"/>
                <w:color w:val="auto"/>
              </w:rPr>
            </w:pPr>
          </w:p>
        </w:tc>
      </w:tr>
      <w:tr>
        <w:trPr>
          <w:trHeight w:val="183"/>
        </w:trPr>
        <w:tc>
          <w:tcPr>
            <w:tcW w:w="676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Adjusted Pre-tax margin</w:t>
            </w:r>
          </w:p>
        </w:tc>
        <w:tc>
          <w:tcPr>
            <w:tcW w:w="200" w:type="dxa"/>
            <w:vAlign w:val="bottom"/>
            <w:shd w:val="clear" w:color="auto" w:fill="C6F4F9"/>
          </w:tcPr>
          <w:p>
            <w:pPr>
              <w:spacing w:after="0"/>
              <w:rPr>
                <w:sz w:val="15"/>
                <w:szCs w:val="15"/>
                <w:color w:val="auto"/>
              </w:rPr>
            </w:pPr>
          </w:p>
        </w:tc>
        <w:tc>
          <w:tcPr>
            <w:tcW w:w="134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3.6%</w:t>
            </w:r>
          </w:p>
        </w:tc>
        <w:tc>
          <w:tcPr>
            <w:tcW w:w="400" w:type="dxa"/>
            <w:vAlign w:val="bottom"/>
            <w:shd w:val="clear" w:color="auto" w:fill="C6F4F9"/>
          </w:tcPr>
          <w:p>
            <w:pPr>
              <w:spacing w:after="0"/>
              <w:rPr>
                <w:sz w:val="15"/>
                <w:szCs w:val="15"/>
                <w:color w:val="auto"/>
              </w:rPr>
            </w:pPr>
          </w:p>
        </w:tc>
        <w:tc>
          <w:tcPr>
            <w:tcW w:w="122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(102.3%)</w:t>
            </w:r>
          </w:p>
        </w:tc>
        <w:tc>
          <w:tcPr>
            <w:tcW w:w="1320" w:type="dxa"/>
            <w:vAlign w:val="bottom"/>
            <w:shd w:val="clear" w:color="auto" w:fill="C6F4F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-1851025</wp:posOffset>
            </wp:positionV>
            <wp:extent cx="84010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-1576705</wp:posOffset>
            </wp:positionV>
            <wp:extent cx="84010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-1310640</wp:posOffset>
            </wp:positionV>
            <wp:extent cx="84010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-1028065</wp:posOffset>
            </wp:positionV>
            <wp:extent cx="84010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-744855</wp:posOffset>
            </wp:positionV>
            <wp:extent cx="84010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-436245</wp:posOffset>
            </wp:positionV>
            <wp:extent cx="84010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-144780</wp:posOffset>
            </wp:positionV>
            <wp:extent cx="84010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40105" cy="14541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300" w:lineRule="exact"/>
        <w:rPr>
          <w:sz w:val="20"/>
          <w:szCs w:val="20"/>
          <w:color w:val="auto"/>
        </w:rPr>
      </w:pPr>
    </w:p>
    <w:p>
      <w:pPr>
        <w:ind w:left="5300"/>
        <w:spacing w:after="0"/>
        <w:tabs>
          <w:tab w:leader="none" w:pos="8320" w:val="left"/>
        </w:tabs>
        <w:rPr>
          <w:sz w:val="20"/>
          <w:szCs w:val="20"/>
          <w:color w:val="auto"/>
        </w:rPr>
      </w:pPr>
      <w:r>
        <w:rPr>
          <w:rFonts w:ascii="Arial" w:cs="Arial" w:eastAsia="Arial" w:hAnsi="Arial"/>
          <w:sz w:val="18"/>
          <w:szCs w:val="18"/>
          <w:color w:val="auto"/>
        </w:rPr>
        <w:t>Page 17</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560"/>
        <w:spacing w:after="0" w:line="271" w:lineRule="auto"/>
        <w:rPr>
          <w:sz w:val="20"/>
          <w:szCs w:val="20"/>
          <w:color w:val="auto"/>
        </w:rPr>
      </w:pPr>
      <w:r>
        <w:rPr>
          <w:rFonts w:ascii="Arial" w:cs="Arial" w:eastAsia="Arial" w:hAnsi="Arial"/>
          <w:sz w:val="18"/>
          <w:szCs w:val="18"/>
          <w:b w:val="1"/>
          <w:bCs w:val="1"/>
          <w:color w:val="auto"/>
        </w:rPr>
        <w:t>Reconciliation of Adjusted Income Before Income Tax to GAAP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adjusted income before income tax to GAAP income before income tax.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20" w:type="dxa"/>
            <w:vAlign w:val="bottom"/>
            <w:gridSpan w:val="4"/>
          </w:tcPr>
          <w:p>
            <w:pPr>
              <w:ind w:left="160"/>
              <w:spacing w:after="0"/>
              <w:rPr>
                <w:sz w:val="20"/>
                <w:szCs w:val="20"/>
                <w:color w:val="auto"/>
              </w:rPr>
            </w:pPr>
            <w:r>
              <w:rPr>
                <w:rFonts w:ascii="Arial" w:cs="Arial" w:eastAsia="Arial" w:hAnsi="Arial"/>
                <w:sz w:val="18"/>
                <w:szCs w:val="18"/>
                <w:b w:val="1"/>
                <w:bCs w:val="1"/>
                <w:color w:val="auto"/>
              </w:rPr>
              <w:t>Six Months Ended June 30,</w:t>
            </w:r>
          </w:p>
        </w:tc>
      </w:tr>
      <w:tr>
        <w:trPr>
          <w:trHeight w:val="225"/>
        </w:trPr>
        <w:tc>
          <w:tcPr>
            <w:tcW w:w="6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C6F4F9"/>
            </w:tcBorders>
          </w:tcPr>
          <w:p>
            <w:pPr>
              <w:spacing w:after="0"/>
              <w:rPr>
                <w:sz w:val="19"/>
                <w:szCs w:val="19"/>
                <w:color w:val="auto"/>
              </w:rPr>
            </w:pPr>
          </w:p>
        </w:tc>
      </w:tr>
      <w:tr>
        <w:trPr>
          <w:trHeight w:val="196"/>
        </w:trPr>
        <w:tc>
          <w:tcPr>
            <w:tcW w:w="67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64.2</w:t>
            </w:r>
          </w:p>
        </w:tc>
        <w:tc>
          <w:tcPr>
            <w:tcW w:w="4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1.2</w:t>
            </w:r>
          </w:p>
        </w:tc>
        <w:tc>
          <w:tcPr>
            <w:tcW w:w="1320" w:type="dxa"/>
            <w:vAlign w:val="bottom"/>
            <w:shd w:val="clear" w:color="auto" w:fill="C6F4F9"/>
          </w:tcPr>
          <w:p>
            <w:pPr>
              <w:spacing w:after="0"/>
              <w:rPr>
                <w:sz w:val="17"/>
                <w:szCs w:val="17"/>
                <w:color w:val="auto"/>
              </w:rPr>
            </w:pPr>
          </w:p>
        </w:tc>
      </w:tr>
      <w:tr>
        <w:trPr>
          <w:trHeight w:val="216"/>
        </w:trPr>
        <w:tc>
          <w:tcPr>
            <w:tcW w:w="676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Add: Provision for income tax expense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14.9</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0.5</w:t>
            </w:r>
          </w:p>
        </w:tc>
        <w:tc>
          <w:tcPr>
            <w:tcW w:w="1320" w:type="dxa"/>
            <w:vAlign w:val="bottom"/>
            <w:tcBorders>
              <w:bottom w:val="single" w:sz="8" w:color="C6F4F9"/>
            </w:tcBorders>
          </w:tcPr>
          <w:p>
            <w:pPr>
              <w:spacing w:after="0"/>
              <w:rPr>
                <w:sz w:val="18"/>
                <w:szCs w:val="18"/>
                <w:color w:val="auto"/>
              </w:rPr>
            </w:pPr>
          </w:p>
        </w:tc>
      </w:tr>
      <w:tr>
        <w:trPr>
          <w:trHeight w:val="196"/>
        </w:trPr>
        <w:tc>
          <w:tcPr>
            <w:tcW w:w="67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Income before income tax, as reported</w:t>
            </w:r>
          </w:p>
        </w:tc>
        <w:tc>
          <w:tcPr>
            <w:tcW w:w="260" w:type="dxa"/>
            <w:vAlign w:val="bottom"/>
            <w:shd w:val="clear" w:color="auto" w:fill="C6F4F9"/>
          </w:tcPr>
          <w:p>
            <w:pPr>
              <w:spacing w:after="0"/>
              <w:rPr>
                <w:sz w:val="17"/>
                <w:szCs w:val="17"/>
                <w:color w:val="auto"/>
              </w:rPr>
            </w:pPr>
          </w:p>
        </w:tc>
        <w:tc>
          <w:tcPr>
            <w:tcW w:w="128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79.0</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1.8</w:t>
            </w:r>
          </w:p>
        </w:tc>
        <w:tc>
          <w:tcPr>
            <w:tcW w:w="1320" w:type="dxa"/>
            <w:vAlign w:val="bottom"/>
            <w:shd w:val="clear" w:color="auto" w:fill="C6F4F9"/>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Pre-tax margin</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1320" w:type="dxa"/>
            <w:vAlign w:val="bottom"/>
          </w:tcPr>
          <w:p>
            <w:pPr>
              <w:spacing w:after="0"/>
              <w:rPr>
                <w:sz w:val="17"/>
                <w:szCs w:val="17"/>
                <w:color w:val="auto"/>
              </w:rPr>
            </w:pPr>
          </w:p>
        </w:tc>
      </w:tr>
      <w:tr>
        <w:trPr>
          <w:trHeight w:val="243"/>
        </w:trPr>
        <w:tc>
          <w:tcPr>
            <w:tcW w:w="67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260" w:type="dxa"/>
            <w:vAlign w:val="bottom"/>
            <w:shd w:val="clear" w:color="auto" w:fill="C6F4F9"/>
          </w:tcPr>
          <w:p>
            <w:pPr>
              <w:spacing w:after="0"/>
              <w:rPr>
                <w:sz w:val="21"/>
                <w:szCs w:val="21"/>
                <w:color w:val="auto"/>
              </w:rPr>
            </w:pPr>
          </w:p>
        </w:tc>
        <w:tc>
          <w:tcPr>
            <w:tcW w:w="128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(65.4)</w:t>
            </w:r>
          </w:p>
        </w:tc>
        <w:tc>
          <w:tcPr>
            <w:tcW w:w="400" w:type="dxa"/>
            <w:vAlign w:val="bottom"/>
            <w:shd w:val="clear" w:color="auto" w:fill="C6F4F9"/>
          </w:tcPr>
          <w:p>
            <w:pPr>
              <w:spacing w:after="0"/>
              <w:rPr>
                <w:sz w:val="21"/>
                <w:szCs w:val="21"/>
                <w:color w:val="auto"/>
              </w:rPr>
            </w:pPr>
          </w:p>
        </w:tc>
        <w:tc>
          <w:tcPr>
            <w:tcW w:w="1220" w:type="dxa"/>
            <w:vAlign w:val="bottom"/>
            <w:shd w:val="clear" w:color="auto" w:fill="C6F4F9"/>
          </w:tcPr>
          <w:p>
            <w:pPr>
              <w:jc w:val="right"/>
              <w:ind w:right="90"/>
              <w:spacing w:after="0"/>
              <w:rPr>
                <w:sz w:val="20"/>
                <w:szCs w:val="20"/>
                <w:color w:val="auto"/>
              </w:rPr>
            </w:pPr>
            <w:r>
              <w:rPr>
                <w:rFonts w:ascii="Arial" w:cs="Arial" w:eastAsia="Arial" w:hAnsi="Arial"/>
                <w:sz w:val="18"/>
                <w:szCs w:val="18"/>
                <w:color w:val="auto"/>
              </w:rPr>
              <w:t>(31.5)</w:t>
            </w:r>
          </w:p>
        </w:tc>
        <w:tc>
          <w:tcPr>
            <w:tcW w:w="1320" w:type="dxa"/>
            <w:vAlign w:val="bottom"/>
            <w:shd w:val="clear" w:color="auto" w:fill="C6F4F9"/>
          </w:tcPr>
          <w:p>
            <w:pPr>
              <w:spacing w:after="0"/>
              <w:rPr>
                <w:sz w:val="21"/>
                <w:szCs w:val="21"/>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17"/>
                <w:szCs w:val="17"/>
                <w:color w:val="auto"/>
              </w:rPr>
            </w:pP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3.6</w:t>
            </w:r>
          </w:p>
        </w:tc>
        <w:tc>
          <w:tcPr>
            <w:tcW w:w="40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0.8</w:t>
            </w:r>
          </w:p>
        </w:tc>
        <w:tc>
          <w:tcPr>
            <w:tcW w:w="1320" w:type="dxa"/>
            <w:vAlign w:val="bottom"/>
          </w:tcPr>
          <w:p>
            <w:pPr>
              <w:spacing w:after="0"/>
              <w:rPr>
                <w:sz w:val="17"/>
                <w:szCs w:val="17"/>
                <w:color w:val="auto"/>
              </w:rPr>
            </w:pP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260" w:type="dxa"/>
            <w:vAlign w:val="bottom"/>
            <w:shd w:val="clear" w:color="auto" w:fill="C6F4F9"/>
          </w:tcPr>
          <w:p>
            <w:pPr>
              <w:spacing w:after="0"/>
              <w:rPr>
                <w:sz w:val="17"/>
                <w:szCs w:val="17"/>
                <w:color w:val="auto"/>
              </w:rPr>
            </w:pPr>
          </w:p>
        </w:tc>
        <w:tc>
          <w:tcPr>
            <w:tcW w:w="128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122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0.4</w:t>
            </w:r>
          </w:p>
        </w:tc>
        <w:tc>
          <w:tcPr>
            <w:tcW w:w="1320" w:type="dxa"/>
            <w:vAlign w:val="bottom"/>
            <w:shd w:val="clear" w:color="auto" w:fill="C6F4F9"/>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Early pay-off of US Treasury loan</w:t>
            </w:r>
          </w:p>
        </w:tc>
        <w:tc>
          <w:tcPr>
            <w:tcW w:w="260" w:type="dxa"/>
            <w:vAlign w:val="bottom"/>
          </w:tcPr>
          <w:p>
            <w:pPr>
              <w:spacing w:after="0"/>
              <w:rPr>
                <w:sz w:val="17"/>
                <w:szCs w:val="17"/>
                <w:color w:val="auto"/>
              </w:rPr>
            </w:pPr>
          </w:p>
        </w:tc>
        <w:tc>
          <w:tcPr>
            <w:tcW w:w="12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0.8</w:t>
            </w:r>
          </w:p>
        </w:tc>
        <w:tc>
          <w:tcPr>
            <w:tcW w:w="400" w:type="dxa"/>
            <w:vAlign w:val="bottom"/>
          </w:tcPr>
          <w:p>
            <w:pPr>
              <w:spacing w:after="0"/>
              <w:rPr>
                <w:sz w:val="17"/>
                <w:szCs w:val="17"/>
                <w:color w:val="auto"/>
              </w:rPr>
            </w:pPr>
          </w:p>
        </w:tc>
        <w:tc>
          <w:tcPr>
            <w:tcW w:w="254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r>
      <w:tr>
        <w:trPr>
          <w:trHeight w:val="243"/>
        </w:trPr>
        <w:tc>
          <w:tcPr>
            <w:tcW w:w="67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260" w:type="dxa"/>
            <w:vAlign w:val="bottom"/>
            <w:shd w:val="clear" w:color="auto" w:fill="C6F4F9"/>
          </w:tcPr>
          <w:p>
            <w:pPr>
              <w:spacing w:after="0"/>
              <w:rPr>
                <w:sz w:val="21"/>
                <w:szCs w:val="21"/>
                <w:color w:val="auto"/>
              </w:rPr>
            </w:pPr>
          </w:p>
        </w:tc>
        <w:tc>
          <w:tcPr>
            <w:tcW w:w="128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6F4F9"/>
          </w:tcPr>
          <w:p>
            <w:pPr>
              <w:spacing w:after="0"/>
              <w:rPr>
                <w:sz w:val="21"/>
                <w:szCs w:val="21"/>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2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21"/>
                <w:szCs w:val="21"/>
                <w:color w:val="auto"/>
              </w:rPr>
            </w:pPr>
          </w:p>
        </w:tc>
        <w:tc>
          <w:tcPr>
            <w:tcW w:w="25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03"/>
        </w:trPr>
        <w:tc>
          <w:tcPr>
            <w:tcW w:w="67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refinancing credit facility</w:t>
            </w:r>
          </w:p>
        </w:tc>
        <w:tc>
          <w:tcPr>
            <w:tcW w:w="260" w:type="dxa"/>
            <w:vAlign w:val="bottom"/>
            <w:shd w:val="clear" w:color="auto" w:fill="C6F4F9"/>
          </w:tcPr>
          <w:p>
            <w:pPr>
              <w:spacing w:after="0"/>
              <w:rPr>
                <w:sz w:val="17"/>
                <w:szCs w:val="17"/>
                <w:color w:val="auto"/>
              </w:rPr>
            </w:pPr>
          </w:p>
        </w:tc>
        <w:tc>
          <w:tcPr>
            <w:tcW w:w="128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0.4</w:t>
            </w:r>
          </w:p>
        </w:tc>
        <w:tc>
          <w:tcPr>
            <w:tcW w:w="400" w:type="dxa"/>
            <w:vAlign w:val="bottom"/>
            <w:shd w:val="clear" w:color="auto" w:fill="C6F4F9"/>
          </w:tcPr>
          <w:p>
            <w:pPr>
              <w:spacing w:after="0"/>
              <w:rPr>
                <w:sz w:val="17"/>
                <w:szCs w:val="17"/>
                <w:color w:val="auto"/>
              </w:rPr>
            </w:pPr>
          </w:p>
        </w:tc>
        <w:tc>
          <w:tcPr>
            <w:tcW w:w="2540" w:type="dxa"/>
            <w:vAlign w:val="bottom"/>
            <w:gridSpan w:val="2"/>
            <w:shd w:val="clear" w:color="auto" w:fill="C6F4F9"/>
          </w:tcPr>
          <w:p>
            <w:pPr>
              <w:ind w:left="700"/>
              <w:spacing w:after="0" w:line="202" w:lineRule="exact"/>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260" w:type="dxa"/>
            <w:vAlign w:val="bottom"/>
          </w:tcPr>
          <w:p>
            <w:pPr>
              <w:spacing w:after="0"/>
              <w:rPr>
                <w:sz w:val="21"/>
                <w:szCs w:val="21"/>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320" w:type="dxa"/>
            <w:vAlign w:val="bottom"/>
          </w:tcPr>
          <w:p>
            <w:pPr>
              <w:spacing w:after="0"/>
              <w:rPr>
                <w:sz w:val="21"/>
                <w:szCs w:val="21"/>
                <w:color w:val="auto"/>
              </w:rPr>
            </w:pPr>
          </w:p>
        </w:tc>
      </w:tr>
      <w:tr>
        <w:trPr>
          <w:trHeight w:val="216"/>
        </w:trPr>
        <w:tc>
          <w:tcPr>
            <w:tcW w:w="6760" w:type="dxa"/>
            <w:vAlign w:val="bottom"/>
            <w:shd w:val="clear" w:color="auto" w:fill="C6F4F9"/>
          </w:tcPr>
          <w:p>
            <w:pPr>
              <w:spacing w:after="0"/>
              <w:rPr>
                <w:sz w:val="20"/>
                <w:szCs w:val="20"/>
                <w:color w:val="auto"/>
              </w:rPr>
            </w:pPr>
            <w:r>
              <w:rPr>
                <w:rFonts w:ascii="Arial" w:cs="Arial" w:eastAsia="Arial" w:hAnsi="Arial"/>
                <w:sz w:val="18"/>
                <w:szCs w:val="18"/>
                <w:color w:val="auto"/>
              </w:rPr>
              <w:t>Secondary offering related expense</w:t>
            </w:r>
          </w:p>
        </w:tc>
        <w:tc>
          <w:tcPr>
            <w:tcW w:w="260" w:type="dxa"/>
            <w:vAlign w:val="bottom"/>
            <w:shd w:val="clear" w:color="auto" w:fill="C6F4F9"/>
          </w:tcPr>
          <w:p>
            <w:pPr>
              <w:spacing w:after="0"/>
              <w:rPr>
                <w:sz w:val="18"/>
                <w:szCs w:val="18"/>
                <w:color w:val="auto"/>
              </w:rPr>
            </w:pPr>
          </w:p>
        </w:tc>
        <w:tc>
          <w:tcPr>
            <w:tcW w:w="128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6F4F9"/>
          </w:tcPr>
          <w:p>
            <w:pPr>
              <w:spacing w:after="0"/>
              <w:rPr>
                <w:sz w:val="18"/>
                <w:szCs w:val="18"/>
                <w:color w:val="auto"/>
              </w:rPr>
            </w:pPr>
          </w:p>
        </w:tc>
        <w:tc>
          <w:tcPr>
            <w:tcW w:w="2540" w:type="dxa"/>
            <w:vAlign w:val="bottom"/>
            <w:gridSpan w:val="2"/>
            <w:shd w:val="clear" w:color="auto" w:fill="C6F4F9"/>
          </w:tcPr>
          <w:p>
            <w:pPr>
              <w:ind w:left="700"/>
              <w:spacing w:after="0"/>
              <w:rPr>
                <w:sz w:val="20"/>
                <w:szCs w:val="20"/>
                <w:color w:val="auto"/>
              </w:rPr>
            </w:pPr>
            <w:r>
              <w:rPr>
                <w:rFonts w:ascii="Arial" w:cs="Arial" w:eastAsia="Arial" w:hAnsi="Arial"/>
                <w:sz w:val="18"/>
                <w:szCs w:val="18"/>
                <w:color w:val="auto"/>
              </w:rPr>
              <w:t>—</w:t>
            </w:r>
          </w:p>
        </w:tc>
      </w:tr>
      <w:tr>
        <w:trPr>
          <w:trHeight w:val="250"/>
        </w:trPr>
        <w:tc>
          <w:tcPr>
            <w:tcW w:w="676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income (loss) before income tax</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0.7</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(26.0)</w:t>
            </w:r>
          </w:p>
        </w:tc>
        <w:tc>
          <w:tcPr>
            <w:tcW w:w="1320" w:type="dxa"/>
            <w:vAlign w:val="bottom"/>
            <w:tcBorders>
              <w:bottom w:val="single" w:sz="8" w:color="C6F4F9"/>
            </w:tcBorders>
          </w:tcPr>
          <w:p>
            <w:pPr>
              <w:spacing w:after="0"/>
              <w:rPr>
                <w:sz w:val="21"/>
                <w:szCs w:val="21"/>
                <w:color w:val="auto"/>
              </w:rPr>
            </w:pPr>
          </w:p>
        </w:tc>
      </w:tr>
      <w:tr>
        <w:trPr>
          <w:trHeight w:val="183"/>
        </w:trPr>
        <w:tc>
          <w:tcPr>
            <w:tcW w:w="676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Adjusted Pre-tax margin</w:t>
            </w:r>
          </w:p>
        </w:tc>
        <w:tc>
          <w:tcPr>
            <w:tcW w:w="260" w:type="dxa"/>
            <w:vAlign w:val="bottom"/>
            <w:shd w:val="clear" w:color="auto" w:fill="C6F4F9"/>
          </w:tcPr>
          <w:p>
            <w:pPr>
              <w:spacing w:after="0"/>
              <w:rPr>
                <w:sz w:val="15"/>
                <w:szCs w:val="15"/>
                <w:color w:val="auto"/>
              </w:rPr>
            </w:pPr>
          </w:p>
        </w:tc>
        <w:tc>
          <w:tcPr>
            <w:tcW w:w="128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0.3%</w:t>
            </w:r>
          </w:p>
        </w:tc>
        <w:tc>
          <w:tcPr>
            <w:tcW w:w="400" w:type="dxa"/>
            <w:vAlign w:val="bottom"/>
            <w:shd w:val="clear" w:color="auto" w:fill="C6F4F9"/>
          </w:tcPr>
          <w:p>
            <w:pPr>
              <w:spacing w:after="0"/>
              <w:rPr>
                <w:sz w:val="15"/>
                <w:szCs w:val="15"/>
                <w:color w:val="auto"/>
              </w:rPr>
            </w:pPr>
          </w:p>
        </w:tc>
        <w:tc>
          <w:tcPr>
            <w:tcW w:w="122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(12.1%)</w:t>
            </w:r>
          </w:p>
        </w:tc>
        <w:tc>
          <w:tcPr>
            <w:tcW w:w="1320" w:type="dxa"/>
            <w:vAlign w:val="bottom"/>
            <w:shd w:val="clear" w:color="auto" w:fill="C6F4F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-2108200</wp:posOffset>
            </wp:positionV>
            <wp:extent cx="84010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-1833880</wp:posOffset>
            </wp:positionV>
            <wp:extent cx="84010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-1567815</wp:posOffset>
            </wp:positionV>
            <wp:extent cx="84010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-1285240</wp:posOffset>
            </wp:positionV>
            <wp:extent cx="8401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-1028065</wp:posOffset>
            </wp:positionV>
            <wp:extent cx="840105"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40105" cy="1543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-719455</wp:posOffset>
            </wp:positionV>
            <wp:extent cx="8401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40105" cy="1289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-436245</wp:posOffset>
            </wp:positionV>
            <wp:extent cx="84010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401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-145415</wp:posOffset>
            </wp:positionV>
            <wp:extent cx="84010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40105" cy="146050"/>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300" w:lineRule="exact"/>
        <w:rPr>
          <w:sz w:val="20"/>
          <w:szCs w:val="20"/>
          <w:color w:val="auto"/>
        </w:rPr>
      </w:pPr>
    </w:p>
    <w:p>
      <w:pPr>
        <w:ind w:left="5300"/>
        <w:spacing w:after="0"/>
        <w:tabs>
          <w:tab w:leader="none" w:pos="8320" w:val="left"/>
        </w:tabs>
        <w:rPr>
          <w:sz w:val="20"/>
          <w:szCs w:val="20"/>
          <w:color w:val="auto"/>
        </w:rPr>
      </w:pPr>
      <w:r>
        <w:rPr>
          <w:rFonts w:ascii="Arial" w:cs="Arial" w:eastAsia="Arial" w:hAnsi="Arial"/>
          <w:sz w:val="18"/>
          <w:szCs w:val="18"/>
          <w:color w:val="auto"/>
        </w:rPr>
        <w:t>Page 18</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Net Income and Adjusted Earnings per Share to GAAP Net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adjusted net income and adjusted earnings per share to GAAP net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3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5"/>
        </w:trPr>
        <w:tc>
          <w:tcPr>
            <w:tcW w:w="52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 (loss)</w:t>
            </w:r>
          </w:p>
        </w:tc>
        <w:tc>
          <w:tcPr>
            <w:tcW w:w="2560" w:type="dxa"/>
            <w:vAlign w:val="bottom"/>
            <w:gridSpan w:val="2"/>
            <w:shd w:val="clear" w:color="auto" w:fill="C6F4F9"/>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51.8</w:t>
            </w:r>
          </w:p>
        </w:tc>
        <w:tc>
          <w:tcPr>
            <w:tcW w:w="40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(6.0)</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Net income (loss) per share – diluted</w:t>
            </w:r>
          </w:p>
        </w:tc>
        <w:tc>
          <w:tcPr>
            <w:tcW w:w="2560" w:type="dxa"/>
            <w:vAlign w:val="bottom"/>
            <w:gridSpan w:val="2"/>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0.83</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620" w:type="dxa"/>
            <w:vAlign w:val="bottom"/>
            <w:shd w:val="clear" w:color="auto" w:fill="C6F4F9"/>
          </w:tcPr>
          <w:p>
            <w:pPr>
              <w:spacing w:after="0"/>
              <w:rPr>
                <w:sz w:val="21"/>
                <w:szCs w:val="21"/>
                <w:color w:val="auto"/>
              </w:rPr>
            </w:pPr>
          </w:p>
        </w:tc>
        <w:tc>
          <w:tcPr>
            <w:tcW w:w="940" w:type="dxa"/>
            <w:vAlign w:val="bottom"/>
            <w:shd w:val="clear" w:color="auto" w:fill="C6F4F9"/>
          </w:tcPr>
          <w:p>
            <w:pPr>
              <w:spacing w:after="0"/>
              <w:rPr>
                <w:sz w:val="21"/>
                <w:szCs w:val="21"/>
                <w:color w:val="auto"/>
              </w:rPr>
            </w:pPr>
          </w:p>
        </w:tc>
        <w:tc>
          <w:tcPr>
            <w:tcW w:w="560" w:type="dxa"/>
            <w:vAlign w:val="bottom"/>
            <w:shd w:val="clear" w:color="auto" w:fill="C6F4F9"/>
          </w:tcPr>
          <w:p>
            <w:pPr>
              <w:jc w:val="right"/>
              <w:spacing w:after="0"/>
              <w:rPr>
                <w:sz w:val="20"/>
                <w:szCs w:val="20"/>
                <w:color w:val="auto"/>
              </w:rPr>
            </w:pPr>
            <w:r>
              <w:rPr>
                <w:rFonts w:ascii="Arial" w:cs="Arial" w:eastAsia="Arial" w:hAnsi="Arial"/>
                <w:sz w:val="18"/>
                <w:szCs w:val="18"/>
                <w:color w:val="auto"/>
                <w:w w:val="97"/>
              </w:rPr>
              <w:t>(38.5)</w:t>
            </w:r>
          </w:p>
        </w:tc>
        <w:tc>
          <w:tcPr>
            <w:tcW w:w="400" w:type="dxa"/>
            <w:vAlign w:val="bottom"/>
            <w:shd w:val="clear" w:color="auto" w:fill="C6F4F9"/>
          </w:tcPr>
          <w:p>
            <w:pPr>
              <w:spacing w:after="0"/>
              <w:rPr>
                <w:sz w:val="21"/>
                <w:szCs w:val="21"/>
                <w:color w:val="auto"/>
              </w:rPr>
            </w:pP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(31.5)</w:t>
            </w:r>
          </w:p>
        </w:tc>
        <w:tc>
          <w:tcPr>
            <w:tcW w:w="1340" w:type="dxa"/>
            <w:vAlign w:val="bottom"/>
            <w:shd w:val="clear" w:color="auto" w:fill="C6F4F9"/>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0.7</w:t>
            </w:r>
          </w:p>
        </w:tc>
        <w:tc>
          <w:tcPr>
            <w:tcW w:w="4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1620" w:type="dxa"/>
            <w:vAlign w:val="bottom"/>
            <w:shd w:val="clear" w:color="auto" w:fill="C6F4F9"/>
          </w:tcPr>
          <w:p>
            <w:pPr>
              <w:spacing w:after="0"/>
              <w:rPr>
                <w:sz w:val="17"/>
                <w:szCs w:val="17"/>
                <w:color w:val="auto"/>
              </w:rPr>
            </w:pPr>
          </w:p>
        </w:tc>
        <w:tc>
          <w:tcPr>
            <w:tcW w:w="94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0.3</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1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1"/>
                <w:szCs w:val="21"/>
                <w:color w:val="auto"/>
              </w:rPr>
            </w:pPr>
          </w:p>
        </w:tc>
        <w:tc>
          <w:tcPr>
            <w:tcW w:w="24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620" w:type="dxa"/>
            <w:vAlign w:val="bottom"/>
            <w:shd w:val="clear" w:color="auto" w:fill="C6F4F9"/>
          </w:tcPr>
          <w:p>
            <w:pPr>
              <w:spacing w:after="0"/>
              <w:rPr>
                <w:sz w:val="21"/>
                <w:szCs w:val="21"/>
                <w:color w:val="auto"/>
              </w:rPr>
            </w:pPr>
          </w:p>
        </w:tc>
        <w:tc>
          <w:tcPr>
            <w:tcW w:w="940" w:type="dxa"/>
            <w:vAlign w:val="bottom"/>
            <w:shd w:val="clear" w:color="auto" w:fill="C6F4F9"/>
          </w:tcPr>
          <w:p>
            <w:pPr>
              <w:spacing w:after="0"/>
              <w:rPr>
                <w:sz w:val="21"/>
                <w:szCs w:val="21"/>
                <w:color w:val="auto"/>
              </w:rPr>
            </w:pPr>
          </w:p>
        </w:tc>
        <w:tc>
          <w:tcPr>
            <w:tcW w:w="560" w:type="dxa"/>
            <w:vAlign w:val="bottom"/>
            <w:shd w:val="clear" w:color="auto" w:fill="C6F4F9"/>
          </w:tcPr>
          <w:p>
            <w:pPr>
              <w:jc w:val="right"/>
              <w:spacing w:after="0"/>
              <w:rPr>
                <w:sz w:val="20"/>
                <w:szCs w:val="20"/>
                <w:color w:val="auto"/>
              </w:rPr>
            </w:pPr>
            <w:r>
              <w:rPr>
                <w:rFonts w:ascii="Arial" w:cs="Arial" w:eastAsia="Arial" w:hAnsi="Arial"/>
                <w:sz w:val="18"/>
                <w:szCs w:val="18"/>
                <w:color w:val="auto"/>
                <w:w w:val="97"/>
              </w:rPr>
              <w:t>(18.7)</w:t>
            </w:r>
          </w:p>
        </w:tc>
        <w:tc>
          <w:tcPr>
            <w:tcW w:w="400" w:type="dxa"/>
            <w:vAlign w:val="bottom"/>
            <w:shd w:val="clear" w:color="auto" w:fill="C6F4F9"/>
          </w:tcPr>
          <w:p>
            <w:pPr>
              <w:spacing w:after="0"/>
              <w:rPr>
                <w:sz w:val="21"/>
                <w:szCs w:val="21"/>
                <w:color w:val="auto"/>
              </w:rPr>
            </w:pPr>
          </w:p>
        </w:tc>
        <w:tc>
          <w:tcPr>
            <w:tcW w:w="2460" w:type="dxa"/>
            <w:vAlign w:val="bottom"/>
            <w:gridSpan w:val="2"/>
            <w:shd w:val="clear" w:color="auto" w:fill="C6F4F9"/>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1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Secondary offering costs</w:t>
            </w:r>
          </w:p>
        </w:tc>
        <w:tc>
          <w:tcPr>
            <w:tcW w:w="1620" w:type="dxa"/>
            <w:vAlign w:val="bottom"/>
            <w:shd w:val="clear" w:color="auto" w:fill="C6F4F9"/>
          </w:tcPr>
          <w:p>
            <w:pPr>
              <w:spacing w:after="0"/>
              <w:rPr>
                <w:sz w:val="17"/>
                <w:szCs w:val="17"/>
                <w:color w:val="auto"/>
              </w:rPr>
            </w:pPr>
          </w:p>
        </w:tc>
        <w:tc>
          <w:tcPr>
            <w:tcW w:w="94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0.6</w:t>
            </w:r>
          </w:p>
        </w:tc>
        <w:tc>
          <w:tcPr>
            <w:tcW w:w="400" w:type="dxa"/>
            <w:vAlign w:val="bottom"/>
            <w:shd w:val="clear" w:color="auto" w:fill="C6F4F9"/>
          </w:tcPr>
          <w:p>
            <w:pPr>
              <w:spacing w:after="0"/>
              <w:rPr>
                <w:sz w:val="17"/>
                <w:szCs w:val="17"/>
                <w:color w:val="auto"/>
              </w:rPr>
            </w:pPr>
          </w:p>
        </w:tc>
        <w:tc>
          <w:tcPr>
            <w:tcW w:w="2460" w:type="dxa"/>
            <w:vAlign w:val="bottom"/>
            <w:gridSpan w:val="2"/>
            <w:shd w:val="clear" w:color="auto" w:fill="C6F4F9"/>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260" w:type="dxa"/>
            <w:vAlign w:val="bottom"/>
            <w:tcBorders>
              <w:bottom w:val="single" w:sz="8" w:color="C6F4F9"/>
            </w:tcBorders>
          </w:tcPr>
          <w:p>
            <w:pPr>
              <w:spacing w:after="0" w:line="256" w:lineRule="exact"/>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9"/>
                <w:szCs w:val="29"/>
                <w:color w:val="auto"/>
                <w:vertAlign w:val="superscript"/>
              </w:rPr>
              <w:t>(5)</w:t>
            </w:r>
          </w:p>
        </w:tc>
        <w:tc>
          <w:tcPr>
            <w:tcW w:w="1620" w:type="dxa"/>
            <w:vAlign w:val="bottom"/>
            <w:tcBorders>
              <w:bottom w:val="single" w:sz="8" w:color="C6F4F9"/>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340" w:type="dxa"/>
            <w:vAlign w:val="bottom"/>
            <w:tcBorders>
              <w:bottom w:val="single" w:sz="8" w:color="C6F4F9"/>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6F4F9"/>
          </w:tcPr>
          <w:p>
            <w:pPr>
              <w:spacing w:after="0" w:line="197" w:lineRule="exact"/>
              <w:rPr>
                <w:sz w:val="20"/>
                <w:szCs w:val="20"/>
                <w:color w:val="auto"/>
              </w:rPr>
            </w:pPr>
            <w:r>
              <w:rPr>
                <w:rFonts w:ascii="Arial" w:cs="Arial" w:eastAsia="Arial" w:hAnsi="Arial"/>
                <w:sz w:val="18"/>
                <w:szCs w:val="18"/>
                <w:color w:val="auto"/>
              </w:rPr>
              <w:t>Adjusted net income (loss)</w:t>
            </w:r>
          </w:p>
        </w:tc>
        <w:tc>
          <w:tcPr>
            <w:tcW w:w="2560" w:type="dxa"/>
            <w:vAlign w:val="bottom"/>
            <w:gridSpan w:val="2"/>
            <w:shd w:val="clear" w:color="auto" w:fill="C6F4F9"/>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(27.8)</w:t>
            </w:r>
          </w:p>
        </w:tc>
        <w:tc>
          <w:tcPr>
            <w:tcW w:w="134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6F4F9"/>
              <w:bottom w:val="single" w:sz="8" w:color="C6F4F9"/>
            </w:tcBorders>
            <w:vMerge w:val="restart"/>
          </w:tcPr>
          <w:p>
            <w:pPr>
              <w:spacing w:after="0"/>
              <w:rPr>
                <w:sz w:val="20"/>
                <w:szCs w:val="20"/>
                <w:color w:val="auto"/>
              </w:rPr>
            </w:pPr>
            <w:r>
              <w:rPr>
                <w:rFonts w:ascii="Arial" w:cs="Arial" w:eastAsia="Arial" w:hAnsi="Arial"/>
                <w:sz w:val="18"/>
                <w:szCs w:val="18"/>
                <w:color w:val="auto"/>
              </w:rPr>
              <w:t>Diluted share count</w:t>
            </w:r>
          </w:p>
        </w:tc>
        <w:tc>
          <w:tcPr>
            <w:tcW w:w="1620" w:type="dxa"/>
            <w:vAlign w:val="bottom"/>
            <w:tcBorders>
              <w:top w:val="single" w:sz="8" w:color="C6F4F9"/>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6F4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ind w:right="50"/>
              <w:spacing w:after="0" w:line="183" w:lineRule="exact"/>
              <w:rPr>
                <w:sz w:val="20"/>
                <w:szCs w:val="20"/>
                <w:color w:val="auto"/>
              </w:rPr>
            </w:pPr>
            <w:r>
              <w:rPr>
                <w:rFonts w:ascii="Arial" w:cs="Arial" w:eastAsia="Arial" w:hAnsi="Arial"/>
                <w:sz w:val="18"/>
                <w:szCs w:val="18"/>
                <w:color w:val="0A0A0A"/>
              </w:rPr>
              <w:t>62.0</w:t>
            </w:r>
          </w:p>
        </w:tc>
        <w:tc>
          <w:tcPr>
            <w:tcW w:w="400" w:type="dxa"/>
            <w:vAlign w:val="bottom"/>
          </w:tcPr>
          <w:p>
            <w:pPr>
              <w:spacing w:after="0"/>
              <w:rPr>
                <w:sz w:val="15"/>
                <w:szCs w:val="15"/>
                <w:color w:val="auto"/>
              </w:rPr>
            </w:pPr>
          </w:p>
        </w:tc>
        <w:tc>
          <w:tcPr>
            <w:tcW w:w="1120" w:type="dxa"/>
            <w:vAlign w:val="bottom"/>
          </w:tcPr>
          <w:p>
            <w:pPr>
              <w:jc w:val="right"/>
              <w:ind w:right="10"/>
              <w:spacing w:after="0" w:line="183" w:lineRule="exact"/>
              <w:rPr>
                <w:sz w:val="20"/>
                <w:szCs w:val="20"/>
                <w:color w:val="auto"/>
              </w:rPr>
            </w:pPr>
            <w:r>
              <w:rPr>
                <w:rFonts w:ascii="Arial" w:cs="Arial" w:eastAsia="Arial" w:hAnsi="Arial"/>
                <w:sz w:val="18"/>
                <w:szCs w:val="18"/>
                <w:color w:val="0A0A0A"/>
              </w:rPr>
              <w:t>46.8</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net income (loss) per share - diluted</w:t>
            </w:r>
          </w:p>
        </w:tc>
        <w:tc>
          <w:tcPr>
            <w:tcW w:w="2560" w:type="dxa"/>
            <w:vAlign w:val="bottom"/>
            <w:gridSpan w:val="2"/>
            <w:shd w:val="clear" w:color="auto" w:fill="C6F4F9"/>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0.07</w:t>
            </w:r>
          </w:p>
        </w:tc>
        <w:tc>
          <w:tcPr>
            <w:tcW w:w="40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(0.59)</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-1859915</wp:posOffset>
            </wp:positionV>
            <wp:extent cx="8483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48360" cy="1371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-1593850</wp:posOffset>
            </wp:positionV>
            <wp:extent cx="84836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84836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-1028065</wp:posOffset>
            </wp:positionV>
            <wp:extent cx="84836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-719455</wp:posOffset>
            </wp:positionV>
            <wp:extent cx="84836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-427990</wp:posOffset>
            </wp:positionV>
            <wp:extent cx="84836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-128270</wp:posOffset>
            </wp:positionV>
            <wp:extent cx="84836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48360" cy="12890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applicable period</w:t>
      </w: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19</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Net Income and Adjusted Earnings per Share to GAAP Net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adjusted net income and adjusted earnings per share to GAAP net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36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5"/>
        </w:trPr>
        <w:tc>
          <w:tcPr>
            <w:tcW w:w="52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C6F4F9"/>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2560" w:type="dxa"/>
            <w:vAlign w:val="bottom"/>
            <w:gridSpan w:val="2"/>
            <w:shd w:val="clear" w:color="auto" w:fill="C6F4F9"/>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64.2</w:t>
            </w:r>
          </w:p>
        </w:tc>
        <w:tc>
          <w:tcPr>
            <w:tcW w:w="40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1.2</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Net income per share – diluted</w:t>
            </w:r>
          </w:p>
        </w:tc>
        <w:tc>
          <w:tcPr>
            <w:tcW w:w="2560" w:type="dxa"/>
            <w:vAlign w:val="bottom"/>
            <w:gridSpan w:val="2"/>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1.12</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620" w:type="dxa"/>
            <w:vAlign w:val="bottom"/>
            <w:shd w:val="clear" w:color="auto" w:fill="C6F4F9"/>
          </w:tcPr>
          <w:p>
            <w:pPr>
              <w:spacing w:after="0"/>
              <w:rPr>
                <w:sz w:val="21"/>
                <w:szCs w:val="21"/>
                <w:color w:val="auto"/>
              </w:rPr>
            </w:pPr>
          </w:p>
        </w:tc>
        <w:tc>
          <w:tcPr>
            <w:tcW w:w="940" w:type="dxa"/>
            <w:vAlign w:val="bottom"/>
            <w:shd w:val="clear" w:color="auto" w:fill="C6F4F9"/>
          </w:tcPr>
          <w:p>
            <w:pPr>
              <w:spacing w:after="0"/>
              <w:rPr>
                <w:sz w:val="21"/>
                <w:szCs w:val="21"/>
                <w:color w:val="auto"/>
              </w:rPr>
            </w:pPr>
          </w:p>
        </w:tc>
        <w:tc>
          <w:tcPr>
            <w:tcW w:w="560" w:type="dxa"/>
            <w:vAlign w:val="bottom"/>
            <w:shd w:val="clear" w:color="auto" w:fill="C6F4F9"/>
          </w:tcPr>
          <w:p>
            <w:pPr>
              <w:jc w:val="right"/>
              <w:spacing w:after="0"/>
              <w:rPr>
                <w:sz w:val="20"/>
                <w:szCs w:val="20"/>
                <w:color w:val="auto"/>
              </w:rPr>
            </w:pPr>
            <w:r>
              <w:rPr>
                <w:rFonts w:ascii="Arial" w:cs="Arial" w:eastAsia="Arial" w:hAnsi="Arial"/>
                <w:sz w:val="18"/>
                <w:szCs w:val="18"/>
                <w:color w:val="auto"/>
                <w:w w:val="97"/>
              </w:rPr>
              <w:t>(65.4)</w:t>
            </w:r>
          </w:p>
        </w:tc>
        <w:tc>
          <w:tcPr>
            <w:tcW w:w="400" w:type="dxa"/>
            <w:vAlign w:val="bottom"/>
            <w:shd w:val="clear" w:color="auto" w:fill="C6F4F9"/>
          </w:tcPr>
          <w:p>
            <w:pPr>
              <w:spacing w:after="0"/>
              <w:rPr>
                <w:sz w:val="21"/>
                <w:szCs w:val="21"/>
                <w:color w:val="auto"/>
              </w:rPr>
            </w:pP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(31.5)</w:t>
            </w:r>
          </w:p>
        </w:tc>
        <w:tc>
          <w:tcPr>
            <w:tcW w:w="1340" w:type="dxa"/>
            <w:vAlign w:val="bottom"/>
            <w:shd w:val="clear" w:color="auto" w:fill="C6F4F9"/>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w:t>
            </w:r>
          </w:p>
        </w:tc>
        <w:tc>
          <w:tcPr>
            <w:tcW w:w="4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0.8</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1620" w:type="dxa"/>
            <w:vAlign w:val="bottom"/>
            <w:shd w:val="clear" w:color="auto" w:fill="C6F4F9"/>
          </w:tcPr>
          <w:p>
            <w:pPr>
              <w:spacing w:after="0"/>
              <w:rPr>
                <w:sz w:val="17"/>
                <w:szCs w:val="17"/>
                <w:color w:val="auto"/>
              </w:rPr>
            </w:pPr>
          </w:p>
        </w:tc>
        <w:tc>
          <w:tcPr>
            <w:tcW w:w="94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0.4</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Early pay-off of US Treasury loan</w:t>
            </w: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0.8</w:t>
            </w:r>
          </w:p>
        </w:tc>
        <w:tc>
          <w:tcPr>
            <w:tcW w:w="400" w:type="dxa"/>
            <w:vAlign w:val="bottom"/>
          </w:tcPr>
          <w:p>
            <w:pPr>
              <w:spacing w:after="0"/>
              <w:rPr>
                <w:sz w:val="17"/>
                <w:szCs w:val="17"/>
                <w:color w:val="auto"/>
              </w:rPr>
            </w:pPr>
          </w:p>
        </w:tc>
        <w:tc>
          <w:tcPr>
            <w:tcW w:w="246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1620" w:type="dxa"/>
            <w:vAlign w:val="bottom"/>
            <w:shd w:val="clear" w:color="auto" w:fill="C6F4F9"/>
          </w:tcPr>
          <w:p>
            <w:pPr>
              <w:spacing w:after="0"/>
              <w:rPr>
                <w:sz w:val="21"/>
                <w:szCs w:val="21"/>
                <w:color w:val="auto"/>
              </w:rPr>
            </w:pPr>
          </w:p>
        </w:tc>
        <w:tc>
          <w:tcPr>
            <w:tcW w:w="940" w:type="dxa"/>
            <w:vAlign w:val="bottom"/>
            <w:shd w:val="clear" w:color="auto" w:fill="C6F4F9"/>
          </w:tcPr>
          <w:p>
            <w:pPr>
              <w:spacing w:after="0"/>
              <w:rPr>
                <w:sz w:val="21"/>
                <w:szCs w:val="21"/>
                <w:color w:val="auto"/>
              </w:rPr>
            </w:pPr>
          </w:p>
        </w:tc>
        <w:tc>
          <w:tcPr>
            <w:tcW w:w="56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6F4F9"/>
          </w:tcPr>
          <w:p>
            <w:pPr>
              <w:spacing w:after="0"/>
              <w:rPr>
                <w:sz w:val="21"/>
                <w:szCs w:val="21"/>
                <w:color w:val="auto"/>
              </w:rPr>
            </w:pPr>
          </w:p>
        </w:tc>
        <w:tc>
          <w:tcPr>
            <w:tcW w:w="2460" w:type="dxa"/>
            <w:vAlign w:val="bottom"/>
            <w:gridSpan w:val="2"/>
            <w:shd w:val="clear" w:color="auto" w:fill="C6F4F9"/>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(18.7)</w:t>
            </w:r>
          </w:p>
        </w:tc>
        <w:tc>
          <w:tcPr>
            <w:tcW w:w="400" w:type="dxa"/>
            <w:vAlign w:val="bottom"/>
          </w:tcPr>
          <w:p>
            <w:pPr>
              <w:spacing w:after="0"/>
              <w:rPr>
                <w:sz w:val="21"/>
                <w:szCs w:val="21"/>
                <w:color w:val="auto"/>
              </w:rPr>
            </w:pPr>
          </w:p>
        </w:tc>
        <w:tc>
          <w:tcPr>
            <w:tcW w:w="24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refinancing credit facility</w:t>
            </w:r>
          </w:p>
        </w:tc>
        <w:tc>
          <w:tcPr>
            <w:tcW w:w="1620" w:type="dxa"/>
            <w:vAlign w:val="bottom"/>
            <w:shd w:val="clear" w:color="auto" w:fill="C6F4F9"/>
          </w:tcPr>
          <w:p>
            <w:pPr>
              <w:spacing w:after="0"/>
              <w:rPr>
                <w:sz w:val="17"/>
                <w:szCs w:val="17"/>
                <w:color w:val="auto"/>
              </w:rPr>
            </w:pPr>
          </w:p>
        </w:tc>
        <w:tc>
          <w:tcPr>
            <w:tcW w:w="94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0.4</w:t>
            </w:r>
          </w:p>
        </w:tc>
        <w:tc>
          <w:tcPr>
            <w:tcW w:w="400" w:type="dxa"/>
            <w:vAlign w:val="bottom"/>
            <w:shd w:val="clear" w:color="auto" w:fill="C6F4F9"/>
          </w:tcPr>
          <w:p>
            <w:pPr>
              <w:spacing w:after="0"/>
              <w:rPr>
                <w:sz w:val="17"/>
                <w:szCs w:val="17"/>
                <w:color w:val="auto"/>
              </w:rPr>
            </w:pPr>
          </w:p>
        </w:tc>
        <w:tc>
          <w:tcPr>
            <w:tcW w:w="2460" w:type="dxa"/>
            <w:vAlign w:val="bottom"/>
            <w:gridSpan w:val="2"/>
            <w:shd w:val="clear" w:color="auto" w:fill="C6F4F9"/>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1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Secondary offering costs</w:t>
            </w:r>
          </w:p>
        </w:tc>
        <w:tc>
          <w:tcPr>
            <w:tcW w:w="1620" w:type="dxa"/>
            <w:vAlign w:val="bottom"/>
            <w:shd w:val="clear" w:color="auto" w:fill="C6F4F9"/>
          </w:tcPr>
          <w:p>
            <w:pPr>
              <w:spacing w:after="0"/>
              <w:rPr>
                <w:sz w:val="17"/>
                <w:szCs w:val="17"/>
                <w:color w:val="auto"/>
              </w:rPr>
            </w:pPr>
          </w:p>
        </w:tc>
        <w:tc>
          <w:tcPr>
            <w:tcW w:w="940" w:type="dxa"/>
            <w:vAlign w:val="bottom"/>
            <w:shd w:val="clear" w:color="auto" w:fill="C6F4F9"/>
          </w:tcPr>
          <w:p>
            <w:pPr>
              <w:spacing w:after="0"/>
              <w:rPr>
                <w:sz w:val="17"/>
                <w:szCs w:val="17"/>
                <w:color w:val="auto"/>
              </w:rPr>
            </w:pPr>
          </w:p>
        </w:tc>
        <w:tc>
          <w:tcPr>
            <w:tcW w:w="5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0.6</w:t>
            </w:r>
          </w:p>
        </w:tc>
        <w:tc>
          <w:tcPr>
            <w:tcW w:w="400" w:type="dxa"/>
            <w:vAlign w:val="bottom"/>
            <w:shd w:val="clear" w:color="auto" w:fill="C6F4F9"/>
          </w:tcPr>
          <w:p>
            <w:pPr>
              <w:spacing w:after="0"/>
              <w:rPr>
                <w:sz w:val="17"/>
                <w:szCs w:val="17"/>
                <w:color w:val="auto"/>
              </w:rPr>
            </w:pPr>
          </w:p>
        </w:tc>
        <w:tc>
          <w:tcPr>
            <w:tcW w:w="2460" w:type="dxa"/>
            <w:vAlign w:val="bottom"/>
            <w:gridSpan w:val="2"/>
            <w:shd w:val="clear" w:color="auto" w:fill="C6F4F9"/>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260" w:type="dxa"/>
            <w:vAlign w:val="bottom"/>
            <w:tcBorders>
              <w:bottom w:val="single" w:sz="8" w:color="C6F4F9"/>
            </w:tcBorders>
          </w:tcPr>
          <w:p>
            <w:pPr>
              <w:spacing w:after="0" w:line="256" w:lineRule="exact"/>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9"/>
                <w:szCs w:val="29"/>
                <w:color w:val="auto"/>
                <w:vertAlign w:val="superscript"/>
              </w:rPr>
              <w:t>(5)</w:t>
            </w:r>
          </w:p>
        </w:tc>
        <w:tc>
          <w:tcPr>
            <w:tcW w:w="1620" w:type="dxa"/>
            <w:vAlign w:val="bottom"/>
            <w:tcBorders>
              <w:bottom w:val="single" w:sz="8" w:color="C6F4F9"/>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13.7</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340" w:type="dxa"/>
            <w:vAlign w:val="bottom"/>
            <w:tcBorders>
              <w:bottom w:val="single" w:sz="8" w:color="C6F4F9"/>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6F4F9"/>
          </w:tcPr>
          <w:p>
            <w:pPr>
              <w:spacing w:after="0" w:line="197" w:lineRule="exact"/>
              <w:rPr>
                <w:sz w:val="20"/>
                <w:szCs w:val="20"/>
                <w:color w:val="auto"/>
              </w:rPr>
            </w:pPr>
            <w:r>
              <w:rPr>
                <w:rFonts w:ascii="Arial" w:cs="Arial" w:eastAsia="Arial" w:hAnsi="Arial"/>
                <w:sz w:val="18"/>
                <w:szCs w:val="18"/>
                <w:color w:val="auto"/>
              </w:rPr>
              <w:t>Adjusted net (loss)</w:t>
            </w:r>
          </w:p>
        </w:tc>
        <w:tc>
          <w:tcPr>
            <w:tcW w:w="2560" w:type="dxa"/>
            <w:vAlign w:val="bottom"/>
            <w:gridSpan w:val="2"/>
            <w:shd w:val="clear" w:color="auto" w:fill="C6F4F9"/>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6F4F9"/>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(20.2)</w:t>
            </w:r>
          </w:p>
        </w:tc>
        <w:tc>
          <w:tcPr>
            <w:tcW w:w="1340" w:type="dxa"/>
            <w:vAlign w:val="bottom"/>
            <w:shd w:val="clear" w:color="auto" w:fill="C6F4F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6F4F9"/>
              <w:bottom w:val="single" w:sz="8" w:color="C6F4F9"/>
            </w:tcBorders>
            <w:vMerge w:val="restart"/>
          </w:tcPr>
          <w:p>
            <w:pPr>
              <w:spacing w:after="0"/>
              <w:rPr>
                <w:sz w:val="20"/>
                <w:szCs w:val="20"/>
                <w:color w:val="auto"/>
              </w:rPr>
            </w:pPr>
            <w:r>
              <w:rPr>
                <w:rFonts w:ascii="Arial" w:cs="Arial" w:eastAsia="Arial" w:hAnsi="Arial"/>
                <w:sz w:val="18"/>
                <w:szCs w:val="18"/>
                <w:color w:val="auto"/>
              </w:rPr>
              <w:t>Diluted share count</w:t>
            </w:r>
          </w:p>
        </w:tc>
        <w:tc>
          <w:tcPr>
            <w:tcW w:w="1620" w:type="dxa"/>
            <w:vAlign w:val="bottom"/>
            <w:tcBorders>
              <w:top w:val="single" w:sz="8" w:color="C6F4F9"/>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6F4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ind w:right="50"/>
              <w:spacing w:after="0" w:line="183" w:lineRule="exact"/>
              <w:rPr>
                <w:sz w:val="20"/>
                <w:szCs w:val="20"/>
                <w:color w:val="auto"/>
              </w:rPr>
            </w:pPr>
            <w:r>
              <w:rPr>
                <w:rFonts w:ascii="Arial" w:cs="Arial" w:eastAsia="Arial" w:hAnsi="Arial"/>
                <w:sz w:val="18"/>
                <w:szCs w:val="18"/>
                <w:color w:val="0A0A0A"/>
              </w:rPr>
              <w:t>57.4</w:t>
            </w:r>
          </w:p>
        </w:tc>
        <w:tc>
          <w:tcPr>
            <w:tcW w:w="400" w:type="dxa"/>
            <w:vAlign w:val="bottom"/>
          </w:tcPr>
          <w:p>
            <w:pPr>
              <w:spacing w:after="0"/>
              <w:rPr>
                <w:sz w:val="15"/>
                <w:szCs w:val="15"/>
                <w:color w:val="auto"/>
              </w:rPr>
            </w:pPr>
          </w:p>
        </w:tc>
        <w:tc>
          <w:tcPr>
            <w:tcW w:w="1120" w:type="dxa"/>
            <w:vAlign w:val="bottom"/>
          </w:tcPr>
          <w:p>
            <w:pPr>
              <w:jc w:val="right"/>
              <w:ind w:right="10"/>
              <w:spacing w:after="0" w:line="183" w:lineRule="exact"/>
              <w:rPr>
                <w:sz w:val="20"/>
                <w:szCs w:val="20"/>
                <w:color w:val="auto"/>
              </w:rPr>
            </w:pPr>
            <w:r>
              <w:rPr>
                <w:rFonts w:ascii="Arial" w:cs="Arial" w:eastAsia="Arial" w:hAnsi="Arial"/>
                <w:sz w:val="18"/>
                <w:szCs w:val="18"/>
                <w:color w:val="0A0A0A"/>
              </w:rPr>
              <w:t>48.2</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net income (loss) per share - diluted</w:t>
            </w:r>
          </w:p>
        </w:tc>
        <w:tc>
          <w:tcPr>
            <w:tcW w:w="2560" w:type="dxa"/>
            <w:vAlign w:val="bottom"/>
            <w:gridSpan w:val="2"/>
            <w:shd w:val="clear" w:color="auto" w:fill="C6F4F9"/>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w w:val="97"/>
              </w:rPr>
              <w:t>(0.01)</w:t>
            </w:r>
          </w:p>
        </w:tc>
        <w:tc>
          <w:tcPr>
            <w:tcW w:w="40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auto"/>
              </w:rPr>
              <w:t>(0.42)</w:t>
            </w:r>
          </w:p>
        </w:tc>
        <w:tc>
          <w:tcPr>
            <w:tcW w:w="1340" w:type="dxa"/>
            <w:vAlign w:val="bottom"/>
            <w:shd w:val="clear" w:color="auto" w:fill="C6F4F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-2117090</wp:posOffset>
            </wp:positionV>
            <wp:extent cx="84836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48360" cy="1371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-1851025</wp:posOffset>
            </wp:positionV>
            <wp:extent cx="84836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-1567815</wp:posOffset>
            </wp:positionV>
            <wp:extent cx="84836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84836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-1002665</wp:posOffset>
            </wp:positionV>
            <wp:extent cx="84836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-719455</wp:posOffset>
            </wp:positionV>
            <wp:extent cx="84836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-427990</wp:posOffset>
            </wp:positionV>
            <wp:extent cx="84836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-128270</wp:posOffset>
            </wp:positionV>
            <wp:extent cx="84836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48360" cy="12890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20</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EBITDAR to GAAP Net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Net Income (Loss) to Adjusted EBITDAR for the periods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Three Months</w:t>
            </w:r>
          </w:p>
        </w:tc>
      </w:tr>
      <w:tr>
        <w:trPr>
          <w:trHeight w:val="203"/>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Ended</w:t>
            </w:r>
          </w:p>
        </w:tc>
      </w:tr>
      <w:tr>
        <w:trPr>
          <w:trHeight w:val="203"/>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3"/>
          </w:tcPr>
          <w:p>
            <w:pPr>
              <w:jc w:val="right"/>
              <w:ind w:right="250"/>
              <w:spacing w:after="0" w:line="202" w:lineRule="exact"/>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17"/>
                <w:szCs w:val="17"/>
                <w:color w:val="auto"/>
              </w:rPr>
            </w:pPr>
          </w:p>
        </w:tc>
        <w:tc>
          <w:tcPr>
            <w:tcW w:w="13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December 31</w:t>
            </w:r>
          </w:p>
        </w:tc>
      </w:tr>
      <w:tr>
        <w:trPr>
          <w:trHeight w:val="225"/>
        </w:trPr>
        <w:tc>
          <w:tcPr>
            <w:tcW w:w="6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r>
      <w:tr>
        <w:trPr>
          <w:trHeight w:val="196"/>
        </w:trPr>
        <w:tc>
          <w:tcPr>
            <w:tcW w:w="648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 (loss)</w:t>
            </w:r>
          </w:p>
        </w:tc>
        <w:tc>
          <w:tcPr>
            <w:tcW w:w="20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6F4F9"/>
          </w:tcPr>
          <w:p>
            <w:pPr>
              <w:jc w:val="right"/>
              <w:ind w:right="110"/>
              <w:spacing w:after="0" w:line="196" w:lineRule="exact"/>
              <w:rPr>
                <w:sz w:val="20"/>
                <w:szCs w:val="20"/>
                <w:color w:val="auto"/>
              </w:rPr>
            </w:pPr>
            <w:r>
              <w:rPr>
                <w:rFonts w:ascii="Arial" w:cs="Arial" w:eastAsia="Arial" w:hAnsi="Arial"/>
                <w:sz w:val="18"/>
                <w:szCs w:val="18"/>
                <w:color w:val="auto"/>
              </w:rPr>
              <w:t>51.8</w:t>
            </w:r>
          </w:p>
        </w:tc>
        <w:tc>
          <w:tcPr>
            <w:tcW w:w="400" w:type="dxa"/>
            <w:vAlign w:val="bottom"/>
            <w:shd w:val="clear" w:color="auto" w:fill="C6F4F9"/>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(6.0)</w:t>
            </w:r>
          </w:p>
        </w:tc>
        <w:tc>
          <w:tcPr>
            <w:tcW w:w="20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(8.0)</w:t>
            </w:r>
          </w:p>
        </w:tc>
      </w:tr>
      <w:tr>
        <w:trPr>
          <w:trHeight w:val="243"/>
        </w:trPr>
        <w:tc>
          <w:tcPr>
            <w:tcW w:w="648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(38.5)</w:t>
            </w:r>
          </w:p>
        </w:tc>
        <w:tc>
          <w:tcPr>
            <w:tcW w:w="40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03"/>
        </w:trPr>
        <w:tc>
          <w:tcPr>
            <w:tcW w:w="64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20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90"/>
              <w:spacing w:after="0" w:line="202" w:lineRule="exact"/>
              <w:rPr>
                <w:sz w:val="20"/>
                <w:szCs w:val="20"/>
                <w:color w:val="auto"/>
              </w:rPr>
            </w:pPr>
            <w:r>
              <w:rPr>
                <w:rFonts w:ascii="Arial" w:cs="Arial" w:eastAsia="Arial" w:hAnsi="Arial"/>
                <w:sz w:val="18"/>
                <w:szCs w:val="18"/>
                <w:color w:val="auto"/>
              </w:rPr>
              <w:t>0.3</w:t>
            </w:r>
          </w:p>
        </w:tc>
        <w:tc>
          <w:tcPr>
            <w:tcW w:w="20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6.1</w:t>
            </w:r>
          </w:p>
        </w:tc>
        <w:tc>
          <w:tcPr>
            <w:tcW w:w="400" w:type="dxa"/>
            <w:vAlign w:val="bottom"/>
          </w:tcPr>
          <w:p>
            <w:pPr>
              <w:spacing w:after="0"/>
              <w:rPr>
                <w:sz w:val="17"/>
                <w:szCs w:val="17"/>
                <w:color w:val="auto"/>
              </w:rPr>
            </w:pP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7"/>
                <w:szCs w:val="17"/>
                <w:color w:val="auto"/>
              </w:rPr>
            </w:pP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5.9</w:t>
            </w:r>
          </w:p>
        </w:tc>
      </w:tr>
      <w:tr>
        <w:trPr>
          <w:trHeight w:val="203"/>
        </w:trPr>
        <w:tc>
          <w:tcPr>
            <w:tcW w:w="64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20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0.7</w:t>
            </w:r>
          </w:p>
        </w:tc>
        <w:tc>
          <w:tcPr>
            <w:tcW w:w="40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90"/>
              <w:spacing w:after="0" w:line="202" w:lineRule="exact"/>
              <w:rPr>
                <w:sz w:val="20"/>
                <w:szCs w:val="20"/>
                <w:color w:val="auto"/>
              </w:rPr>
            </w:pPr>
            <w:r>
              <w:rPr>
                <w:rFonts w:ascii="Arial" w:cs="Arial" w:eastAsia="Arial" w:hAnsi="Arial"/>
                <w:sz w:val="18"/>
                <w:szCs w:val="18"/>
                <w:color w:val="auto"/>
              </w:rPr>
              <w:t>0.4</w:t>
            </w:r>
          </w:p>
        </w:tc>
        <w:tc>
          <w:tcPr>
            <w:tcW w:w="20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0.8</w:t>
            </w:r>
          </w:p>
        </w:tc>
      </w:tr>
      <w:tr>
        <w:trPr>
          <w:trHeight w:val="270"/>
        </w:trPr>
        <w:tc>
          <w:tcPr>
            <w:tcW w:w="6480" w:type="dxa"/>
            <w:vAlign w:val="bottom"/>
          </w:tcPr>
          <w:p>
            <w:pPr>
              <w:spacing w:after="0" w:line="269"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6"/>
                <w:szCs w:val="26"/>
                <w:color w:val="auto"/>
                <w:vertAlign w:val="superscript"/>
              </w:rPr>
              <w:t>(</w:t>
            </w:r>
            <w:r>
              <w:rPr>
                <w:rFonts w:ascii="Arial" w:cs="Arial" w:eastAsia="Arial" w:hAnsi="Arial"/>
                <w:sz w:val="31"/>
                <w:szCs w:val="31"/>
                <w:color w:val="auto"/>
                <w:vertAlign w:val="superscript"/>
              </w:rPr>
              <w:t>2)</w:t>
            </w:r>
          </w:p>
        </w:tc>
        <w:tc>
          <w:tcPr>
            <w:tcW w:w="200" w:type="dxa"/>
            <w:vAlign w:val="bottom"/>
          </w:tcPr>
          <w:p>
            <w:pPr>
              <w:spacing w:after="0"/>
              <w:rPr>
                <w:sz w:val="23"/>
                <w:szCs w:val="23"/>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3"/>
                <w:szCs w:val="23"/>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200" w:type="dxa"/>
            <w:vAlign w:val="bottom"/>
            <w:shd w:val="clear" w:color="auto" w:fill="C6F4F9"/>
          </w:tcPr>
          <w:p>
            <w:pPr>
              <w:spacing w:after="0"/>
              <w:rPr>
                <w:sz w:val="21"/>
                <w:szCs w:val="21"/>
                <w:color w:val="auto"/>
              </w:rPr>
            </w:pPr>
          </w:p>
        </w:tc>
        <w:tc>
          <w:tcPr>
            <w:tcW w:w="1340" w:type="dxa"/>
            <w:vAlign w:val="bottom"/>
            <w:shd w:val="clear" w:color="auto" w:fill="C6F4F9"/>
          </w:tcPr>
          <w:p>
            <w:pPr>
              <w:jc w:val="right"/>
              <w:ind w:right="50"/>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6F4F9"/>
          </w:tcPr>
          <w:p>
            <w:pPr>
              <w:spacing w:after="0"/>
              <w:rPr>
                <w:sz w:val="21"/>
                <w:szCs w:val="21"/>
                <w:color w:val="auto"/>
              </w:rPr>
            </w:pPr>
          </w:p>
        </w:tc>
        <w:tc>
          <w:tcPr>
            <w:tcW w:w="1260" w:type="dxa"/>
            <w:vAlign w:val="bottom"/>
            <w:shd w:val="clear" w:color="auto" w:fill="C6F4F9"/>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6F4F9"/>
          </w:tcPr>
          <w:p>
            <w:pPr>
              <w:spacing w:after="0"/>
              <w:rPr>
                <w:sz w:val="21"/>
                <w:szCs w:val="21"/>
                <w:color w:val="auto"/>
              </w:rPr>
            </w:pPr>
          </w:p>
        </w:tc>
        <w:tc>
          <w:tcPr>
            <w:tcW w:w="1360" w:type="dxa"/>
            <w:vAlign w:val="bottom"/>
            <w:shd w:val="clear" w:color="auto" w:fill="C6F4F9"/>
          </w:tcPr>
          <w:p>
            <w:pPr>
              <w:jc w:val="right"/>
              <w:ind w:right="170"/>
              <w:spacing w:after="0"/>
              <w:rPr>
                <w:sz w:val="20"/>
                <w:szCs w:val="20"/>
                <w:color w:val="auto"/>
              </w:rPr>
            </w:pPr>
            <w:r>
              <w:rPr>
                <w:rFonts w:ascii="Arial" w:cs="Arial" w:eastAsia="Arial" w:hAnsi="Arial"/>
                <w:sz w:val="18"/>
                <w:szCs w:val="18"/>
                <w:color w:val="auto"/>
              </w:rPr>
              <w:t>—</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7"/>
                <w:szCs w:val="17"/>
                <w:color w:val="auto"/>
              </w:rPr>
            </w:pP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43"/>
        </w:trPr>
        <w:tc>
          <w:tcPr>
            <w:tcW w:w="64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200" w:type="dxa"/>
            <w:vAlign w:val="bottom"/>
            <w:shd w:val="clear" w:color="auto" w:fill="C6F4F9"/>
          </w:tcPr>
          <w:p>
            <w:pPr>
              <w:spacing w:after="0"/>
              <w:rPr>
                <w:sz w:val="21"/>
                <w:szCs w:val="21"/>
                <w:color w:val="auto"/>
              </w:rPr>
            </w:pPr>
          </w:p>
        </w:tc>
        <w:tc>
          <w:tcPr>
            <w:tcW w:w="1340" w:type="dxa"/>
            <w:vAlign w:val="bottom"/>
            <w:shd w:val="clear" w:color="auto" w:fill="C6F4F9"/>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6F4F9"/>
          </w:tcPr>
          <w:p>
            <w:pPr>
              <w:spacing w:after="0"/>
              <w:rPr>
                <w:sz w:val="21"/>
                <w:szCs w:val="21"/>
                <w:color w:val="auto"/>
              </w:rPr>
            </w:pPr>
          </w:p>
        </w:tc>
        <w:tc>
          <w:tcPr>
            <w:tcW w:w="1260" w:type="dxa"/>
            <w:vAlign w:val="bottom"/>
            <w:shd w:val="clear" w:color="auto" w:fill="C6F4F9"/>
          </w:tcPr>
          <w:p>
            <w:pPr>
              <w:jc w:val="right"/>
              <w:ind w:right="19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6F4F9"/>
          </w:tcPr>
          <w:p>
            <w:pPr>
              <w:spacing w:after="0"/>
              <w:rPr>
                <w:sz w:val="21"/>
                <w:szCs w:val="21"/>
                <w:color w:val="auto"/>
              </w:rPr>
            </w:pPr>
          </w:p>
        </w:tc>
        <w:tc>
          <w:tcPr>
            <w:tcW w:w="136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0.4</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Secondary offering costs</w:t>
            </w:r>
          </w:p>
        </w:tc>
        <w:tc>
          <w:tcPr>
            <w:tcW w:w="200" w:type="dxa"/>
            <w:vAlign w:val="bottom"/>
          </w:tcPr>
          <w:p>
            <w:pPr>
              <w:spacing w:after="0"/>
              <w:rPr>
                <w:sz w:val="17"/>
                <w:szCs w:val="17"/>
                <w:color w:val="auto"/>
              </w:rPr>
            </w:pP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0.6</w:t>
            </w:r>
          </w:p>
        </w:tc>
        <w:tc>
          <w:tcPr>
            <w:tcW w:w="400" w:type="dxa"/>
            <w:vAlign w:val="bottom"/>
          </w:tcPr>
          <w:p>
            <w:pPr>
              <w:spacing w:after="0"/>
              <w:rPr>
                <w:sz w:val="17"/>
                <w:szCs w:val="17"/>
                <w:color w:val="auto"/>
              </w:rPr>
            </w:pPr>
          </w:p>
        </w:tc>
        <w:tc>
          <w:tcPr>
            <w:tcW w:w="12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9.5</w:t>
            </w:r>
          </w:p>
        </w:tc>
        <w:tc>
          <w:tcPr>
            <w:tcW w:w="400" w:type="dxa"/>
            <w:vAlign w:val="bottom"/>
            <w:shd w:val="clear" w:color="auto" w:fill="C6F4F9"/>
          </w:tcPr>
          <w:p>
            <w:pPr>
              <w:spacing w:after="0"/>
              <w:rPr>
                <w:sz w:val="17"/>
                <w:szCs w:val="17"/>
                <w:color w:val="auto"/>
              </w:rPr>
            </w:pPr>
          </w:p>
        </w:tc>
        <w:tc>
          <w:tcPr>
            <w:tcW w:w="126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(1.9)</w:t>
            </w:r>
          </w:p>
        </w:tc>
        <w:tc>
          <w:tcPr>
            <w:tcW w:w="200" w:type="dxa"/>
            <w:vAlign w:val="bottom"/>
            <w:shd w:val="clear" w:color="auto" w:fill="C6F4F9"/>
          </w:tcPr>
          <w:p>
            <w:pPr>
              <w:spacing w:after="0"/>
              <w:rPr>
                <w:sz w:val="17"/>
                <w:szCs w:val="17"/>
                <w:color w:val="auto"/>
              </w:rPr>
            </w:pPr>
          </w:p>
        </w:tc>
        <w:tc>
          <w:tcPr>
            <w:tcW w:w="136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(2.2)</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13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13.5</w:t>
            </w:r>
          </w:p>
        </w:tc>
        <w:tc>
          <w:tcPr>
            <w:tcW w:w="400" w:type="dxa"/>
            <w:vAlign w:val="bottom"/>
          </w:tcPr>
          <w:p>
            <w:pPr>
              <w:spacing w:after="0"/>
              <w:rPr>
                <w:sz w:val="17"/>
                <w:szCs w:val="17"/>
                <w:color w:val="auto"/>
              </w:rPr>
            </w:pP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12.2</w:t>
            </w:r>
          </w:p>
        </w:tc>
        <w:tc>
          <w:tcPr>
            <w:tcW w:w="200" w:type="dxa"/>
            <w:vAlign w:val="bottom"/>
          </w:tcPr>
          <w:p>
            <w:pPr>
              <w:spacing w:after="0"/>
              <w:rPr>
                <w:sz w:val="17"/>
                <w:szCs w:val="17"/>
                <w:color w:val="auto"/>
              </w:rPr>
            </w:pPr>
          </w:p>
        </w:tc>
        <w:tc>
          <w:tcPr>
            <w:tcW w:w="13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12.5</w:t>
            </w:r>
          </w:p>
        </w:tc>
      </w:tr>
      <w:tr>
        <w:trPr>
          <w:trHeight w:val="216"/>
        </w:trPr>
        <w:tc>
          <w:tcPr>
            <w:tcW w:w="6480" w:type="dxa"/>
            <w:vAlign w:val="bottom"/>
            <w:shd w:val="clear" w:color="auto" w:fill="C6F4F9"/>
          </w:tcPr>
          <w:p>
            <w:pPr>
              <w:spacing w:after="0"/>
              <w:rPr>
                <w:sz w:val="20"/>
                <w:szCs w:val="20"/>
                <w:color w:val="auto"/>
              </w:rPr>
            </w:pPr>
            <w:r>
              <w:rPr>
                <w:rFonts w:ascii="Arial" w:cs="Arial" w:eastAsia="Arial" w:hAnsi="Arial"/>
                <w:sz w:val="18"/>
                <w:szCs w:val="18"/>
                <w:color w:val="auto"/>
              </w:rPr>
              <w:t>Aircraft rent</w:t>
            </w:r>
          </w:p>
        </w:tc>
        <w:tc>
          <w:tcPr>
            <w:tcW w:w="200" w:type="dxa"/>
            <w:vAlign w:val="bottom"/>
            <w:tcBorders>
              <w:bottom w:val="single" w:sz="8" w:color="auto"/>
            </w:tcBorders>
            <w:shd w:val="clear" w:color="auto" w:fill="C6F4F9"/>
          </w:tcPr>
          <w:p>
            <w:pPr>
              <w:spacing w:after="0"/>
              <w:rPr>
                <w:sz w:val="18"/>
                <w:szCs w:val="18"/>
                <w:color w:val="auto"/>
              </w:rPr>
            </w:pPr>
          </w:p>
        </w:tc>
        <w:tc>
          <w:tcPr>
            <w:tcW w:w="1340" w:type="dxa"/>
            <w:vAlign w:val="bottom"/>
            <w:tcBorders>
              <w:bottom w:val="single" w:sz="8" w:color="auto"/>
            </w:tcBorders>
            <w:shd w:val="clear" w:color="auto" w:fill="C6F4F9"/>
          </w:tcPr>
          <w:p>
            <w:pPr>
              <w:jc w:val="right"/>
              <w:ind w:right="110"/>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auto"/>
            </w:tcBorders>
            <w:shd w:val="clear" w:color="auto" w:fill="C6F4F9"/>
          </w:tcPr>
          <w:p>
            <w:pPr>
              <w:spacing w:after="0"/>
              <w:rPr>
                <w:sz w:val="18"/>
                <w:szCs w:val="18"/>
                <w:color w:val="auto"/>
              </w:rPr>
            </w:pPr>
          </w:p>
        </w:tc>
        <w:tc>
          <w:tcPr>
            <w:tcW w:w="1260" w:type="dxa"/>
            <w:vAlign w:val="bottom"/>
            <w:tcBorders>
              <w:bottom w:val="single" w:sz="8" w:color="auto"/>
            </w:tcBorders>
            <w:shd w:val="clear" w:color="auto" w:fill="C6F4F9"/>
          </w:tcPr>
          <w:p>
            <w:pPr>
              <w:jc w:val="right"/>
              <w:ind w:right="190"/>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auto"/>
            </w:tcBorders>
            <w:shd w:val="clear" w:color="auto" w:fill="C6F4F9"/>
          </w:tcPr>
          <w:p>
            <w:pPr>
              <w:spacing w:after="0"/>
              <w:rPr>
                <w:sz w:val="18"/>
                <w:szCs w:val="18"/>
                <w:color w:val="auto"/>
              </w:rPr>
            </w:pPr>
          </w:p>
        </w:tc>
        <w:tc>
          <w:tcPr>
            <w:tcW w:w="1360" w:type="dxa"/>
            <w:vAlign w:val="bottom"/>
            <w:tcBorders>
              <w:bottom w:val="single" w:sz="8" w:color="auto"/>
            </w:tcBorders>
            <w:shd w:val="clear" w:color="auto" w:fill="C6F4F9"/>
          </w:tcPr>
          <w:p>
            <w:pPr>
              <w:jc w:val="right"/>
              <w:ind w:right="70"/>
              <w:spacing w:after="0"/>
              <w:rPr>
                <w:sz w:val="20"/>
                <w:szCs w:val="20"/>
                <w:color w:val="auto"/>
              </w:rPr>
            </w:pPr>
            <w:r>
              <w:rPr>
                <w:rFonts w:ascii="Arial" w:cs="Arial" w:eastAsia="Arial" w:hAnsi="Arial"/>
                <w:sz w:val="18"/>
                <w:szCs w:val="18"/>
                <w:color w:val="auto"/>
              </w:rPr>
              <w:t>7.6</w:t>
            </w:r>
          </w:p>
        </w:tc>
      </w:tr>
      <w:tr>
        <w:trPr>
          <w:trHeight w:val="250"/>
        </w:trPr>
        <w:tc>
          <w:tcPr>
            <w:tcW w:w="6480" w:type="dxa"/>
            <w:vAlign w:val="bottom"/>
            <w:tcBorders>
              <w:bottom w:val="single" w:sz="8" w:color="C6F4F9"/>
            </w:tcBorders>
          </w:tcPr>
          <w:p>
            <w:pPr>
              <w:spacing w:after="0" w:line="197" w:lineRule="exact"/>
              <w:rPr>
                <w:sz w:val="20"/>
                <w:szCs w:val="20"/>
                <w:color w:val="auto"/>
              </w:rPr>
            </w:pPr>
            <w:r>
              <w:rPr>
                <w:rFonts w:ascii="Arial" w:cs="Arial" w:eastAsia="Arial" w:hAnsi="Arial"/>
                <w:sz w:val="18"/>
                <w:szCs w:val="18"/>
                <w:color w:val="auto"/>
              </w:rPr>
              <w:t>Adjusted EBITDAR</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28.8</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16.7</w:t>
            </w:r>
          </w:p>
        </w:tc>
      </w:tr>
      <w:tr>
        <w:trPr>
          <w:trHeight w:val="183"/>
        </w:trPr>
        <w:tc>
          <w:tcPr>
            <w:tcW w:w="6480" w:type="dxa"/>
            <w:vAlign w:val="bottom"/>
            <w:shd w:val="clear" w:color="auto" w:fill="C6F4F9"/>
          </w:tcPr>
          <w:p>
            <w:pPr>
              <w:spacing w:after="0" w:line="183" w:lineRule="exact"/>
              <w:rPr>
                <w:sz w:val="20"/>
                <w:szCs w:val="20"/>
                <w:color w:val="auto"/>
              </w:rPr>
            </w:pPr>
            <w:r>
              <w:rPr>
                <w:rFonts w:ascii="Arial" w:cs="Arial" w:eastAsia="Arial" w:hAnsi="Arial"/>
                <w:sz w:val="18"/>
                <w:szCs w:val="18"/>
                <w:color w:val="auto"/>
              </w:rPr>
              <w:t>Adjusted EBITDAR margin</w:t>
            </w:r>
          </w:p>
        </w:tc>
        <w:tc>
          <w:tcPr>
            <w:tcW w:w="200" w:type="dxa"/>
            <w:vAlign w:val="bottom"/>
            <w:shd w:val="clear" w:color="auto" w:fill="C6F4F9"/>
          </w:tcPr>
          <w:p>
            <w:pPr>
              <w:spacing w:after="0"/>
              <w:rPr>
                <w:sz w:val="15"/>
                <w:szCs w:val="15"/>
                <w:color w:val="auto"/>
              </w:rPr>
            </w:pPr>
          </w:p>
        </w:tc>
        <w:tc>
          <w:tcPr>
            <w:tcW w:w="134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19.3%</w:t>
            </w:r>
          </w:p>
        </w:tc>
        <w:tc>
          <w:tcPr>
            <w:tcW w:w="400" w:type="dxa"/>
            <w:vAlign w:val="bottom"/>
            <w:shd w:val="clear" w:color="auto" w:fill="C6F4F9"/>
          </w:tcPr>
          <w:p>
            <w:pPr>
              <w:spacing w:after="0"/>
              <w:rPr>
                <w:sz w:val="15"/>
                <w:szCs w:val="15"/>
                <w:color w:val="auto"/>
              </w:rPr>
            </w:pPr>
          </w:p>
        </w:tc>
        <w:tc>
          <w:tcPr>
            <w:tcW w:w="126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(35.9%)</w:t>
            </w:r>
          </w:p>
        </w:tc>
        <w:tc>
          <w:tcPr>
            <w:tcW w:w="200" w:type="dxa"/>
            <w:vAlign w:val="bottom"/>
            <w:shd w:val="clear" w:color="auto" w:fill="C6F4F9"/>
          </w:tcPr>
          <w:p>
            <w:pPr>
              <w:spacing w:after="0"/>
              <w:rPr>
                <w:sz w:val="15"/>
                <w:szCs w:val="15"/>
                <w:color w:val="auto"/>
              </w:rPr>
            </w:pPr>
          </w:p>
        </w:tc>
        <w:tc>
          <w:tcPr>
            <w:tcW w:w="1360" w:type="dxa"/>
            <w:vAlign w:val="bottom"/>
            <w:shd w:val="clear" w:color="auto" w:fill="C6F4F9"/>
          </w:tcPr>
          <w:p>
            <w:pPr>
              <w:jc w:val="right"/>
              <w:spacing w:after="0" w:line="183" w:lineRule="exact"/>
              <w:rPr>
                <w:sz w:val="20"/>
                <w:szCs w:val="20"/>
                <w:color w:val="auto"/>
              </w:rPr>
            </w:pPr>
            <w:r>
              <w:rPr>
                <w:rFonts w:ascii="Arial" w:cs="Arial" w:eastAsia="Arial" w:hAnsi="Arial"/>
                <w:sz w:val="18"/>
                <w:szCs w:val="18"/>
                <w:color w:val="auto"/>
              </w:rPr>
              <w:t>15.5%</w:t>
            </w:r>
          </w:p>
        </w:tc>
      </w:tr>
    </w:tbl>
    <w:p>
      <w:pPr>
        <w:spacing w:after="0" w:line="21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300" w:lineRule="exact"/>
        <w:rPr>
          <w:sz w:val="20"/>
          <w:szCs w:val="20"/>
          <w:color w:val="auto"/>
        </w:rPr>
      </w:pPr>
    </w:p>
    <w:p>
      <w:pPr>
        <w:ind w:left="5300"/>
        <w:spacing w:after="0"/>
        <w:tabs>
          <w:tab w:leader="none" w:pos="8320" w:val="left"/>
        </w:tabs>
        <w:rPr>
          <w:sz w:val="20"/>
          <w:szCs w:val="20"/>
          <w:color w:val="auto"/>
        </w:rPr>
      </w:pPr>
      <w:r>
        <w:rPr>
          <w:rFonts w:ascii="Arial" w:cs="Arial" w:eastAsia="Arial" w:hAnsi="Arial"/>
          <w:sz w:val="18"/>
          <w:szCs w:val="18"/>
          <w:color w:val="auto"/>
        </w:rPr>
        <w:t>Page 21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EBITDAR to GAAP Net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Net Income to Adjusted EBITDAR for the periods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0" w:type="dxa"/>
            <w:vAlign w:val="bottom"/>
            <w:gridSpan w:val="4"/>
          </w:tcPr>
          <w:p>
            <w:pPr>
              <w:ind w:left="140"/>
              <w:spacing w:after="0"/>
              <w:rPr>
                <w:sz w:val="20"/>
                <w:szCs w:val="20"/>
                <w:color w:val="auto"/>
              </w:rPr>
            </w:pPr>
            <w:r>
              <w:rPr>
                <w:rFonts w:ascii="Arial" w:cs="Arial" w:eastAsia="Arial" w:hAnsi="Arial"/>
                <w:sz w:val="18"/>
                <w:szCs w:val="18"/>
                <w:b w:val="1"/>
                <w:bCs w:val="1"/>
                <w:color w:val="auto"/>
              </w:rPr>
              <w:t>Six Months Ended June 30,</w:t>
            </w:r>
          </w:p>
        </w:tc>
      </w:tr>
      <w:tr>
        <w:trPr>
          <w:trHeight w:val="225"/>
        </w:trPr>
        <w:tc>
          <w:tcPr>
            <w:tcW w:w="50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C6F4F9"/>
            </w:tcBorders>
          </w:tcPr>
          <w:p>
            <w:pPr>
              <w:spacing w:after="0"/>
              <w:rPr>
                <w:sz w:val="19"/>
                <w:szCs w:val="19"/>
                <w:color w:val="auto"/>
              </w:rPr>
            </w:pPr>
          </w:p>
        </w:tc>
      </w:tr>
      <w:tr>
        <w:trPr>
          <w:trHeight w:val="196"/>
        </w:trPr>
        <w:tc>
          <w:tcPr>
            <w:tcW w:w="502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2020" w:type="dxa"/>
            <w:vAlign w:val="bottom"/>
            <w:gridSpan w:val="2"/>
            <w:shd w:val="clear" w:color="auto" w:fill="C6F4F9"/>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64.2</w:t>
            </w:r>
          </w:p>
        </w:tc>
        <w:tc>
          <w:tcPr>
            <w:tcW w:w="36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auto"/>
              </w:rPr>
              <w:t>1.2</w:t>
            </w:r>
          </w:p>
        </w:tc>
        <w:tc>
          <w:tcPr>
            <w:tcW w:w="1340" w:type="dxa"/>
            <w:vAlign w:val="bottom"/>
            <w:shd w:val="clear" w:color="auto" w:fill="C6F4F9"/>
          </w:tcPr>
          <w:p>
            <w:pPr>
              <w:spacing w:after="0"/>
              <w:rPr>
                <w:sz w:val="17"/>
                <w:szCs w:val="17"/>
                <w:color w:val="auto"/>
              </w:rPr>
            </w:pPr>
          </w:p>
        </w:tc>
      </w:tr>
      <w:tr>
        <w:trPr>
          <w:trHeight w:val="243"/>
        </w:trPr>
        <w:tc>
          <w:tcPr>
            <w:tcW w:w="502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(65.4)</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340" w:type="dxa"/>
            <w:vAlign w:val="bottom"/>
          </w:tcPr>
          <w:p>
            <w:pPr>
              <w:spacing w:after="0"/>
              <w:rPr>
                <w:sz w:val="21"/>
                <w:szCs w:val="21"/>
                <w:color w:val="auto"/>
              </w:rPr>
            </w:pPr>
          </w:p>
        </w:tc>
      </w:tr>
      <w:tr>
        <w:trPr>
          <w:trHeight w:val="203"/>
        </w:trPr>
        <w:tc>
          <w:tcPr>
            <w:tcW w:w="50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asset transactions, net</w:t>
            </w:r>
          </w:p>
        </w:tc>
        <w:tc>
          <w:tcPr>
            <w:tcW w:w="178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0.4</w:t>
            </w:r>
          </w:p>
        </w:tc>
        <w:tc>
          <w:tcPr>
            <w:tcW w:w="1340" w:type="dxa"/>
            <w:vAlign w:val="bottom"/>
            <w:shd w:val="clear" w:color="auto" w:fill="C6F4F9"/>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13.2</w:t>
            </w:r>
          </w:p>
        </w:tc>
        <w:tc>
          <w:tcPr>
            <w:tcW w:w="360" w:type="dxa"/>
            <w:vAlign w:val="bottom"/>
          </w:tcPr>
          <w:p>
            <w:pPr>
              <w:spacing w:after="0"/>
              <w:rPr>
                <w:sz w:val="17"/>
                <w:szCs w:val="17"/>
                <w:color w:val="auto"/>
              </w:rPr>
            </w:pP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11.1</w:t>
            </w:r>
          </w:p>
        </w:tc>
        <w:tc>
          <w:tcPr>
            <w:tcW w:w="1340" w:type="dxa"/>
            <w:vAlign w:val="bottom"/>
          </w:tcPr>
          <w:p>
            <w:pPr>
              <w:spacing w:after="0"/>
              <w:rPr>
                <w:sz w:val="17"/>
                <w:szCs w:val="17"/>
                <w:color w:val="auto"/>
              </w:rPr>
            </w:pPr>
          </w:p>
        </w:tc>
      </w:tr>
      <w:tr>
        <w:trPr>
          <w:trHeight w:val="203"/>
        </w:trPr>
        <w:tc>
          <w:tcPr>
            <w:tcW w:w="50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178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3.6</w:t>
            </w:r>
          </w:p>
        </w:tc>
        <w:tc>
          <w:tcPr>
            <w:tcW w:w="36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0.8</w:t>
            </w:r>
          </w:p>
        </w:tc>
        <w:tc>
          <w:tcPr>
            <w:tcW w:w="1340" w:type="dxa"/>
            <w:vAlign w:val="bottom"/>
            <w:shd w:val="clear" w:color="auto" w:fill="C6F4F9"/>
          </w:tcPr>
          <w:p>
            <w:pPr>
              <w:spacing w:after="0"/>
              <w:rPr>
                <w:sz w:val="17"/>
                <w:szCs w:val="17"/>
                <w:color w:val="auto"/>
              </w:rPr>
            </w:pPr>
          </w:p>
        </w:tc>
      </w:tr>
      <w:tr>
        <w:trPr>
          <w:trHeight w:val="270"/>
        </w:trPr>
        <w:tc>
          <w:tcPr>
            <w:tcW w:w="5020" w:type="dxa"/>
            <w:vAlign w:val="bottom"/>
          </w:tcPr>
          <w:p>
            <w:pPr>
              <w:spacing w:after="0" w:line="269"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6"/>
                <w:szCs w:val="26"/>
                <w:color w:val="auto"/>
                <w:vertAlign w:val="superscript"/>
              </w:rPr>
              <w:t>(</w:t>
            </w:r>
            <w:r>
              <w:rPr>
                <w:rFonts w:ascii="Arial" w:cs="Arial" w:eastAsia="Arial" w:hAnsi="Arial"/>
                <w:sz w:val="31"/>
                <w:szCs w:val="31"/>
                <w:color w:val="auto"/>
                <w:vertAlign w:val="superscript"/>
              </w:rPr>
              <w:t>2)</w:t>
            </w:r>
          </w:p>
        </w:tc>
        <w:tc>
          <w:tcPr>
            <w:tcW w:w="1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3"/>
                <w:szCs w:val="23"/>
                <w:color w:val="auto"/>
              </w:rPr>
            </w:pP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1780" w:type="dxa"/>
            <w:vAlign w:val="bottom"/>
            <w:shd w:val="clear" w:color="auto" w:fill="C6F4F9"/>
          </w:tcPr>
          <w:p>
            <w:pPr>
              <w:spacing w:after="0"/>
              <w:rPr>
                <w:sz w:val="21"/>
                <w:szCs w:val="21"/>
                <w:color w:val="auto"/>
              </w:rPr>
            </w:pPr>
          </w:p>
        </w:tc>
        <w:tc>
          <w:tcPr>
            <w:tcW w:w="240" w:type="dxa"/>
            <w:vAlign w:val="bottom"/>
            <w:shd w:val="clear" w:color="auto" w:fill="C6F4F9"/>
          </w:tcPr>
          <w:p>
            <w:pPr>
              <w:spacing w:after="0"/>
              <w:rPr>
                <w:sz w:val="21"/>
                <w:szCs w:val="21"/>
                <w:color w:val="auto"/>
              </w:rPr>
            </w:pPr>
          </w:p>
        </w:tc>
        <w:tc>
          <w:tcPr>
            <w:tcW w:w="132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6F4F9"/>
          </w:tcPr>
          <w:p>
            <w:pPr>
              <w:spacing w:after="0"/>
              <w:rPr>
                <w:sz w:val="21"/>
                <w:szCs w:val="21"/>
                <w:color w:val="auto"/>
              </w:rPr>
            </w:pPr>
          </w:p>
        </w:tc>
        <w:tc>
          <w:tcPr>
            <w:tcW w:w="2520" w:type="dxa"/>
            <w:vAlign w:val="bottom"/>
            <w:gridSpan w:val="2"/>
            <w:shd w:val="clear" w:color="auto" w:fill="C6F4F9"/>
          </w:tcPr>
          <w:p>
            <w:pPr>
              <w:ind w:left="740"/>
              <w:spacing w:after="0"/>
              <w:rPr>
                <w:sz w:val="20"/>
                <w:szCs w:val="20"/>
                <w:color w:val="auto"/>
              </w:rPr>
            </w:pPr>
            <w:r>
              <w:rPr>
                <w:rFonts w:ascii="Arial" w:cs="Arial" w:eastAsia="Arial" w:hAnsi="Arial"/>
                <w:sz w:val="18"/>
                <w:szCs w:val="18"/>
                <w:color w:val="auto"/>
              </w:rPr>
              <w: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w:t>
            </w:r>
          </w:p>
        </w:tc>
        <w:tc>
          <w:tcPr>
            <w:tcW w:w="1340" w:type="dxa"/>
            <w:vAlign w:val="bottom"/>
          </w:tcPr>
          <w:p>
            <w:pPr>
              <w:spacing w:after="0"/>
              <w:rPr>
                <w:sz w:val="17"/>
                <w:szCs w:val="17"/>
                <w:color w:val="auto"/>
              </w:rPr>
            </w:pPr>
          </w:p>
        </w:tc>
      </w:tr>
      <w:tr>
        <w:trPr>
          <w:trHeight w:val="243"/>
        </w:trPr>
        <w:tc>
          <w:tcPr>
            <w:tcW w:w="502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(4)</w:t>
            </w:r>
          </w:p>
        </w:tc>
        <w:tc>
          <w:tcPr>
            <w:tcW w:w="1780" w:type="dxa"/>
            <w:vAlign w:val="bottom"/>
            <w:shd w:val="clear" w:color="auto" w:fill="C6F4F9"/>
          </w:tcPr>
          <w:p>
            <w:pPr>
              <w:spacing w:after="0"/>
              <w:rPr>
                <w:sz w:val="21"/>
                <w:szCs w:val="21"/>
                <w:color w:val="auto"/>
              </w:rPr>
            </w:pPr>
          </w:p>
        </w:tc>
        <w:tc>
          <w:tcPr>
            <w:tcW w:w="240" w:type="dxa"/>
            <w:vAlign w:val="bottom"/>
            <w:shd w:val="clear" w:color="auto" w:fill="C6F4F9"/>
          </w:tcPr>
          <w:p>
            <w:pPr>
              <w:spacing w:after="0"/>
              <w:rPr>
                <w:sz w:val="21"/>
                <w:szCs w:val="21"/>
                <w:color w:val="auto"/>
              </w:rPr>
            </w:pPr>
          </w:p>
        </w:tc>
        <w:tc>
          <w:tcPr>
            <w:tcW w:w="1320" w:type="dxa"/>
            <w:vAlign w:val="bottom"/>
            <w:shd w:val="clear" w:color="auto" w:fill="C6F4F9"/>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6F4F9"/>
          </w:tcPr>
          <w:p>
            <w:pPr>
              <w:spacing w:after="0"/>
              <w:rPr>
                <w:sz w:val="21"/>
                <w:szCs w:val="21"/>
                <w:color w:val="auto"/>
              </w:rPr>
            </w:pPr>
          </w:p>
        </w:tc>
        <w:tc>
          <w:tcPr>
            <w:tcW w:w="1180" w:type="dxa"/>
            <w:vAlign w:val="bottom"/>
            <w:shd w:val="clear" w:color="auto" w:fill="C6F4F9"/>
          </w:tcPr>
          <w:p>
            <w:pPr>
              <w:jc w:val="right"/>
              <w:ind w:right="70"/>
              <w:spacing w:after="0"/>
              <w:rPr>
                <w:sz w:val="20"/>
                <w:szCs w:val="20"/>
                <w:color w:val="auto"/>
              </w:rPr>
            </w:pPr>
            <w:r>
              <w:rPr>
                <w:rFonts w:ascii="Arial" w:cs="Arial" w:eastAsia="Arial" w:hAnsi="Arial"/>
                <w:sz w:val="18"/>
                <w:szCs w:val="18"/>
                <w:color w:val="auto"/>
              </w:rPr>
              <w:t>2.5</w:t>
            </w:r>
          </w:p>
        </w:tc>
        <w:tc>
          <w:tcPr>
            <w:tcW w:w="1340" w:type="dxa"/>
            <w:vAlign w:val="bottom"/>
            <w:shd w:val="clear" w:color="auto" w:fill="C6F4F9"/>
          </w:tcPr>
          <w:p>
            <w:pPr>
              <w:spacing w:after="0"/>
              <w:rPr>
                <w:sz w:val="21"/>
                <w:szCs w:val="2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Secondary offering costs</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0.6</w:t>
            </w:r>
          </w:p>
        </w:tc>
        <w:tc>
          <w:tcPr>
            <w:tcW w:w="360" w:type="dxa"/>
            <w:vAlign w:val="bottom"/>
          </w:tcPr>
          <w:p>
            <w:pPr>
              <w:spacing w:after="0"/>
              <w:rPr>
                <w:sz w:val="17"/>
                <w:szCs w:val="17"/>
                <w:color w:val="auto"/>
              </w:rPr>
            </w:pPr>
          </w:p>
        </w:tc>
        <w:tc>
          <w:tcPr>
            <w:tcW w:w="252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Provision for income taxes</w:t>
            </w:r>
          </w:p>
        </w:tc>
        <w:tc>
          <w:tcPr>
            <w:tcW w:w="178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3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14.9</w:t>
            </w:r>
          </w:p>
        </w:tc>
        <w:tc>
          <w:tcPr>
            <w:tcW w:w="360" w:type="dxa"/>
            <w:vAlign w:val="bottom"/>
            <w:shd w:val="clear" w:color="auto" w:fill="C6F4F9"/>
          </w:tcPr>
          <w:p>
            <w:pPr>
              <w:spacing w:after="0"/>
              <w:rPr>
                <w:sz w:val="17"/>
                <w:szCs w:val="17"/>
                <w:color w:val="auto"/>
              </w:rPr>
            </w:pPr>
          </w:p>
        </w:tc>
        <w:tc>
          <w:tcPr>
            <w:tcW w:w="118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0.5</w:t>
            </w:r>
          </w:p>
        </w:tc>
        <w:tc>
          <w:tcPr>
            <w:tcW w:w="1340" w:type="dxa"/>
            <w:vAlign w:val="bottom"/>
            <w:shd w:val="clear" w:color="auto" w:fill="C6F4F9"/>
          </w:tcPr>
          <w:p>
            <w:pPr>
              <w:spacing w:after="0"/>
              <w:rPr>
                <w:sz w:val="17"/>
                <w:szCs w:val="17"/>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26.1</w:t>
            </w:r>
          </w:p>
        </w:tc>
        <w:tc>
          <w:tcPr>
            <w:tcW w:w="360" w:type="dxa"/>
            <w:vAlign w:val="bottom"/>
          </w:tcPr>
          <w:p>
            <w:pPr>
              <w:spacing w:after="0"/>
              <w:rPr>
                <w:sz w:val="17"/>
                <w:szCs w:val="17"/>
                <w:color w:val="auto"/>
              </w:rPr>
            </w:pP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22.7</w:t>
            </w:r>
          </w:p>
        </w:tc>
        <w:tc>
          <w:tcPr>
            <w:tcW w:w="1340" w:type="dxa"/>
            <w:vAlign w:val="bottom"/>
          </w:tcPr>
          <w:p>
            <w:pPr>
              <w:spacing w:after="0"/>
              <w:rPr>
                <w:sz w:val="17"/>
                <w:szCs w:val="17"/>
                <w:color w:val="auto"/>
              </w:rPr>
            </w:pPr>
          </w:p>
        </w:tc>
      </w:tr>
      <w:tr>
        <w:trPr>
          <w:trHeight w:val="216"/>
        </w:trPr>
        <w:tc>
          <w:tcPr>
            <w:tcW w:w="5020" w:type="dxa"/>
            <w:vAlign w:val="bottom"/>
            <w:shd w:val="clear" w:color="auto" w:fill="C6F4F9"/>
          </w:tcPr>
          <w:p>
            <w:pPr>
              <w:spacing w:after="0"/>
              <w:rPr>
                <w:sz w:val="20"/>
                <w:szCs w:val="20"/>
                <w:color w:val="auto"/>
              </w:rPr>
            </w:pPr>
            <w:r>
              <w:rPr>
                <w:rFonts w:ascii="Arial" w:cs="Arial" w:eastAsia="Arial" w:hAnsi="Arial"/>
                <w:sz w:val="18"/>
                <w:szCs w:val="18"/>
                <w:color w:val="auto"/>
              </w:rPr>
              <w:t>Aircraft rent</w:t>
            </w:r>
          </w:p>
        </w:tc>
        <w:tc>
          <w:tcPr>
            <w:tcW w:w="1780" w:type="dxa"/>
            <w:vAlign w:val="bottom"/>
            <w:shd w:val="clear" w:color="auto" w:fill="C6F4F9"/>
          </w:tcPr>
          <w:p>
            <w:pPr>
              <w:spacing w:after="0"/>
              <w:rPr>
                <w:sz w:val="18"/>
                <w:szCs w:val="18"/>
                <w:color w:val="auto"/>
              </w:rPr>
            </w:pPr>
          </w:p>
        </w:tc>
        <w:tc>
          <w:tcPr>
            <w:tcW w:w="240" w:type="dxa"/>
            <w:vAlign w:val="bottom"/>
            <w:tcBorders>
              <w:bottom w:val="single" w:sz="8" w:color="auto"/>
            </w:tcBorders>
            <w:shd w:val="clear" w:color="auto" w:fill="C6F4F9"/>
          </w:tcPr>
          <w:p>
            <w:pPr>
              <w:spacing w:after="0"/>
              <w:rPr>
                <w:sz w:val="18"/>
                <w:szCs w:val="18"/>
                <w:color w:val="auto"/>
              </w:rPr>
            </w:pPr>
          </w:p>
        </w:tc>
        <w:tc>
          <w:tcPr>
            <w:tcW w:w="1320" w:type="dxa"/>
            <w:vAlign w:val="bottom"/>
            <w:tcBorders>
              <w:bottom w:val="single" w:sz="8" w:color="auto"/>
            </w:tcBorders>
            <w:shd w:val="clear" w:color="auto" w:fill="C6F4F9"/>
          </w:tcPr>
          <w:p>
            <w:pPr>
              <w:jc w:val="right"/>
              <w:ind w:right="130"/>
              <w:spacing w:after="0"/>
              <w:rPr>
                <w:sz w:val="20"/>
                <w:szCs w:val="20"/>
                <w:color w:val="auto"/>
              </w:rPr>
            </w:pPr>
            <w:r>
              <w:rPr>
                <w:rFonts w:ascii="Arial" w:cs="Arial" w:eastAsia="Arial" w:hAnsi="Arial"/>
                <w:sz w:val="18"/>
                <w:szCs w:val="18"/>
                <w:color w:val="auto"/>
              </w:rPr>
              <w:t>9.4</w:t>
            </w:r>
          </w:p>
        </w:tc>
        <w:tc>
          <w:tcPr>
            <w:tcW w:w="360" w:type="dxa"/>
            <w:vAlign w:val="bottom"/>
            <w:tcBorders>
              <w:bottom w:val="single" w:sz="8" w:color="auto"/>
            </w:tcBorders>
            <w:shd w:val="clear" w:color="auto" w:fill="C6F4F9"/>
          </w:tcPr>
          <w:p>
            <w:pPr>
              <w:spacing w:after="0"/>
              <w:rPr>
                <w:sz w:val="18"/>
                <w:szCs w:val="18"/>
                <w:color w:val="auto"/>
              </w:rPr>
            </w:pPr>
          </w:p>
        </w:tc>
        <w:tc>
          <w:tcPr>
            <w:tcW w:w="1180" w:type="dxa"/>
            <w:vAlign w:val="bottom"/>
            <w:tcBorders>
              <w:bottom w:val="single" w:sz="8" w:color="auto"/>
            </w:tcBorders>
            <w:shd w:val="clear" w:color="auto" w:fill="C6F4F9"/>
          </w:tcPr>
          <w:p>
            <w:pPr>
              <w:jc w:val="right"/>
              <w:ind w:right="70"/>
              <w:spacing w:after="0"/>
              <w:rPr>
                <w:sz w:val="20"/>
                <w:szCs w:val="20"/>
                <w:color w:val="auto"/>
              </w:rPr>
            </w:pPr>
            <w:r>
              <w:rPr>
                <w:rFonts w:ascii="Arial" w:cs="Arial" w:eastAsia="Arial" w:hAnsi="Arial"/>
                <w:sz w:val="18"/>
                <w:szCs w:val="18"/>
                <w:color w:val="auto"/>
              </w:rPr>
              <w:t>17.0</w:t>
            </w:r>
          </w:p>
        </w:tc>
        <w:tc>
          <w:tcPr>
            <w:tcW w:w="1340" w:type="dxa"/>
            <w:vAlign w:val="bottom"/>
            <w:shd w:val="clear" w:color="auto" w:fill="C6F4F9"/>
          </w:tcPr>
          <w:p>
            <w:pPr>
              <w:spacing w:after="0"/>
              <w:rPr>
                <w:sz w:val="18"/>
                <w:szCs w:val="18"/>
                <w:color w:val="auto"/>
              </w:rPr>
            </w:pPr>
          </w:p>
        </w:tc>
      </w:tr>
      <w:tr>
        <w:trPr>
          <w:trHeight w:val="250"/>
        </w:trPr>
        <w:tc>
          <w:tcPr>
            <w:tcW w:w="5020" w:type="dxa"/>
            <w:vAlign w:val="bottom"/>
          </w:tcPr>
          <w:p>
            <w:pPr>
              <w:spacing w:after="0" w:line="197" w:lineRule="exact"/>
              <w:rPr>
                <w:sz w:val="20"/>
                <w:szCs w:val="20"/>
                <w:color w:val="auto"/>
              </w:rPr>
            </w:pPr>
            <w:r>
              <w:rPr>
                <w:rFonts w:ascii="Arial" w:cs="Arial" w:eastAsia="Arial" w:hAnsi="Arial"/>
                <w:sz w:val="18"/>
                <w:szCs w:val="18"/>
                <w:color w:val="auto"/>
              </w:rPr>
              <w:t>Adjusted EBITDAR</w:t>
            </w: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48.2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1340" w:type="dxa"/>
            <w:vAlign w:val="bottom"/>
          </w:tcPr>
          <w:p>
            <w:pPr>
              <w:spacing w:after="0"/>
              <w:rPr>
                <w:sz w:val="21"/>
                <w:szCs w:val="21"/>
                <w:color w:val="auto"/>
              </w:rPr>
            </w:pPr>
          </w:p>
        </w:tc>
      </w:tr>
      <w:tr>
        <w:trPr>
          <w:trHeight w:val="183"/>
        </w:trPr>
        <w:tc>
          <w:tcPr>
            <w:tcW w:w="5020" w:type="dxa"/>
            <w:vAlign w:val="bottom"/>
            <w:tcBorders>
              <w:top w:val="single" w:sz="8" w:color="C6F4F9"/>
            </w:tcBorders>
            <w:shd w:val="clear" w:color="auto" w:fill="C6F4F9"/>
          </w:tcPr>
          <w:p>
            <w:pPr>
              <w:spacing w:after="0" w:line="183" w:lineRule="exact"/>
              <w:rPr>
                <w:sz w:val="20"/>
                <w:szCs w:val="20"/>
                <w:color w:val="auto"/>
              </w:rPr>
            </w:pPr>
            <w:r>
              <w:rPr>
                <w:rFonts w:ascii="Arial" w:cs="Arial" w:eastAsia="Arial" w:hAnsi="Arial"/>
                <w:sz w:val="18"/>
                <w:szCs w:val="18"/>
                <w:color w:val="auto"/>
              </w:rPr>
              <w:t>Adjusted EBITDAR margin</w:t>
            </w:r>
          </w:p>
        </w:tc>
        <w:tc>
          <w:tcPr>
            <w:tcW w:w="1780" w:type="dxa"/>
            <w:vAlign w:val="bottom"/>
            <w:tcBorders>
              <w:top w:val="single" w:sz="8" w:color="C6F4F9"/>
            </w:tcBorders>
            <w:shd w:val="clear" w:color="auto" w:fill="C6F4F9"/>
          </w:tcPr>
          <w:p>
            <w:pPr>
              <w:spacing w:after="0"/>
              <w:rPr>
                <w:sz w:val="15"/>
                <w:szCs w:val="15"/>
                <w:color w:val="auto"/>
              </w:rPr>
            </w:pPr>
          </w:p>
        </w:tc>
        <w:tc>
          <w:tcPr>
            <w:tcW w:w="240" w:type="dxa"/>
            <w:vAlign w:val="bottom"/>
            <w:tcBorders>
              <w:top w:val="single" w:sz="8" w:color="auto"/>
            </w:tcBorders>
            <w:shd w:val="clear" w:color="auto" w:fill="C6F4F9"/>
          </w:tcPr>
          <w:p>
            <w:pPr>
              <w:spacing w:after="0"/>
              <w:rPr>
                <w:sz w:val="15"/>
                <w:szCs w:val="15"/>
                <w:color w:val="auto"/>
              </w:rPr>
            </w:pPr>
          </w:p>
        </w:tc>
        <w:tc>
          <w:tcPr>
            <w:tcW w:w="1320" w:type="dxa"/>
            <w:vAlign w:val="bottom"/>
            <w:tcBorders>
              <w:top w:val="single" w:sz="8" w:color="auto"/>
            </w:tcBorders>
            <w:shd w:val="clear" w:color="auto" w:fill="C6F4F9"/>
          </w:tcPr>
          <w:p>
            <w:pPr>
              <w:jc w:val="right"/>
              <w:spacing w:after="0" w:line="183" w:lineRule="exact"/>
              <w:rPr>
                <w:sz w:val="20"/>
                <w:szCs w:val="20"/>
                <w:color w:val="auto"/>
              </w:rPr>
            </w:pPr>
            <w:r>
              <w:rPr>
                <w:rFonts w:ascii="Arial" w:cs="Arial" w:eastAsia="Arial" w:hAnsi="Arial"/>
                <w:sz w:val="18"/>
                <w:szCs w:val="18"/>
                <w:color w:val="auto"/>
              </w:rPr>
              <w:t>17.4%</w:t>
            </w:r>
          </w:p>
        </w:tc>
        <w:tc>
          <w:tcPr>
            <w:tcW w:w="360" w:type="dxa"/>
            <w:vAlign w:val="bottom"/>
            <w:tcBorders>
              <w:top w:val="single" w:sz="8" w:color="auto"/>
            </w:tcBorders>
            <w:shd w:val="clear" w:color="auto" w:fill="C6F4F9"/>
          </w:tcPr>
          <w:p>
            <w:pPr>
              <w:spacing w:after="0"/>
              <w:rPr>
                <w:sz w:val="15"/>
                <w:szCs w:val="15"/>
                <w:color w:val="auto"/>
              </w:rPr>
            </w:pPr>
          </w:p>
        </w:tc>
        <w:tc>
          <w:tcPr>
            <w:tcW w:w="1180" w:type="dxa"/>
            <w:vAlign w:val="bottom"/>
            <w:tcBorders>
              <w:top w:val="single" w:sz="8" w:color="auto"/>
            </w:tcBorders>
            <w:shd w:val="clear" w:color="auto" w:fill="C6F4F9"/>
          </w:tcPr>
          <w:p>
            <w:pPr>
              <w:jc w:val="right"/>
              <w:spacing w:after="0" w:line="183" w:lineRule="exact"/>
              <w:rPr>
                <w:sz w:val="20"/>
                <w:szCs w:val="20"/>
                <w:color w:val="auto"/>
              </w:rPr>
            </w:pPr>
            <w:r>
              <w:rPr>
                <w:rFonts w:ascii="Arial" w:cs="Arial" w:eastAsia="Arial" w:hAnsi="Arial"/>
                <w:sz w:val="18"/>
                <w:szCs w:val="18"/>
                <w:color w:val="auto"/>
              </w:rPr>
              <w:t>11.3%</w:t>
            </w:r>
          </w:p>
        </w:tc>
        <w:tc>
          <w:tcPr>
            <w:tcW w:w="1340" w:type="dxa"/>
            <w:vAlign w:val="bottom"/>
            <w:tcBorders>
              <w:top w:val="single" w:sz="8" w:color="C6F4F9"/>
            </w:tcBorders>
            <w:shd w:val="clear" w:color="auto" w:fill="C6F4F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-2108200</wp:posOffset>
            </wp:positionV>
            <wp:extent cx="84836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48360" cy="1371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-1816735</wp:posOffset>
            </wp:positionV>
            <wp:extent cx="84836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-1559560</wp:posOffset>
            </wp:positionV>
            <wp:extent cx="848360"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-1259205</wp:posOffset>
            </wp:positionV>
            <wp:extent cx="84836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-976630</wp:posOffset>
            </wp:positionV>
            <wp:extent cx="84836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4836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-693420</wp:posOffset>
            </wp:positionV>
            <wp:extent cx="84836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48360" cy="1289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-436245</wp:posOffset>
            </wp:positionV>
            <wp:extent cx="84836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48360" cy="1371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-144780</wp:posOffset>
            </wp:positionV>
            <wp:extent cx="84836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48360" cy="145415"/>
                    </a:xfrm>
                    <a:prstGeom prst="rect">
                      <a:avLst/>
                    </a:prstGeom>
                    <a:noFill/>
                  </pic:spPr>
                </pic:pic>
              </a:graphicData>
            </a:graphic>
          </wp:anchor>
        </w:drawing>
      </w:r>
    </w:p>
    <w:p>
      <w:pPr>
        <w:spacing w:after="0" w:line="17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w:t>
      </w:r>
    </w:p>
    <w:p>
      <w:pPr>
        <w:ind w:left="660" w:hanging="328"/>
        <w:spacing w:after="0" w:line="23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 Expense</w:t>
      </w:r>
    </w:p>
    <w:p>
      <w:pPr>
        <w:jc w:val="both"/>
        <w:ind w:left="660" w:right="4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2880" w:val="left"/>
        </w:tabs>
        <w:rPr>
          <w:sz w:val="20"/>
          <w:szCs w:val="20"/>
          <w:color w:val="auto"/>
        </w:rPr>
      </w:pPr>
      <w:r>
        <w:rPr>
          <w:rFonts w:ascii="Arial" w:cs="Arial" w:eastAsia="Arial" w:hAnsi="Arial"/>
          <w:sz w:val="18"/>
          <w:szCs w:val="18"/>
          <w:color w:val="auto"/>
        </w:rPr>
        <w:t>Page 23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5051425</wp:posOffset>
            </wp:positionH>
            <wp:positionV relativeFrom="page">
              <wp:posOffset>508635</wp:posOffset>
            </wp:positionV>
            <wp:extent cx="2254250" cy="908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CASM to CASM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 June 30,</w:t>
            </w:r>
          </w:p>
        </w:tc>
        <w:tc>
          <w:tcPr>
            <w:tcW w:w="1120" w:type="dxa"/>
            <w:vAlign w:val="bottom"/>
          </w:tcPr>
          <w:p>
            <w:pPr>
              <w:spacing w:after="0"/>
              <w:rPr>
                <w:sz w:val="17"/>
                <w:szCs w:val="17"/>
                <w:color w:val="auto"/>
              </w:rPr>
            </w:pPr>
          </w:p>
        </w:tc>
      </w:tr>
      <w:tr>
        <w:trPr>
          <w:trHeight w:val="225"/>
        </w:trPr>
        <w:tc>
          <w:tcPr>
            <w:tcW w:w="5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r>
      <w:tr>
        <w:trPr>
          <w:trHeight w:val="17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center"/>
              <w:ind w:right="410"/>
              <w:spacing w:after="0" w:line="173" w:lineRule="exact"/>
              <w:rPr>
                <w:sz w:val="20"/>
                <w:szCs w:val="20"/>
                <w:color w:val="auto"/>
              </w:rPr>
            </w:pPr>
            <w:r>
              <w:rPr>
                <w:rFonts w:ascii="Arial" w:cs="Arial" w:eastAsia="Arial" w:hAnsi="Arial"/>
                <w:sz w:val="18"/>
                <w:szCs w:val="18"/>
                <w:b w:val="1"/>
                <w:bCs w:val="1"/>
                <w:color w:val="auto"/>
                <w:w w:val="98"/>
              </w:rPr>
              <w:t>Operating</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ind w:right="410"/>
              <w:spacing w:after="0" w:line="173" w:lineRule="exact"/>
              <w:rPr>
                <w:sz w:val="20"/>
                <w:szCs w:val="20"/>
                <w:color w:val="auto"/>
              </w:rPr>
            </w:pPr>
            <w:r>
              <w:rPr>
                <w:rFonts w:ascii="Arial" w:cs="Arial" w:eastAsia="Arial" w:hAnsi="Arial"/>
                <w:sz w:val="18"/>
                <w:szCs w:val="18"/>
                <w:b w:val="1"/>
                <w:bCs w:val="1"/>
                <w:color w:val="auto"/>
              </w:rPr>
              <w:t>Operating</w:t>
            </w:r>
          </w:p>
        </w:tc>
        <w:tc>
          <w:tcPr>
            <w:tcW w:w="1120" w:type="dxa"/>
            <w:vAlign w:val="bottom"/>
          </w:tcPr>
          <w:p>
            <w:pPr>
              <w:spacing w:after="0"/>
              <w:rPr>
                <w:sz w:val="15"/>
                <w:szCs w:val="15"/>
                <w:color w:val="auto"/>
              </w:rPr>
            </w:pPr>
          </w:p>
        </w:tc>
      </w:tr>
      <w:tr>
        <w:trPr>
          <w:trHeight w:val="203"/>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99"/>
              </w:rPr>
              <w:t>Expenses</w:t>
            </w:r>
          </w:p>
        </w:tc>
        <w:tc>
          <w:tcPr>
            <w:tcW w:w="11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Per ASM</w:t>
            </w:r>
          </w:p>
        </w:tc>
        <w:tc>
          <w:tcPr>
            <w:tcW w:w="260" w:type="dxa"/>
            <w:vAlign w:val="bottom"/>
          </w:tcPr>
          <w:p>
            <w:pPr>
              <w:spacing w:after="0"/>
              <w:rPr>
                <w:sz w:val="17"/>
                <w:szCs w:val="17"/>
                <w:color w:val="auto"/>
              </w:rPr>
            </w:pPr>
          </w:p>
        </w:tc>
        <w:tc>
          <w:tcPr>
            <w:tcW w:w="1480" w:type="dxa"/>
            <w:vAlign w:val="bottom"/>
          </w:tcPr>
          <w:p>
            <w:pPr>
              <w:jc w:val="center"/>
              <w:ind w:right="430"/>
              <w:spacing w:after="0" w:line="202" w:lineRule="exact"/>
              <w:rPr>
                <w:sz w:val="20"/>
                <w:szCs w:val="20"/>
                <w:color w:val="auto"/>
              </w:rPr>
            </w:pPr>
            <w:r>
              <w:rPr>
                <w:rFonts w:ascii="Arial" w:cs="Arial" w:eastAsia="Arial" w:hAnsi="Arial"/>
                <w:sz w:val="18"/>
                <w:szCs w:val="18"/>
                <w:b w:val="1"/>
                <w:bCs w:val="1"/>
                <w:color w:val="auto"/>
                <w:w w:val="99"/>
              </w:rPr>
              <w:t>Expenses</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Per ASM</w:t>
            </w:r>
          </w:p>
        </w:tc>
      </w:tr>
      <w:tr>
        <w:trPr>
          <w:trHeight w:val="225"/>
        </w:trPr>
        <w:tc>
          <w:tcPr>
            <w:tcW w:w="5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rPr>
              <w:t>- mm</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(cents)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7"/>
              </w:rPr>
              <w:t>- mm</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(cents)</w:t>
            </w:r>
          </w:p>
        </w:tc>
      </w:tr>
      <w:tr>
        <w:trPr>
          <w:trHeight w:val="196"/>
        </w:trPr>
        <w:tc>
          <w:tcPr>
            <w:tcW w:w="540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CASM</w:t>
            </w:r>
          </w:p>
        </w:tc>
        <w:tc>
          <w:tcPr>
            <w:tcW w:w="320" w:type="dxa"/>
            <w:vAlign w:val="bottom"/>
            <w:gridSpan w:val="2"/>
            <w:shd w:val="clear" w:color="auto" w:fill="C6F4F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6F4F9"/>
          </w:tcPr>
          <w:p>
            <w:pPr>
              <w:jc w:val="right"/>
              <w:ind w:right="350"/>
              <w:spacing w:after="0" w:line="196" w:lineRule="exact"/>
              <w:rPr>
                <w:sz w:val="20"/>
                <w:szCs w:val="20"/>
                <w:color w:val="auto"/>
              </w:rPr>
            </w:pPr>
            <w:r>
              <w:rPr>
                <w:rFonts w:ascii="Arial" w:cs="Arial" w:eastAsia="Arial" w:hAnsi="Arial"/>
                <w:sz w:val="18"/>
                <w:szCs w:val="18"/>
                <w:color w:val="auto"/>
              </w:rPr>
              <w:t>100.0</w:t>
            </w:r>
          </w:p>
        </w:tc>
        <w:tc>
          <w:tcPr>
            <w:tcW w:w="116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6.93</w:t>
            </w:r>
          </w:p>
        </w:tc>
        <w:tc>
          <w:tcPr>
            <w:tcW w:w="26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6F4F9"/>
          </w:tcPr>
          <w:p>
            <w:pPr>
              <w:jc w:val="right"/>
              <w:ind w:right="350"/>
              <w:spacing w:after="0" w:line="196" w:lineRule="exact"/>
              <w:rPr>
                <w:sz w:val="20"/>
                <w:szCs w:val="20"/>
                <w:color w:val="auto"/>
              </w:rPr>
            </w:pPr>
            <w:r>
              <w:rPr>
                <w:rFonts w:ascii="Arial" w:cs="Arial" w:eastAsia="Arial" w:hAnsi="Arial"/>
                <w:sz w:val="18"/>
                <w:szCs w:val="18"/>
                <w:color w:val="auto"/>
              </w:rPr>
              <w:t>37.6</w:t>
            </w:r>
          </w:p>
        </w:tc>
        <w:tc>
          <w:tcPr>
            <w:tcW w:w="112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9.01</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4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Aircraft fuel</w:t>
            </w:r>
          </w:p>
        </w:tc>
        <w:tc>
          <w:tcPr>
            <w:tcW w:w="120" w:type="dxa"/>
            <w:vAlign w:val="bottom"/>
            <w:shd w:val="clear" w:color="auto" w:fill="C6F4F9"/>
          </w:tcPr>
          <w:p>
            <w:pPr>
              <w:spacing w:after="0"/>
              <w:rPr>
                <w:sz w:val="17"/>
                <w:szCs w:val="17"/>
                <w:color w:val="auto"/>
              </w:rPr>
            </w:pPr>
          </w:p>
        </w:tc>
        <w:tc>
          <w:tcPr>
            <w:tcW w:w="200" w:type="dxa"/>
            <w:vAlign w:val="bottom"/>
            <w:shd w:val="clear" w:color="auto" w:fill="C6F4F9"/>
          </w:tcPr>
          <w:p>
            <w:pPr>
              <w:spacing w:after="0"/>
              <w:rPr>
                <w:sz w:val="17"/>
                <w:szCs w:val="17"/>
                <w:color w:val="auto"/>
              </w:rPr>
            </w:pPr>
          </w:p>
        </w:tc>
        <w:tc>
          <w:tcPr>
            <w:tcW w:w="150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29.7</w:t>
            </w:r>
          </w:p>
        </w:tc>
        <w:tc>
          <w:tcPr>
            <w:tcW w:w="11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2.06</w:t>
            </w:r>
          </w:p>
        </w:tc>
        <w:tc>
          <w:tcPr>
            <w:tcW w:w="26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0.7</w:t>
            </w: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0.17</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0.7</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0.05</w:t>
            </w:r>
          </w:p>
        </w:tc>
        <w:tc>
          <w:tcPr>
            <w:tcW w:w="260" w:type="dxa"/>
            <w:vAlign w:val="bottom"/>
          </w:tcPr>
          <w:p>
            <w:pPr>
              <w:spacing w:after="0"/>
              <w:rPr>
                <w:sz w:val="17"/>
                <w:szCs w:val="17"/>
                <w:color w:val="auto"/>
              </w:rPr>
            </w:pPr>
          </w:p>
        </w:tc>
        <w:tc>
          <w:tcPr>
            <w:tcW w:w="14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0.4</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0.09</w:t>
            </w:r>
          </w:p>
        </w:tc>
      </w:tr>
      <w:tr>
        <w:trPr>
          <w:trHeight w:val="243"/>
        </w:trPr>
        <w:tc>
          <w:tcPr>
            <w:tcW w:w="54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items,net </w:t>
            </w:r>
            <w:r>
              <w:rPr>
                <w:rFonts w:ascii="Arial" w:cs="Arial" w:eastAsia="Arial" w:hAnsi="Arial"/>
                <w:sz w:val="28"/>
                <w:szCs w:val="28"/>
                <w:color w:val="auto"/>
                <w:vertAlign w:val="superscript"/>
              </w:rPr>
              <w:t>(1)</w:t>
            </w:r>
          </w:p>
        </w:tc>
        <w:tc>
          <w:tcPr>
            <w:tcW w:w="120" w:type="dxa"/>
            <w:vAlign w:val="bottom"/>
            <w:shd w:val="clear" w:color="auto" w:fill="C6F4F9"/>
          </w:tcPr>
          <w:p>
            <w:pPr>
              <w:spacing w:after="0"/>
              <w:rPr>
                <w:sz w:val="21"/>
                <w:szCs w:val="21"/>
                <w:color w:val="auto"/>
              </w:rPr>
            </w:pPr>
          </w:p>
        </w:tc>
        <w:tc>
          <w:tcPr>
            <w:tcW w:w="200" w:type="dxa"/>
            <w:vAlign w:val="bottom"/>
            <w:shd w:val="clear" w:color="auto" w:fill="C6F4F9"/>
          </w:tcPr>
          <w:p>
            <w:pPr>
              <w:spacing w:after="0"/>
              <w:rPr>
                <w:sz w:val="21"/>
                <w:szCs w:val="21"/>
                <w:color w:val="auto"/>
              </w:rPr>
            </w:pPr>
          </w:p>
        </w:tc>
        <w:tc>
          <w:tcPr>
            <w:tcW w:w="1500" w:type="dxa"/>
            <w:vAlign w:val="bottom"/>
            <w:shd w:val="clear" w:color="auto" w:fill="C6F4F9"/>
          </w:tcPr>
          <w:p>
            <w:pPr>
              <w:jc w:val="right"/>
              <w:ind w:right="290"/>
              <w:spacing w:after="0"/>
              <w:rPr>
                <w:sz w:val="20"/>
                <w:szCs w:val="20"/>
                <w:color w:val="auto"/>
              </w:rPr>
            </w:pPr>
            <w:r>
              <w:rPr>
                <w:rFonts w:ascii="Arial" w:cs="Arial" w:eastAsia="Arial" w:hAnsi="Arial"/>
                <w:sz w:val="18"/>
                <w:szCs w:val="18"/>
                <w:color w:val="auto"/>
              </w:rPr>
              <w:t>(38.5)</w:t>
            </w:r>
          </w:p>
        </w:tc>
        <w:tc>
          <w:tcPr>
            <w:tcW w:w="11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6F4F9"/>
          </w:tcPr>
          <w:p>
            <w:pPr>
              <w:spacing w:after="0"/>
              <w:rPr>
                <w:sz w:val="21"/>
                <w:szCs w:val="21"/>
                <w:color w:val="auto"/>
              </w:rPr>
            </w:pPr>
          </w:p>
        </w:tc>
        <w:tc>
          <w:tcPr>
            <w:tcW w:w="1480" w:type="dxa"/>
            <w:vAlign w:val="bottom"/>
            <w:shd w:val="clear" w:color="auto" w:fill="C6F4F9"/>
          </w:tcPr>
          <w:p>
            <w:pPr>
              <w:jc w:val="right"/>
              <w:ind w:right="290"/>
              <w:spacing w:after="0"/>
              <w:rPr>
                <w:sz w:val="20"/>
                <w:szCs w:val="20"/>
                <w:color w:val="auto"/>
              </w:rPr>
            </w:pPr>
            <w:r>
              <w:rPr>
                <w:rFonts w:ascii="Arial" w:cs="Arial" w:eastAsia="Arial" w:hAnsi="Arial"/>
                <w:sz w:val="18"/>
                <w:szCs w:val="18"/>
                <w:color w:val="auto"/>
              </w:rPr>
              <w:t>(31.5)</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(7.54)</w:t>
            </w:r>
          </w:p>
        </w:tc>
      </w:tr>
      <w:tr>
        <w:trPr>
          <w:trHeight w:val="243"/>
        </w:trPr>
        <w:tc>
          <w:tcPr>
            <w:tcW w:w="5400" w:type="dxa"/>
            <w:vAlign w:val="bottom"/>
          </w:tcPr>
          <w:p>
            <w:pPr>
              <w:spacing w:after="0" w:line="243" w:lineRule="exact"/>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(3)</w:t>
            </w:r>
          </w:p>
        </w:tc>
        <w:tc>
          <w:tcPr>
            <w:tcW w:w="120" w:type="dxa"/>
            <w:vAlign w:val="bottom"/>
            <w:shd w:val="clear" w:color="auto" w:fill="C6F4F9"/>
          </w:tcPr>
          <w:p>
            <w:pPr>
              <w:spacing w:after="0"/>
              <w:rPr>
                <w:sz w:val="21"/>
                <w:szCs w:val="21"/>
                <w:color w:val="auto"/>
              </w:rPr>
            </w:pPr>
          </w:p>
        </w:tc>
        <w:tc>
          <w:tcPr>
            <w:tcW w:w="200" w:type="dxa"/>
            <w:vAlign w:val="bottom"/>
            <w:shd w:val="clear" w:color="auto" w:fill="C6F4F9"/>
          </w:tcPr>
          <w:p>
            <w:pPr>
              <w:spacing w:after="0"/>
              <w:rPr>
                <w:sz w:val="21"/>
                <w:szCs w:val="21"/>
                <w:color w:val="auto"/>
              </w:rPr>
            </w:pPr>
          </w:p>
        </w:tc>
        <w:tc>
          <w:tcPr>
            <w:tcW w:w="1500" w:type="dxa"/>
            <w:vAlign w:val="bottom"/>
            <w:shd w:val="clear" w:color="auto" w:fill="C6F4F9"/>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6F4F9"/>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6F4F9"/>
          </w:tcPr>
          <w:p>
            <w:pPr>
              <w:spacing w:after="0"/>
              <w:rPr>
                <w:sz w:val="21"/>
                <w:szCs w:val="21"/>
                <w:color w:val="auto"/>
              </w:rPr>
            </w:pPr>
          </w:p>
        </w:tc>
        <w:tc>
          <w:tcPr>
            <w:tcW w:w="1480" w:type="dxa"/>
            <w:vAlign w:val="bottom"/>
            <w:shd w:val="clear" w:color="auto" w:fill="C6F4F9"/>
          </w:tcPr>
          <w:p>
            <w:pPr>
              <w:jc w:val="right"/>
              <w:ind w:right="350"/>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0.61</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Cargo expenses, not already adjusted above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16.2</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1.12</w:t>
            </w:r>
          </w:p>
        </w:tc>
        <w:tc>
          <w:tcPr>
            <w:tcW w:w="260" w:type="dxa"/>
            <w:vAlign w:val="bottom"/>
          </w:tcPr>
          <w:p>
            <w:pPr>
              <w:spacing w:after="0"/>
              <w:rPr>
                <w:sz w:val="17"/>
                <w:szCs w:val="17"/>
                <w:color w:val="auto"/>
              </w:rPr>
            </w:pPr>
          </w:p>
        </w:tc>
        <w:tc>
          <w:tcPr>
            <w:tcW w:w="14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4.5</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w:t>
            </w:r>
          </w:p>
        </w:tc>
      </w:tr>
      <w:tr>
        <w:trPr>
          <w:trHeight w:val="216"/>
        </w:trPr>
        <w:tc>
          <w:tcPr>
            <w:tcW w:w="5400" w:type="dxa"/>
            <w:vAlign w:val="bottom"/>
            <w:shd w:val="clear" w:color="auto" w:fill="C6F4F9"/>
          </w:tcPr>
          <w:p>
            <w:pPr>
              <w:spacing w:after="0"/>
              <w:rPr>
                <w:sz w:val="20"/>
                <w:szCs w:val="20"/>
                <w:color w:val="auto"/>
              </w:rPr>
            </w:pPr>
            <w:r>
              <w:rPr>
                <w:rFonts w:ascii="Arial" w:cs="Arial" w:eastAsia="Arial" w:hAnsi="Arial"/>
                <w:sz w:val="18"/>
                <w:szCs w:val="18"/>
                <w:color w:val="auto"/>
              </w:rPr>
              <w:t>Sun Country Vacations</w:t>
            </w:r>
          </w:p>
        </w:tc>
        <w:tc>
          <w:tcPr>
            <w:tcW w:w="120" w:type="dxa"/>
            <w:vAlign w:val="bottom"/>
            <w:shd w:val="clear" w:color="auto" w:fill="C6F4F9"/>
          </w:tcPr>
          <w:p>
            <w:pPr>
              <w:spacing w:after="0"/>
              <w:rPr>
                <w:sz w:val="18"/>
                <w:szCs w:val="18"/>
                <w:color w:val="auto"/>
              </w:rPr>
            </w:pPr>
          </w:p>
        </w:tc>
        <w:tc>
          <w:tcPr>
            <w:tcW w:w="200" w:type="dxa"/>
            <w:vAlign w:val="bottom"/>
            <w:tcBorders>
              <w:bottom w:val="single" w:sz="8" w:color="auto"/>
            </w:tcBorders>
            <w:shd w:val="clear" w:color="auto" w:fill="C6F4F9"/>
          </w:tcPr>
          <w:p>
            <w:pPr>
              <w:spacing w:after="0"/>
              <w:rPr>
                <w:sz w:val="18"/>
                <w:szCs w:val="18"/>
                <w:color w:val="auto"/>
              </w:rPr>
            </w:pPr>
          </w:p>
        </w:tc>
        <w:tc>
          <w:tcPr>
            <w:tcW w:w="1500" w:type="dxa"/>
            <w:vAlign w:val="bottom"/>
            <w:tcBorders>
              <w:bottom w:val="single" w:sz="8" w:color="auto"/>
            </w:tcBorders>
            <w:shd w:val="clear" w:color="auto" w:fill="C6F4F9"/>
          </w:tcPr>
          <w:p>
            <w:pPr>
              <w:jc w:val="right"/>
              <w:ind w:right="350"/>
              <w:spacing w:after="0"/>
              <w:rPr>
                <w:sz w:val="20"/>
                <w:szCs w:val="20"/>
                <w:color w:val="auto"/>
              </w:rPr>
            </w:pPr>
            <w:r>
              <w:rPr>
                <w:rFonts w:ascii="Arial" w:cs="Arial" w:eastAsia="Arial" w:hAnsi="Arial"/>
                <w:sz w:val="18"/>
                <w:szCs w:val="18"/>
                <w:color w:val="auto"/>
              </w:rPr>
              <w:t>0.2</w:t>
            </w:r>
          </w:p>
        </w:tc>
        <w:tc>
          <w:tcPr>
            <w:tcW w:w="116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auto"/>
            </w:tcBorders>
            <w:shd w:val="clear" w:color="auto" w:fill="C6F4F9"/>
          </w:tcPr>
          <w:p>
            <w:pPr>
              <w:spacing w:after="0"/>
              <w:rPr>
                <w:sz w:val="18"/>
                <w:szCs w:val="18"/>
                <w:color w:val="auto"/>
              </w:rPr>
            </w:pPr>
          </w:p>
        </w:tc>
        <w:tc>
          <w:tcPr>
            <w:tcW w:w="1480" w:type="dxa"/>
            <w:vAlign w:val="bottom"/>
            <w:tcBorders>
              <w:bottom w:val="single" w:sz="8" w:color="auto"/>
            </w:tcBorders>
            <w:shd w:val="clear" w:color="auto" w:fill="C6F4F9"/>
          </w:tcPr>
          <w:p>
            <w:pPr>
              <w:jc w:val="right"/>
              <w:ind w:right="35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0.03</w:t>
            </w:r>
          </w:p>
        </w:tc>
      </w:tr>
      <w:tr>
        <w:trPr>
          <w:trHeight w:val="250"/>
        </w:trPr>
        <w:tc>
          <w:tcPr>
            <w:tcW w:w="5400" w:type="dxa"/>
            <w:vAlign w:val="bottom"/>
          </w:tcPr>
          <w:p>
            <w:pPr>
              <w:spacing w:after="0" w:line="197" w:lineRule="exact"/>
              <w:rPr>
                <w:sz w:val="20"/>
                <w:szCs w:val="20"/>
                <w:color w:val="auto"/>
              </w:rPr>
            </w:pPr>
            <w:r>
              <w:rPr>
                <w:rFonts w:ascii="Arial" w:cs="Arial" w:eastAsia="Arial" w:hAnsi="Arial"/>
                <w:sz w:val="18"/>
                <w:szCs w:val="18"/>
                <w:color w:val="auto"/>
              </w:rPr>
              <w:t>Adjusted CASM</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91.6</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60.8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14.57</w:t>
            </w:r>
          </w:p>
        </w:tc>
      </w:tr>
      <w:tr>
        <w:trPr>
          <w:trHeight w:val="183"/>
        </w:trPr>
        <w:tc>
          <w:tcPr>
            <w:tcW w:w="5400" w:type="dxa"/>
            <w:vAlign w:val="bottom"/>
            <w:tcBorders>
              <w:top w:val="single" w:sz="8" w:color="C6F4F9"/>
            </w:tcBorders>
            <w:shd w:val="clear" w:color="auto" w:fill="C6F4F9"/>
          </w:tcPr>
          <w:p>
            <w:pPr>
              <w:spacing w:after="0" w:line="183" w:lineRule="exact"/>
              <w:rPr>
                <w:sz w:val="20"/>
                <w:szCs w:val="20"/>
                <w:color w:val="auto"/>
              </w:rPr>
            </w:pPr>
            <w:r>
              <w:rPr>
                <w:rFonts w:ascii="Arial" w:cs="Arial" w:eastAsia="Arial" w:hAnsi="Arial"/>
                <w:sz w:val="18"/>
                <w:szCs w:val="18"/>
                <w:color w:val="auto"/>
              </w:rPr>
              <w:t>Available seat miles (ASMs) - mm</w:t>
            </w:r>
          </w:p>
        </w:tc>
        <w:tc>
          <w:tcPr>
            <w:tcW w:w="120" w:type="dxa"/>
            <w:vAlign w:val="bottom"/>
            <w:tcBorders>
              <w:top w:val="single" w:sz="8" w:color="C6F4F9"/>
            </w:tcBorders>
            <w:shd w:val="clear" w:color="auto" w:fill="C6F4F9"/>
          </w:tcPr>
          <w:p>
            <w:pPr>
              <w:spacing w:after="0"/>
              <w:rPr>
                <w:sz w:val="15"/>
                <w:szCs w:val="15"/>
                <w:color w:val="auto"/>
              </w:rPr>
            </w:pPr>
          </w:p>
        </w:tc>
        <w:tc>
          <w:tcPr>
            <w:tcW w:w="200" w:type="dxa"/>
            <w:vAlign w:val="bottom"/>
            <w:tcBorders>
              <w:top w:val="single" w:sz="8" w:color="auto"/>
            </w:tcBorders>
            <w:shd w:val="clear" w:color="auto" w:fill="C6F4F9"/>
          </w:tcPr>
          <w:p>
            <w:pPr>
              <w:spacing w:after="0"/>
              <w:rPr>
                <w:sz w:val="15"/>
                <w:szCs w:val="15"/>
                <w:color w:val="auto"/>
              </w:rPr>
            </w:pPr>
          </w:p>
        </w:tc>
        <w:tc>
          <w:tcPr>
            <w:tcW w:w="1500" w:type="dxa"/>
            <w:vAlign w:val="bottom"/>
            <w:tcBorders>
              <w:top w:val="single" w:sz="8" w:color="auto"/>
            </w:tcBorders>
            <w:shd w:val="clear" w:color="auto" w:fill="C6F4F9"/>
          </w:tcPr>
          <w:p>
            <w:pPr>
              <w:jc w:val="right"/>
              <w:ind w:right="350"/>
              <w:spacing w:after="0" w:line="183" w:lineRule="exact"/>
              <w:rPr>
                <w:sz w:val="20"/>
                <w:szCs w:val="20"/>
                <w:color w:val="auto"/>
              </w:rPr>
            </w:pPr>
            <w:r>
              <w:rPr>
                <w:rFonts w:ascii="Arial" w:cs="Arial" w:eastAsia="Arial" w:hAnsi="Arial"/>
                <w:sz w:val="18"/>
                <w:szCs w:val="18"/>
                <w:color w:val="auto"/>
              </w:rPr>
              <w:t>1,442.7</w:t>
            </w:r>
          </w:p>
        </w:tc>
        <w:tc>
          <w:tcPr>
            <w:tcW w:w="1160" w:type="dxa"/>
            <w:vAlign w:val="bottom"/>
            <w:tcBorders>
              <w:top w:val="single" w:sz="8" w:color="auto"/>
            </w:tcBorders>
            <w:shd w:val="clear" w:color="auto" w:fill="C6F4F9"/>
          </w:tcPr>
          <w:p>
            <w:pPr>
              <w:jc w:val="right"/>
              <w:ind w:right="50"/>
              <w:spacing w:after="0" w:line="183" w:lineRule="exact"/>
              <w:rPr>
                <w:sz w:val="20"/>
                <w:szCs w:val="20"/>
                <w:color w:val="auto"/>
              </w:rPr>
            </w:pPr>
            <w:r>
              <w:rPr>
                <w:rFonts w:ascii="Arial" w:cs="Arial" w:eastAsia="Arial" w:hAnsi="Arial"/>
                <w:sz w:val="18"/>
                <w:szCs w:val="18"/>
                <w:color w:val="auto"/>
              </w:rPr>
              <w:t>417.5</w:t>
            </w:r>
          </w:p>
        </w:tc>
        <w:tc>
          <w:tcPr>
            <w:tcW w:w="260" w:type="dxa"/>
            <w:vAlign w:val="bottom"/>
            <w:tcBorders>
              <w:top w:val="single" w:sz="8" w:color="auto"/>
            </w:tcBorders>
            <w:shd w:val="clear" w:color="auto" w:fill="C6F4F9"/>
          </w:tcPr>
          <w:p>
            <w:pPr>
              <w:spacing w:after="0"/>
              <w:rPr>
                <w:sz w:val="15"/>
                <w:szCs w:val="15"/>
                <w:color w:val="auto"/>
              </w:rPr>
            </w:pPr>
          </w:p>
        </w:tc>
        <w:tc>
          <w:tcPr>
            <w:tcW w:w="1480" w:type="dxa"/>
            <w:vAlign w:val="bottom"/>
            <w:tcBorders>
              <w:top w:val="single" w:sz="8" w:color="auto"/>
            </w:tcBorders>
            <w:shd w:val="clear" w:color="auto" w:fill="C6F4F9"/>
          </w:tcPr>
          <w:p>
            <w:pPr>
              <w:spacing w:after="0"/>
              <w:rPr>
                <w:sz w:val="15"/>
                <w:szCs w:val="15"/>
                <w:color w:val="auto"/>
              </w:rPr>
            </w:pPr>
          </w:p>
        </w:tc>
        <w:tc>
          <w:tcPr>
            <w:tcW w:w="1120" w:type="dxa"/>
            <w:vAlign w:val="bottom"/>
            <w:tcBorders>
              <w:top w:val="single" w:sz="8" w:color="auto"/>
            </w:tcBorders>
            <w:shd w:val="clear" w:color="auto" w:fill="C6F4F9"/>
          </w:tcPr>
          <w:p>
            <w:pPr>
              <w:spacing w:after="0"/>
              <w:rPr>
                <w:sz w:val="15"/>
                <w:szCs w:val="15"/>
                <w:color w:val="auto"/>
              </w:rPr>
            </w:pPr>
          </w:p>
        </w:tc>
      </w:tr>
    </w:tbl>
    <w:p>
      <w:pPr>
        <w:spacing w:after="0" w:line="19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jc w:val="both"/>
        <w:ind w:left="660" w:right="4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CASM to CASM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34" w:lineRule="auto"/>
        <w:rPr>
          <w:sz w:val="20"/>
          <w:szCs w:val="20"/>
          <w:color w:val="auto"/>
        </w:rPr>
      </w:pPr>
      <w:r>
        <w:rPr>
          <w:rFonts w:ascii="Arial" w:cs="Arial" w:eastAsia="Arial" w:hAnsi="Arial"/>
          <w:sz w:val="18"/>
          <w:szCs w:val="18"/>
          <w:color w:val="auto"/>
        </w:rPr>
        <w:t>The following table presents the reconciliation of CASM to Adjusted CASM.</w:t>
      </w: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940" w:type="dxa"/>
            <w:vAlign w:val="bottom"/>
            <w:gridSpan w:val="3"/>
          </w:tcPr>
          <w:p>
            <w:pPr>
              <w:jc w:val="right"/>
              <w:ind w:right="490"/>
              <w:spacing w:after="0" w:line="182" w:lineRule="exact"/>
              <w:rPr>
                <w:sz w:val="20"/>
                <w:szCs w:val="20"/>
                <w:color w:val="auto"/>
              </w:rPr>
            </w:pPr>
            <w:r>
              <w:rPr>
                <w:rFonts w:ascii="Arial" w:cs="Arial" w:eastAsia="Arial" w:hAnsi="Arial"/>
                <w:sz w:val="18"/>
                <w:szCs w:val="18"/>
                <w:b w:val="1"/>
                <w:bCs w:val="1"/>
                <w:color w:val="auto"/>
              </w:rPr>
              <w:t>Six Months Ended June 30,</w:t>
            </w:r>
          </w:p>
        </w:tc>
        <w:tc>
          <w:tcPr>
            <w:tcW w:w="1120" w:type="dxa"/>
            <w:vAlign w:val="bottom"/>
          </w:tcPr>
          <w:p>
            <w:pPr>
              <w:spacing w:after="0"/>
              <w:rPr>
                <w:sz w:val="15"/>
                <w:szCs w:val="15"/>
                <w:color w:val="auto"/>
              </w:rPr>
            </w:pPr>
          </w:p>
        </w:tc>
      </w:tr>
      <w:tr>
        <w:trPr>
          <w:trHeight w:val="225"/>
        </w:trPr>
        <w:tc>
          <w:tcPr>
            <w:tcW w:w="4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r>
      <w:tr>
        <w:trPr>
          <w:trHeight w:val="173"/>
        </w:trPr>
        <w:tc>
          <w:tcPr>
            <w:tcW w:w="4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370"/>
              <w:spacing w:after="0" w:line="173" w:lineRule="exact"/>
              <w:rPr>
                <w:sz w:val="20"/>
                <w:szCs w:val="20"/>
                <w:color w:val="auto"/>
              </w:rPr>
            </w:pPr>
            <w:r>
              <w:rPr>
                <w:rFonts w:ascii="Arial" w:cs="Arial" w:eastAsia="Arial" w:hAnsi="Arial"/>
                <w:sz w:val="18"/>
                <w:szCs w:val="18"/>
                <w:b w:val="1"/>
                <w:bCs w:val="1"/>
                <w:color w:val="auto"/>
                <w:w w:val="98"/>
              </w:rPr>
              <w:t>Operating</w:t>
            </w: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right"/>
              <w:ind w:right="470"/>
              <w:spacing w:after="0" w:line="173" w:lineRule="exact"/>
              <w:rPr>
                <w:sz w:val="20"/>
                <w:szCs w:val="20"/>
                <w:color w:val="auto"/>
              </w:rPr>
            </w:pPr>
            <w:r>
              <w:rPr>
                <w:rFonts w:ascii="Arial" w:cs="Arial" w:eastAsia="Arial" w:hAnsi="Arial"/>
                <w:sz w:val="18"/>
                <w:szCs w:val="18"/>
                <w:b w:val="1"/>
                <w:bCs w:val="1"/>
                <w:color w:val="auto"/>
              </w:rPr>
              <w:t>Operating</w:t>
            </w:r>
          </w:p>
        </w:tc>
        <w:tc>
          <w:tcPr>
            <w:tcW w:w="1120" w:type="dxa"/>
            <w:vAlign w:val="bottom"/>
          </w:tcPr>
          <w:p>
            <w:pPr>
              <w:spacing w:after="0"/>
              <w:rPr>
                <w:sz w:val="15"/>
                <w:szCs w:val="15"/>
                <w:color w:val="auto"/>
              </w:rPr>
            </w:pPr>
          </w:p>
        </w:tc>
      </w:tr>
      <w:tr>
        <w:trPr>
          <w:trHeight w:val="203"/>
        </w:trPr>
        <w:tc>
          <w:tcPr>
            <w:tcW w:w="4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center"/>
              <w:ind w:right="370"/>
              <w:spacing w:after="0" w:line="202" w:lineRule="exact"/>
              <w:rPr>
                <w:sz w:val="20"/>
                <w:szCs w:val="20"/>
                <w:color w:val="auto"/>
              </w:rPr>
            </w:pPr>
            <w:r>
              <w:rPr>
                <w:rFonts w:ascii="Arial" w:cs="Arial" w:eastAsia="Arial" w:hAnsi="Arial"/>
                <w:sz w:val="18"/>
                <w:szCs w:val="18"/>
                <w:b w:val="1"/>
                <w:bCs w:val="1"/>
                <w:color w:val="auto"/>
                <w:w w:val="99"/>
              </w:rPr>
              <w:t>Expenses</w:t>
            </w:r>
          </w:p>
        </w:tc>
        <w:tc>
          <w:tcPr>
            <w:tcW w:w="12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Per ASM</w:t>
            </w:r>
          </w:p>
        </w:tc>
        <w:tc>
          <w:tcPr>
            <w:tcW w:w="260" w:type="dxa"/>
            <w:vAlign w:val="bottom"/>
          </w:tcPr>
          <w:p>
            <w:pPr>
              <w:spacing w:after="0"/>
              <w:rPr>
                <w:sz w:val="17"/>
                <w:szCs w:val="17"/>
                <w:color w:val="auto"/>
              </w:rPr>
            </w:pPr>
          </w:p>
        </w:tc>
        <w:tc>
          <w:tcPr>
            <w:tcW w:w="148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Expenses</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Per ASM</w:t>
            </w:r>
          </w:p>
        </w:tc>
      </w:tr>
      <w:tr>
        <w:trPr>
          <w:trHeight w:val="225"/>
        </w:trPr>
        <w:tc>
          <w:tcPr>
            <w:tcW w:w="4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rPr>
              <w:t>- mm</w:t>
            </w: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(cents)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 mm</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(cents)</w:t>
            </w:r>
          </w:p>
        </w:tc>
      </w:tr>
      <w:tr>
        <w:trPr>
          <w:trHeight w:val="196"/>
        </w:trPr>
        <w:tc>
          <w:tcPr>
            <w:tcW w:w="456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CASM</w:t>
            </w:r>
          </w:p>
        </w:tc>
        <w:tc>
          <w:tcPr>
            <w:tcW w:w="1160" w:type="dxa"/>
            <w:vAlign w:val="bottom"/>
            <w:gridSpan w:val="2"/>
            <w:shd w:val="clear" w:color="auto" w:fill="C6F4F9"/>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6F4F9"/>
          </w:tcPr>
          <w:p>
            <w:pPr>
              <w:jc w:val="right"/>
              <w:ind w:right="310"/>
              <w:spacing w:after="0" w:line="196" w:lineRule="exact"/>
              <w:rPr>
                <w:sz w:val="20"/>
                <w:szCs w:val="20"/>
                <w:color w:val="auto"/>
              </w:rPr>
            </w:pPr>
            <w:r>
              <w:rPr>
                <w:rFonts w:ascii="Arial" w:cs="Arial" w:eastAsia="Arial" w:hAnsi="Arial"/>
                <w:sz w:val="18"/>
                <w:szCs w:val="18"/>
                <w:color w:val="auto"/>
              </w:rPr>
              <w:t>202.6</w:t>
            </w:r>
          </w:p>
        </w:tc>
        <w:tc>
          <w:tcPr>
            <w:tcW w:w="1200" w:type="dxa"/>
            <w:vAlign w:val="bottom"/>
            <w:shd w:val="clear" w:color="auto" w:fill="C6F4F9"/>
          </w:tcPr>
          <w:p>
            <w:pPr>
              <w:jc w:val="right"/>
              <w:ind w:right="50"/>
              <w:spacing w:after="0" w:line="196" w:lineRule="exact"/>
              <w:rPr>
                <w:sz w:val="20"/>
                <w:szCs w:val="20"/>
                <w:color w:val="auto"/>
              </w:rPr>
            </w:pPr>
            <w:r>
              <w:rPr>
                <w:rFonts w:ascii="Arial" w:cs="Arial" w:eastAsia="Arial" w:hAnsi="Arial"/>
                <w:sz w:val="18"/>
                <w:szCs w:val="18"/>
                <w:color w:val="auto"/>
              </w:rPr>
              <w:t>7.19</w:t>
            </w:r>
          </w:p>
        </w:tc>
        <w:tc>
          <w:tcPr>
            <w:tcW w:w="26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6F4F9"/>
          </w:tcPr>
          <w:p>
            <w:pPr>
              <w:jc w:val="right"/>
              <w:ind w:right="350"/>
              <w:spacing w:after="0" w:line="196" w:lineRule="exact"/>
              <w:rPr>
                <w:sz w:val="20"/>
                <w:szCs w:val="20"/>
                <w:color w:val="auto"/>
              </w:rPr>
            </w:pPr>
            <w:r>
              <w:rPr>
                <w:rFonts w:ascii="Arial" w:cs="Arial" w:eastAsia="Arial" w:hAnsi="Arial"/>
                <w:sz w:val="18"/>
                <w:szCs w:val="18"/>
                <w:color w:val="auto"/>
              </w:rPr>
              <w:t>202.7</w:t>
            </w:r>
          </w:p>
        </w:tc>
        <w:tc>
          <w:tcPr>
            <w:tcW w:w="112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auto"/>
              </w:rPr>
              <w:t>9.32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Aircraft fuel</w:t>
            </w:r>
          </w:p>
        </w:tc>
        <w:tc>
          <w:tcPr>
            <w:tcW w:w="960" w:type="dxa"/>
            <w:vAlign w:val="bottom"/>
            <w:shd w:val="clear" w:color="auto" w:fill="C6F4F9"/>
          </w:tcPr>
          <w:p>
            <w:pPr>
              <w:spacing w:after="0"/>
              <w:rPr>
                <w:sz w:val="17"/>
                <w:szCs w:val="17"/>
                <w:color w:val="auto"/>
              </w:rPr>
            </w:pPr>
          </w:p>
        </w:tc>
        <w:tc>
          <w:tcPr>
            <w:tcW w:w="200" w:type="dxa"/>
            <w:vAlign w:val="bottom"/>
            <w:shd w:val="clear" w:color="auto" w:fill="C6F4F9"/>
          </w:tcPr>
          <w:p>
            <w:pPr>
              <w:spacing w:after="0"/>
              <w:rPr>
                <w:sz w:val="17"/>
                <w:szCs w:val="17"/>
                <w:color w:val="auto"/>
              </w:rPr>
            </w:pPr>
          </w:p>
        </w:tc>
        <w:tc>
          <w:tcPr>
            <w:tcW w:w="1460" w:type="dxa"/>
            <w:vAlign w:val="bottom"/>
            <w:shd w:val="clear" w:color="auto" w:fill="C6F4F9"/>
          </w:tcPr>
          <w:p>
            <w:pPr>
              <w:jc w:val="right"/>
              <w:ind w:right="310"/>
              <w:spacing w:after="0" w:line="202" w:lineRule="exact"/>
              <w:rPr>
                <w:sz w:val="20"/>
                <w:szCs w:val="20"/>
                <w:color w:val="auto"/>
              </w:rPr>
            </w:pPr>
            <w:r>
              <w:rPr>
                <w:rFonts w:ascii="Arial" w:cs="Arial" w:eastAsia="Arial" w:hAnsi="Arial"/>
                <w:sz w:val="18"/>
                <w:szCs w:val="18"/>
                <w:color w:val="auto"/>
              </w:rPr>
              <w:t>54.0</w:t>
            </w:r>
          </w:p>
        </w:tc>
        <w:tc>
          <w:tcPr>
            <w:tcW w:w="120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1.91</w:t>
            </w:r>
          </w:p>
        </w:tc>
        <w:tc>
          <w:tcPr>
            <w:tcW w:w="26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350"/>
              <w:spacing w:after="0" w:line="202" w:lineRule="exact"/>
              <w:rPr>
                <w:sz w:val="20"/>
                <w:szCs w:val="20"/>
                <w:color w:val="auto"/>
              </w:rPr>
            </w:pPr>
            <w:r>
              <w:rPr>
                <w:rFonts w:ascii="Arial" w:cs="Arial" w:eastAsia="Arial" w:hAnsi="Arial"/>
                <w:sz w:val="18"/>
                <w:szCs w:val="18"/>
                <w:color w:val="auto"/>
              </w:rPr>
              <w:t>56.2</w:t>
            </w:r>
          </w:p>
        </w:tc>
        <w:tc>
          <w:tcPr>
            <w:tcW w:w="1120" w:type="dxa"/>
            <w:vAlign w:val="bottom"/>
            <w:shd w:val="clear" w:color="auto" w:fill="C6F4F9"/>
          </w:tcPr>
          <w:p>
            <w:pPr>
              <w:jc w:val="right"/>
              <w:ind w:right="10"/>
              <w:spacing w:after="0" w:line="202" w:lineRule="exact"/>
              <w:rPr>
                <w:sz w:val="20"/>
                <w:szCs w:val="20"/>
                <w:color w:val="auto"/>
              </w:rPr>
            </w:pPr>
            <w:r>
              <w:rPr>
                <w:rFonts w:ascii="Arial" w:cs="Arial" w:eastAsia="Arial" w:hAnsi="Arial"/>
                <w:sz w:val="18"/>
                <w:szCs w:val="18"/>
                <w:color w:val="auto"/>
              </w:rPr>
              <w:t>2.59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3.6</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0.13</w:t>
            </w:r>
          </w:p>
        </w:tc>
        <w:tc>
          <w:tcPr>
            <w:tcW w:w="260" w:type="dxa"/>
            <w:vAlign w:val="bottom"/>
          </w:tcPr>
          <w:p>
            <w:pPr>
              <w:spacing w:after="0"/>
              <w:rPr>
                <w:sz w:val="17"/>
                <w:szCs w:val="17"/>
                <w:color w:val="auto"/>
              </w:rPr>
            </w:pPr>
          </w:p>
        </w:tc>
        <w:tc>
          <w:tcPr>
            <w:tcW w:w="14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0.8</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0.03</w:t>
            </w:r>
          </w:p>
        </w:tc>
      </w:tr>
      <w:tr>
        <w:trPr>
          <w:trHeight w:val="243"/>
        </w:trPr>
        <w:tc>
          <w:tcPr>
            <w:tcW w:w="45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items,net </w:t>
            </w:r>
            <w:r>
              <w:rPr>
                <w:rFonts w:ascii="Arial" w:cs="Arial" w:eastAsia="Arial" w:hAnsi="Arial"/>
                <w:sz w:val="28"/>
                <w:szCs w:val="28"/>
                <w:color w:val="auto"/>
                <w:vertAlign w:val="superscript"/>
              </w:rPr>
              <w:t>(1)</w:t>
            </w:r>
          </w:p>
        </w:tc>
        <w:tc>
          <w:tcPr>
            <w:tcW w:w="960" w:type="dxa"/>
            <w:vAlign w:val="bottom"/>
            <w:shd w:val="clear" w:color="auto" w:fill="C6F4F9"/>
          </w:tcPr>
          <w:p>
            <w:pPr>
              <w:spacing w:after="0"/>
              <w:rPr>
                <w:sz w:val="21"/>
                <w:szCs w:val="21"/>
                <w:color w:val="auto"/>
              </w:rPr>
            </w:pPr>
          </w:p>
        </w:tc>
        <w:tc>
          <w:tcPr>
            <w:tcW w:w="200" w:type="dxa"/>
            <w:vAlign w:val="bottom"/>
            <w:shd w:val="clear" w:color="auto" w:fill="C6F4F9"/>
          </w:tcPr>
          <w:p>
            <w:pPr>
              <w:spacing w:after="0"/>
              <w:rPr>
                <w:sz w:val="21"/>
                <w:szCs w:val="21"/>
                <w:color w:val="auto"/>
              </w:rPr>
            </w:pPr>
          </w:p>
        </w:tc>
        <w:tc>
          <w:tcPr>
            <w:tcW w:w="1460" w:type="dxa"/>
            <w:vAlign w:val="bottom"/>
            <w:shd w:val="clear" w:color="auto" w:fill="C6F4F9"/>
          </w:tcPr>
          <w:p>
            <w:pPr>
              <w:jc w:val="right"/>
              <w:ind w:right="250"/>
              <w:spacing w:after="0"/>
              <w:rPr>
                <w:sz w:val="20"/>
                <w:szCs w:val="20"/>
                <w:color w:val="auto"/>
              </w:rPr>
            </w:pPr>
            <w:r>
              <w:rPr>
                <w:rFonts w:ascii="Arial" w:cs="Arial" w:eastAsia="Arial" w:hAnsi="Arial"/>
                <w:sz w:val="18"/>
                <w:szCs w:val="18"/>
                <w:color w:val="auto"/>
              </w:rPr>
              <w:t>(65.4)</w:t>
            </w:r>
          </w:p>
        </w:tc>
        <w:tc>
          <w:tcPr>
            <w:tcW w:w="12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6F4F9"/>
          </w:tcPr>
          <w:p>
            <w:pPr>
              <w:spacing w:after="0"/>
              <w:rPr>
                <w:sz w:val="21"/>
                <w:szCs w:val="21"/>
                <w:color w:val="auto"/>
              </w:rPr>
            </w:pPr>
          </w:p>
        </w:tc>
        <w:tc>
          <w:tcPr>
            <w:tcW w:w="1480" w:type="dxa"/>
            <w:vAlign w:val="bottom"/>
            <w:shd w:val="clear" w:color="auto" w:fill="C6F4F9"/>
          </w:tcPr>
          <w:p>
            <w:pPr>
              <w:jc w:val="right"/>
              <w:ind w:right="290"/>
              <w:spacing w:after="0"/>
              <w:rPr>
                <w:sz w:val="20"/>
                <w:szCs w:val="20"/>
                <w:color w:val="auto"/>
              </w:rPr>
            </w:pPr>
            <w:r>
              <w:rPr>
                <w:rFonts w:ascii="Arial" w:cs="Arial" w:eastAsia="Arial" w:hAnsi="Arial"/>
                <w:sz w:val="18"/>
                <w:szCs w:val="18"/>
                <w:color w:val="auto"/>
              </w:rPr>
              <w:t>(31.5)</w:t>
            </w:r>
          </w:p>
        </w:tc>
        <w:tc>
          <w:tcPr>
            <w:tcW w:w="11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4560" w:type="dxa"/>
            <w:vAlign w:val="bottom"/>
          </w:tcPr>
          <w:p>
            <w:pPr>
              <w:spacing w:after="0" w:line="243" w:lineRule="exact"/>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0.3</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Voluntary leave expense </w:t>
            </w:r>
            <w:r>
              <w:rPr>
                <w:rFonts w:ascii="Arial" w:cs="Arial" w:eastAsia="Arial" w:hAnsi="Arial"/>
                <w:sz w:val="28"/>
                <w:szCs w:val="28"/>
                <w:color w:val="auto"/>
                <w:vertAlign w:val="superscript"/>
              </w:rPr>
              <w:t>(3)</w:t>
            </w:r>
          </w:p>
        </w:tc>
        <w:tc>
          <w:tcPr>
            <w:tcW w:w="960" w:type="dxa"/>
            <w:vAlign w:val="bottom"/>
            <w:shd w:val="clear" w:color="auto" w:fill="C6F4F9"/>
          </w:tcPr>
          <w:p>
            <w:pPr>
              <w:spacing w:after="0"/>
              <w:rPr>
                <w:sz w:val="21"/>
                <w:szCs w:val="21"/>
                <w:color w:val="auto"/>
              </w:rPr>
            </w:pPr>
          </w:p>
        </w:tc>
        <w:tc>
          <w:tcPr>
            <w:tcW w:w="200" w:type="dxa"/>
            <w:vAlign w:val="bottom"/>
            <w:shd w:val="clear" w:color="auto" w:fill="C6F4F9"/>
          </w:tcPr>
          <w:p>
            <w:pPr>
              <w:spacing w:after="0"/>
              <w:rPr>
                <w:sz w:val="21"/>
                <w:szCs w:val="21"/>
                <w:color w:val="auto"/>
              </w:rPr>
            </w:pPr>
          </w:p>
        </w:tc>
        <w:tc>
          <w:tcPr>
            <w:tcW w:w="1460" w:type="dxa"/>
            <w:vAlign w:val="bottom"/>
            <w:shd w:val="clear" w:color="auto" w:fill="C6F4F9"/>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6F4F9"/>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6F4F9"/>
          </w:tcPr>
          <w:p>
            <w:pPr>
              <w:spacing w:after="0"/>
              <w:rPr>
                <w:sz w:val="21"/>
                <w:szCs w:val="21"/>
                <w:color w:val="auto"/>
              </w:rPr>
            </w:pPr>
          </w:p>
        </w:tc>
        <w:tc>
          <w:tcPr>
            <w:tcW w:w="1480" w:type="dxa"/>
            <w:vAlign w:val="bottom"/>
            <w:shd w:val="clear" w:color="auto" w:fill="C6F4F9"/>
          </w:tcPr>
          <w:p>
            <w:pPr>
              <w:jc w:val="right"/>
              <w:ind w:right="350"/>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C6F4F9"/>
          </w:tcPr>
          <w:p>
            <w:pPr>
              <w:jc w:val="right"/>
              <w:ind w:right="10"/>
              <w:spacing w:after="0"/>
              <w:rPr>
                <w:sz w:val="20"/>
                <w:szCs w:val="20"/>
                <w:color w:val="auto"/>
              </w:rPr>
            </w:pPr>
            <w:r>
              <w:rPr>
                <w:rFonts w:ascii="Arial" w:cs="Arial" w:eastAsia="Arial" w:hAnsi="Arial"/>
                <w:sz w:val="18"/>
                <w:szCs w:val="18"/>
                <w:color w:val="auto"/>
              </w:rPr>
              <w:t>0.12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Cargo expenses, not already adjusted above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33.4</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1.18</w:t>
            </w:r>
          </w:p>
        </w:tc>
        <w:tc>
          <w:tcPr>
            <w:tcW w:w="260" w:type="dxa"/>
            <w:vAlign w:val="bottom"/>
          </w:tcPr>
          <w:p>
            <w:pPr>
              <w:spacing w:after="0"/>
              <w:rPr>
                <w:sz w:val="17"/>
                <w:szCs w:val="17"/>
                <w:color w:val="auto"/>
              </w:rPr>
            </w:pPr>
          </w:p>
        </w:tc>
        <w:tc>
          <w:tcPr>
            <w:tcW w:w="14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4.5</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0.21</w:t>
            </w:r>
          </w:p>
        </w:tc>
      </w:tr>
      <w:tr>
        <w:trPr>
          <w:trHeight w:val="216"/>
        </w:trPr>
        <w:tc>
          <w:tcPr>
            <w:tcW w:w="4560" w:type="dxa"/>
            <w:vAlign w:val="bottom"/>
            <w:shd w:val="clear" w:color="auto" w:fill="C6F4F9"/>
          </w:tcPr>
          <w:p>
            <w:pPr>
              <w:spacing w:after="0"/>
              <w:rPr>
                <w:sz w:val="20"/>
                <w:szCs w:val="20"/>
                <w:color w:val="auto"/>
              </w:rPr>
            </w:pPr>
            <w:r>
              <w:rPr>
                <w:rFonts w:ascii="Arial" w:cs="Arial" w:eastAsia="Arial" w:hAnsi="Arial"/>
                <w:sz w:val="18"/>
                <w:szCs w:val="18"/>
                <w:color w:val="auto"/>
              </w:rPr>
              <w:t>Sun Country Vacations</w:t>
            </w:r>
          </w:p>
        </w:tc>
        <w:tc>
          <w:tcPr>
            <w:tcW w:w="960" w:type="dxa"/>
            <w:vAlign w:val="bottom"/>
            <w:shd w:val="clear" w:color="auto" w:fill="C6F4F9"/>
          </w:tcPr>
          <w:p>
            <w:pPr>
              <w:spacing w:after="0"/>
              <w:rPr>
                <w:sz w:val="18"/>
                <w:szCs w:val="18"/>
                <w:color w:val="auto"/>
              </w:rPr>
            </w:pPr>
          </w:p>
        </w:tc>
        <w:tc>
          <w:tcPr>
            <w:tcW w:w="200" w:type="dxa"/>
            <w:vAlign w:val="bottom"/>
            <w:tcBorders>
              <w:bottom w:val="single" w:sz="8" w:color="auto"/>
            </w:tcBorders>
            <w:shd w:val="clear" w:color="auto" w:fill="C6F4F9"/>
          </w:tcPr>
          <w:p>
            <w:pPr>
              <w:spacing w:after="0"/>
              <w:rPr>
                <w:sz w:val="18"/>
                <w:szCs w:val="18"/>
                <w:color w:val="auto"/>
              </w:rPr>
            </w:pPr>
          </w:p>
        </w:tc>
        <w:tc>
          <w:tcPr>
            <w:tcW w:w="1460" w:type="dxa"/>
            <w:vAlign w:val="bottom"/>
            <w:tcBorders>
              <w:bottom w:val="single" w:sz="8" w:color="auto"/>
            </w:tcBorders>
            <w:shd w:val="clear" w:color="auto" w:fill="C6F4F9"/>
          </w:tcPr>
          <w:p>
            <w:pPr>
              <w:jc w:val="right"/>
              <w:ind w:right="310"/>
              <w:spacing w:after="0"/>
              <w:rPr>
                <w:sz w:val="20"/>
                <w:szCs w:val="20"/>
                <w:color w:val="auto"/>
              </w:rPr>
            </w:pPr>
            <w:r>
              <w:rPr>
                <w:rFonts w:ascii="Arial" w:cs="Arial" w:eastAsia="Arial" w:hAnsi="Arial"/>
                <w:sz w:val="18"/>
                <w:szCs w:val="18"/>
                <w:color w:val="auto"/>
              </w:rPr>
              <w:t>0.4</w:t>
            </w:r>
          </w:p>
        </w:tc>
        <w:tc>
          <w:tcPr>
            <w:tcW w:w="1200" w:type="dxa"/>
            <w:vAlign w:val="bottom"/>
            <w:tcBorders>
              <w:bottom w:val="single" w:sz="8" w:color="auto"/>
            </w:tcBorders>
            <w:shd w:val="clear" w:color="auto" w:fill="C6F4F9"/>
          </w:tcPr>
          <w:p>
            <w:pPr>
              <w:jc w:val="right"/>
              <w:ind w:right="50"/>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auto"/>
            </w:tcBorders>
            <w:shd w:val="clear" w:color="auto" w:fill="C6F4F9"/>
          </w:tcPr>
          <w:p>
            <w:pPr>
              <w:spacing w:after="0"/>
              <w:rPr>
                <w:sz w:val="18"/>
                <w:szCs w:val="18"/>
                <w:color w:val="auto"/>
              </w:rPr>
            </w:pPr>
          </w:p>
        </w:tc>
        <w:tc>
          <w:tcPr>
            <w:tcW w:w="1480" w:type="dxa"/>
            <w:vAlign w:val="bottom"/>
            <w:tcBorders>
              <w:bottom w:val="single" w:sz="8" w:color="auto"/>
            </w:tcBorders>
            <w:shd w:val="clear" w:color="auto" w:fill="C6F4F9"/>
          </w:tcPr>
          <w:p>
            <w:pPr>
              <w:jc w:val="right"/>
              <w:ind w:right="350"/>
              <w:spacing w:after="0"/>
              <w:rPr>
                <w:sz w:val="20"/>
                <w:szCs w:val="20"/>
                <w:color w:val="auto"/>
              </w:rPr>
            </w:pPr>
            <w:r>
              <w:rPr>
                <w:rFonts w:ascii="Arial" w:cs="Arial" w:eastAsia="Arial" w:hAnsi="Arial"/>
                <w:sz w:val="18"/>
                <w:szCs w:val="18"/>
                <w:color w:val="auto"/>
              </w:rPr>
              <w:t>0.3</w:t>
            </w:r>
          </w:p>
        </w:tc>
        <w:tc>
          <w:tcPr>
            <w:tcW w:w="1120" w:type="dxa"/>
            <w:vAlign w:val="bottom"/>
            <w:tcBorders>
              <w:bottom w:val="single" w:sz="8" w:color="auto"/>
            </w:tcBorders>
            <w:shd w:val="clear" w:color="auto" w:fill="C6F4F9"/>
          </w:tcPr>
          <w:p>
            <w:pPr>
              <w:jc w:val="right"/>
              <w:ind w:right="10"/>
              <w:spacing w:after="0"/>
              <w:rPr>
                <w:sz w:val="20"/>
                <w:szCs w:val="20"/>
                <w:color w:val="auto"/>
              </w:rPr>
            </w:pPr>
            <w:r>
              <w:rPr>
                <w:rFonts w:ascii="Arial" w:cs="Arial" w:eastAsia="Arial" w:hAnsi="Arial"/>
                <w:sz w:val="18"/>
                <w:szCs w:val="18"/>
                <w:color w:val="auto"/>
              </w:rPr>
              <w:t>0.02</w:t>
            </w:r>
          </w:p>
        </w:tc>
      </w:tr>
      <w:tr>
        <w:trPr>
          <w:trHeight w:val="249"/>
        </w:trPr>
        <w:tc>
          <w:tcPr>
            <w:tcW w:w="4560" w:type="dxa"/>
            <w:vAlign w:val="bottom"/>
          </w:tcPr>
          <w:p>
            <w:pPr>
              <w:spacing w:after="0" w:line="197" w:lineRule="exact"/>
              <w:rPr>
                <w:sz w:val="20"/>
                <w:szCs w:val="20"/>
                <w:color w:val="auto"/>
              </w:rPr>
            </w:pPr>
            <w:r>
              <w:rPr>
                <w:rFonts w:ascii="Arial" w:cs="Arial" w:eastAsia="Arial" w:hAnsi="Arial"/>
                <w:sz w:val="18"/>
                <w:szCs w:val="18"/>
                <w:color w:val="auto"/>
              </w:rPr>
              <w:t>Adjusted CASM</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176.3</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169.8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7.81</w:t>
            </w:r>
          </w:p>
        </w:tc>
      </w:tr>
      <w:tr>
        <w:trPr>
          <w:trHeight w:val="183"/>
        </w:trPr>
        <w:tc>
          <w:tcPr>
            <w:tcW w:w="4560" w:type="dxa"/>
            <w:vAlign w:val="bottom"/>
            <w:tcBorders>
              <w:top w:val="single" w:sz="8" w:color="C6F4F9"/>
            </w:tcBorders>
            <w:shd w:val="clear" w:color="auto" w:fill="C6F4F9"/>
          </w:tcPr>
          <w:p>
            <w:pPr>
              <w:spacing w:after="0" w:line="183" w:lineRule="exact"/>
              <w:rPr>
                <w:sz w:val="20"/>
                <w:szCs w:val="20"/>
                <w:color w:val="auto"/>
              </w:rPr>
            </w:pPr>
            <w:r>
              <w:rPr>
                <w:rFonts w:ascii="Arial" w:cs="Arial" w:eastAsia="Arial" w:hAnsi="Arial"/>
                <w:sz w:val="18"/>
                <w:szCs w:val="18"/>
                <w:color w:val="auto"/>
              </w:rPr>
              <w:t>Available seat miles (ASMs) - mm</w:t>
            </w:r>
          </w:p>
        </w:tc>
        <w:tc>
          <w:tcPr>
            <w:tcW w:w="960" w:type="dxa"/>
            <w:vAlign w:val="bottom"/>
            <w:tcBorders>
              <w:top w:val="single" w:sz="8" w:color="C6F4F9"/>
            </w:tcBorders>
            <w:shd w:val="clear" w:color="auto" w:fill="C6F4F9"/>
          </w:tcPr>
          <w:p>
            <w:pPr>
              <w:spacing w:after="0"/>
              <w:rPr>
                <w:sz w:val="15"/>
                <w:szCs w:val="15"/>
                <w:color w:val="auto"/>
              </w:rPr>
            </w:pPr>
          </w:p>
        </w:tc>
        <w:tc>
          <w:tcPr>
            <w:tcW w:w="200" w:type="dxa"/>
            <w:vAlign w:val="bottom"/>
            <w:tcBorders>
              <w:top w:val="single" w:sz="8" w:color="auto"/>
            </w:tcBorders>
            <w:shd w:val="clear" w:color="auto" w:fill="C6F4F9"/>
          </w:tcPr>
          <w:p>
            <w:pPr>
              <w:spacing w:after="0"/>
              <w:rPr>
                <w:sz w:val="15"/>
                <w:szCs w:val="15"/>
                <w:color w:val="auto"/>
              </w:rPr>
            </w:pPr>
          </w:p>
        </w:tc>
        <w:tc>
          <w:tcPr>
            <w:tcW w:w="1460" w:type="dxa"/>
            <w:vAlign w:val="bottom"/>
            <w:tcBorders>
              <w:top w:val="single" w:sz="8" w:color="auto"/>
            </w:tcBorders>
            <w:shd w:val="clear" w:color="auto" w:fill="C6F4F9"/>
          </w:tcPr>
          <w:p>
            <w:pPr>
              <w:jc w:val="right"/>
              <w:ind w:right="310"/>
              <w:spacing w:after="0" w:line="183" w:lineRule="exact"/>
              <w:rPr>
                <w:sz w:val="20"/>
                <w:szCs w:val="20"/>
                <w:color w:val="auto"/>
              </w:rPr>
            </w:pPr>
            <w:r>
              <w:rPr>
                <w:rFonts w:ascii="Arial" w:cs="Arial" w:eastAsia="Arial" w:hAnsi="Arial"/>
                <w:sz w:val="18"/>
                <w:szCs w:val="18"/>
                <w:color w:val="auto"/>
              </w:rPr>
              <w:t>2,819.5</w:t>
            </w:r>
          </w:p>
        </w:tc>
        <w:tc>
          <w:tcPr>
            <w:tcW w:w="1200" w:type="dxa"/>
            <w:vAlign w:val="bottom"/>
            <w:tcBorders>
              <w:top w:val="single" w:sz="8" w:color="auto"/>
            </w:tcBorders>
            <w:shd w:val="clear" w:color="auto" w:fill="C6F4F9"/>
          </w:tcPr>
          <w:p>
            <w:pPr>
              <w:jc w:val="right"/>
              <w:ind w:right="50"/>
              <w:spacing w:after="0" w:line="183" w:lineRule="exact"/>
              <w:rPr>
                <w:sz w:val="20"/>
                <w:szCs w:val="20"/>
                <w:color w:val="auto"/>
              </w:rPr>
            </w:pPr>
            <w:r>
              <w:rPr>
                <w:rFonts w:ascii="Arial" w:cs="Arial" w:eastAsia="Arial" w:hAnsi="Arial"/>
                <w:sz w:val="18"/>
                <w:szCs w:val="18"/>
                <w:color w:val="auto"/>
              </w:rPr>
              <w:t>2,174.6</w:t>
            </w:r>
          </w:p>
        </w:tc>
        <w:tc>
          <w:tcPr>
            <w:tcW w:w="260" w:type="dxa"/>
            <w:vAlign w:val="bottom"/>
            <w:tcBorders>
              <w:top w:val="single" w:sz="8" w:color="auto"/>
            </w:tcBorders>
            <w:shd w:val="clear" w:color="auto" w:fill="C6F4F9"/>
          </w:tcPr>
          <w:p>
            <w:pPr>
              <w:spacing w:after="0"/>
              <w:rPr>
                <w:sz w:val="15"/>
                <w:szCs w:val="15"/>
                <w:color w:val="auto"/>
              </w:rPr>
            </w:pPr>
          </w:p>
        </w:tc>
        <w:tc>
          <w:tcPr>
            <w:tcW w:w="1480" w:type="dxa"/>
            <w:vAlign w:val="bottom"/>
            <w:tcBorders>
              <w:top w:val="single" w:sz="8" w:color="auto"/>
            </w:tcBorders>
            <w:shd w:val="clear" w:color="auto" w:fill="C6F4F9"/>
          </w:tcPr>
          <w:p>
            <w:pPr>
              <w:spacing w:after="0"/>
              <w:rPr>
                <w:sz w:val="15"/>
                <w:szCs w:val="15"/>
                <w:color w:val="auto"/>
              </w:rPr>
            </w:pPr>
          </w:p>
        </w:tc>
        <w:tc>
          <w:tcPr>
            <w:tcW w:w="1120" w:type="dxa"/>
            <w:vAlign w:val="bottom"/>
            <w:tcBorders>
              <w:top w:val="single" w:sz="8" w:color="auto"/>
            </w:tcBorders>
            <w:shd w:val="clear" w:color="auto" w:fill="C6F4F9"/>
          </w:tcPr>
          <w:p>
            <w:pPr>
              <w:spacing w:after="0"/>
              <w:rPr>
                <w:sz w:val="15"/>
                <w:szCs w:val="15"/>
                <w:color w:val="auto"/>
              </w:rPr>
            </w:pPr>
          </w:p>
        </w:tc>
      </w:tr>
    </w:tbl>
    <w:p>
      <w:pPr>
        <w:spacing w:after="0" w:line="1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ind w:left="660" w:hanging="328"/>
        <w:spacing w:after="0" w:line="23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jc w:val="both"/>
        <w:ind w:left="660" w:right="4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300"/>
        <w:spacing w:after="0"/>
        <w:tabs>
          <w:tab w:leader="none" w:pos="8320" w:val="left"/>
        </w:tabs>
        <w:rPr>
          <w:sz w:val="20"/>
          <w:szCs w:val="20"/>
          <w:color w:val="auto"/>
        </w:rPr>
      </w:pPr>
      <w:r>
        <w:rPr>
          <w:rFonts w:ascii="Arial" w:cs="Arial" w:eastAsia="Arial" w:hAnsi="Arial"/>
          <w:sz w:val="18"/>
          <w:szCs w:val="18"/>
          <w:color w:val="auto"/>
        </w:rPr>
        <w:t>Page 24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2021-07-28T15:55:21Z</dcterms:created>
  <dcterms:modified xsi:type="dcterms:W3CDTF">2021-07-28T15:55:21Z</dcterms:modified>
</cp:coreProperties>
</file>