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August 8, 2022</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5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67" w:lineRule="exact"/>
        <w:rPr>
          <w:sz w:val="24"/>
          <w:szCs w:val="24"/>
          <w:color w:val="auto"/>
        </w:rPr>
      </w:pPr>
    </w:p>
    <w:p>
      <w:pPr>
        <w:sectPr>
          <w:pgSz w:w="11900" w:h="16838" w:orient="portrait"/>
          <w:cols w:equalWidth="0" w:num="3">
            <w:col w:w="4500" w:space="720"/>
            <w:col w:w="2980" w:space="720"/>
            <w:col w:w="2300"/>
          </w:cols>
          <w:pgMar w:left="320" w:top="1440" w:right="359" w:bottom="1440" w:gutter="0" w:footer="0" w:header="0"/>
          <w:type w:val="continuous"/>
        </w:sectPr>
      </w:pPr>
    </w:p>
    <w:p>
      <w:pPr>
        <w:jc w:val="center"/>
        <w:ind w:right="640"/>
        <w:spacing w:after="0"/>
        <w:rPr>
          <w:sz w:val="20"/>
          <w:szCs w:val="20"/>
          <w:color w:val="auto"/>
        </w:rPr>
      </w:pPr>
      <w:r>
        <w:rPr>
          <w:rFonts w:ascii="Times New Roman" w:cs="Times New Roman" w:eastAsia="Times New Roman" w:hAnsi="Times New Roman"/>
          <w:sz w:val="18"/>
          <w:szCs w:val="18"/>
          <w:color w:val="auto"/>
        </w:rPr>
        <w:t>(State of</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20"/>
          </w:cols>
          <w:pgMar w:left="320" w:top="1440" w:right="359" w:bottom="1440" w:gutter="0" w:footer="0" w:header="0"/>
          <w:type w:val="continuous"/>
        </w:sectPr>
      </w:pPr>
    </w:p>
    <w:p>
      <w:pPr>
        <w:spacing w:after="0" w:line="15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2005 Cargo Road</w:t>
      </w:r>
    </w:p>
    <w:p>
      <w:pPr>
        <w:sectPr>
          <w:pgSz w:w="11900" w:h="16838" w:orient="portrait"/>
          <w:cols w:equalWidth="0" w:num="1">
            <w:col w:w="11220"/>
          </w:cols>
          <w:pgMar w:left="320" w:top="1440" w:right="359" w:bottom="1440" w:gutter="0" w:footer="0" w:header="0"/>
          <w:type w:val="continuous"/>
        </w:sectPr>
      </w:pPr>
    </w:p>
    <w:p>
      <w:pPr>
        <w:spacing w:after="0" w:line="29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67" w:lineRule="exact"/>
        <w:rPr>
          <w:sz w:val="24"/>
          <w:szCs w:val="24"/>
          <w:color w:val="auto"/>
        </w:rPr>
      </w:pPr>
    </w:p>
    <w:p>
      <w:pPr>
        <w:sectPr>
          <w:pgSz w:w="11900" w:h="16838" w:orient="portrait"/>
          <w:cols w:equalWidth="0" w:num="2">
            <w:col w:w="7480" w:space="720"/>
            <w:col w:w="3020"/>
          </w:cols>
          <w:pgMar w:left="320" w:top="1440" w:right="3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180"/>
          </w:cols>
          <w:pgMar w:left="320" w:top="1440" w:right="359" w:bottom="1440" w:gutter="0" w:footer="0" w:header="0"/>
          <w:type w:val="continuous"/>
        </w:sectPr>
      </w:pP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8, 2022, Sun Country Airlines Holdings, Inc. issued a press release announcing its financial results for the fiscal quarter and year ended June 30, 2022. A copy of the press release is attached hereto as Exhibit 99.1 and incorporated by reference herein.</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2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August 8, 2022</w:t>
            </w:r>
          </w:p>
        </w:tc>
        <w:tc>
          <w:tcPr>
            <w:tcW w:w="6980" w:type="dxa"/>
            <w:vAlign w:val="bottom"/>
          </w:tcPr>
          <w:p>
            <w:pPr>
              <w:spacing w:after="0"/>
              <w:rPr>
                <w:sz w:val="17"/>
                <w:szCs w:val="17"/>
                <w:color w:val="auto"/>
              </w:rPr>
            </w:pPr>
          </w:p>
        </w:tc>
      </w:tr>
      <w:tr>
        <w:trPr>
          <w:trHeight w:val="29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796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260" w:type="dxa"/>
            <w:vAlign w:val="bottom"/>
          </w:tcPr>
          <w:p>
            <w:pPr>
              <w:spacing w:after="0"/>
              <w:rPr>
                <w:sz w:val="24"/>
                <w:szCs w:val="24"/>
                <w:color w:val="auto"/>
              </w:rPr>
            </w:pPr>
          </w:p>
        </w:tc>
        <w:tc>
          <w:tcPr>
            <w:tcW w:w="79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114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line="324" w:lineRule="auto"/>
        <w:rPr>
          <w:sz w:val="20"/>
          <w:szCs w:val="20"/>
          <w:color w:val="auto"/>
        </w:rPr>
      </w:pPr>
      <w:r>
        <w:rPr>
          <w:rFonts w:ascii="Arial" w:cs="Arial" w:eastAsia="Arial" w:hAnsi="Arial"/>
          <w:sz w:val="18"/>
          <w:szCs w:val="18"/>
          <w:b w:val="1"/>
          <w:bCs w:val="1"/>
          <w:color w:val="auto"/>
        </w:rPr>
        <w:t xml:space="preserve">Sun Country Airlines Reports Second Quarter 2022 Results </w:t>
      </w:r>
      <w:r>
        <w:rPr>
          <w:rFonts w:ascii="Arial" w:cs="Arial" w:eastAsia="Arial" w:hAnsi="Arial"/>
          <w:sz w:val="18"/>
          <w:szCs w:val="18"/>
          <w:color w:val="auto"/>
        </w:rPr>
        <w:t>Q2 2022 GAAP diluted EPS of $(0.07) and operating income of $3 million Q2 2022 Adjusted diluted EPS of $(0.03)</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adjusted operating income of $4 million</w:t>
      </w:r>
      <w:r>
        <w:rPr>
          <w:rFonts w:ascii="Arial" w:cs="Arial" w:eastAsia="Arial" w:hAnsi="Arial"/>
          <w:sz w:val="23"/>
          <w:szCs w:val="23"/>
          <w:color w:val="auto"/>
          <w:vertAlign w:val="superscript"/>
        </w:rPr>
        <w:t>(1)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MINNEAPOLIS. August 8, 2022. Sun Country Airlines Holdings, Inc. (“Sun Country Airlines”, “Sun Country”, the “Company”) (</w:t>
      </w:r>
      <w:r>
        <w:rPr>
          <w:rFonts w:ascii="Arial" w:cs="Arial" w:eastAsia="Arial" w:hAnsi="Arial"/>
          <w:sz w:val="18"/>
          <w:szCs w:val="18"/>
          <w:color w:val="0563C1"/>
        </w:rPr>
        <w:t>NASDAQ: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563C1"/>
        </w:rPr>
        <w:t>SNCY</w:t>
      </w:r>
      <w:r>
        <w:rPr>
          <w:rFonts w:ascii="Arial" w:cs="Arial" w:eastAsia="Arial" w:hAnsi="Arial"/>
          <w:sz w:val="18"/>
          <w:szCs w:val="18"/>
          <w:color w:val="000000"/>
        </w:rPr>
        <w:t>) today reported financial results for its second quarter ended June 30, 2022.</w:t>
      </w:r>
    </w:p>
    <w:p>
      <w:pPr>
        <w:spacing w:after="0" w:line="234"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0A0A0A"/>
        </w:rPr>
        <w:t>“Despite the second quarter being a historically seasonally weaker quarter, scheduled service TRASM in the quarter was up 29% versus the second quarter 2019 and 13% sequentially versus first quarter 2022. We generated a positive operating profit of $3.4 million and an adjusted</w:t>
      </w:r>
    </w:p>
    <w:p>
      <w:pPr>
        <w:jc w:val="both"/>
        <w:spacing w:after="0" w:line="273" w:lineRule="auto"/>
        <w:rPr>
          <w:sz w:val="20"/>
          <w:szCs w:val="20"/>
          <w:color w:val="auto"/>
        </w:rPr>
      </w:pPr>
      <w:r>
        <w:rPr>
          <w:rFonts w:ascii="Arial" w:cs="Arial" w:eastAsia="Arial" w:hAnsi="Arial"/>
          <w:sz w:val="18"/>
          <w:szCs w:val="18"/>
          <w:color w:val="0A0A0A"/>
        </w:rPr>
        <w:t>operating profit of $4 million despite fuel prices averaging $4.39 per gallon during the quarter.” said Jude Bricker, Chief Executive Officer of Sun Country. "During the month of June, scheduled service TRASM was 44% higher than in 2019 and we generated a GAAP operating</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0A0A0A"/>
        </w:rPr>
        <w:t>margin of almost 8%, all while we were paying $4.47 per gallon for jet fuel. We continue to see strong leisure demand in July and expect it to stay elevated through the summer travel period. We are facing the same training challenges that have impacted the rest of the industry, resulting in less scheduled service flying than we would like to have flown and negatively impacting results We are making progress on resolving these training challenges and fundamentally view them to be temporary in nature; I am as bullish as ever on all of the critical factors that will determine Sun Country’s long-term success.”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Second Quarter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320" w:type="dxa"/>
            <w:vAlign w:val="bottom"/>
            <w:gridSpan w:val="3"/>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480" w:type="dxa"/>
            <w:vAlign w:val="bottom"/>
          </w:tcPr>
          <w:p>
            <w:pPr>
              <w:spacing w:after="0"/>
              <w:rPr>
                <w:sz w:val="17"/>
                <w:szCs w:val="17"/>
                <w:color w:val="auto"/>
              </w:rPr>
            </w:pPr>
          </w:p>
        </w:tc>
      </w:tr>
      <w:tr>
        <w:trPr>
          <w:trHeight w:val="205"/>
        </w:trPr>
        <w:tc>
          <w:tcPr>
            <w:tcW w:w="4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0A0A0A"/>
              </w:rPr>
              <w:t>2022</w:t>
            </w: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13"/>
              <w:spacing w:after="0" w:line="205" w:lineRule="exact"/>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0A0A0A"/>
              </w:rPr>
              <w:t>% Change</w:t>
            </w:r>
          </w:p>
        </w:tc>
      </w:tr>
      <w:tr>
        <w:trPr>
          <w:trHeight w:val="223"/>
        </w:trPr>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219.1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w w:val="99"/>
              </w:rPr>
              <w:t>$</w:t>
            </w:r>
          </w:p>
        </w:tc>
        <w:tc>
          <w:tcPr>
            <w:tcW w:w="16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0A0A0A"/>
              </w:rPr>
              <w:t>149.2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46.8</w:t>
            </w:r>
          </w:p>
        </w:tc>
      </w:tr>
      <w:tr>
        <w:trPr>
          <w:trHeight w:val="229"/>
        </w:trPr>
        <w:tc>
          <w:tcPr>
            <w:tcW w:w="488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0A0A0A"/>
              </w:rPr>
              <w:t>3.4</w:t>
            </w:r>
          </w:p>
        </w:tc>
        <w:tc>
          <w:tcPr>
            <w:tcW w:w="380" w:type="dxa"/>
            <w:vAlign w:val="bottom"/>
          </w:tcPr>
          <w:p>
            <w:pPr>
              <w:spacing w:after="0"/>
              <w:rPr>
                <w:sz w:val="19"/>
                <w:szCs w:val="19"/>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0A0A0A"/>
              </w:rPr>
              <w:t>49.8</w:t>
            </w:r>
          </w:p>
        </w:tc>
        <w:tc>
          <w:tcPr>
            <w:tcW w:w="1480" w:type="dxa"/>
            <w:vAlign w:val="bottom"/>
          </w:tcPr>
          <w:p>
            <w:pPr>
              <w:jc w:val="right"/>
              <w:spacing w:after="0"/>
              <w:rPr>
                <w:sz w:val="20"/>
                <w:szCs w:val="20"/>
                <w:color w:val="auto"/>
              </w:rPr>
            </w:pPr>
            <w:r>
              <w:rPr>
                <w:rFonts w:ascii="Arial" w:cs="Arial" w:eastAsia="Arial" w:hAnsi="Arial"/>
                <w:sz w:val="18"/>
                <w:szCs w:val="18"/>
                <w:color w:val="0A0A0A"/>
              </w:rPr>
              <w:t>(93.2)</w:t>
            </w:r>
          </w:p>
        </w:tc>
      </w:tr>
      <w:tr>
        <w:trPr>
          <w:trHeight w:val="230"/>
        </w:trPr>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(Loss) Before Income Tax</w:t>
            </w:r>
          </w:p>
        </w:tc>
        <w:tc>
          <w:tcPr>
            <w:tcW w:w="1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(4.8)</w:t>
            </w: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0A0A0A"/>
              </w:rPr>
              <w:t>61.8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(107.8)</w:t>
            </w:r>
          </w:p>
        </w:tc>
      </w:tr>
      <w:tr>
        <w:trPr>
          <w:trHeight w:val="230"/>
        </w:trPr>
        <w:tc>
          <w:tcPr>
            <w:tcW w:w="4880" w:type="dxa"/>
            <w:vAlign w:val="bottom"/>
          </w:tcPr>
          <w:p>
            <w:pPr>
              <w:ind w:left="80"/>
              <w:spacing w:after="0"/>
              <w:rPr>
                <w:sz w:val="20"/>
                <w:szCs w:val="20"/>
                <w:color w:val="auto"/>
              </w:rPr>
            </w:pPr>
            <w:r>
              <w:rPr>
                <w:rFonts w:ascii="Arial" w:cs="Arial" w:eastAsia="Arial" w:hAnsi="Arial"/>
                <w:sz w:val="18"/>
                <w:szCs w:val="18"/>
                <w:color w:val="0A0A0A"/>
              </w:rPr>
              <w:t>Net Income (Loss)</w:t>
            </w:r>
          </w:p>
        </w:tc>
        <w:tc>
          <w:tcPr>
            <w:tcW w:w="1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0A0A0A"/>
              </w:rPr>
              <w:t>(3.9)</w:t>
            </w:r>
          </w:p>
        </w:tc>
        <w:tc>
          <w:tcPr>
            <w:tcW w:w="380" w:type="dxa"/>
            <w:vAlign w:val="bottom"/>
          </w:tcPr>
          <w:p>
            <w:pPr>
              <w:spacing w:after="0"/>
              <w:rPr>
                <w:sz w:val="19"/>
                <w:szCs w:val="19"/>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0A0A0A"/>
              </w:rPr>
              <w:t>52.2</w:t>
            </w:r>
          </w:p>
        </w:tc>
        <w:tc>
          <w:tcPr>
            <w:tcW w:w="1480" w:type="dxa"/>
            <w:vAlign w:val="bottom"/>
          </w:tcPr>
          <w:p>
            <w:pPr>
              <w:jc w:val="right"/>
              <w:spacing w:after="0"/>
              <w:rPr>
                <w:sz w:val="20"/>
                <w:szCs w:val="20"/>
                <w:color w:val="auto"/>
              </w:rPr>
            </w:pPr>
            <w:r>
              <w:rPr>
                <w:rFonts w:ascii="Arial" w:cs="Arial" w:eastAsia="Arial" w:hAnsi="Arial"/>
                <w:sz w:val="18"/>
                <w:szCs w:val="18"/>
                <w:color w:val="0A0A0A"/>
              </w:rPr>
              <w:t>(107.5)</w:t>
            </w:r>
          </w:p>
        </w:tc>
      </w:tr>
      <w:tr>
        <w:trPr>
          <w:trHeight w:val="229"/>
        </w:trPr>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(Loss) per share</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(0.07)</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w w:val="99"/>
              </w:rPr>
              <w:t>$</w:t>
            </w:r>
          </w:p>
        </w:tc>
        <w:tc>
          <w:tcPr>
            <w:tcW w:w="16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0A0A0A"/>
              </w:rPr>
              <w:t>0.84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(108.3)</w:t>
            </w:r>
          </w:p>
        </w:tc>
      </w:tr>
      <w:tr>
        <w:trPr>
          <w:trHeight w:val="417"/>
        </w:trPr>
        <w:tc>
          <w:tcPr>
            <w:tcW w:w="4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20" w:type="dxa"/>
            <w:vAlign w:val="bottom"/>
            <w:gridSpan w:val="3"/>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480" w:type="dxa"/>
            <w:vAlign w:val="bottom"/>
          </w:tcPr>
          <w:p>
            <w:pPr>
              <w:spacing w:after="0"/>
              <w:rPr>
                <w:sz w:val="24"/>
                <w:szCs w:val="24"/>
                <w:color w:val="auto"/>
              </w:rPr>
            </w:pPr>
          </w:p>
        </w:tc>
      </w:tr>
      <w:tr>
        <w:trPr>
          <w:trHeight w:val="203"/>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0A0A0A"/>
              </w:rPr>
              <w:t>2022</w:t>
            </w: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0A0A0A"/>
              </w:rPr>
              <w:t>2021</w:t>
            </w:r>
            <w:r>
              <w:rPr>
                <w:rFonts w:ascii="Arial" w:cs="Arial" w:eastAsia="Arial" w:hAnsi="Arial"/>
                <w:sz w:val="9"/>
                <w:szCs w:val="9"/>
                <w:b w:val="1"/>
                <w:bCs w:val="1"/>
                <w:color w:val="0A0A0A"/>
              </w:rPr>
              <w:t>(7)</w:t>
            </w: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0A0A0A"/>
              </w:rPr>
              <w:t>% Change</w:t>
            </w:r>
          </w:p>
        </w:tc>
      </w:tr>
      <w:tr>
        <w:trPr>
          <w:trHeight w:val="265"/>
        </w:trPr>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(1)</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3.9</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w w:val="99"/>
              </w:rPr>
              <w:t>$</w:t>
            </w:r>
          </w:p>
        </w:tc>
        <w:tc>
          <w:tcPr>
            <w:tcW w:w="16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0A0A0A"/>
              </w:rPr>
              <w:t>10.8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(63.4)</w:t>
            </w:r>
          </w:p>
        </w:tc>
      </w:tr>
      <w:tr>
        <w:trPr>
          <w:trHeight w:val="270"/>
        </w:trPr>
        <w:tc>
          <w:tcPr>
            <w:tcW w:w="4880" w:type="dxa"/>
            <w:vAlign w:val="bottom"/>
          </w:tcPr>
          <w:p>
            <w:pPr>
              <w:ind w:left="80"/>
              <w:spacing w:after="0"/>
              <w:rPr>
                <w:sz w:val="20"/>
                <w:szCs w:val="20"/>
                <w:color w:val="auto"/>
              </w:rPr>
            </w:pPr>
            <w:r>
              <w:rPr>
                <w:rFonts w:ascii="Arial" w:cs="Arial" w:eastAsia="Arial" w:hAnsi="Arial"/>
                <w:sz w:val="18"/>
                <w:szCs w:val="18"/>
                <w:color w:val="0A0A0A"/>
              </w:rPr>
              <w:t xml:space="preserve">Adjusted Income (Loss) Before Income Tax </w:t>
            </w:r>
            <w:r>
              <w:rPr>
                <w:rFonts w:ascii="Arial" w:cs="Arial" w:eastAsia="Arial" w:hAnsi="Arial"/>
                <w:sz w:val="23"/>
                <w:szCs w:val="23"/>
                <w:color w:val="0A0A0A"/>
                <w:vertAlign w:val="superscript"/>
              </w:rPr>
              <w:t>(1)</w:t>
            </w:r>
          </w:p>
        </w:tc>
        <w:tc>
          <w:tcPr>
            <w:tcW w:w="1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0A0A0A"/>
              </w:rPr>
              <w:t>(2.6)</w:t>
            </w:r>
          </w:p>
        </w:tc>
        <w:tc>
          <w:tcPr>
            <w:tcW w:w="380" w:type="dxa"/>
            <w:vAlign w:val="bottom"/>
          </w:tcPr>
          <w:p>
            <w:pPr>
              <w:spacing w:after="0"/>
              <w:rPr>
                <w:sz w:val="23"/>
                <w:szCs w:val="23"/>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0A0A0A"/>
              </w:rPr>
              <w:t>4.7</w:t>
            </w:r>
          </w:p>
        </w:tc>
        <w:tc>
          <w:tcPr>
            <w:tcW w:w="1480" w:type="dxa"/>
            <w:vAlign w:val="bottom"/>
          </w:tcPr>
          <w:p>
            <w:pPr>
              <w:jc w:val="right"/>
              <w:spacing w:after="0"/>
              <w:rPr>
                <w:sz w:val="20"/>
                <w:szCs w:val="20"/>
                <w:color w:val="auto"/>
              </w:rPr>
            </w:pPr>
            <w:r>
              <w:rPr>
                <w:rFonts w:ascii="Arial" w:cs="Arial" w:eastAsia="Arial" w:hAnsi="Arial"/>
                <w:sz w:val="18"/>
                <w:szCs w:val="18"/>
                <w:color w:val="0A0A0A"/>
              </w:rPr>
              <w:t>NM</w:t>
            </w:r>
          </w:p>
        </w:tc>
      </w:tr>
      <w:tr>
        <w:trPr>
          <w:trHeight w:val="270"/>
        </w:trPr>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Net Income (Loss) </w:t>
            </w:r>
            <w:r>
              <w:rPr>
                <w:rFonts w:ascii="Arial" w:cs="Arial" w:eastAsia="Arial" w:hAnsi="Arial"/>
                <w:sz w:val="23"/>
                <w:szCs w:val="23"/>
                <w:color w:val="0A0A0A"/>
                <w:vertAlign w:val="superscript"/>
              </w:rPr>
              <w:t>(1)</w:t>
            </w:r>
          </w:p>
        </w:tc>
        <w:tc>
          <w:tcPr>
            <w:tcW w:w="15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(1.8)</w:t>
            </w:r>
          </w:p>
        </w:tc>
        <w:tc>
          <w:tcPr>
            <w:tcW w:w="3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0A0A0A"/>
              </w:rPr>
              <w:t>3.9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NM</w:t>
            </w:r>
          </w:p>
        </w:tc>
      </w:tr>
      <w:tr>
        <w:trPr>
          <w:trHeight w:val="330"/>
        </w:trPr>
        <w:tc>
          <w:tcPr>
            <w:tcW w:w="4880" w:type="dxa"/>
            <w:vAlign w:val="bottom"/>
          </w:tcPr>
          <w:p>
            <w:pPr>
              <w:ind w:left="80"/>
              <w:spacing w:after="0"/>
              <w:rPr>
                <w:sz w:val="20"/>
                <w:szCs w:val="20"/>
                <w:color w:val="auto"/>
              </w:rPr>
            </w:pPr>
            <w:r>
              <w:rPr>
                <w:rFonts w:ascii="Arial" w:cs="Arial" w:eastAsia="Arial" w:hAnsi="Arial"/>
                <w:sz w:val="18"/>
                <w:szCs w:val="18"/>
                <w:color w:val="0A0A0A"/>
              </w:rPr>
              <w:t xml:space="preserve">Adjusted diluted earnings (Loss) per share </w:t>
            </w:r>
            <w:r>
              <w:rPr>
                <w:rFonts w:ascii="Arial" w:cs="Arial" w:eastAsia="Arial" w:hAnsi="Arial"/>
                <w:sz w:val="23"/>
                <w:szCs w:val="23"/>
                <w:color w:val="0A0A0A"/>
                <w:vertAlign w:val="superscript"/>
              </w:rPr>
              <w:t>(1)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(0.03)</w:t>
            </w:r>
          </w:p>
        </w:tc>
        <w:tc>
          <w:tcPr>
            <w:tcW w:w="380" w:type="dxa"/>
            <w:vAlign w:val="bottom"/>
          </w:tcPr>
          <w:p>
            <w:pPr>
              <w:jc w:val="right"/>
              <w:ind w:right="170"/>
              <w:spacing w:after="0"/>
              <w:rPr>
                <w:sz w:val="20"/>
                <w:szCs w:val="20"/>
                <w:color w:val="auto"/>
              </w:rPr>
            </w:pPr>
            <w:r>
              <w:rPr>
                <w:rFonts w:ascii="Arial" w:cs="Arial" w:eastAsia="Arial" w:hAnsi="Arial"/>
                <w:sz w:val="18"/>
                <w:szCs w:val="18"/>
                <w:color w:val="0A0A0A"/>
                <w:w w:val="99"/>
              </w:rPr>
              <w:t>$</w:t>
            </w:r>
          </w:p>
        </w:tc>
        <w:tc>
          <w:tcPr>
            <w:tcW w:w="1600" w:type="dxa"/>
            <w:vAlign w:val="bottom"/>
          </w:tcPr>
          <w:p>
            <w:pPr>
              <w:jc w:val="right"/>
              <w:ind w:right="233"/>
              <w:spacing w:after="0"/>
              <w:rPr>
                <w:sz w:val="20"/>
                <w:szCs w:val="20"/>
                <w:color w:val="auto"/>
              </w:rPr>
            </w:pPr>
            <w:r>
              <w:rPr>
                <w:rFonts w:ascii="Arial" w:cs="Arial" w:eastAsia="Arial" w:hAnsi="Arial"/>
                <w:sz w:val="18"/>
                <w:szCs w:val="18"/>
                <w:color w:val="0A0A0A"/>
              </w:rPr>
              <w:t>0.06</w:t>
            </w:r>
          </w:p>
        </w:tc>
        <w:tc>
          <w:tcPr>
            <w:tcW w:w="1480" w:type="dxa"/>
            <w:vAlign w:val="bottom"/>
          </w:tcPr>
          <w:p>
            <w:pPr>
              <w:jc w:val="right"/>
              <w:spacing w:after="0"/>
              <w:rPr>
                <w:sz w:val="20"/>
                <w:szCs w:val="20"/>
                <w:color w:val="auto"/>
              </w:rPr>
            </w:pPr>
            <w:r>
              <w:rPr>
                <w:rFonts w:ascii="Arial" w:cs="Arial" w:eastAsia="Arial" w:hAnsi="Arial"/>
                <w:sz w:val="18"/>
                <w:szCs w:val="18"/>
                <w:color w:val="0A0A0A"/>
              </w:rPr>
              <w:t>NM</w:t>
            </w:r>
          </w:p>
        </w:tc>
      </w:tr>
      <w:tr>
        <w:trPr>
          <w:trHeight w:val="370"/>
        </w:trPr>
        <w:tc>
          <w:tcPr>
            <w:tcW w:w="4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20" w:type="dxa"/>
            <w:vAlign w:val="bottom"/>
            <w:gridSpan w:val="3"/>
          </w:tcPr>
          <w:p>
            <w:pPr>
              <w:jc w:val="right"/>
              <w:ind w:right="973"/>
              <w:spacing w:after="0"/>
              <w:rPr>
                <w:sz w:val="20"/>
                <w:szCs w:val="20"/>
                <w:color w:val="auto"/>
              </w:rPr>
            </w:pPr>
            <w:r>
              <w:rPr>
                <w:rFonts w:ascii="Arial" w:cs="Arial" w:eastAsia="Arial" w:hAnsi="Arial"/>
                <w:sz w:val="14"/>
                <w:szCs w:val="14"/>
                <w:b w:val="1"/>
                <w:bCs w:val="1"/>
                <w:color w:val="0A0A0A"/>
              </w:rPr>
              <w:t>Six Months Ended June 30,</w:t>
            </w:r>
          </w:p>
        </w:tc>
        <w:tc>
          <w:tcPr>
            <w:tcW w:w="1480" w:type="dxa"/>
            <w:vAlign w:val="bottom"/>
          </w:tcPr>
          <w:p>
            <w:pPr>
              <w:spacing w:after="0"/>
              <w:rPr>
                <w:sz w:val="24"/>
                <w:szCs w:val="24"/>
                <w:color w:val="auto"/>
              </w:rPr>
            </w:pPr>
          </w:p>
        </w:tc>
      </w:tr>
      <w:tr>
        <w:trPr>
          <w:trHeight w:val="204"/>
        </w:trPr>
        <w:tc>
          <w:tcPr>
            <w:tcW w:w="4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0A0A0A"/>
              </w:rPr>
              <w:t>2022</w:t>
            </w: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13"/>
              <w:spacing w:after="0" w:line="205" w:lineRule="exact"/>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0A0A0A"/>
              </w:rPr>
              <w:t>% Change</w:t>
            </w:r>
          </w:p>
        </w:tc>
      </w:tr>
      <w:tr>
        <w:trPr>
          <w:trHeight w:val="223"/>
        </w:trPr>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445.6</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w w:val="99"/>
              </w:rPr>
              <w:t>$</w:t>
            </w:r>
          </w:p>
        </w:tc>
        <w:tc>
          <w:tcPr>
            <w:tcW w:w="16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0A0A0A"/>
              </w:rPr>
              <w:t>276.8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61.0</w:t>
            </w:r>
          </w:p>
        </w:tc>
      </w:tr>
      <w:tr>
        <w:trPr>
          <w:trHeight w:val="229"/>
        </w:trPr>
        <w:tc>
          <w:tcPr>
            <w:tcW w:w="488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0A0A0A"/>
              </w:rPr>
              <w:t>25.2</w:t>
            </w:r>
          </w:p>
        </w:tc>
        <w:tc>
          <w:tcPr>
            <w:tcW w:w="380" w:type="dxa"/>
            <w:vAlign w:val="bottom"/>
          </w:tcPr>
          <w:p>
            <w:pPr>
              <w:spacing w:after="0"/>
              <w:rPr>
                <w:sz w:val="19"/>
                <w:szCs w:val="19"/>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0A0A0A"/>
              </w:rPr>
              <w:t>80.4</w:t>
            </w:r>
          </w:p>
        </w:tc>
        <w:tc>
          <w:tcPr>
            <w:tcW w:w="1480" w:type="dxa"/>
            <w:vAlign w:val="bottom"/>
          </w:tcPr>
          <w:p>
            <w:pPr>
              <w:jc w:val="right"/>
              <w:spacing w:after="0"/>
              <w:rPr>
                <w:sz w:val="20"/>
                <w:szCs w:val="20"/>
                <w:color w:val="auto"/>
              </w:rPr>
            </w:pPr>
            <w:r>
              <w:rPr>
                <w:rFonts w:ascii="Arial" w:cs="Arial" w:eastAsia="Arial" w:hAnsi="Arial"/>
                <w:sz w:val="18"/>
                <w:szCs w:val="18"/>
                <w:color w:val="0A0A0A"/>
              </w:rPr>
              <w:t>(68.7)</w:t>
            </w:r>
          </w:p>
        </w:tc>
      </w:tr>
      <w:tr>
        <w:trPr>
          <w:trHeight w:val="230"/>
        </w:trPr>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1.6</w:t>
            </w: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85.3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(98.2)</w:t>
            </w:r>
          </w:p>
        </w:tc>
      </w:tr>
      <w:tr>
        <w:trPr>
          <w:trHeight w:val="230"/>
        </w:trPr>
        <w:tc>
          <w:tcPr>
            <w:tcW w:w="4880" w:type="dxa"/>
            <w:vAlign w:val="bottom"/>
          </w:tcPr>
          <w:p>
            <w:pPr>
              <w:ind w:left="80"/>
              <w:spacing w:after="0"/>
              <w:rPr>
                <w:sz w:val="20"/>
                <w:szCs w:val="20"/>
                <w:color w:val="auto"/>
              </w:rPr>
            </w:pPr>
            <w:r>
              <w:rPr>
                <w:rFonts w:ascii="Arial" w:cs="Arial" w:eastAsia="Arial" w:hAnsi="Arial"/>
                <w:sz w:val="18"/>
                <w:szCs w:val="18"/>
                <w:color w:val="0A0A0A"/>
              </w:rPr>
              <w:t>Net Income (Loss)</w:t>
            </w:r>
          </w:p>
        </w:tc>
        <w:tc>
          <w:tcPr>
            <w:tcW w:w="1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0A0A0A"/>
              </w:rPr>
              <w:t>(0.3)</w:t>
            </w:r>
          </w:p>
        </w:tc>
        <w:tc>
          <w:tcPr>
            <w:tcW w:w="380" w:type="dxa"/>
            <w:vAlign w:val="bottom"/>
          </w:tcPr>
          <w:p>
            <w:pPr>
              <w:spacing w:after="0"/>
              <w:rPr>
                <w:sz w:val="19"/>
                <w:szCs w:val="19"/>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auto"/>
              </w:rPr>
              <w:t>69.0</w:t>
            </w:r>
          </w:p>
        </w:tc>
        <w:tc>
          <w:tcPr>
            <w:tcW w:w="1480" w:type="dxa"/>
            <w:vAlign w:val="bottom"/>
          </w:tcPr>
          <w:p>
            <w:pPr>
              <w:jc w:val="right"/>
              <w:spacing w:after="0"/>
              <w:rPr>
                <w:sz w:val="20"/>
                <w:szCs w:val="20"/>
                <w:color w:val="auto"/>
              </w:rPr>
            </w:pPr>
            <w:r>
              <w:rPr>
                <w:rFonts w:ascii="Arial" w:cs="Arial" w:eastAsia="Arial" w:hAnsi="Arial"/>
                <w:sz w:val="18"/>
                <w:szCs w:val="18"/>
                <w:color w:val="0A0A0A"/>
              </w:rPr>
              <w:t>(100.4)</w:t>
            </w:r>
          </w:p>
        </w:tc>
      </w:tr>
      <w:tr>
        <w:trPr>
          <w:trHeight w:val="230"/>
        </w:trPr>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(Loss) per share</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0.00</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w w:val="99"/>
              </w:rPr>
              <w:t>$</w:t>
            </w:r>
          </w:p>
        </w:tc>
        <w:tc>
          <w:tcPr>
            <w:tcW w:w="16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0A0A0A"/>
              </w:rPr>
              <w:t>1.20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(100.0)</w:t>
            </w:r>
          </w:p>
        </w:tc>
      </w:tr>
      <w:tr>
        <w:trPr>
          <w:trHeight w:val="430"/>
        </w:trPr>
        <w:tc>
          <w:tcPr>
            <w:tcW w:w="4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20" w:type="dxa"/>
            <w:vAlign w:val="bottom"/>
            <w:gridSpan w:val="3"/>
          </w:tcPr>
          <w:p>
            <w:pPr>
              <w:jc w:val="right"/>
              <w:ind w:right="973"/>
              <w:spacing w:after="0"/>
              <w:rPr>
                <w:sz w:val="20"/>
                <w:szCs w:val="20"/>
                <w:color w:val="auto"/>
              </w:rPr>
            </w:pPr>
            <w:r>
              <w:rPr>
                <w:rFonts w:ascii="Arial" w:cs="Arial" w:eastAsia="Arial" w:hAnsi="Arial"/>
                <w:sz w:val="14"/>
                <w:szCs w:val="14"/>
                <w:b w:val="1"/>
                <w:bCs w:val="1"/>
                <w:color w:val="0A0A0A"/>
              </w:rPr>
              <w:t>Six Months Ended June 30,</w:t>
            </w:r>
          </w:p>
        </w:tc>
        <w:tc>
          <w:tcPr>
            <w:tcW w:w="1480" w:type="dxa"/>
            <w:vAlign w:val="bottom"/>
          </w:tcPr>
          <w:p>
            <w:pPr>
              <w:spacing w:after="0"/>
              <w:rPr>
                <w:sz w:val="24"/>
                <w:szCs w:val="24"/>
                <w:color w:val="auto"/>
              </w:rPr>
            </w:pPr>
          </w:p>
        </w:tc>
      </w:tr>
      <w:tr>
        <w:trPr>
          <w:trHeight w:val="204"/>
        </w:trPr>
        <w:tc>
          <w:tcPr>
            <w:tcW w:w="4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0A0A0A"/>
              </w:rPr>
              <w:t>2022</w:t>
            </w: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13"/>
              <w:spacing w:after="0" w:line="205" w:lineRule="exact"/>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0A0A0A"/>
              </w:rPr>
              <w:t>% Change</w:t>
            </w:r>
          </w:p>
        </w:tc>
      </w:tr>
      <w:tr>
        <w:trPr>
          <w:trHeight w:val="264"/>
        </w:trPr>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(1)</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26.7</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A0A0A"/>
                <w:w w:val="99"/>
              </w:rPr>
              <w:t>$</w:t>
            </w:r>
          </w:p>
        </w:tc>
        <w:tc>
          <w:tcPr>
            <w:tcW w:w="16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0A0A0A"/>
              </w:rPr>
              <w:t>12.0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123.2</w:t>
            </w:r>
          </w:p>
        </w:tc>
      </w:tr>
      <w:tr>
        <w:trPr>
          <w:trHeight w:val="270"/>
        </w:trPr>
        <w:tc>
          <w:tcPr>
            <w:tcW w:w="4880" w:type="dxa"/>
            <w:vAlign w:val="bottom"/>
          </w:tcPr>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(1)</w:t>
            </w:r>
          </w:p>
        </w:tc>
        <w:tc>
          <w:tcPr>
            <w:tcW w:w="1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0A0A0A"/>
              </w:rPr>
              <w:t>13.0</w:t>
            </w:r>
          </w:p>
        </w:tc>
        <w:tc>
          <w:tcPr>
            <w:tcW w:w="380" w:type="dxa"/>
            <w:vAlign w:val="bottom"/>
          </w:tcPr>
          <w:p>
            <w:pPr>
              <w:spacing w:after="0"/>
              <w:rPr>
                <w:sz w:val="23"/>
                <w:szCs w:val="23"/>
                <w:color w:val="auto"/>
              </w:rPr>
            </w:pPr>
          </w:p>
        </w:tc>
        <w:tc>
          <w:tcPr>
            <w:tcW w:w="1600" w:type="dxa"/>
            <w:vAlign w:val="bottom"/>
          </w:tcPr>
          <w:p>
            <w:pPr>
              <w:jc w:val="right"/>
              <w:ind w:right="233"/>
              <w:spacing w:after="0"/>
              <w:rPr>
                <w:sz w:val="20"/>
                <w:szCs w:val="20"/>
                <w:color w:val="auto"/>
              </w:rPr>
            </w:pPr>
            <w:r>
              <w:rPr>
                <w:rFonts w:ascii="Arial" w:cs="Arial" w:eastAsia="Arial" w:hAnsi="Arial"/>
                <w:sz w:val="18"/>
                <w:szCs w:val="18"/>
                <w:color w:val="0A0A0A"/>
              </w:rPr>
              <w:t>0.0</w:t>
            </w:r>
          </w:p>
        </w:tc>
        <w:tc>
          <w:tcPr>
            <w:tcW w:w="1480" w:type="dxa"/>
            <w:vAlign w:val="bottom"/>
          </w:tcPr>
          <w:p>
            <w:pPr>
              <w:jc w:val="right"/>
              <w:spacing w:after="0"/>
              <w:rPr>
                <w:sz w:val="20"/>
                <w:szCs w:val="20"/>
                <w:color w:val="auto"/>
              </w:rPr>
            </w:pPr>
            <w:r>
              <w:rPr>
                <w:rFonts w:ascii="Arial" w:cs="Arial" w:eastAsia="Arial" w:hAnsi="Arial"/>
                <w:sz w:val="18"/>
                <w:szCs w:val="18"/>
                <w:color w:val="0A0A0A"/>
              </w:rPr>
              <w:t>NM</w:t>
            </w:r>
          </w:p>
        </w:tc>
      </w:tr>
      <w:tr>
        <w:trPr>
          <w:trHeight w:val="270"/>
        </w:trPr>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Net Income (Loss) </w:t>
            </w:r>
            <w:r>
              <w:rPr>
                <w:rFonts w:ascii="Arial" w:cs="Arial" w:eastAsia="Arial" w:hAnsi="Arial"/>
                <w:sz w:val="23"/>
                <w:szCs w:val="23"/>
                <w:color w:val="0A0A0A"/>
                <w:vertAlign w:val="superscript"/>
              </w:rPr>
              <w:t>(1)</w:t>
            </w:r>
          </w:p>
        </w:tc>
        <w:tc>
          <w:tcPr>
            <w:tcW w:w="15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10.5</w:t>
            </w:r>
          </w:p>
        </w:tc>
        <w:tc>
          <w:tcPr>
            <w:tcW w:w="3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0A0A0A"/>
              </w:rPr>
              <w:t>(1.0)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NM</w:t>
            </w:r>
          </w:p>
        </w:tc>
      </w:tr>
      <w:tr>
        <w:trPr>
          <w:trHeight w:val="316"/>
        </w:trPr>
        <w:tc>
          <w:tcPr>
            <w:tcW w:w="4880" w:type="dxa"/>
            <w:vAlign w:val="bottom"/>
          </w:tcPr>
          <w:p>
            <w:pPr>
              <w:ind w:left="80"/>
              <w:spacing w:after="0"/>
              <w:rPr>
                <w:sz w:val="20"/>
                <w:szCs w:val="20"/>
                <w:color w:val="auto"/>
              </w:rPr>
            </w:pPr>
            <w:r>
              <w:rPr>
                <w:rFonts w:ascii="Arial" w:cs="Arial" w:eastAsia="Arial" w:hAnsi="Arial"/>
                <w:sz w:val="18"/>
                <w:szCs w:val="18"/>
                <w:color w:val="0A0A0A"/>
              </w:rPr>
              <w:t xml:space="preserve">Adjusted diluted earnings (Loss) per share </w:t>
            </w:r>
            <w:r>
              <w:rPr>
                <w:rFonts w:ascii="Arial" w:cs="Arial" w:eastAsia="Arial" w:hAnsi="Arial"/>
                <w:sz w:val="23"/>
                <w:szCs w:val="23"/>
                <w:color w:val="0A0A0A"/>
                <w:vertAlign w:val="superscript"/>
              </w:rPr>
              <w:t>(1)</w:t>
            </w:r>
          </w:p>
        </w:tc>
        <w:tc>
          <w:tcPr>
            <w:tcW w:w="1540" w:type="dxa"/>
            <w:vAlign w:val="bottom"/>
          </w:tcPr>
          <w:p>
            <w:pPr>
              <w:jc w:val="right"/>
              <w:ind w:right="190"/>
              <w:spacing w:after="0"/>
              <w:rPr>
                <w:sz w:val="20"/>
                <w:szCs w:val="20"/>
                <w:color w:val="auto"/>
              </w:rPr>
            </w:pPr>
            <w:r>
              <w:rPr>
                <w:rFonts w:ascii="Arial" w:cs="Arial" w:eastAsia="Arial" w:hAnsi="Arial"/>
                <w:sz w:val="18"/>
                <w:szCs w:val="18"/>
                <w:color w:val="0A0A0A"/>
              </w:rPr>
              <w:t>$</w:t>
            </w:r>
          </w:p>
        </w:tc>
        <w:tc>
          <w:tcPr>
            <w:tcW w:w="1340" w:type="dxa"/>
            <w:vAlign w:val="bottom"/>
          </w:tcPr>
          <w:p>
            <w:pPr>
              <w:jc w:val="right"/>
              <w:spacing w:after="0"/>
              <w:rPr>
                <w:sz w:val="20"/>
                <w:szCs w:val="20"/>
                <w:color w:val="auto"/>
              </w:rPr>
            </w:pPr>
            <w:r>
              <w:rPr>
                <w:rFonts w:ascii="Arial" w:cs="Arial" w:eastAsia="Arial" w:hAnsi="Arial"/>
                <w:sz w:val="18"/>
                <w:szCs w:val="18"/>
                <w:color w:val="0A0A0A"/>
              </w:rPr>
              <w:t>0.18</w:t>
            </w:r>
          </w:p>
        </w:tc>
        <w:tc>
          <w:tcPr>
            <w:tcW w:w="380" w:type="dxa"/>
            <w:vAlign w:val="bottom"/>
          </w:tcPr>
          <w:p>
            <w:pPr>
              <w:jc w:val="right"/>
              <w:ind w:right="170"/>
              <w:spacing w:after="0"/>
              <w:rPr>
                <w:sz w:val="20"/>
                <w:szCs w:val="20"/>
                <w:color w:val="auto"/>
              </w:rPr>
            </w:pPr>
            <w:r>
              <w:rPr>
                <w:rFonts w:ascii="Arial" w:cs="Arial" w:eastAsia="Arial" w:hAnsi="Arial"/>
                <w:sz w:val="18"/>
                <w:szCs w:val="18"/>
                <w:color w:val="0A0A0A"/>
                <w:w w:val="99"/>
              </w:rPr>
              <w:t>$</w:t>
            </w:r>
          </w:p>
        </w:tc>
        <w:tc>
          <w:tcPr>
            <w:tcW w:w="1600" w:type="dxa"/>
            <w:vAlign w:val="bottom"/>
          </w:tcPr>
          <w:p>
            <w:pPr>
              <w:jc w:val="right"/>
              <w:ind w:right="173"/>
              <w:spacing w:after="0"/>
              <w:rPr>
                <w:sz w:val="20"/>
                <w:szCs w:val="20"/>
                <w:color w:val="auto"/>
              </w:rPr>
            </w:pPr>
            <w:r>
              <w:rPr>
                <w:rFonts w:ascii="Arial" w:cs="Arial" w:eastAsia="Arial" w:hAnsi="Arial"/>
                <w:sz w:val="18"/>
                <w:szCs w:val="18"/>
                <w:color w:val="0A0A0A"/>
              </w:rPr>
              <w:t>(0.02)</w:t>
            </w:r>
          </w:p>
        </w:tc>
        <w:tc>
          <w:tcPr>
            <w:tcW w:w="1480" w:type="dxa"/>
            <w:vAlign w:val="bottom"/>
          </w:tcPr>
          <w:p>
            <w:pPr>
              <w:jc w:val="right"/>
              <w:spacing w:after="0"/>
              <w:rPr>
                <w:sz w:val="20"/>
                <w:szCs w:val="20"/>
                <w:color w:val="auto"/>
              </w:rPr>
            </w:pPr>
            <w:r>
              <w:rPr>
                <w:rFonts w:ascii="Arial" w:cs="Arial" w:eastAsia="Arial" w:hAnsi="Arial"/>
                <w:sz w:val="18"/>
                <w:szCs w:val="18"/>
                <w:color w:val="0A0A0A"/>
              </w:rPr>
              <w:t>NM</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40"/>
          </w:cols>
          <w:pgMar w:left="320" w:top="1120" w:right="339" w:bottom="1440" w:gutter="0" w:footer="0" w:header="0"/>
          <w:type w:val="continuous"/>
        </w:sectPr>
      </w:pPr>
    </w:p>
    <w:bookmarkStart w:id="4" w:name="page5"/>
    <w:bookmarkEnd w:id="4"/>
    <w:p>
      <w:pPr>
        <w:jc w:val="both"/>
        <w:spacing w:after="0" w:line="232" w:lineRule="auto"/>
        <w:rPr>
          <w:sz w:val="20"/>
          <w:szCs w:val="20"/>
          <w:color w:val="auto"/>
        </w:rPr>
      </w:pPr>
      <w:r>
        <w:rPr>
          <w:rFonts w:ascii="Arial" w:cs="Arial" w:eastAsia="Arial" w:hAnsi="Arial"/>
          <w:sz w:val="18"/>
          <w:szCs w:val="18"/>
          <w:color w:val="0A0A0A"/>
        </w:rPr>
        <w:t>For the quarter ended June 30, 2022, Sun Country reported a net loss of $ 4 million and a loss before income tax of $5 million, on $219 million of revenue. Adjusted loss before income tax for the quarter was $3 million</w:t>
      </w:r>
      <w:r>
        <w:rPr>
          <w:rFonts w:ascii="Arial" w:cs="Arial" w:eastAsia="Arial" w:hAnsi="Arial"/>
          <w:sz w:val="23"/>
          <w:szCs w:val="23"/>
          <w:color w:val="0A0A0A"/>
          <w:vertAlign w:val="superscript"/>
        </w:rPr>
        <w:t>(1)</w:t>
      </w:r>
      <w:r>
        <w:rPr>
          <w:rFonts w:ascii="Arial" w:cs="Arial" w:eastAsia="Arial" w:hAnsi="Arial"/>
          <w:sz w:val="18"/>
          <w:szCs w:val="18"/>
          <w:color w:val="0A0A0A"/>
        </w:rPr>
        <w:t>. GAAP operating income during the quarter was $3 million, producing an operating margin of 1.5%, while adjusted operating income was $4 million</w:t>
      </w:r>
      <w:r>
        <w:rPr>
          <w:rFonts w:ascii="Arial" w:cs="Arial" w:eastAsia="Arial" w:hAnsi="Arial"/>
          <w:sz w:val="23"/>
          <w:szCs w:val="23"/>
          <w:color w:val="0A0A0A"/>
          <w:vertAlign w:val="superscript"/>
        </w:rPr>
        <w:t>(1)</w:t>
      </w:r>
      <w:r>
        <w:rPr>
          <w:rFonts w:ascii="Arial" w:cs="Arial" w:eastAsia="Arial" w:hAnsi="Arial"/>
          <w:sz w:val="18"/>
          <w:szCs w:val="18"/>
          <w:color w:val="0A0A0A"/>
        </w:rPr>
        <w:t>, resulting in an adjusted operating income margin of 1.8%</w:t>
      </w:r>
      <w:r>
        <w:rPr>
          <w:rFonts w:ascii="Arial" w:cs="Arial" w:eastAsia="Arial" w:hAnsi="Arial"/>
          <w:sz w:val="23"/>
          <w:szCs w:val="23"/>
          <w:color w:val="0A0A0A"/>
          <w:vertAlign w:val="superscript"/>
        </w:rPr>
        <w:t>(1)</w:t>
      </w:r>
      <w:r>
        <w:rPr>
          <w:rFonts w:ascii="Arial" w:cs="Arial" w:eastAsia="Arial" w:hAnsi="Arial"/>
          <w:sz w:val="18"/>
          <w:szCs w:val="18"/>
          <w:color w:val="0A0A0A"/>
        </w:rPr>
        <w:t>.</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0A0A0A"/>
        </w:rPr>
        <w:t>“Demand continues to be at some of the strongest levels that we have seen,” said Dave Davis, President and Chief Financial Officer. “Unfortunately, despite growing second quarter block hours by 23% versus 2019, we were undersized in the quarter due to training challenges limiting our scheduled service and ad hoc charter growth. Since signing our new pilot agreement in December of last year, we</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A0A0A"/>
        </w:rPr>
        <w:t>have been able to attract all of the new hire pilots we need, and attrition has been greatly reduced. We are making strong progress in expanding our training pipeline to accommodate our growth and we anticipate seeing the benefits later this year. Capacity constraints have pressured our unit costs by limiting aircraft utilization. As we hire and train new staff at a record pace for Sun Country, new flying will come at high marginal profitability as the needed assets already exist.”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Notable Highlights</w:t>
      </w:r>
    </w:p>
    <w:p>
      <w:pPr>
        <w:spacing w:after="0" w:line="25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Adding a third aircraft to its charter service for Caesars Entertainment in October 2022</w:t>
      </w:r>
    </w:p>
    <w:p>
      <w:pPr>
        <w:spacing w:after="0" w:line="27" w:lineRule="exact"/>
        <w:rPr>
          <w:rFonts w:ascii="Arial" w:cs="Arial" w:eastAsia="Arial" w:hAnsi="Arial"/>
          <w:sz w:val="18"/>
          <w:szCs w:val="18"/>
          <w:color w:val="0A0A0A"/>
        </w:rPr>
      </w:pPr>
    </w:p>
    <w:p>
      <w:pPr>
        <w:ind w:left="660" w:hanging="328"/>
        <w:spacing w:after="0" w:line="250" w:lineRule="auto"/>
        <w:tabs>
          <w:tab w:leader="none" w:pos="655"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Selected by the U.S. Department of Transportation to provide Essential Air Service (EAS) for Chippewa Valley Regional Airport (EAU) in Eau Claire, WI, beginning in December 2022</w:t>
      </w:r>
    </w:p>
    <w:p>
      <w:pPr>
        <w:ind w:left="660" w:hanging="328"/>
        <w:spacing w:after="0"/>
        <w:tabs>
          <w:tab w:leader="none" w:pos="660"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Announced new service to Grand Cayman beginning in December 2022</w:t>
      </w:r>
    </w:p>
    <w:p>
      <w:pPr>
        <w:spacing w:after="0" w:line="9" w:lineRule="exact"/>
        <w:rPr>
          <w:rFonts w:ascii="Arial" w:cs="Arial" w:eastAsia="Arial" w:hAnsi="Arial"/>
          <w:sz w:val="18"/>
          <w:szCs w:val="18"/>
          <w:color w:val="0A0A0A"/>
        </w:rPr>
      </w:pPr>
    </w:p>
    <w:p>
      <w:pPr>
        <w:ind w:left="660" w:hanging="328"/>
        <w:spacing w:after="0"/>
        <w:tabs>
          <w:tab w:leader="none" w:pos="660"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Airline Business awarded Sun Country with the Airline Strategy Award 2022 for Sector Leadership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System block hours flown during the second quarter of 2022 grew by 10% year over year and by 23% versus the same period in 2019, driven by the growth in our cargo business. Staffing challenges impacted passenger service capacity with scheduled service block hours and charter block hours lower by 9% and 5% when compared to the second quarter of 2019.</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Charter block hours under long term contracts remain the bulk of the charter flying performed in the second quarter. This composed 92% of total charter flying versus 51% in the second quarter of 2019. As the Company begins to normalize its aircraft utilization, it will be able to pursue more ad-hoc charter flying.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A0A0A"/>
        </w:rPr>
        <w:t xml:space="preserve">For the second quarter of 2022, the Company reported total revenue of $219 million, which was 29% more than the second quarter of 2019. Excluding the $21 million in cargo revenue that did not exist in 2019, revenue still exceeded second quarter 2019 by $28.5 million. </w:t>
      </w:r>
      <w:r>
        <w:rPr>
          <w:rFonts w:ascii="Arial" w:cs="Arial" w:eastAsia="Arial" w:hAnsi="Arial"/>
          <w:sz w:val="18"/>
          <w:szCs w:val="18"/>
          <w:color w:val="000000"/>
        </w:rPr>
        <w:t>The</w:t>
      </w:r>
      <w:r>
        <w:rPr>
          <w:rFonts w:ascii="Arial" w:cs="Arial" w:eastAsia="Arial" w:hAnsi="Arial"/>
          <w:sz w:val="18"/>
          <w:szCs w:val="18"/>
          <w:color w:val="0A0A0A"/>
        </w:rPr>
        <w:t xml:space="preserve"> </w:t>
      </w:r>
      <w:r>
        <w:rPr>
          <w:rFonts w:ascii="Arial" w:cs="Arial" w:eastAsia="Arial" w:hAnsi="Arial"/>
          <w:sz w:val="18"/>
          <w:szCs w:val="18"/>
          <w:color w:val="000000"/>
        </w:rPr>
        <w:t xml:space="preserve">Company’s scheduled service TRASM </w:t>
      </w:r>
      <w:r>
        <w:rPr>
          <w:rFonts w:ascii="Arial" w:cs="Arial" w:eastAsia="Arial" w:hAnsi="Arial"/>
          <w:sz w:val="23"/>
          <w:szCs w:val="23"/>
          <w:color w:val="000000"/>
          <w:vertAlign w:val="superscript"/>
        </w:rPr>
        <w:t>(3)</w:t>
      </w:r>
      <w:r>
        <w:rPr>
          <w:rFonts w:ascii="Arial" w:cs="Arial" w:eastAsia="Arial" w:hAnsi="Arial"/>
          <w:sz w:val="18"/>
          <w:szCs w:val="18"/>
          <w:color w:val="000000"/>
        </w:rPr>
        <w:t xml:space="preserve"> of 11.6 cents in the second quarter of 2022 increased 29% from the second quarter of 2019 while scheduled service ASMs decreased 6%. The second quarter 2022 total fare of $173 exceeded second quarter 2019 by 23%, and included strong ancillary revenue per passenger of $50.</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Charter service revenue is primarily generated through service provided to collegiate and professional sports teams, the U.S. Department of Defense, casinos, and other customers. In the second quarter of 2022, the Company’s charter service revenue was $43 million, an increase of 3% versus second quarter 2019. On a rate basis, second quarter 2022 charter revenue per block hour was 8% higher than the rate in the second quarter of 2019.</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Cargo revenue consists of revenue earned from flying cargo aircraft under the Air Transportation Services Agreement (“ATSA”) with Amazon. In the second quarter of 2022, cargo revenue was $21 million, a 4% decrease versus the second quarter of 2021 due to the timing of planned heavy maintenance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For the second quarter of 2022, total GAAP operating expenses increased 35% versus the second quarter of 2019, primarily due to a 77% increase in aircraft fuel expense in the quarter. Adjusted CASM in the second quarter increased 15% in the second quarter 2022 versus the second quarter 2019 while total ASMs decreased</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28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0A0A0A"/>
        </w:rPr>
        <w:t>6% for the same period. Second quarter 2022 was also impacted by the new pilot agreement that was signed at the end of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A0A0A"/>
        </w:rPr>
        <w:t>The Company’s net debt</w:t>
      </w:r>
      <w:r>
        <w:rPr>
          <w:rFonts w:ascii="Arial" w:cs="Arial" w:eastAsia="Arial" w:hAnsi="Arial"/>
          <w:sz w:val="23"/>
          <w:szCs w:val="23"/>
          <w:color w:val="0A0A0A"/>
          <w:vertAlign w:val="superscript"/>
        </w:rPr>
        <w:t>(5)</w:t>
      </w:r>
      <w:r>
        <w:rPr>
          <w:rFonts w:ascii="Arial" w:cs="Arial" w:eastAsia="Arial" w:hAnsi="Arial"/>
          <w:sz w:val="18"/>
          <w:szCs w:val="18"/>
          <w:color w:val="0A0A0A"/>
        </w:rPr>
        <w:t xml:space="preserve"> on June 30, 2022 was $362 million, while total liquidity</w:t>
      </w:r>
      <w:r>
        <w:rPr>
          <w:rFonts w:ascii="Arial" w:cs="Arial" w:eastAsia="Arial" w:hAnsi="Arial"/>
          <w:sz w:val="23"/>
          <w:szCs w:val="23"/>
          <w:color w:val="0A0A0A"/>
          <w:vertAlign w:val="superscript"/>
        </w:rPr>
        <w:t>(6)</w:t>
      </w:r>
      <w:r>
        <w:rPr>
          <w:rFonts w:ascii="Arial" w:cs="Arial" w:eastAsia="Arial" w:hAnsi="Arial"/>
          <w:sz w:val="18"/>
          <w:szCs w:val="18"/>
          <w:color w:val="0A0A0A"/>
        </w:rPr>
        <w:t xml:space="preserve"> was $308 million.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(unaudited) (in millions)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2021</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60" w:type="dxa"/>
            <w:vAlign w:val="bottom"/>
            <w:tcBorders>
              <w:bottom w:val="single" w:sz="8" w:color="CCEEFF"/>
            </w:tcBorders>
            <w:shd w:val="clear" w:color="auto" w:fill="CCEEFF"/>
          </w:tcPr>
          <w:p>
            <w:pPr>
              <w:jc w:val="right"/>
              <w:ind w:right="14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6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1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63"/>
        </w:trPr>
        <w:tc>
          <w:tcPr>
            <w:tcW w:w="662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1660" w:type="dxa"/>
            <w:vAlign w:val="bottom"/>
            <w:tcBorders>
              <w:top w:val="single" w:sz="8" w:color="auto"/>
              <w:bottom w:val="single" w:sz="8" w:color="auto"/>
            </w:tcBorders>
          </w:tcPr>
          <w:p>
            <w:pPr>
              <w:jc w:val="right"/>
              <w:ind w:right="145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334.3</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23"/>
        </w:trPr>
        <w:tc>
          <w:tcPr>
            <w:tcW w:w="66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2021</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60" w:type="dxa"/>
            <w:vAlign w:val="bottom"/>
            <w:tcBorders>
              <w:bottom w:val="single" w:sz="8" w:color="CCEEFF"/>
            </w:tcBorders>
            <w:shd w:val="clear" w:color="auto" w:fill="CCEEFF"/>
          </w:tcPr>
          <w:p>
            <w:pPr>
              <w:jc w:val="right"/>
              <w:ind w:right="14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192.2</w:t>
            </w:r>
          </w:p>
        </w:tc>
      </w:tr>
      <w:tr>
        <w:trPr>
          <w:trHeight w:val="23"/>
        </w:trPr>
        <w:tc>
          <w:tcPr>
            <w:tcW w:w="6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41"/>
        </w:trPr>
        <w:tc>
          <w:tcPr>
            <w:tcW w:w="6620" w:type="dxa"/>
            <w:vAlign w:val="bottom"/>
          </w:tcPr>
          <w:p>
            <w:pPr>
              <w:ind w:left="180"/>
              <w:spacing w:after="0"/>
              <w:rPr>
                <w:sz w:val="20"/>
                <w:szCs w:val="20"/>
                <w:color w:val="auto"/>
              </w:rPr>
            </w:pPr>
            <w:r>
              <w:rPr>
                <w:rFonts w:ascii="Arial" w:cs="Arial" w:eastAsia="Arial" w:hAnsi="Arial"/>
                <w:sz w:val="18"/>
                <w:szCs w:val="18"/>
                <w:color w:val="auto"/>
              </w:rPr>
              <w:t>Total Debt and Lease Obligations</w:t>
            </w:r>
          </w:p>
        </w:tc>
        <w:tc>
          <w:tcPr>
            <w:tcW w:w="16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w:t>
            </w:r>
          </w:p>
        </w:tc>
      </w:tr>
      <w:tr>
        <w:trPr>
          <w:trHeight w:val="23"/>
        </w:trPr>
        <w:tc>
          <w:tcPr>
            <w:tcW w:w="6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66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Debt</w:t>
            </w:r>
          </w:p>
        </w:tc>
        <w:tc>
          <w:tcPr>
            <w:tcW w:w="1660" w:type="dxa"/>
            <w:vAlign w:val="bottom"/>
            <w:tcBorders>
              <w:bottom w:val="single" w:sz="8" w:color="auto"/>
            </w:tcBorders>
            <w:shd w:val="clear" w:color="auto" w:fill="CCEEFF"/>
          </w:tcPr>
          <w:p>
            <w:pPr>
              <w:jc w:val="right"/>
              <w:ind w:right="14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Company had 41 aircraft in its passenger service fleet, and operated twelve freighter aircraft in its cargo operation.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Guidance for Third Quarter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jc w:val="center"/>
              <w:ind w:left="1333"/>
              <w:spacing w:after="0"/>
              <w:rPr>
                <w:sz w:val="20"/>
                <w:szCs w:val="20"/>
                <w:color w:val="auto"/>
              </w:rPr>
            </w:pPr>
            <w:r>
              <w:rPr>
                <w:rFonts w:ascii="Arial" w:cs="Arial" w:eastAsia="Arial" w:hAnsi="Arial"/>
                <w:sz w:val="14"/>
                <w:szCs w:val="14"/>
                <w:b w:val="1"/>
                <w:bCs w:val="1"/>
                <w:color w:val="0A0A0A"/>
              </w:rPr>
              <w:t>Q3 2022</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0A0A"/>
              </w:rPr>
              <w:t>H/(L) vs Q3 2019</w:t>
            </w:r>
          </w:p>
        </w:tc>
      </w:tr>
      <w:tr>
        <w:trPr>
          <w:trHeight w:val="224"/>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revenue - millions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$215 to $220</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25% to 28%</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Economic fuel cost per gallon</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7"/>
              </w:rPr>
              <w:t>$3.84</w:t>
            </w:r>
          </w:p>
        </w:tc>
        <w:tc>
          <w:tcPr>
            <w:tcW w:w="2340" w:type="dxa"/>
            <w:vAlign w:val="bottom"/>
          </w:tcPr>
          <w:p>
            <w:pPr>
              <w:spacing w:after="0"/>
              <w:rPr>
                <w:sz w:val="19"/>
                <w:szCs w:val="19"/>
                <w:color w:val="auto"/>
              </w:rPr>
            </w:pP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 margin - percentage</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9"/>
              </w:rPr>
              <w:t>3% - 5%</w:t>
            </w:r>
          </w:p>
        </w:tc>
        <w:tc>
          <w:tcPr>
            <w:tcW w:w="2340" w:type="dxa"/>
            <w:vAlign w:val="bottom"/>
            <w:shd w:val="clear" w:color="auto" w:fill="CCEEFF"/>
          </w:tcPr>
          <w:p>
            <w:pPr>
              <w:spacing w:after="0"/>
              <w:rPr>
                <w:sz w:val="19"/>
                <w:szCs w:val="19"/>
                <w:color w:val="auto"/>
              </w:rPr>
            </w:pP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Effective tax rate</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9"/>
              </w:rPr>
              <w:t>23%</w:t>
            </w:r>
          </w:p>
        </w:tc>
        <w:tc>
          <w:tcPr>
            <w:tcW w:w="2340" w:type="dxa"/>
            <w:vAlign w:val="bottom"/>
          </w:tcPr>
          <w:p>
            <w:pPr>
              <w:spacing w:after="0"/>
              <w:rPr>
                <w:sz w:val="19"/>
                <w:szCs w:val="19"/>
                <w:color w:val="auto"/>
              </w:rPr>
            </w:pP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system block hours - thousands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31 to 32</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17% to 21%</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14"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0A0A0A"/>
        </w:rPr>
        <w:t xml:space="preserve">Sun Country Airlines will host a conference call to discuss its second quarter 2022 results at 10:00 a.m. Eastern Time on Tuesday, August 9, 2022. A live broadcast of the conference call will be available via the investor relations section of Sun Country Airlines’ website at </w:t>
      </w:r>
      <w:r>
        <w:rPr>
          <w:rFonts w:ascii="Arial" w:cs="Arial" w:eastAsia="Arial" w:hAnsi="Arial"/>
          <w:sz w:val="18"/>
          <w:szCs w:val="18"/>
          <w:u w:val="single" w:color="auto"/>
          <w:color w:val="026DCE"/>
        </w:rPr>
        <w:t>https://ir.suncountry.com/news-events/events-and-presentations</w:t>
      </w:r>
      <w:r>
        <w:rPr>
          <w:rFonts w:ascii="Arial" w:cs="Arial" w:eastAsia="Arial" w:hAnsi="Arial"/>
          <w:sz w:val="18"/>
          <w:szCs w:val="18"/>
          <w:color w:val="0A0A0A"/>
          <w:highlight w:val="white"/>
        </w:rPr>
        <w:t>.</w:t>
      </w:r>
      <w:r>
        <w:rPr>
          <w:rFonts w:ascii="Arial" w:cs="Arial" w:eastAsia="Arial" w:hAnsi="Arial"/>
          <w:sz w:val="18"/>
          <w:szCs w:val="18"/>
          <w:color w:val="026DCE"/>
        </w:rPr>
        <w:t xml:space="preserve"> </w:t>
      </w:r>
      <w:r>
        <w:rPr>
          <w:rFonts w:ascii="Arial" w:cs="Arial" w:eastAsia="Arial" w:hAnsi="Arial"/>
          <w:sz w:val="18"/>
          <w:szCs w:val="18"/>
          <w:color w:val="000000"/>
          <w:highlight w:val="white"/>
        </w:rPr>
        <w:t>The online replay will be available on the same website approximately one</w:t>
      </w:r>
      <w:r>
        <w:rPr>
          <w:rFonts w:ascii="Arial" w:cs="Arial" w:eastAsia="Arial" w:hAnsi="Arial"/>
          <w:sz w:val="18"/>
          <w:szCs w:val="18"/>
          <w:color w:val="026DCE"/>
        </w:rPr>
        <w:t xml:space="preserve"> </w:t>
      </w:r>
      <w:r>
        <w:rPr>
          <w:rFonts w:ascii="Arial" w:cs="Arial" w:eastAsia="Arial" w:hAnsi="Arial"/>
          <w:sz w:val="18"/>
          <w:szCs w:val="18"/>
          <w:color w:val="000000"/>
          <w:highlight w:val="white"/>
        </w:rPr>
        <w:t>hour after the call. The conference call can also be listened to live by accessing</w:t>
      </w:r>
    </w:p>
    <w:p>
      <w:pPr>
        <w:spacing w:after="0"/>
        <w:rPr>
          <w:sz w:val="20"/>
          <w:szCs w:val="20"/>
          <w:color w:val="auto"/>
        </w:rPr>
      </w:pPr>
      <w:r>
        <w:rPr>
          <w:rFonts w:ascii="Arial" w:cs="Arial" w:eastAsia="Arial" w:hAnsi="Arial"/>
          <w:sz w:val="18"/>
          <w:szCs w:val="18"/>
          <w:u w:val="single" w:color="auto"/>
          <w:color w:val="026DCE"/>
        </w:rPr>
        <w:t>https://register.vevent.com/register/BI2e6b0275b8fe4c78aceab592f270965f</w:t>
      </w:r>
      <w:r>
        <w:rPr>
          <w:rFonts w:ascii="Arial" w:cs="Arial" w:eastAsia="Arial" w:hAnsi="Arial"/>
          <w:sz w:val="18"/>
          <w:szCs w:val="18"/>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0A0A0A"/>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 in Mexico, Central America, Canada, and the Caribbean.</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1282"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0A0A0A"/>
        </w:rPr>
        <w:t>End Notes</w:t>
      </w:r>
    </w:p>
    <w:p>
      <w:pPr>
        <w:sectPr>
          <w:pgSz w:w="11900" w:h="16838" w:orient="portrait"/>
          <w:cols w:equalWidth="0" w:num="1">
            <w:col w:w="11120"/>
          </w:cols>
          <w:pgMar w:left="320" w:top="1282" w:right="459" w:bottom="1440" w:gutter="0" w:footer="0" w:header="0"/>
        </w:sectPr>
      </w:pPr>
    </w:p>
    <w:p>
      <w:pPr>
        <w:spacing w:after="0" w:line="279"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2 -</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3 -</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4 -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5 -</w:t>
      </w:r>
    </w:p>
    <w:p>
      <w:pPr>
        <w:spacing w:after="0" w:line="252" w:lineRule="exact"/>
        <w:rPr>
          <w:sz w:val="20"/>
          <w:szCs w:val="20"/>
          <w:color w:val="auto"/>
        </w:rPr>
      </w:pPr>
    </w:p>
    <w:p>
      <w:pPr>
        <w:ind w:left="180" w:hanging="154"/>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3240"/>
        <w:spacing w:after="0" w:line="297" w:lineRule="auto"/>
        <w:rPr>
          <w:sz w:val="20"/>
          <w:szCs w:val="20"/>
          <w:color w:val="auto"/>
        </w:rPr>
      </w:pPr>
      <w:r>
        <w:rPr>
          <w:rFonts w:ascii="Arial" w:cs="Arial" w:eastAsia="Arial" w:hAnsi="Arial"/>
          <w:sz w:val="18"/>
          <w:szCs w:val="18"/>
          <w:color w:val="0A0A0A"/>
        </w:rPr>
        <w:t>See additional details in the tables below in the section titled “</w:t>
      </w:r>
      <w:r>
        <w:rPr>
          <w:rFonts w:ascii="Arial" w:cs="Arial" w:eastAsia="Arial" w:hAnsi="Arial"/>
          <w:sz w:val="18"/>
          <w:szCs w:val="18"/>
          <w:color w:val="000000"/>
        </w:rPr>
        <w:t>Non-GAAP financial measures”</w:t>
      </w:r>
      <w:r>
        <w:rPr>
          <w:rFonts w:ascii="Arial" w:cs="Arial" w:eastAsia="Arial" w:hAnsi="Arial"/>
          <w:sz w:val="18"/>
          <w:szCs w:val="18"/>
          <w:color w:val="0A0A0A"/>
        </w:rPr>
        <w:t xml:space="preserve"> </w:t>
      </w:r>
      <w:r>
        <w:rPr>
          <w:rFonts w:ascii="Arial" w:cs="Arial" w:eastAsia="Arial" w:hAnsi="Arial"/>
          <w:sz w:val="18"/>
          <w:szCs w:val="18"/>
          <w:color w:val="000000"/>
        </w:rPr>
        <w:t>Total system TRASM = total revenue – cargo revenue / system ASMs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Scheduled service TRASM = scheduled service revenue + ancillary revenue + other revenue / scheduled service ASMs</w:t>
      </w:r>
    </w:p>
    <w:p>
      <w:pPr>
        <w:spacing w:after="0" w:line="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A0A0A"/>
        </w:rPr>
        <w:t>Adjusted CASM is a non-GAAP measure derived from CASM by excluding fuel costs, Special Items, non-cash management stock compensation expense, costs arising from its cargo operations (began in 2020 when the Company launched cargo operations), certain commissions, and other costs of selling its vacations product from this measure. See table titled “</w:t>
      </w:r>
      <w:r>
        <w:rPr>
          <w:rFonts w:ascii="Arial" w:cs="Arial" w:eastAsia="Arial" w:hAnsi="Arial"/>
          <w:sz w:val="18"/>
          <w:szCs w:val="18"/>
          <w:color w:val="000000"/>
        </w:rPr>
        <w:t>Reconciliation of Adjusted</w:t>
      </w:r>
      <w:r>
        <w:rPr>
          <w:rFonts w:ascii="Arial" w:cs="Arial" w:eastAsia="Arial" w:hAnsi="Arial"/>
          <w:sz w:val="18"/>
          <w:szCs w:val="18"/>
          <w:color w:val="0A0A0A"/>
        </w:rPr>
        <w:t xml:space="preserve"> </w:t>
      </w:r>
      <w:r>
        <w:rPr>
          <w:rFonts w:ascii="Arial" w:cs="Arial" w:eastAsia="Arial" w:hAnsi="Arial"/>
          <w:sz w:val="18"/>
          <w:szCs w:val="18"/>
          <w:color w:val="000000"/>
        </w:rPr>
        <w:t>CASM to CASM”</w:t>
      </w:r>
    </w:p>
    <w:p>
      <w:pPr>
        <w:spacing w:after="0" w:line="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Net debt = current portion of long-term debt + long-term debt + finance lease obligations + operating lease obligations – cash and cash equivalents - Available-for-Sale Securities</w:t>
      </w:r>
    </w:p>
    <w:p>
      <w:pPr>
        <w:spacing w:after="0"/>
        <w:rPr>
          <w:sz w:val="20"/>
          <w:szCs w:val="20"/>
          <w:color w:val="auto"/>
        </w:rPr>
      </w:pPr>
      <w:r>
        <w:rPr>
          <w:rFonts w:ascii="Arial" w:cs="Arial" w:eastAsia="Arial" w:hAnsi="Arial"/>
          <w:sz w:val="18"/>
          <w:szCs w:val="18"/>
          <w:color w:val="auto"/>
        </w:rPr>
        <w:t>Total liquidity = cash and cash equivalents + available-for-sale securities + amount of undrawn revolver</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prior period amounts have been revised to correct an immaterial change related to the application of the Company’s accounting for its aircraft transactions, as reflected this in our in our Quarterly Report on Form 10-Q.</w:t>
      </w:r>
    </w:p>
    <w:p>
      <w:pPr>
        <w:spacing w:after="0" w:line="200" w:lineRule="exact"/>
        <w:rPr>
          <w:sz w:val="20"/>
          <w:szCs w:val="20"/>
          <w:color w:val="auto"/>
        </w:rPr>
      </w:pPr>
    </w:p>
    <w:p>
      <w:pPr>
        <w:sectPr>
          <w:pgSz w:w="11900" w:h="16838" w:orient="portrait"/>
          <w:cols w:equalWidth="0" w:num="2">
            <w:col w:w="240" w:space="240"/>
            <w:col w:w="10640"/>
          </w:cols>
          <w:pgMar w:left="320" w:top="1282" w:right="45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I</w:t>
      </w:r>
      <w:r>
        <w:rPr>
          <w:rFonts w:ascii="Arial" w:cs="Arial" w:eastAsia="Arial" w:hAnsi="Arial"/>
          <w:sz w:val="17"/>
          <w:szCs w:val="17"/>
          <w:b w:val="1"/>
          <w:bCs w:val="1"/>
          <w:color w:val="0A0A0A"/>
        </w:rPr>
        <w:t>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651-681-4810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A0A0A"/>
        </w:rPr>
        <w:t>Wendy Burt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651-900-8400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120"/>
          </w:cols>
          <w:pgMar w:left="320" w:top="1282"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0A0A0A"/>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182"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 and</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 on Form 10-Q, and Current Reports on Form 8-K.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1309"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20" w:type="dxa"/>
            <w:vAlign w:val="bottom"/>
            <w:gridSpan w:val="5"/>
          </w:tcPr>
          <w:p>
            <w:pPr>
              <w:ind w:left="480"/>
              <w:spacing w:after="0"/>
              <w:rPr>
                <w:sz w:val="20"/>
                <w:szCs w:val="20"/>
                <w:color w:val="auto"/>
              </w:rPr>
            </w:pPr>
            <w:r>
              <w:rPr>
                <w:rFonts w:ascii="Arial" w:cs="Arial" w:eastAsia="Arial" w:hAnsi="Arial"/>
                <w:sz w:val="14"/>
                <w:szCs w:val="14"/>
                <w:b w:val="1"/>
                <w:bCs w:val="1"/>
                <w:color w:val="0A0A0A"/>
              </w:rPr>
              <w:t>Three Months Ended June 30,</w:t>
            </w:r>
          </w:p>
        </w:tc>
        <w:tc>
          <w:tcPr>
            <w:tcW w:w="1880" w:type="dxa"/>
            <w:vAlign w:val="bottom"/>
          </w:tcPr>
          <w:p>
            <w:pPr>
              <w:spacing w:after="0"/>
              <w:rPr>
                <w:sz w:val="17"/>
                <w:szCs w:val="17"/>
                <w:color w:val="auto"/>
              </w:rPr>
            </w:pPr>
          </w:p>
        </w:tc>
      </w:tr>
      <w:tr>
        <w:trPr>
          <w:trHeight w:val="205"/>
        </w:trPr>
        <w:tc>
          <w:tcPr>
            <w:tcW w:w="5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2022</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1"/>
              <w:spacing w:after="0" w:line="205" w:lineRule="exact"/>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108,412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0A0A0A"/>
              </w:rPr>
              <w:t>67,073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61.6</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 Service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28,898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47.9</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29,159</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51.6</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125,130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56.1</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21,190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22,098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(4.1)</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2,515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1,961</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28.3</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219,067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149,189</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46.8</w:t>
            </w:r>
          </w:p>
        </w:tc>
      </w:tr>
      <w:tr>
        <w:trPr>
          <w:trHeight w:val="250"/>
        </w:trPr>
        <w:tc>
          <w:tcPr>
            <w:tcW w:w="5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29,709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159.0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60,298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42,316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3,815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11,300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5,822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14,208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18.6</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6,551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8,752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Special Items, net</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(39,819)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Operating,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16,746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Operating Expenses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99,400</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117.0</w:t>
            </w: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Operating Income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49,789</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(93.2)</w:t>
            </w:r>
          </w:p>
        </w:tc>
      </w:tr>
      <w:tr>
        <w:trPr>
          <w:trHeight w:val="196"/>
        </w:trPr>
        <w:tc>
          <w:tcPr>
            <w:tcW w:w="5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Income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Interest Expense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(6,080)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18,054</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tcPr>
          <w:p>
            <w:pPr>
              <w:ind w:left="300"/>
              <w:spacing w:after="0"/>
              <w:rPr>
                <w:sz w:val="20"/>
                <w:szCs w:val="20"/>
                <w:color w:val="auto"/>
              </w:rPr>
            </w:pPr>
            <w:r>
              <w:rPr>
                <w:rFonts w:ascii="Arial" w:cs="Arial" w:eastAsia="Arial" w:hAnsi="Arial"/>
                <w:sz w:val="18"/>
                <w:szCs w:val="18"/>
                <w:color w:val="0A0A0A"/>
              </w:rPr>
              <w:t>Total Non-operating Income (Expense), net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11,983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03"/>
        </w:trPr>
        <w:tc>
          <w:tcPr>
            <w:tcW w:w="53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Income (Loss) before Income Tax</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61,772</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r>
      <w:tr>
        <w:trPr>
          <w:trHeight w:val="22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Income (Benefit) Tax Expense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9,595</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23"/>
        </w:trPr>
        <w:tc>
          <w:tcPr>
            <w:tcW w:w="5360" w:type="dxa"/>
            <w:vAlign w:val="bottom"/>
          </w:tcPr>
          <w:p>
            <w:pPr>
              <w:ind w:left="80"/>
              <w:spacing w:after="0"/>
              <w:rPr>
                <w:sz w:val="20"/>
                <w:szCs w:val="20"/>
                <w:color w:val="auto"/>
              </w:rPr>
            </w:pPr>
            <w:r>
              <w:rPr>
                <w:rFonts w:ascii="Arial" w:cs="Arial" w:eastAsia="Arial" w:hAnsi="Arial"/>
                <w:sz w:val="18"/>
                <w:szCs w:val="18"/>
                <w:color w:val="0A0A0A"/>
              </w:rPr>
              <w:t>Net Income (Loss)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52,177</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3"/>
        </w:trPr>
        <w:tc>
          <w:tcPr>
            <w:tcW w:w="5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Net Income (Loss) per share to common stockholders: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0.91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0A0A0A"/>
              </w:rPr>
              <w:t>0.84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Shares used for computation:</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58,060,716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57,156,159</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58,060,716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61,982,441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20"/>
          </w:cols>
          <w:pgMar w:left="320" w:top="1336" w:right="359" w:bottom="1440" w:gutter="0" w:footer="0" w:header="0"/>
        </w:sectPr>
      </w:pPr>
    </w:p>
    <w:bookmarkStart w:id="9" w:name="page10"/>
    <w:bookmarkEnd w:id="9"/>
    <w:p>
      <w:pPr>
        <w:ind w:left="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098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20" w:type="dxa"/>
            <w:vAlign w:val="bottom"/>
            <w:gridSpan w:val="5"/>
          </w:tcPr>
          <w:p>
            <w:pPr>
              <w:ind w:left="560"/>
              <w:spacing w:after="0"/>
              <w:rPr>
                <w:sz w:val="20"/>
                <w:szCs w:val="20"/>
                <w:color w:val="auto"/>
              </w:rPr>
            </w:pPr>
            <w:r>
              <w:rPr>
                <w:rFonts w:ascii="Arial" w:cs="Arial" w:eastAsia="Arial" w:hAnsi="Arial"/>
                <w:sz w:val="14"/>
                <w:szCs w:val="14"/>
                <w:b w:val="1"/>
                <w:bCs w:val="1"/>
                <w:color w:val="0A0A0A"/>
              </w:rPr>
              <w:t>Six Months Ended June 30,</w:t>
            </w:r>
          </w:p>
        </w:tc>
        <w:tc>
          <w:tcPr>
            <w:tcW w:w="1880" w:type="dxa"/>
            <w:vAlign w:val="bottom"/>
          </w:tcPr>
          <w:p>
            <w:pPr>
              <w:spacing w:after="0"/>
              <w:rPr>
                <w:sz w:val="17"/>
                <w:szCs w:val="17"/>
                <w:color w:val="auto"/>
              </w:rPr>
            </w:pPr>
          </w:p>
        </w:tc>
      </w:tr>
      <w:tr>
        <w:trPr>
          <w:trHeight w:val="205"/>
        </w:trPr>
        <w:tc>
          <w:tcPr>
            <w:tcW w:w="5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2022</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1"/>
              <w:spacing w:after="0" w:line="205" w:lineRule="exact"/>
              <w:rPr>
                <w:sz w:val="20"/>
                <w:szCs w:val="20"/>
                <w:color w:val="auto"/>
              </w:rPr>
            </w:pPr>
            <w:r>
              <w:rPr>
                <w:rFonts w:ascii="Arial" w:cs="Arial" w:eastAsia="Arial" w:hAnsi="Arial"/>
                <w:sz w:val="14"/>
                <w:szCs w:val="14"/>
                <w:b w:val="1"/>
                <w:bCs w:val="1"/>
                <w:color w:val="0A0A0A"/>
              </w:rPr>
              <w:t>2021</w:t>
            </w:r>
            <w:r>
              <w:rPr>
                <w:rFonts w:ascii="Arial" w:cs="Arial" w:eastAsia="Arial" w:hAnsi="Arial"/>
                <w:sz w:val="18"/>
                <w:szCs w:val="18"/>
                <w:b w:val="1"/>
                <w:bCs w:val="1"/>
                <w:color w:val="0A0A0A"/>
                <w:vertAlign w:val="superscript"/>
              </w:rPr>
              <w:t>(7)</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232,479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0A0A0A"/>
              </w:rPr>
              <w:t>121,693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91.0</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 Service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54,703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38.3</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52,929</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68.7</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229,325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73.3</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42,243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43,684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(3.3)</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5,954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3,793</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57.0</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276,802</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61.0</w:t>
            </w:r>
          </w:p>
        </w:tc>
      </w:tr>
      <w:tr>
        <w:trPr>
          <w:trHeight w:val="250"/>
        </w:trPr>
        <w:tc>
          <w:tcPr>
            <w:tcW w:w="5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53,984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162.1</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119,915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86,392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9,414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24,777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20,510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10,932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32,182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26,823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20.0</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11,781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17,537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Special Items, net</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(72,355)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Operating,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31,397</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Operating Expenses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196,415</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114.0</w:t>
            </w: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Operating Income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80,387</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(68.7)</w:t>
            </w:r>
          </w:p>
        </w:tc>
      </w:tr>
      <w:tr>
        <w:trPr>
          <w:trHeight w:val="196"/>
        </w:trPr>
        <w:tc>
          <w:tcPr>
            <w:tcW w:w="5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Income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Interest Expense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(13,201)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18,049</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tcPr>
          <w:p>
            <w:pPr>
              <w:ind w:left="300"/>
              <w:spacing w:after="0"/>
              <w:rPr>
                <w:sz w:val="20"/>
                <w:szCs w:val="20"/>
                <w:color w:val="auto"/>
              </w:rPr>
            </w:pPr>
            <w:r>
              <w:rPr>
                <w:rFonts w:ascii="Arial" w:cs="Arial" w:eastAsia="Arial" w:hAnsi="Arial"/>
                <w:sz w:val="18"/>
                <w:szCs w:val="18"/>
                <w:color w:val="0A0A0A"/>
              </w:rPr>
              <w:t>Total Non-operating Income (Expense), net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4,872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03"/>
        </w:trPr>
        <w:tc>
          <w:tcPr>
            <w:tcW w:w="53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Income before Income Tax</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85,259</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r>
      <w:tr>
        <w:trPr>
          <w:trHeight w:val="22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Income Tax Expense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16,304</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23"/>
        </w:trPr>
        <w:tc>
          <w:tcPr>
            <w:tcW w:w="5360" w:type="dxa"/>
            <w:vAlign w:val="bottom"/>
          </w:tcPr>
          <w:p>
            <w:pPr>
              <w:ind w:left="80"/>
              <w:spacing w:after="0"/>
              <w:rPr>
                <w:sz w:val="20"/>
                <w:szCs w:val="20"/>
                <w:color w:val="auto"/>
              </w:rPr>
            </w:pPr>
            <w:r>
              <w:rPr>
                <w:rFonts w:ascii="Arial" w:cs="Arial" w:eastAsia="Arial" w:hAnsi="Arial"/>
                <w:sz w:val="18"/>
                <w:szCs w:val="18"/>
                <w:color w:val="0A0A0A"/>
              </w:rPr>
              <w:t>Net Income (Loss)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68,955</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3"/>
        </w:trPr>
        <w:tc>
          <w:tcPr>
            <w:tcW w:w="5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Net Income (Loss) per share to common stockholders: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1.30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0A0A0A"/>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0A0A0A"/>
              </w:rPr>
              <w:t>1.20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Shares used for computation:</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57,984,608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52,850,041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57,984,608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57,403,593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ectPr>
          <w:pgSz w:w="11900" w:h="16838" w:orient="portrait"/>
          <w:cols w:equalWidth="0" w:num="1">
            <w:col w:w="11220"/>
          </w:cols>
          <w:pgMar w:left="320" w:top="133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20"/>
          </w:cols>
          <w:pgMar w:left="320" w:top="1336" w:right="35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29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statistics and metrics for the three and six months ended June 30,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0" w:type="dxa"/>
            <w:vAlign w:val="bottom"/>
            <w:gridSpan w:val="3"/>
          </w:tcPr>
          <w:p>
            <w:pPr>
              <w:jc w:val="right"/>
              <w:ind w:right="1031"/>
              <w:spacing w:after="0"/>
              <w:rPr>
                <w:sz w:val="20"/>
                <w:szCs w:val="20"/>
                <w:color w:val="auto"/>
              </w:rPr>
            </w:pPr>
            <w:r>
              <w:rPr>
                <w:rFonts w:ascii="Arial" w:cs="Arial" w:eastAsia="Arial" w:hAnsi="Arial"/>
                <w:sz w:val="14"/>
                <w:szCs w:val="14"/>
                <w:b w:val="1"/>
                <w:bCs w:val="1"/>
                <w:color w:val="0A0A0A"/>
              </w:rPr>
              <w:t>Three Months Ended June 30,</w:t>
            </w:r>
          </w:p>
        </w:tc>
        <w:tc>
          <w:tcPr>
            <w:tcW w:w="1660" w:type="dxa"/>
            <w:vAlign w:val="bottom"/>
          </w:tcPr>
          <w:p>
            <w:pPr>
              <w:spacing w:after="0"/>
              <w:rPr>
                <w:sz w:val="17"/>
                <w:szCs w:val="17"/>
                <w:color w:val="auto"/>
              </w:rPr>
            </w:pPr>
          </w:p>
        </w:tc>
      </w:tr>
      <w:tr>
        <w:trPr>
          <w:trHeight w:val="205"/>
        </w:trPr>
        <w:tc>
          <w:tcPr>
            <w:tcW w:w="4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91"/>
              <w:spacing w:after="0" w:line="20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1,126,030</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919,034</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22.5</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1,343,116</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1,198,768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12.0</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83.8%</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76.7%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7.1</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884,088</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700,019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26.3</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5,674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4,921</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15.3</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18,205</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15,900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14.5</w:t>
            </w:r>
          </w:p>
        </w:tc>
      </w:tr>
      <w:tr>
        <w:trPr>
          <w:trHeight w:val="230"/>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11.55</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8.19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41.0</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95.81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28.0</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41.66</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20.0</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12,267</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15.7</w:t>
            </w:r>
          </w:p>
        </w:tc>
      </w:tr>
      <w:tr>
        <w:trPr>
          <w:trHeight w:val="270"/>
        </w:trPr>
        <w:tc>
          <w:tcPr>
            <w:tcW w:w="4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2,235</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1,727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29.4</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3,656</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25.1</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Available seats miles (ASMs) - thousands</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278,804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237,723</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17.3</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2,622</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24.8</w:t>
            </w:r>
          </w:p>
        </w:tc>
      </w:tr>
      <w:tr>
        <w:trPr>
          <w:trHeight w:val="270"/>
        </w:trPr>
        <w:tc>
          <w:tcPr>
            <w:tcW w:w="4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Cargo Statistics: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2,693</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2,752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(2.1)</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8,198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w:t>
            </w:r>
          </w:p>
        </w:tc>
      </w:tr>
      <w:tr>
        <w:trPr>
          <w:trHeight w:val="270"/>
        </w:trPr>
        <w:tc>
          <w:tcPr>
            <w:tcW w:w="4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Average passenger aircraft</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34.5</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31.0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11.3</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Passenger aircraft – end of period</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24.2</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Cargo aircraft – end of period</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1,632,501</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1,442,744</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13.2</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10,687</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9,445</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13.1</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30,755</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27,874</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10.3</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7.0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5.7</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1,179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w:t>
            </w:r>
          </w:p>
        </w:tc>
      </w:tr>
      <w:tr>
        <w:trPr>
          <w:trHeight w:val="229"/>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Total revenue per ASM (TRASM)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8.81</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37.6</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6.89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91.7</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Adjusted CASM - cents</w:t>
            </w:r>
          </w:p>
        </w:tc>
        <w:tc>
          <w:tcPr>
            <w:tcW w:w="1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6.40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11.6</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17,568</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14,955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17.5</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Fuel cost per gallon, excluding derivatives</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2.07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112.1</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1,815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25.7</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 Scheduled service TRASM = scheduled service revenue + ancillary revenue + other revenue / scheduled service ASMs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Total system TRASM = total revenue – cargo revenue / system ASMs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100"/>
          </w:cols>
          <w:pgMar w:left="320" w:top="1106" w:right="47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03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0" w:type="dxa"/>
            <w:vAlign w:val="bottom"/>
            <w:gridSpan w:val="3"/>
          </w:tcPr>
          <w:p>
            <w:pPr>
              <w:jc w:val="right"/>
              <w:ind w:right="1131"/>
              <w:spacing w:after="0"/>
              <w:rPr>
                <w:sz w:val="20"/>
                <w:szCs w:val="20"/>
                <w:color w:val="auto"/>
              </w:rPr>
            </w:pPr>
            <w:r>
              <w:rPr>
                <w:rFonts w:ascii="Arial" w:cs="Arial" w:eastAsia="Arial" w:hAnsi="Arial"/>
                <w:sz w:val="14"/>
                <w:szCs w:val="14"/>
                <w:b w:val="1"/>
                <w:bCs w:val="1"/>
                <w:color w:val="0A0A0A"/>
              </w:rPr>
              <w:t>Six Months Ended June 30,</w:t>
            </w:r>
          </w:p>
        </w:tc>
        <w:tc>
          <w:tcPr>
            <w:tcW w:w="1660" w:type="dxa"/>
            <w:vAlign w:val="bottom"/>
          </w:tcPr>
          <w:p>
            <w:pPr>
              <w:spacing w:after="0"/>
              <w:rPr>
                <w:sz w:val="17"/>
                <w:szCs w:val="17"/>
                <w:color w:val="auto"/>
              </w:rPr>
            </w:pPr>
          </w:p>
        </w:tc>
      </w:tr>
      <w:tr>
        <w:trPr>
          <w:trHeight w:val="205"/>
        </w:trPr>
        <w:tc>
          <w:tcPr>
            <w:tcW w:w="4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91"/>
              <w:spacing w:after="0" w:line="20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Scheduled Service Statistics: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Revenue passenger miles (RPMs) – thousands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2,464,490</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1,694,033</w:t>
            </w:r>
          </w:p>
        </w:tc>
        <w:tc>
          <w:tcPr>
            <w:tcW w:w="166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3,027,648</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2,356,780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Load factor</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71.9%</w:t>
            </w:r>
          </w:p>
        </w:tc>
        <w:tc>
          <w:tcPr>
            <w:tcW w:w="16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passengers carried</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1,806,740</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1,253,051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11,901</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9,244</w:t>
            </w:r>
          </w:p>
        </w:tc>
        <w:tc>
          <w:tcPr>
            <w:tcW w:w="16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40,638</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31,107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4660" w:type="dxa"/>
            <w:vAlign w:val="bottom"/>
          </w:tcPr>
          <w:p>
            <w:pPr>
              <w:ind w:left="14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7.57</w:t>
            </w:r>
          </w:p>
        </w:tc>
        <w:tc>
          <w:tcPr>
            <w:tcW w:w="16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base fare per passenger</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97.12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Ancillary revenue per passenger</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49.42</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42.24</w:t>
            </w:r>
          </w:p>
        </w:tc>
        <w:tc>
          <w:tcPr>
            <w:tcW w:w="16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31,587</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23,824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70"/>
        </w:trPr>
        <w:tc>
          <w:tcPr>
            <w:tcW w:w="4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3,855</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3,238</w:t>
            </w:r>
          </w:p>
        </w:tc>
        <w:tc>
          <w:tcPr>
            <w:tcW w:w="16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6,987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Available seats miles (ASMs) - thousands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514,509</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449,444</w:t>
            </w:r>
          </w:p>
        </w:tc>
        <w:tc>
          <w:tcPr>
            <w:tcW w:w="16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4,979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4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Cargo Statistics: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5,267</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5,317</w:t>
            </w:r>
          </w:p>
        </w:tc>
        <w:tc>
          <w:tcPr>
            <w:tcW w:w="16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16,440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4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Average passenger aircraft</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34.3</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31.0</w:t>
            </w:r>
          </w:p>
        </w:tc>
        <w:tc>
          <w:tcPr>
            <w:tcW w:w="16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Passenger aircraft – end of period</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Cargo aircraft – end of period</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3,560,651</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2,819,540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21,174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17,897</w:t>
            </w:r>
          </w:p>
        </w:tc>
        <w:tc>
          <w:tcPr>
            <w:tcW w:w="16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64,560</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54,806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6.8</w:t>
            </w:r>
          </w:p>
        </w:tc>
        <w:tc>
          <w:tcPr>
            <w:tcW w:w="16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1,225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4660" w:type="dxa"/>
            <w:vAlign w:val="bottom"/>
          </w:tcPr>
          <w:p>
            <w:pPr>
              <w:ind w:left="80"/>
              <w:spacing w:after="0" w:line="230" w:lineRule="exact"/>
              <w:rPr>
                <w:sz w:val="20"/>
                <w:szCs w:val="20"/>
                <w:color w:val="auto"/>
              </w:rPr>
            </w:pPr>
            <w:r>
              <w:rPr>
                <w:rFonts w:ascii="Arial" w:cs="Arial" w:eastAsia="Arial" w:hAnsi="Arial"/>
                <w:sz w:val="18"/>
                <w:szCs w:val="18"/>
                <w:color w:val="auto"/>
              </w:rPr>
              <w:t>Total revenue per ASM (TRASM)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11.33</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8.27</w:t>
            </w:r>
          </w:p>
        </w:tc>
        <w:tc>
          <w:tcPr>
            <w:tcW w:w="166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6.97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Adjusted CASM - cents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6.64</w:t>
            </w:r>
          </w:p>
        </w:tc>
        <w:tc>
          <w:tcPr>
            <w:tcW w:w="480" w:type="dxa"/>
            <w:vAlign w:val="bottom"/>
          </w:tcPr>
          <w:p>
            <w:pPr>
              <w:spacing w:after="0"/>
              <w:rPr>
                <w:sz w:val="19"/>
                <w:szCs w:val="19"/>
                <w:color w:val="auto"/>
              </w:rPr>
            </w:pP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6.28</w:t>
            </w: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37,813</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28,948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Fuel cost per gallon, excluding derivatives</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3.76</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1.99</w:t>
            </w:r>
          </w:p>
        </w:tc>
        <w:tc>
          <w:tcPr>
            <w:tcW w:w="166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1,815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 Scheduled service TRASM = scheduled service revenue + ancillary revenue + other revenue / scheduled service ASMs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Total system TRASM = total revenue – cargo revenue / system ASMs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100"/>
          </w:cols>
          <w:pgMar w:left="320" w:top="1106" w:right="479" w:bottom="1440" w:gutter="0" w:footer="0" w:header="0"/>
        </w:sectPr>
      </w:pPr>
    </w:p>
    <w:bookmarkStart w:id="12" w:name="page13"/>
    <w:bookmarkEnd w:id="12"/>
    <w:p>
      <w:pPr>
        <w:ind w:left="80"/>
        <w:spacing w:after="0"/>
        <w:rPr>
          <w:sz w:val="20"/>
          <w:szCs w:val="20"/>
          <w:color w:val="auto"/>
        </w:rPr>
      </w:pPr>
      <w:r>
        <w:rPr>
          <w:rFonts w:ascii="Arial" w:cs="Arial" w:eastAsia="Arial" w:hAnsi="Arial"/>
          <w:sz w:val="18"/>
          <w:szCs w:val="18"/>
          <w:b w:val="1"/>
          <w:bCs w:val="1"/>
          <w:color w:val="auto"/>
        </w:rPr>
        <w:t>SUMMARY BALANCE SHEET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millions)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r>
              <w:rPr>
                <w:rFonts w:ascii="Arial" w:cs="Arial" w:eastAsia="Arial" w:hAnsi="Arial"/>
                <w:sz w:val="18"/>
                <w:szCs w:val="18"/>
                <w:b w:val="1"/>
                <w:bCs w:val="1"/>
                <w:color w:val="auto"/>
                <w:vertAlign w:val="superscript"/>
              </w:rPr>
              <w:t>(7)</w:t>
            </w:r>
          </w:p>
        </w:tc>
        <w:tc>
          <w:tcPr>
            <w:tcW w:w="1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15"/>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7"/>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&amp;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Current Assets</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r>
      <w:tr>
        <w:trPr>
          <w:trHeight w:val="223"/>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Current Assets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5160" w:type="dxa"/>
            <w:vAlign w:val="bottom"/>
          </w:tcPr>
          <w:p>
            <w:pPr>
              <w:ind w:left="80"/>
              <w:spacing w:after="0"/>
              <w:rPr>
                <w:sz w:val="20"/>
                <w:szCs w:val="20"/>
                <w:color w:val="auto"/>
              </w:rPr>
            </w:pPr>
            <w:r>
              <w:rPr>
                <w:rFonts w:ascii="Arial" w:cs="Arial" w:eastAsia="Arial" w:hAnsi="Arial"/>
                <w:sz w:val="18"/>
                <w:szCs w:val="18"/>
                <w:color w:val="0A0A0A"/>
              </w:rPr>
              <w:t>Total Property &amp; Equipment, net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578.5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5160" w:type="dxa"/>
            <w:vAlign w:val="bottom"/>
          </w:tcPr>
          <w:p>
            <w:pPr>
              <w:ind w:left="160"/>
              <w:spacing w:after="0"/>
              <w:rPr>
                <w:sz w:val="20"/>
                <w:szCs w:val="20"/>
                <w:color w:val="auto"/>
              </w:rPr>
            </w:pPr>
            <w:r>
              <w:rPr>
                <w:rFonts w:ascii="Arial" w:cs="Arial" w:eastAsia="Arial" w:hAnsi="Arial"/>
                <w:sz w:val="18"/>
                <w:szCs w:val="18"/>
                <w:b w:val="1"/>
                <w:bCs w:val="1"/>
                <w:color w:val="0A0A0A"/>
              </w:rPr>
              <w:t>Total Assets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1,380.4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5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0"/>
        </w:trPr>
        <w:tc>
          <w:tcPr>
            <w:tcW w:w="5160" w:type="dxa"/>
            <w:vAlign w:val="bottom"/>
          </w:tcPr>
          <w:p>
            <w:pPr>
              <w:ind w:left="80"/>
              <w:spacing w:after="0"/>
              <w:rPr>
                <w:sz w:val="20"/>
                <w:szCs w:val="20"/>
                <w:color w:val="auto"/>
              </w:rPr>
            </w:pPr>
            <w:r>
              <w:rPr>
                <w:rFonts w:ascii="Arial" w:cs="Arial" w:eastAsia="Arial" w:hAnsi="Arial"/>
                <w:sz w:val="18"/>
                <w:szCs w:val="18"/>
                <w:color w:val="0A0A0A"/>
              </w:rPr>
              <w:t>Air Traffic Liabilities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Finance Lease Obligations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5160" w:type="dxa"/>
            <w:vAlign w:val="bottom"/>
          </w:tcPr>
          <w:p>
            <w:pPr>
              <w:ind w:left="80"/>
              <w:spacing w:after="0"/>
              <w:rPr>
                <w:sz w:val="20"/>
                <w:szCs w:val="20"/>
                <w:color w:val="auto"/>
              </w:rPr>
            </w:pPr>
            <w:r>
              <w:rPr>
                <w:rFonts w:ascii="Arial" w:cs="Arial" w:eastAsia="Arial" w:hAnsi="Arial"/>
                <w:sz w:val="18"/>
                <w:szCs w:val="18"/>
                <w:color w:val="0A0A0A"/>
              </w:rPr>
              <w:t>Current Operating Lease Obligations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29"/>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Maturities of Long-Term Debt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Current Liabilities</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0A0A0A"/>
              </w:rPr>
              <w:t>Total Current Liabilities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5160" w:type="dxa"/>
            <w:vAlign w:val="bottom"/>
          </w:tcPr>
          <w:p>
            <w:pPr>
              <w:ind w:left="80"/>
              <w:spacing w:after="0"/>
              <w:rPr>
                <w:sz w:val="20"/>
                <w:szCs w:val="20"/>
                <w:color w:val="auto"/>
              </w:rPr>
            </w:pPr>
            <w:r>
              <w:rPr>
                <w:rFonts w:ascii="Arial" w:cs="Arial" w:eastAsia="Arial" w:hAnsi="Arial"/>
                <w:sz w:val="18"/>
                <w:szCs w:val="18"/>
                <w:color w:val="0A0A0A"/>
              </w:rPr>
              <w:t>Finance Lease Obligations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Lease Obligations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29"/>
        </w:trPr>
        <w:tc>
          <w:tcPr>
            <w:tcW w:w="5160" w:type="dxa"/>
            <w:vAlign w:val="bottom"/>
          </w:tcPr>
          <w:p>
            <w:pPr>
              <w:ind w:left="80"/>
              <w:spacing w:after="0"/>
              <w:rPr>
                <w:sz w:val="20"/>
                <w:szCs w:val="20"/>
                <w:color w:val="auto"/>
              </w:rPr>
            </w:pPr>
            <w:r>
              <w:rPr>
                <w:rFonts w:ascii="Arial" w:cs="Arial" w:eastAsia="Arial" w:hAnsi="Arial"/>
                <w:sz w:val="18"/>
                <w:szCs w:val="18"/>
                <w:color w:val="0A0A0A"/>
              </w:rPr>
              <w:t>Long-Term Debt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r>
      <w:tr>
        <w:trPr>
          <w:trHeight w:val="223"/>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0A0A0A"/>
              </w:rPr>
              <w:t>Total Liabilities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29"/>
        </w:trPr>
        <w:tc>
          <w:tcPr>
            <w:tcW w:w="51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Total Stockholders Equity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160"/>
          </w:cols>
          <w:pgMar w:left="320" w:top="1336" w:right="41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SUMMARY CASH FLOW</w:t>
      </w:r>
    </w:p>
    <w:p>
      <w:pPr>
        <w:ind w:left="20"/>
        <w:spacing w:after="0"/>
        <w:rPr>
          <w:sz w:val="20"/>
          <w:szCs w:val="20"/>
          <w:color w:val="auto"/>
        </w:rPr>
      </w:pPr>
      <w:r>
        <w:rPr>
          <w:rFonts w:ascii="Arial" w:cs="Arial" w:eastAsia="Arial" w:hAnsi="Arial"/>
          <w:sz w:val="18"/>
          <w:szCs w:val="18"/>
          <w:b w:val="1"/>
          <w:bCs w:val="1"/>
          <w:color w:val="auto"/>
        </w:rPr>
        <w:t>(Dollars in millions)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234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322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4"/>
        </w:trPr>
        <w:tc>
          <w:tcPr>
            <w:tcW w:w="5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 Change</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Net cash provided by operating activities</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50"/>
        </w:trPr>
        <w:tc>
          <w:tcPr>
            <w:tcW w:w="5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Purchases of property &amp; equipment</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30"/>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Net cash used in investing activities</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r>
      <w:tr>
        <w:trPr>
          <w:trHeight w:val="250"/>
        </w:trPr>
        <w:tc>
          <w:tcPr>
            <w:tcW w:w="5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received from stock offering</w:t>
            </w:r>
          </w:p>
        </w:tc>
        <w:tc>
          <w:tcPr>
            <w:tcW w:w="1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Proceeds from borrowing</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Repayment of finance lease obligations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Repayment of borrowings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0A0A0A"/>
              </w:rPr>
              <w:t>Net cash provided by financing activities</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14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r>
      <w:tr>
        <w:trPr>
          <w:trHeight w:val="250"/>
        </w:trPr>
        <w:tc>
          <w:tcPr>
            <w:tcW w:w="5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Net Increase (Decrease) in cash</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245.1</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(141.1)</w:t>
            </w:r>
          </w:p>
        </w:tc>
      </w:tr>
      <w:tr>
        <w:trPr>
          <w:trHeight w:val="176"/>
        </w:trPr>
        <w:tc>
          <w:tcPr>
            <w:tcW w:w="53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0A0A0A"/>
              </w:rPr>
              <w:t>Cash, Cash Equivalents and Restricted Cash – Beginning of the</w:t>
            </w:r>
          </w:p>
        </w:tc>
        <w:tc>
          <w:tcPr>
            <w:tcW w:w="1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317.8</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351.6</w:t>
            </w:r>
          </w:p>
        </w:tc>
      </w:tr>
      <w:tr>
        <w:trPr>
          <w:trHeight w:val="24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Period</w:t>
            </w:r>
          </w:p>
        </w:tc>
        <w:tc>
          <w:tcPr>
            <w:tcW w:w="1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spacing w:after="0"/>
              <w:rPr>
                <w:sz w:val="21"/>
                <w:szCs w:val="21"/>
                <w:color w:val="auto"/>
              </w:rPr>
            </w:pPr>
          </w:p>
        </w:tc>
      </w:tr>
      <w:tr>
        <w:trPr>
          <w:trHeight w:val="223"/>
        </w:trPr>
        <w:tc>
          <w:tcPr>
            <w:tcW w:w="5360" w:type="dxa"/>
            <w:vAlign w:val="bottom"/>
          </w:tcPr>
          <w:p>
            <w:pPr>
              <w:ind w:left="80"/>
              <w:spacing w:after="0"/>
              <w:rPr>
                <w:sz w:val="20"/>
                <w:szCs w:val="20"/>
                <w:color w:val="auto"/>
              </w:rPr>
            </w:pPr>
            <w:r>
              <w:rPr>
                <w:rFonts w:ascii="Arial" w:cs="Arial" w:eastAsia="Arial" w:hAnsi="Arial"/>
                <w:sz w:val="18"/>
                <w:szCs w:val="18"/>
                <w:color w:val="0A0A0A"/>
              </w:rPr>
              <w:t>Cash, Cash Equivalents and Restricted Cash – End of the Period</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5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220"/>
          </w:cols>
          <w:pgMar w:left="320" w:top="1376" w:right="359" w:bottom="1440" w:gutter="0" w:footer="0" w:header="0"/>
        </w:sectPr>
      </w:pPr>
    </w:p>
    <w:bookmarkStart w:id="14" w:name="page15"/>
    <w:bookmarkEnd w:id="14"/>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Calculation of Special Items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lists the items that are included as Special Items, net.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3880" w:type="dxa"/>
            <w:vAlign w:val="bottom"/>
            <w:gridSpan w:val="4"/>
          </w:tcPr>
          <w:p>
            <w:pPr>
              <w:jc w:val="center"/>
              <w:ind w:left="638"/>
              <w:spacing w:after="0"/>
              <w:rPr>
                <w:sz w:val="20"/>
                <w:szCs w:val="20"/>
                <w:color w:val="auto"/>
              </w:rPr>
            </w:pPr>
            <w:r>
              <w:rPr>
                <w:rFonts w:ascii="Arial" w:cs="Arial" w:eastAsia="Arial" w:hAnsi="Arial"/>
                <w:sz w:val="14"/>
                <w:szCs w:val="14"/>
                <w:b w:val="1"/>
                <w:bCs w:val="1"/>
                <w:color w:val="auto"/>
              </w:rPr>
              <w:t>Three Months Ended June 30,</w:t>
            </w:r>
          </w:p>
        </w:tc>
        <w:tc>
          <w:tcPr>
            <w:tcW w:w="700" w:type="dxa"/>
            <w:vAlign w:val="bottom"/>
          </w:tcPr>
          <w:p>
            <w:pPr>
              <w:spacing w:after="0"/>
              <w:rPr>
                <w:sz w:val="17"/>
                <w:szCs w:val="17"/>
                <w:color w:val="auto"/>
              </w:rPr>
            </w:pPr>
          </w:p>
        </w:tc>
      </w:tr>
      <w:tr>
        <w:trPr>
          <w:trHeight w:val="204"/>
        </w:trPr>
        <w:tc>
          <w:tcPr>
            <w:tcW w:w="66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6"/>
              <w:spacing w:after="0" w:line="20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700" w:type="dxa"/>
            <w:vAlign w:val="bottom"/>
            <w:tcBorders>
              <w:bottom w:val="single" w:sz="8" w:color="auto"/>
            </w:tcBorders>
          </w:tcPr>
          <w:p>
            <w:pPr>
              <w:spacing w:after="0"/>
              <w:rPr>
                <w:sz w:val="17"/>
                <w:szCs w:val="17"/>
                <w:color w:val="auto"/>
              </w:rPr>
            </w:pPr>
          </w:p>
        </w:tc>
      </w:tr>
      <w:tr>
        <w:trPr>
          <w:trHeight w:val="26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CARES Act employee grant recognition </w:t>
            </w:r>
            <w:r>
              <w:rPr>
                <w:rFonts w:ascii="Arial" w:cs="Arial" w:eastAsia="Arial" w:hAnsi="Arial"/>
                <w:sz w:val="23"/>
                <w:szCs w:val="23"/>
                <w:color w:val="auto"/>
                <w:vertAlign w:val="superscript"/>
              </w:rPr>
              <w:t>(1)</w:t>
            </w:r>
          </w:p>
        </w:tc>
        <w:tc>
          <w:tcPr>
            <w:tcW w:w="1320" w:type="dxa"/>
            <w:vAlign w:val="bottom"/>
            <w:shd w:val="clear" w:color="auto" w:fill="CCEEFF"/>
          </w:tcPr>
          <w:p>
            <w:pPr>
              <w:jc w:val="right"/>
              <w:ind w:right="1118"/>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6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CARES Act employee retention credit </w:t>
            </w:r>
            <w:r>
              <w:rPr>
                <w:rFonts w:ascii="Arial" w:cs="Arial" w:eastAsia="Arial" w:hAnsi="Arial"/>
                <w:sz w:val="23"/>
                <w:szCs w:val="23"/>
                <w:color w:val="auto"/>
                <w:vertAlign w:val="superscript"/>
              </w:rPr>
              <w:t>(2)</w:t>
            </w:r>
          </w:p>
        </w:tc>
        <w:tc>
          <w:tcPr>
            <w:tcW w:w="13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Special Items, net</w:t>
            </w:r>
          </w:p>
        </w:tc>
        <w:tc>
          <w:tcPr>
            <w:tcW w:w="1320" w:type="dxa"/>
            <w:vAlign w:val="bottom"/>
            <w:tcBorders>
              <w:top w:val="single" w:sz="8" w:color="auto"/>
              <w:bottom w:val="single" w:sz="8" w:color="auto"/>
            </w:tcBorders>
            <w:shd w:val="clear" w:color="auto" w:fill="CCEEFF"/>
          </w:tcPr>
          <w:p>
            <w:pPr>
              <w:jc w:val="right"/>
              <w:ind w:right="111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512"/>
        </w:trPr>
        <w:tc>
          <w:tcPr>
            <w:tcW w:w="6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gridSpan w:val="3"/>
          </w:tcPr>
          <w:p>
            <w:pPr>
              <w:jc w:val="center"/>
              <w:ind w:right="536"/>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Pr>
          <w:p>
            <w:pPr>
              <w:spacing w:after="0"/>
              <w:rPr>
                <w:sz w:val="24"/>
                <w:szCs w:val="24"/>
                <w:color w:val="auto"/>
              </w:rPr>
            </w:pPr>
          </w:p>
        </w:tc>
      </w:tr>
      <w:tr>
        <w:trPr>
          <w:trHeight w:val="205"/>
        </w:trPr>
        <w:tc>
          <w:tcPr>
            <w:tcW w:w="66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6"/>
              <w:spacing w:after="0" w:line="20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700" w:type="dxa"/>
            <w:vAlign w:val="bottom"/>
            <w:tcBorders>
              <w:bottom w:val="single" w:sz="8" w:color="auto"/>
            </w:tcBorders>
          </w:tcPr>
          <w:p>
            <w:pPr>
              <w:spacing w:after="0"/>
              <w:rPr>
                <w:sz w:val="17"/>
                <w:szCs w:val="17"/>
                <w:color w:val="auto"/>
              </w:rPr>
            </w:pPr>
          </w:p>
        </w:tc>
      </w:tr>
      <w:tr>
        <w:trPr>
          <w:trHeight w:val="26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CARES Act employee grant recognition </w:t>
            </w:r>
            <w:r>
              <w:rPr>
                <w:rFonts w:ascii="Arial" w:cs="Arial" w:eastAsia="Arial" w:hAnsi="Arial"/>
                <w:sz w:val="23"/>
                <w:szCs w:val="23"/>
                <w:color w:val="auto"/>
                <w:vertAlign w:val="superscript"/>
              </w:rPr>
              <w:t>(3)</w:t>
            </w:r>
          </w:p>
        </w:tc>
        <w:tc>
          <w:tcPr>
            <w:tcW w:w="1320" w:type="dxa"/>
            <w:vAlign w:val="bottom"/>
            <w:shd w:val="clear" w:color="auto" w:fill="CCEEFF"/>
          </w:tcPr>
          <w:p>
            <w:pPr>
              <w:jc w:val="right"/>
              <w:ind w:right="1118"/>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30"/>
        </w:trPr>
        <w:tc>
          <w:tcPr>
            <w:tcW w:w="6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CARES Act employee retention credit </w:t>
            </w:r>
            <w:r>
              <w:rPr>
                <w:rFonts w:ascii="Arial" w:cs="Arial" w:eastAsia="Arial" w:hAnsi="Arial"/>
                <w:sz w:val="23"/>
                <w:szCs w:val="23"/>
                <w:color w:val="auto"/>
                <w:vertAlign w:val="superscript"/>
              </w:rPr>
              <w:t>(2)</w:t>
            </w:r>
          </w:p>
        </w:tc>
        <w:tc>
          <w:tcPr>
            <w:tcW w:w="13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48"/>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Special Items, net</w:t>
            </w:r>
          </w:p>
        </w:tc>
        <w:tc>
          <w:tcPr>
            <w:tcW w:w="1320" w:type="dxa"/>
            <w:vAlign w:val="bottom"/>
            <w:tcBorders>
              <w:top w:val="single" w:sz="8" w:color="auto"/>
              <w:bottom w:val="single" w:sz="8" w:color="auto"/>
            </w:tcBorders>
            <w:shd w:val="clear" w:color="auto" w:fill="CCEEFF"/>
          </w:tcPr>
          <w:p>
            <w:pPr>
              <w:jc w:val="right"/>
              <w:ind w:right="111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440" w:right="80" w:hanging="414"/>
        <w:spacing w:after="0" w:line="285" w:lineRule="auto"/>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the quarter ended June 30, 2021, the United States Department of the Treasury awarded the Company a grant of $39.4 under the Payroll Support Program (“PSP2”) under the Consolidated Appropriations Act, 2021</w:t>
      </w:r>
    </w:p>
    <w:p>
      <w:pPr>
        <w:ind w:left="440" w:hanging="414"/>
        <w:spacing w:after="0" w:line="194" w:lineRule="auto"/>
        <w:tabs>
          <w:tab w:leader="none" w:pos="44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Relates to a credit recognized under the CARES Act Employee Retention credit which is a refundable tax credit against certain employee taxes</w:t>
      </w:r>
    </w:p>
    <w:p>
      <w:pPr>
        <w:spacing w:after="0" w:line="40" w:lineRule="exact"/>
        <w:rPr>
          <w:rFonts w:ascii="Arial" w:cs="Arial" w:eastAsia="Arial" w:hAnsi="Arial"/>
          <w:sz w:val="29"/>
          <w:szCs w:val="29"/>
          <w:color w:val="auto"/>
          <w:vertAlign w:val="superscript"/>
        </w:rPr>
      </w:pPr>
    </w:p>
    <w:p>
      <w:pPr>
        <w:ind w:left="440" w:right="80" w:hanging="414"/>
        <w:spacing w:after="0" w:line="264" w:lineRule="auto"/>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the first half of 2021, the United States Department of the Treasury awarded the Company a grant of $71.6 under the Payroll Support Program (“PSP2”) under the Consolidated Appropriations Act,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00"/>
          </w:cols>
          <w:pgMar w:left="320" w:top="1440"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Adjusted Operating Income, Adjusted Operating Income Margin, Adjusted Income (Loss) Before Income Tax, Adjusted Pre-tax Margin, Adjusted Net Income (Loss), Adjusted EBITDA and Adjusted EBITDA Margin</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Operating Income, Adjusted Operating Income Margin, Adjusted Income (Loss) Before Income Tax, Adjusted Pre-tax Margin, Adjusted Net Income (Loss), Adjusted Net Income (Loss) per share, Adjusted EBITDA and Adjusted EBITDA Margin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and facilitate comparisons among current, past and future periods. We believe that while items excluded from Adjusted EBITDA and Adjusted EBITDA Margin may be recurring in nature and should not be disregarded in evaluation of our earnings performance, Adjusted EBITDA and Adjusted EBITDA Margin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presented non-GAAP measures have limitations as analytic tools, such as: these measures do not reflect the impact of certain cash charges resulting from matters we consider not to be indicative of our ongoing operations and other companies in our industry may calculate these measures differently than we do, limiting each measure’s usefulness as a comparative measure. Because of these limitations, these non-GAAP measures should not be considered in isolation or as a substitute for performance measures calculated in accordance with GAAP. Accordingly, you are cautioned not to place undue reliance on this information. We encourage investors to review our financial statements and other filings with the Securities and Exchange Commission in their entirety and not to rely on any single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40"/>
          </w:cols>
          <w:pgMar w:left="320" w:top="1282" w:right="339" w:bottom="1440" w:gutter="0" w:footer="0" w:header="0"/>
        </w:sectPr>
      </w:pPr>
    </w:p>
    <w:bookmarkStart w:id="16" w:name="page17"/>
    <w:bookmarkEnd w:id="16"/>
    <w:p>
      <w:pPr>
        <w:ind w:left="20" w:right="4480"/>
        <w:spacing w:after="0" w:line="343" w:lineRule="auto"/>
        <w:rPr>
          <w:sz w:val="20"/>
          <w:szCs w:val="20"/>
          <w:color w:val="auto"/>
        </w:rPr>
      </w:pPr>
      <w:r>
        <w:rPr>
          <w:rFonts w:ascii="Arial" w:cs="Arial" w:eastAsia="Arial" w:hAnsi="Arial"/>
          <w:sz w:val="18"/>
          <w:szCs w:val="18"/>
          <w:b w:val="1"/>
          <w:bCs w:val="1"/>
          <w:color w:val="auto"/>
        </w:rPr>
        <w:t>Reconciliation of GAAP Operating Income to Adjusted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operating income to adjusted operating income.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Three Months Ended June 30,</w:t>
            </w:r>
          </w:p>
        </w:tc>
        <w:tc>
          <w:tcPr>
            <w:tcW w:w="820" w:type="dxa"/>
            <w:vAlign w:val="bottom"/>
          </w:tcPr>
          <w:p>
            <w:pPr>
              <w:spacing w:after="0"/>
              <w:rPr>
                <w:sz w:val="17"/>
                <w:szCs w:val="17"/>
                <w:color w:val="auto"/>
              </w:rPr>
            </w:pPr>
          </w:p>
        </w:tc>
      </w:tr>
      <w:tr>
        <w:trPr>
          <w:trHeight w:val="205"/>
        </w:trPr>
        <w:tc>
          <w:tcPr>
            <w:tcW w:w="6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6"/>
              <w:spacing w:after="0" w:line="20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20" w:type="dxa"/>
            <w:vAlign w:val="bottom"/>
            <w:tcBorders>
              <w:bottom w:val="single" w:sz="8" w:color="auto"/>
            </w:tcBorders>
          </w:tcPr>
          <w:p>
            <w:pPr>
              <w:spacing w:after="0"/>
              <w:rPr>
                <w:sz w:val="17"/>
                <w:szCs w:val="17"/>
                <w:color w:val="auto"/>
              </w:rPr>
            </w:pP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34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149.2</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34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49.8</w:t>
            </w:r>
          </w:p>
        </w:tc>
      </w:tr>
      <w:tr>
        <w:trPr>
          <w:trHeight w:val="27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3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(39.8)</w:t>
            </w: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Stock compensation expense</w:t>
            </w:r>
          </w:p>
        </w:tc>
        <w:tc>
          <w:tcPr>
            <w:tcW w:w="134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0.7</w:t>
            </w:r>
          </w:p>
        </w:tc>
      </w:tr>
      <w:tr>
        <w:trPr>
          <w:trHeight w:val="27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13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23"/>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Adjusted Operating Income</w:t>
            </w:r>
          </w:p>
        </w:tc>
        <w:tc>
          <w:tcPr>
            <w:tcW w:w="1340" w:type="dxa"/>
            <w:vAlign w:val="bottom"/>
            <w:tcBorders>
              <w:top w:val="single" w:sz="8" w:color="auto"/>
              <w:bottom w:val="single" w:sz="8" w:color="auto"/>
            </w:tcBorders>
          </w:tcPr>
          <w:p>
            <w:pPr>
              <w:jc w:val="right"/>
              <w:ind w:right="113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10.8</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33.4 %</w:t>
            </w: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619"/>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Six Months Ended June 30,</w:t>
            </w:r>
          </w:p>
        </w:tc>
        <w:tc>
          <w:tcPr>
            <w:tcW w:w="820" w:type="dxa"/>
            <w:vAlign w:val="bottom"/>
          </w:tcPr>
          <w:p>
            <w:pPr>
              <w:spacing w:after="0"/>
              <w:rPr>
                <w:sz w:val="24"/>
                <w:szCs w:val="24"/>
                <w:color w:val="auto"/>
              </w:rPr>
            </w:pPr>
          </w:p>
        </w:tc>
      </w:tr>
      <w:tr>
        <w:trPr>
          <w:trHeight w:val="205"/>
        </w:trPr>
        <w:tc>
          <w:tcPr>
            <w:tcW w:w="6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6"/>
              <w:spacing w:after="0" w:line="20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20" w:type="dxa"/>
            <w:vAlign w:val="bottom"/>
            <w:tcBorders>
              <w:bottom w:val="single" w:sz="8" w:color="auto"/>
            </w:tcBorders>
          </w:tcPr>
          <w:p>
            <w:pPr>
              <w:spacing w:after="0"/>
              <w:rPr>
                <w:sz w:val="17"/>
                <w:szCs w:val="17"/>
                <w:color w:val="auto"/>
              </w:rPr>
            </w:pP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340" w:type="dxa"/>
            <w:vAlign w:val="bottom"/>
            <w:shd w:val="clear" w:color="auto" w:fill="CCEEFF"/>
          </w:tcPr>
          <w:p>
            <w:pPr>
              <w:jc w:val="right"/>
              <w:ind w:right="115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445.6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276.8</w:t>
            </w: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34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80.4</w:t>
            </w:r>
          </w:p>
        </w:tc>
      </w:tr>
      <w:tr>
        <w:trPr>
          <w:trHeight w:val="27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3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(72.4)</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Stock compensation expense</w:t>
            </w:r>
          </w:p>
        </w:tc>
        <w:tc>
          <w:tcPr>
            <w:tcW w:w="134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3.6</w:t>
            </w:r>
          </w:p>
        </w:tc>
      </w:tr>
      <w:tr>
        <w:trPr>
          <w:trHeight w:val="27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13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15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12.0</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29.0 %</w:t>
            </w: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bl>
    <w:p>
      <w:pPr>
        <w:spacing w:after="0" w:line="166" w:lineRule="exact"/>
        <w:rPr>
          <w:sz w:val="20"/>
          <w:szCs w:val="20"/>
          <w:color w:val="auto"/>
        </w:rPr>
      </w:pPr>
    </w:p>
    <w:p>
      <w:pPr>
        <w:ind w:left="440" w:hanging="414"/>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42"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7"/>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Tax Receivable Agreement (“TRA”) liability with our pre-IPO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00"/>
          </w:cols>
          <w:pgMar w:left="320" w:top="1417" w:right="379" w:bottom="1440" w:gutter="0" w:footer="0" w:header="0"/>
        </w:sectPr>
      </w:pPr>
    </w:p>
    <w:bookmarkStart w:id="17" w:name="page18"/>
    <w:bookmarkEnd w:id="17"/>
    <w:p>
      <w:pPr>
        <w:ind w:left="20" w:right="2280"/>
        <w:spacing w:after="0" w:line="343" w:lineRule="auto"/>
        <w:rPr>
          <w:sz w:val="20"/>
          <w:szCs w:val="20"/>
          <w:color w:val="auto"/>
        </w:rPr>
      </w:pPr>
      <w:r>
        <w:rPr>
          <w:rFonts w:ascii="Arial" w:cs="Arial" w:eastAsia="Arial" w:hAnsi="Arial"/>
          <w:sz w:val="18"/>
          <w:szCs w:val="18"/>
          <w:b w:val="1"/>
          <w:bCs w:val="1"/>
          <w:color w:val="auto"/>
        </w:rPr>
        <w:t>Reconciliation of GAAP Income (Loss) Before Income Tax to Adjusted Income (Loss)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income (loss) before income tax to adjusted income (loss) before income tax.</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40" w:type="dxa"/>
            <w:vAlign w:val="bottom"/>
            <w:gridSpan w:val="3"/>
          </w:tcPr>
          <w:p>
            <w:pPr>
              <w:jc w:val="center"/>
              <w:ind w:right="456"/>
              <w:spacing w:after="0"/>
              <w:rPr>
                <w:sz w:val="20"/>
                <w:szCs w:val="20"/>
                <w:color w:val="auto"/>
              </w:rPr>
            </w:pPr>
            <w:r>
              <w:rPr>
                <w:rFonts w:ascii="Arial" w:cs="Arial" w:eastAsia="Arial" w:hAnsi="Arial"/>
                <w:sz w:val="14"/>
                <w:szCs w:val="14"/>
                <w:b w:val="1"/>
                <w:bCs w:val="1"/>
                <w:color w:val="auto"/>
              </w:rPr>
              <w:t>Three Months Ended June 30,</w:t>
            </w:r>
          </w:p>
        </w:tc>
        <w:tc>
          <w:tcPr>
            <w:tcW w:w="800" w:type="dxa"/>
            <w:vAlign w:val="bottom"/>
          </w:tcPr>
          <w:p>
            <w:pPr>
              <w:spacing w:after="0"/>
              <w:rPr>
                <w:sz w:val="17"/>
                <w:szCs w:val="17"/>
                <w:color w:val="auto"/>
              </w:rPr>
            </w:pPr>
          </w:p>
        </w:tc>
      </w:tr>
      <w:tr>
        <w:trPr>
          <w:trHeight w:val="205"/>
        </w:trPr>
        <w:tc>
          <w:tcPr>
            <w:tcW w:w="6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6"/>
              <w:spacing w:after="0" w:line="20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00" w:type="dxa"/>
            <w:vAlign w:val="bottom"/>
            <w:tcBorders>
              <w:bottom w:val="single" w:sz="8" w:color="auto"/>
            </w:tcBorders>
          </w:tcPr>
          <w:p>
            <w:pPr>
              <w:spacing w:after="0"/>
              <w:rPr>
                <w:sz w:val="17"/>
                <w:szCs w:val="17"/>
                <w:color w:val="auto"/>
              </w:rPr>
            </w:pPr>
          </w:p>
        </w:tc>
      </w:tr>
      <w:tr>
        <w:trPr>
          <w:trHeight w:val="243"/>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52.2</w:t>
            </w:r>
          </w:p>
        </w:tc>
      </w:tr>
      <w:tr>
        <w:trPr>
          <w:trHeight w:val="22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 (Benefit)</w:t>
            </w:r>
          </w:p>
        </w:tc>
        <w:tc>
          <w:tcPr>
            <w:tcW w:w="1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9.6</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as reported</w:t>
            </w:r>
          </w:p>
        </w:tc>
        <w:tc>
          <w:tcPr>
            <w:tcW w:w="134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61.8</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34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41.4 %</w:t>
            </w:r>
          </w:p>
        </w:tc>
      </w:tr>
      <w:tr>
        <w:trPr>
          <w:trHeight w:val="270"/>
        </w:trPr>
        <w:tc>
          <w:tcPr>
            <w:tcW w:w="6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6420" w:type="dxa"/>
            <w:vAlign w:val="bottom"/>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340" w:type="dxa"/>
            <w:vAlign w:val="bottom"/>
          </w:tcPr>
          <w:p>
            <w:pPr>
              <w:spacing w:after="0"/>
              <w:rPr>
                <w:sz w:val="23"/>
                <w:szCs w:val="2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(39.8)</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Secondary offering expense</w:t>
            </w:r>
          </w:p>
        </w:tc>
        <w:tc>
          <w:tcPr>
            <w:tcW w:w="13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transactions, net</w:t>
            </w:r>
          </w:p>
        </w:tc>
        <w:tc>
          <w:tcPr>
            <w:tcW w:w="134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70"/>
        </w:trPr>
        <w:tc>
          <w:tcPr>
            <w:tcW w:w="6420" w:type="dxa"/>
            <w:vAlign w:val="bottom"/>
          </w:tcPr>
          <w:p>
            <w:pPr>
              <w:ind w:left="2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1340" w:type="dxa"/>
            <w:vAlign w:val="bottom"/>
          </w:tcPr>
          <w:p>
            <w:pPr>
              <w:spacing w:after="0"/>
              <w:rPr>
                <w:sz w:val="23"/>
                <w:szCs w:val="2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3"/>
                <w:szCs w:val="23"/>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27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1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(18.7)</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Adjusted Income (Loss) Before Income Tax</w:t>
            </w:r>
          </w:p>
        </w:tc>
        <w:tc>
          <w:tcPr>
            <w:tcW w:w="1340" w:type="dxa"/>
            <w:vAlign w:val="bottom"/>
            <w:tcBorders>
              <w:bottom w:val="single" w:sz="8" w:color="auto"/>
            </w:tcBorders>
          </w:tcPr>
          <w:p>
            <w:pPr>
              <w:jc w:val="right"/>
              <w:ind w:right="11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13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9"/>
        </w:trPr>
        <w:tc>
          <w:tcPr>
            <w:tcW w:w="6420" w:type="dxa"/>
            <w:vAlign w:val="bottom"/>
          </w:tcPr>
          <w:p>
            <w:pPr>
              <w:ind w:left="20"/>
              <w:spacing w:after="0"/>
              <w:rPr>
                <w:sz w:val="20"/>
                <w:szCs w:val="20"/>
                <w:color w:val="auto"/>
              </w:rPr>
            </w:pPr>
            <w:r>
              <w:rPr>
                <w:rFonts w:ascii="Arial" w:cs="Arial" w:eastAsia="Arial" w:hAnsi="Arial"/>
                <w:sz w:val="18"/>
                <w:szCs w:val="18"/>
                <w:color w:val="auto"/>
              </w:rPr>
              <w:t>Adjusted Pre-tax margin</w:t>
            </w:r>
          </w:p>
        </w:tc>
        <w:tc>
          <w:tcPr>
            <w:tcW w:w="13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529"/>
        </w:trPr>
        <w:tc>
          <w:tcPr>
            <w:tcW w:w="6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40" w:type="dxa"/>
            <w:vAlign w:val="bottom"/>
            <w:gridSpan w:val="3"/>
          </w:tcPr>
          <w:p>
            <w:pPr>
              <w:jc w:val="center"/>
              <w:ind w:right="456"/>
              <w:spacing w:after="0"/>
              <w:rPr>
                <w:sz w:val="20"/>
                <w:szCs w:val="20"/>
                <w:color w:val="auto"/>
              </w:rPr>
            </w:pPr>
            <w:r>
              <w:rPr>
                <w:rFonts w:ascii="Arial" w:cs="Arial" w:eastAsia="Arial" w:hAnsi="Arial"/>
                <w:sz w:val="14"/>
                <w:szCs w:val="14"/>
                <w:b w:val="1"/>
                <w:bCs w:val="1"/>
                <w:color w:val="auto"/>
              </w:rPr>
              <w:t>Six Months Ended June 30,</w:t>
            </w:r>
          </w:p>
        </w:tc>
        <w:tc>
          <w:tcPr>
            <w:tcW w:w="800" w:type="dxa"/>
            <w:vAlign w:val="bottom"/>
          </w:tcPr>
          <w:p>
            <w:pPr>
              <w:spacing w:after="0"/>
              <w:rPr>
                <w:sz w:val="24"/>
                <w:szCs w:val="24"/>
                <w:color w:val="auto"/>
              </w:rPr>
            </w:pPr>
          </w:p>
        </w:tc>
      </w:tr>
      <w:tr>
        <w:trPr>
          <w:trHeight w:val="204"/>
        </w:trPr>
        <w:tc>
          <w:tcPr>
            <w:tcW w:w="6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6"/>
              <w:spacing w:after="0" w:line="20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800" w:type="dxa"/>
            <w:vAlign w:val="bottom"/>
            <w:tcBorders>
              <w:bottom w:val="single" w:sz="8" w:color="auto"/>
            </w:tcBorders>
          </w:tcPr>
          <w:p>
            <w:pPr>
              <w:spacing w:after="0"/>
              <w:rPr>
                <w:sz w:val="17"/>
                <w:szCs w:val="17"/>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69.0</w:t>
            </w:r>
          </w:p>
        </w:tc>
      </w:tr>
      <w:tr>
        <w:trPr>
          <w:trHeight w:val="230"/>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1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16.3</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1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85.3</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30.8 %</w:t>
            </w:r>
          </w:p>
        </w:tc>
      </w:tr>
      <w:tr>
        <w:trPr>
          <w:trHeight w:val="270"/>
        </w:trPr>
        <w:tc>
          <w:tcPr>
            <w:tcW w:w="6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6420" w:type="dxa"/>
            <w:vAlign w:val="bottom"/>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340" w:type="dxa"/>
            <w:vAlign w:val="bottom"/>
          </w:tcPr>
          <w:p>
            <w:pPr>
              <w:spacing w:after="0"/>
              <w:rPr>
                <w:sz w:val="23"/>
                <w:szCs w:val="2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(72.4)</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Secondary offering expense</w:t>
            </w:r>
          </w:p>
        </w:tc>
        <w:tc>
          <w:tcPr>
            <w:tcW w:w="13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transactions, net</w:t>
            </w:r>
          </w:p>
        </w:tc>
        <w:tc>
          <w:tcPr>
            <w:tcW w:w="134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Early pay-off of US Treasury loan</w:t>
            </w:r>
          </w:p>
        </w:tc>
        <w:tc>
          <w:tcPr>
            <w:tcW w:w="13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0.8</w:t>
            </w:r>
          </w:p>
        </w:tc>
      </w:tr>
      <w:tr>
        <w:trPr>
          <w:trHeight w:val="27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13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70"/>
        </w:trPr>
        <w:tc>
          <w:tcPr>
            <w:tcW w:w="6420" w:type="dxa"/>
            <w:vAlign w:val="bottom"/>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1340" w:type="dxa"/>
            <w:vAlign w:val="bottom"/>
          </w:tcPr>
          <w:p>
            <w:pPr>
              <w:spacing w:after="0"/>
              <w:rPr>
                <w:sz w:val="23"/>
                <w:szCs w:val="23"/>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(18.7)</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refinancing credit facility</w:t>
            </w:r>
          </w:p>
        </w:tc>
        <w:tc>
          <w:tcPr>
            <w:tcW w:w="1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Adjusted Income Before Income Tax</w:t>
            </w:r>
          </w:p>
        </w:tc>
        <w:tc>
          <w:tcPr>
            <w:tcW w:w="1340" w:type="dxa"/>
            <w:vAlign w:val="bottom"/>
            <w:tcBorders>
              <w:bottom w:val="single" w:sz="8" w:color="auto"/>
            </w:tcBorders>
          </w:tcPr>
          <w:p>
            <w:pPr>
              <w:jc w:val="right"/>
              <w:ind w:right="11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13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9"/>
        </w:trPr>
        <w:tc>
          <w:tcPr>
            <w:tcW w:w="6420" w:type="dxa"/>
            <w:vAlign w:val="bottom"/>
          </w:tcPr>
          <w:p>
            <w:pPr>
              <w:ind w:left="20"/>
              <w:spacing w:after="0"/>
              <w:rPr>
                <w:sz w:val="20"/>
                <w:szCs w:val="20"/>
                <w:color w:val="auto"/>
              </w:rPr>
            </w:pPr>
            <w:r>
              <w:rPr>
                <w:rFonts w:ascii="Arial" w:cs="Arial" w:eastAsia="Arial" w:hAnsi="Arial"/>
                <w:sz w:val="18"/>
                <w:szCs w:val="18"/>
                <w:color w:val="auto"/>
              </w:rPr>
              <w:t>Adjusted Pre-tax margin</w:t>
            </w:r>
          </w:p>
        </w:tc>
        <w:tc>
          <w:tcPr>
            <w:tcW w:w="1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0.0 %</w:t>
            </w:r>
          </w:p>
        </w:tc>
      </w:tr>
    </w:tbl>
    <w:p>
      <w:pPr>
        <w:spacing w:after="0" w:line="251" w:lineRule="exact"/>
        <w:rPr>
          <w:sz w:val="20"/>
          <w:szCs w:val="20"/>
          <w:color w:val="auto"/>
        </w:rPr>
      </w:pPr>
    </w:p>
    <w:p>
      <w:pPr>
        <w:ind w:left="440" w:hanging="414"/>
        <w:spacing w:after="0"/>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42"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8"/>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TRA liability with our pre-IPO stockholders</w:t>
      </w:r>
    </w:p>
    <w:p>
      <w:pPr>
        <w:spacing w:after="0" w:line="94" w:lineRule="exact"/>
        <w:rPr>
          <w:rFonts w:ascii="Arial" w:cs="Arial" w:eastAsia="Arial" w:hAnsi="Arial"/>
          <w:sz w:val="29"/>
          <w:szCs w:val="29"/>
          <w:color w:val="auto"/>
          <w:vertAlign w:val="superscript"/>
        </w:rPr>
      </w:pPr>
    </w:p>
    <w:p>
      <w:pPr>
        <w:ind w:left="440" w:hanging="414"/>
        <w:spacing w:after="0" w:line="183" w:lineRule="auto"/>
        <w:tabs>
          <w:tab w:leader="none" w:pos="440"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This represents the adjustment to the TRA for the period, which is recorded in Non-Operating Income (Expense)</w:t>
      </w:r>
    </w:p>
    <w:p>
      <w:pPr>
        <w:sectPr>
          <w:pgSz w:w="11900" w:h="16838" w:orient="portrait"/>
          <w:cols w:equalWidth="0" w:num="1">
            <w:col w:w="11200"/>
          </w:cols>
          <w:pgMar w:left="320" w:top="14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1200"/>
          </w:cols>
          <w:pgMar w:left="320" w:top="1417" w:right="379" w:bottom="1440" w:gutter="0" w:footer="0" w:header="0"/>
          <w:type w:val="continuous"/>
        </w:sectPr>
      </w:pPr>
    </w:p>
    <w:bookmarkStart w:id="18" w:name="page19"/>
    <w:bookmarkEnd w:id="18"/>
    <w:p>
      <w:pPr>
        <w:spacing w:after="0" w:line="200" w:lineRule="exact"/>
        <w:rPr>
          <w:sz w:val="20"/>
          <w:szCs w:val="20"/>
          <w:color w:val="auto"/>
        </w:rPr>
      </w:pPr>
    </w:p>
    <w:p>
      <w:pPr>
        <w:spacing w:after="0" w:line="263" w:lineRule="exact"/>
        <w:rPr>
          <w:sz w:val="20"/>
          <w:szCs w:val="20"/>
          <w:color w:val="auto"/>
        </w:rPr>
      </w:pPr>
    </w:p>
    <w:p>
      <w:pPr>
        <w:ind w:left="20"/>
        <w:spacing w:after="0" w:line="273" w:lineRule="auto"/>
        <w:rPr>
          <w:sz w:val="20"/>
          <w:szCs w:val="20"/>
          <w:color w:val="auto"/>
        </w:rPr>
      </w:pPr>
      <w:r>
        <w:rPr>
          <w:rFonts w:ascii="Arial" w:cs="Arial" w:eastAsia="Arial" w:hAnsi="Arial"/>
          <w:sz w:val="18"/>
          <w:szCs w:val="18"/>
          <w:b w:val="1"/>
          <w:bCs w:val="1"/>
          <w:color w:val="auto"/>
        </w:rPr>
        <w:t>Reconciliation of GAAP Net Income (Loss) and Earnings per Share to Adjusted Net Income (Loss) and Adjusted Earnings per Share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234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6" w:lineRule="exact"/>
        <w:rPr>
          <w:sz w:val="20"/>
          <w:szCs w:val="20"/>
          <w:color w:val="auto"/>
        </w:rPr>
      </w:pPr>
    </w:p>
    <w:p>
      <w:pPr>
        <w:ind w:left="20"/>
        <w:spacing w:after="0" w:line="287" w:lineRule="auto"/>
        <w:rPr>
          <w:sz w:val="20"/>
          <w:szCs w:val="20"/>
          <w:color w:val="auto"/>
        </w:rPr>
      </w:pPr>
      <w:r>
        <w:rPr>
          <w:rFonts w:ascii="Arial" w:cs="Arial" w:eastAsia="Arial" w:hAnsi="Arial"/>
          <w:sz w:val="18"/>
          <w:szCs w:val="18"/>
          <w:color w:val="auto"/>
        </w:rPr>
        <w:t>The following table presents the reconciliation of GAAP net income (loss) and earnings (loss) per share to adjusted net income (loss) and adjusted earnings per share.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2"/>
                <w:szCs w:val="12"/>
                <w:color w:val="auto"/>
              </w:rPr>
            </w:pPr>
          </w:p>
        </w:tc>
        <w:tc>
          <w:tcPr>
            <w:tcW w:w="134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Per Share -</w:t>
            </w:r>
          </w:p>
        </w:tc>
        <w:tc>
          <w:tcPr>
            <w:tcW w:w="260" w:type="dxa"/>
            <w:vAlign w:val="bottom"/>
          </w:tcPr>
          <w:p>
            <w:pPr>
              <w:spacing w:after="0"/>
              <w:rPr>
                <w:sz w:val="12"/>
                <w:szCs w:val="12"/>
                <w:color w:val="auto"/>
              </w:rPr>
            </w:pPr>
          </w:p>
        </w:tc>
        <w:tc>
          <w:tcPr>
            <w:tcW w:w="10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Dollars</w:t>
            </w:r>
          </w:p>
        </w:tc>
        <w:tc>
          <w:tcPr>
            <w:tcW w:w="260" w:type="dxa"/>
            <w:vAlign w:val="bottom"/>
          </w:tcPr>
          <w:p>
            <w:pPr>
              <w:spacing w:after="0"/>
              <w:rPr>
                <w:sz w:val="12"/>
                <w:szCs w:val="12"/>
                <w:color w:val="auto"/>
              </w:rPr>
            </w:pPr>
          </w:p>
        </w:tc>
        <w:tc>
          <w:tcPr>
            <w:tcW w:w="1080" w:type="dxa"/>
            <w:vAlign w:val="bottom"/>
          </w:tcPr>
          <w:p>
            <w:pPr>
              <w:jc w:val="center"/>
              <w:ind w:right="113"/>
              <w:spacing w:after="0" w:line="142" w:lineRule="exact"/>
              <w:rPr>
                <w:sz w:val="20"/>
                <w:szCs w:val="20"/>
                <w:color w:val="auto"/>
              </w:rPr>
            </w:pPr>
            <w:r>
              <w:rPr>
                <w:rFonts w:ascii="Arial" w:cs="Arial" w:eastAsia="Arial" w:hAnsi="Arial"/>
                <w:sz w:val="14"/>
                <w:szCs w:val="14"/>
                <w:b w:val="1"/>
                <w:bCs w:val="1"/>
                <w:color w:val="auto"/>
              </w:rPr>
              <w:t>Per Share -</w:t>
            </w:r>
          </w:p>
        </w:tc>
        <w:tc>
          <w:tcPr>
            <w:tcW w:w="0" w:type="dxa"/>
            <w:vAlign w:val="bottom"/>
          </w:tcPr>
          <w:p>
            <w:pPr>
              <w:spacing w:after="0"/>
              <w:rPr>
                <w:sz w:val="1"/>
                <w:szCs w:val="1"/>
                <w:color w:val="auto"/>
              </w:rPr>
            </w:pPr>
          </w:p>
        </w:tc>
      </w:tr>
      <w:tr>
        <w:trPr>
          <w:trHeight w:val="189"/>
        </w:trPr>
        <w:tc>
          <w:tcPr>
            <w:tcW w:w="5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diluted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Secondary offering expense</w:t>
            </w:r>
          </w:p>
        </w:tc>
        <w:tc>
          <w:tcPr>
            <w:tcW w:w="2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asset transactions,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26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(4)</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(Loss)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share count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0A0A0A"/>
              </w:rPr>
              <w:t>58.1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0A0A0A"/>
              </w:rPr>
              <w:t>62.0</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22"/>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9"/>
                <w:szCs w:val="9"/>
                <w:b w:val="1"/>
                <w:bCs w:val="1"/>
                <w:color w:val="auto"/>
              </w:rPr>
              <w:t>(7)</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2"/>
                <w:szCs w:val="12"/>
                <w:color w:val="auto"/>
              </w:rPr>
            </w:pPr>
          </w:p>
        </w:tc>
        <w:tc>
          <w:tcPr>
            <w:tcW w:w="134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Per Share -</w:t>
            </w:r>
          </w:p>
        </w:tc>
        <w:tc>
          <w:tcPr>
            <w:tcW w:w="260" w:type="dxa"/>
            <w:vAlign w:val="bottom"/>
          </w:tcPr>
          <w:p>
            <w:pPr>
              <w:spacing w:after="0"/>
              <w:rPr>
                <w:sz w:val="12"/>
                <w:szCs w:val="12"/>
                <w:color w:val="auto"/>
              </w:rPr>
            </w:pPr>
          </w:p>
        </w:tc>
        <w:tc>
          <w:tcPr>
            <w:tcW w:w="10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Dollars</w:t>
            </w:r>
          </w:p>
        </w:tc>
        <w:tc>
          <w:tcPr>
            <w:tcW w:w="260" w:type="dxa"/>
            <w:vAlign w:val="bottom"/>
          </w:tcPr>
          <w:p>
            <w:pPr>
              <w:spacing w:after="0"/>
              <w:rPr>
                <w:sz w:val="12"/>
                <w:szCs w:val="12"/>
                <w:color w:val="auto"/>
              </w:rPr>
            </w:pPr>
          </w:p>
        </w:tc>
        <w:tc>
          <w:tcPr>
            <w:tcW w:w="1080" w:type="dxa"/>
            <w:vAlign w:val="bottom"/>
          </w:tcPr>
          <w:p>
            <w:pPr>
              <w:jc w:val="center"/>
              <w:ind w:right="113"/>
              <w:spacing w:after="0" w:line="147" w:lineRule="exact"/>
              <w:rPr>
                <w:sz w:val="20"/>
                <w:szCs w:val="20"/>
                <w:color w:val="auto"/>
              </w:rPr>
            </w:pPr>
            <w:r>
              <w:rPr>
                <w:rFonts w:ascii="Arial" w:cs="Arial" w:eastAsia="Arial" w:hAnsi="Arial"/>
                <w:sz w:val="14"/>
                <w:szCs w:val="14"/>
                <w:b w:val="1"/>
                <w:bCs w:val="1"/>
                <w:color w:val="auto"/>
              </w:rPr>
              <w:t>Per Share -</w:t>
            </w:r>
          </w:p>
        </w:tc>
        <w:tc>
          <w:tcPr>
            <w:tcW w:w="0" w:type="dxa"/>
            <w:vAlign w:val="bottom"/>
          </w:tcPr>
          <w:p>
            <w:pPr>
              <w:spacing w:after="0"/>
              <w:rPr>
                <w:sz w:val="1"/>
                <w:szCs w:val="1"/>
                <w:color w:val="auto"/>
              </w:rPr>
            </w:pPr>
          </w:p>
        </w:tc>
      </w:tr>
      <w:tr>
        <w:trPr>
          <w:trHeight w:val="185"/>
        </w:trPr>
        <w:tc>
          <w:tcPr>
            <w:tcW w:w="5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diluted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Secondary offering expense</w:t>
            </w:r>
          </w:p>
        </w:tc>
        <w:tc>
          <w:tcPr>
            <w:tcW w:w="26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asset transactions,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Early pay-off of US Treasury loan</w:t>
            </w:r>
          </w:p>
        </w:tc>
        <w:tc>
          <w:tcPr>
            <w:tcW w:w="26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260" w:type="dxa"/>
            <w:vAlign w:val="bottom"/>
          </w:tcPr>
          <w:p>
            <w:pPr>
              <w:spacing w:after="0"/>
              <w:rPr>
                <w:sz w:val="23"/>
                <w:szCs w:val="23"/>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refinancing credit facility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(4)</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(Loss)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10.5</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share count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0A0A0A"/>
              </w:rPr>
              <w:t>58.0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0A0A0A"/>
              </w:rPr>
              <w:t>57.4</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40" w:hanging="414"/>
        <w:spacing w:after="0"/>
        <w:tabs>
          <w:tab w:leader="none" w:pos="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42"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9"/>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TRA liability with our pre-IPO stockholders</w:t>
      </w:r>
    </w:p>
    <w:p>
      <w:pPr>
        <w:spacing w:after="0" w:line="94" w:lineRule="exact"/>
        <w:rPr>
          <w:rFonts w:ascii="Arial" w:cs="Arial" w:eastAsia="Arial" w:hAnsi="Arial"/>
          <w:sz w:val="29"/>
          <w:szCs w:val="29"/>
          <w:color w:val="auto"/>
          <w:vertAlign w:val="superscript"/>
        </w:rPr>
      </w:pPr>
    </w:p>
    <w:p>
      <w:pPr>
        <w:ind w:left="440" w:hanging="414"/>
        <w:spacing w:after="0" w:line="183" w:lineRule="auto"/>
        <w:tabs>
          <w:tab w:leader="none" w:pos="440" w:val="left"/>
        </w:tabs>
        <w:numPr>
          <w:ilvl w:val="0"/>
          <w:numId w:val="9"/>
        </w:numPr>
        <w:rPr>
          <w:rFonts w:ascii="Arial" w:cs="Arial" w:eastAsia="Arial" w:hAnsi="Arial"/>
          <w:sz w:val="20"/>
          <w:szCs w:val="20"/>
          <w:color w:val="auto"/>
          <w:vertAlign w:val="superscript"/>
        </w:rPr>
      </w:pPr>
      <w:r>
        <w:rPr>
          <w:rFonts w:ascii="Arial" w:cs="Arial" w:eastAsia="Arial" w:hAnsi="Arial"/>
          <w:sz w:val="12"/>
          <w:szCs w:val="12"/>
          <w:color w:val="auto"/>
        </w:rPr>
        <w:t>This represents the adjustment to the TRA for the period, which is recorded in Non-Operating Income (Expense)</w:t>
      </w:r>
    </w:p>
    <w:p>
      <w:pPr>
        <w:spacing w:after="0" w:line="94" w:lineRule="exact"/>
        <w:rPr>
          <w:rFonts w:ascii="Arial" w:cs="Arial" w:eastAsia="Arial" w:hAnsi="Arial"/>
          <w:sz w:val="20"/>
          <w:szCs w:val="20"/>
          <w:color w:val="auto"/>
          <w:vertAlign w:val="superscript"/>
        </w:rPr>
      </w:pPr>
    </w:p>
    <w:p>
      <w:pPr>
        <w:ind w:left="440" w:hanging="414"/>
        <w:spacing w:after="0" w:line="183" w:lineRule="auto"/>
        <w:tabs>
          <w:tab w:leader="none" w:pos="440" w:val="left"/>
        </w:tabs>
        <w:numPr>
          <w:ilvl w:val="0"/>
          <w:numId w:val="9"/>
        </w:numPr>
        <w:rPr>
          <w:rFonts w:ascii="Arial" w:cs="Arial" w:eastAsia="Arial" w:hAnsi="Arial"/>
          <w:sz w:val="20"/>
          <w:szCs w:val="20"/>
          <w:color w:val="auto"/>
          <w:vertAlign w:val="superscript"/>
        </w:rPr>
      </w:pPr>
      <w:r>
        <w:rPr>
          <w:rFonts w:ascii="Arial" w:cs="Arial" w:eastAsia="Arial" w:hAnsi="Arial"/>
          <w:sz w:val="12"/>
          <w:szCs w:val="12"/>
          <w:color w:val="auto"/>
        </w:rPr>
        <w:t>The tax effect of adjusting items, net is calculated at the Company’s statutory rate for the application period</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200"/>
          </w:cols>
          <w:pgMar w:left="320" w:top="1440" w:right="379" w:bottom="1440"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t>Reconciliation of GAAP Net Income (Loss) to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tables present the reconciliation of net income (loss) to adjusted EBITDA for the periods presented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440" w:type="dxa"/>
            <w:vAlign w:val="bottom"/>
          </w:tcPr>
          <w:p>
            <w:pPr>
              <w:spacing w:after="0"/>
              <w:rPr>
                <w:sz w:val="17"/>
                <w:szCs w:val="17"/>
                <w:color w:val="auto"/>
              </w:rPr>
            </w:pPr>
          </w:p>
        </w:tc>
      </w:tr>
      <w:tr>
        <w:trPr>
          <w:trHeight w:val="205"/>
        </w:trPr>
        <w:tc>
          <w:tcPr>
            <w:tcW w:w="6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911"/>
              <w:spacing w:after="0" w:line="205" w:lineRule="exact"/>
              <w:rPr>
                <w:sz w:val="20"/>
                <w:szCs w:val="20"/>
                <w:color w:val="auto"/>
              </w:rPr>
            </w:pPr>
            <w:r>
              <w:rPr>
                <w:rFonts w:ascii="Arial" w:cs="Arial" w:eastAsia="Arial" w:hAnsi="Arial"/>
                <w:sz w:val="14"/>
                <w:szCs w:val="14"/>
                <w:b w:val="1"/>
                <w:bCs w:val="1"/>
                <w:color w:val="auto"/>
                <w:w w:val="91"/>
              </w:rPr>
              <w:t>2021</w:t>
            </w:r>
            <w:r>
              <w:rPr>
                <w:rFonts w:ascii="Arial" w:cs="Arial" w:eastAsia="Arial" w:hAnsi="Arial"/>
                <w:sz w:val="18"/>
                <w:szCs w:val="18"/>
                <w:b w:val="1"/>
                <w:bCs w:val="1"/>
                <w:color w:val="auto"/>
                <w:w w:val="91"/>
                <w:vertAlign w:val="superscript"/>
              </w:rPr>
              <w:t>(7)</w:t>
            </w:r>
          </w:p>
        </w:tc>
      </w:tr>
      <w:tr>
        <w:trPr>
          <w:trHeight w:val="223"/>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142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52.2</w:t>
            </w:r>
          </w:p>
        </w:tc>
      </w:tr>
      <w:tr>
        <w:trPr>
          <w:trHeight w:val="270"/>
        </w:trPr>
        <w:tc>
          <w:tcPr>
            <w:tcW w:w="6200" w:type="dxa"/>
            <w:vAlign w:val="bottom"/>
          </w:tcPr>
          <w:p>
            <w:pPr>
              <w:ind w:left="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3"/>
                <w:szCs w:val="23"/>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(39.8)</w:t>
            </w:r>
          </w:p>
        </w:tc>
      </w:tr>
      <w:tr>
        <w:trPr>
          <w:trHeight w:val="229"/>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Income</w:t>
            </w: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6.1</w:t>
            </w: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Compensation Expense</w:t>
            </w: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0.7</w:t>
            </w:r>
          </w:p>
        </w:tc>
      </w:tr>
      <w:tr>
        <w:trPr>
          <w:trHeight w:val="247"/>
        </w:trPr>
        <w:tc>
          <w:tcPr>
            <w:tcW w:w="6200" w:type="dxa"/>
            <w:vAlign w:val="bottom"/>
          </w:tcPr>
          <w:p>
            <w:pPr>
              <w:ind w:left="80"/>
              <w:spacing w:after="0"/>
              <w:rPr>
                <w:sz w:val="20"/>
                <w:szCs w:val="20"/>
                <w:color w:val="auto"/>
              </w:rPr>
            </w:pPr>
            <w:r>
              <w:rPr>
                <w:rFonts w:ascii="Arial" w:cs="Arial" w:eastAsia="Arial" w:hAnsi="Arial"/>
                <w:sz w:val="18"/>
                <w:szCs w:val="18"/>
                <w:color w:val="auto"/>
              </w:rPr>
              <w:t>Gain on asset transactions, net</w:t>
            </w: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Secondary offering expense</w:t>
            </w: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r>
      <w:tr>
        <w:trPr>
          <w:trHeight w:val="270"/>
        </w:trPr>
        <w:tc>
          <w:tcPr>
            <w:tcW w:w="6200" w:type="dxa"/>
            <w:vAlign w:val="bottom"/>
          </w:tcPr>
          <w:p>
            <w:pPr>
              <w:ind w:left="8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3"/>
                <w:szCs w:val="23"/>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0.1</w:t>
            </w:r>
          </w:p>
        </w:tc>
      </w:tr>
      <w:tr>
        <w:trPr>
          <w:trHeight w:val="27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(18.7)</w:t>
            </w:r>
          </w:p>
        </w:tc>
      </w:tr>
      <w:tr>
        <w:trPr>
          <w:trHeight w:val="229"/>
        </w:trPr>
        <w:tc>
          <w:tcPr>
            <w:tcW w:w="620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9.6</w:t>
            </w: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14.2</w:t>
            </w:r>
          </w:p>
        </w:tc>
      </w:tr>
      <w:tr>
        <w:trPr>
          <w:trHeight w:val="223"/>
        </w:trPr>
        <w:tc>
          <w:tcPr>
            <w:tcW w:w="620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40" w:type="dxa"/>
            <w:vAlign w:val="bottom"/>
          </w:tcPr>
          <w:p>
            <w:pPr>
              <w:spacing w:after="0"/>
              <w:rPr>
                <w:sz w:val="19"/>
                <w:szCs w:val="19"/>
                <w:color w:val="auto"/>
              </w:rPr>
            </w:pPr>
          </w:p>
        </w:tc>
        <w:tc>
          <w:tcPr>
            <w:tcW w:w="13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20.7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25.0</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9"/>
        </w:trPr>
        <w:tc>
          <w:tcPr>
            <w:tcW w:w="6200" w:type="dxa"/>
            <w:vAlign w:val="bottom"/>
          </w:tcPr>
          <w:p>
            <w:pPr>
              <w:ind w:left="80"/>
              <w:spacing w:after="0"/>
              <w:rPr>
                <w:sz w:val="20"/>
                <w:szCs w:val="20"/>
                <w:color w:val="auto"/>
              </w:rPr>
            </w:pPr>
            <w:r>
              <w:rPr>
                <w:rFonts w:ascii="Arial" w:cs="Arial" w:eastAsia="Arial" w:hAnsi="Arial"/>
                <w:sz w:val="18"/>
                <w:szCs w:val="18"/>
                <w:color w:val="auto"/>
              </w:rPr>
              <w:t>Adjusted EBITDA margin</w:t>
            </w: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610"/>
        </w:trPr>
        <w:tc>
          <w:tcPr>
            <w:tcW w:w="6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Six Months Ended June 30,</w:t>
            </w:r>
          </w:p>
        </w:tc>
        <w:tc>
          <w:tcPr>
            <w:tcW w:w="1440" w:type="dxa"/>
            <w:vAlign w:val="bottom"/>
          </w:tcPr>
          <w:p>
            <w:pPr>
              <w:spacing w:after="0"/>
              <w:rPr>
                <w:sz w:val="24"/>
                <w:szCs w:val="24"/>
                <w:color w:val="auto"/>
              </w:rPr>
            </w:pPr>
          </w:p>
        </w:tc>
      </w:tr>
      <w:tr>
        <w:trPr>
          <w:trHeight w:val="204"/>
        </w:trPr>
        <w:tc>
          <w:tcPr>
            <w:tcW w:w="6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911"/>
              <w:spacing w:after="0" w:line="205" w:lineRule="exact"/>
              <w:rPr>
                <w:sz w:val="20"/>
                <w:szCs w:val="20"/>
                <w:color w:val="auto"/>
              </w:rPr>
            </w:pPr>
            <w:r>
              <w:rPr>
                <w:rFonts w:ascii="Arial" w:cs="Arial" w:eastAsia="Arial" w:hAnsi="Arial"/>
                <w:sz w:val="14"/>
                <w:szCs w:val="14"/>
                <w:b w:val="1"/>
                <w:bCs w:val="1"/>
                <w:color w:val="auto"/>
                <w:w w:val="91"/>
              </w:rPr>
              <w:t>2021</w:t>
            </w:r>
            <w:r>
              <w:rPr>
                <w:rFonts w:ascii="Arial" w:cs="Arial" w:eastAsia="Arial" w:hAnsi="Arial"/>
                <w:sz w:val="18"/>
                <w:szCs w:val="18"/>
                <w:b w:val="1"/>
                <w:bCs w:val="1"/>
                <w:color w:val="auto"/>
                <w:w w:val="91"/>
                <w:vertAlign w:val="superscript"/>
              </w:rPr>
              <w:t>(7)</w:t>
            </w:r>
          </w:p>
        </w:tc>
      </w:tr>
      <w:tr>
        <w:trPr>
          <w:trHeight w:val="223"/>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1420" w:type="dxa"/>
            <w:vAlign w:val="bottom"/>
            <w:gridSpan w:val="2"/>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69.0</w:t>
            </w:r>
          </w:p>
        </w:tc>
      </w:tr>
      <w:tr>
        <w:trPr>
          <w:trHeight w:val="270"/>
        </w:trPr>
        <w:tc>
          <w:tcPr>
            <w:tcW w:w="6200" w:type="dxa"/>
            <w:vAlign w:val="bottom"/>
          </w:tcPr>
          <w:p>
            <w:pPr>
              <w:ind w:left="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3"/>
                <w:szCs w:val="23"/>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(72.4)</w:t>
            </w:r>
          </w:p>
        </w:tc>
      </w:tr>
      <w:tr>
        <w:trPr>
          <w:trHeight w:val="229"/>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Income</w:t>
            </w: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13.2</w:t>
            </w: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Compensation Expense</w:t>
            </w: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w:t>
            </w:r>
          </w:p>
        </w:tc>
      </w:tr>
      <w:tr>
        <w:trPr>
          <w:trHeight w:val="230"/>
        </w:trPr>
        <w:tc>
          <w:tcPr>
            <w:tcW w:w="6200" w:type="dxa"/>
            <w:vAlign w:val="bottom"/>
          </w:tcPr>
          <w:p>
            <w:pPr>
              <w:ind w:left="80"/>
              <w:spacing w:after="0"/>
              <w:rPr>
                <w:sz w:val="20"/>
                <w:szCs w:val="20"/>
                <w:color w:val="auto"/>
              </w:rPr>
            </w:pPr>
            <w:r>
              <w:rPr>
                <w:rFonts w:ascii="Arial" w:cs="Arial" w:eastAsia="Arial" w:hAnsi="Arial"/>
                <w:sz w:val="18"/>
                <w:szCs w:val="18"/>
                <w:color w:val="auto"/>
              </w:rPr>
              <w:t>Gain on asset transactions, net</w:t>
            </w: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Secondary offering expense</w:t>
            </w: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r>
      <w:tr>
        <w:trPr>
          <w:trHeight w:val="270"/>
        </w:trPr>
        <w:tc>
          <w:tcPr>
            <w:tcW w:w="6200" w:type="dxa"/>
            <w:vAlign w:val="bottom"/>
          </w:tcPr>
          <w:p>
            <w:pPr>
              <w:ind w:left="8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3"/>
                <w:szCs w:val="23"/>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0.3</w:t>
            </w:r>
          </w:p>
        </w:tc>
      </w:tr>
      <w:tr>
        <w:trPr>
          <w:trHeight w:val="27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(18.7)</w:t>
            </w:r>
          </w:p>
        </w:tc>
      </w:tr>
      <w:tr>
        <w:trPr>
          <w:trHeight w:val="230"/>
        </w:trPr>
        <w:tc>
          <w:tcPr>
            <w:tcW w:w="620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16.3</w:t>
            </w: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26.8</w:t>
            </w:r>
          </w:p>
        </w:tc>
      </w:tr>
      <w:tr>
        <w:trPr>
          <w:trHeight w:val="223"/>
        </w:trPr>
        <w:tc>
          <w:tcPr>
            <w:tcW w:w="620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1420" w:type="dxa"/>
            <w:vAlign w:val="bottom"/>
            <w:tcBorders>
              <w:bottom w:val="single" w:sz="8" w:color="auto"/>
            </w:tcBorders>
            <w:gridSpan w:val="2"/>
          </w:tcPr>
          <w:p>
            <w:pPr>
              <w:jc w:val="right"/>
              <w:ind w:right="1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38.8</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9"/>
        </w:trPr>
        <w:tc>
          <w:tcPr>
            <w:tcW w:w="6200" w:type="dxa"/>
            <w:vAlign w:val="bottom"/>
          </w:tcPr>
          <w:p>
            <w:pPr>
              <w:ind w:left="80"/>
              <w:spacing w:after="0"/>
              <w:rPr>
                <w:sz w:val="20"/>
                <w:szCs w:val="20"/>
                <w:color w:val="auto"/>
              </w:rPr>
            </w:pPr>
            <w:r>
              <w:rPr>
                <w:rFonts w:ascii="Arial" w:cs="Arial" w:eastAsia="Arial" w:hAnsi="Arial"/>
                <w:sz w:val="18"/>
                <w:szCs w:val="18"/>
                <w:color w:val="auto"/>
              </w:rPr>
              <w:t>Adjusted EBITDA margin</w:t>
            </w: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14.0 %</w:t>
            </w:r>
          </w:p>
        </w:tc>
      </w:tr>
    </w:tbl>
    <w:p>
      <w:pPr>
        <w:spacing w:after="0" w:line="157" w:lineRule="exact"/>
        <w:rPr>
          <w:sz w:val="20"/>
          <w:szCs w:val="20"/>
          <w:color w:val="auto"/>
        </w:rPr>
      </w:pPr>
    </w:p>
    <w:p>
      <w:pPr>
        <w:ind w:left="440" w:hanging="414"/>
        <w:spacing w:after="0"/>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42"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10"/>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TRA liability with our pre-IPO stockholders</w:t>
      </w:r>
    </w:p>
    <w:p>
      <w:pPr>
        <w:spacing w:after="0" w:line="94" w:lineRule="exact"/>
        <w:rPr>
          <w:rFonts w:ascii="Arial" w:cs="Arial" w:eastAsia="Arial" w:hAnsi="Arial"/>
          <w:sz w:val="29"/>
          <w:szCs w:val="29"/>
          <w:color w:val="auto"/>
          <w:vertAlign w:val="superscript"/>
        </w:rPr>
      </w:pPr>
    </w:p>
    <w:p>
      <w:pPr>
        <w:ind w:left="440" w:hanging="414"/>
        <w:spacing w:after="0" w:line="183" w:lineRule="auto"/>
        <w:tabs>
          <w:tab w:leader="none" w:pos="440" w:val="left"/>
        </w:tabs>
        <w:numPr>
          <w:ilvl w:val="0"/>
          <w:numId w:val="10"/>
        </w:numPr>
        <w:rPr>
          <w:rFonts w:ascii="Arial" w:cs="Arial" w:eastAsia="Arial" w:hAnsi="Arial"/>
          <w:sz w:val="20"/>
          <w:szCs w:val="20"/>
          <w:color w:val="auto"/>
          <w:vertAlign w:val="superscript"/>
        </w:rPr>
      </w:pPr>
      <w:r>
        <w:rPr>
          <w:rFonts w:ascii="Arial" w:cs="Arial" w:eastAsia="Arial" w:hAnsi="Arial"/>
          <w:sz w:val="12"/>
          <w:szCs w:val="12"/>
          <w:color w:val="auto"/>
        </w:rPr>
        <w:t>This represents the adjustment to the TRA for the period, which is recorded in Non-Operating Income (Expense)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Page 17</w:t>
      </w:r>
    </w:p>
    <w:p>
      <w:pPr>
        <w:sectPr>
          <w:pgSz w:w="11900" w:h="16838" w:orient="portrait"/>
          <w:cols w:equalWidth="0" w:num="1">
            <w:col w:w="11140"/>
          </w:cols>
          <w:pgMar w:left="320" w:top="1174" w:right="439" w:bottom="1440" w:gutter="0" w:footer="0" w:header="0"/>
        </w:sectPr>
      </w:pPr>
    </w:p>
    <w:bookmarkStart w:id="20" w:name="page21"/>
    <w:bookmarkEnd w:id="20"/>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CASM</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(began in 2020 when we launched our cargo operations), stock based compensation,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derivations of CASM are not determined in accordance with GAAP, such measures are susceptible to varying calculations and not all companies calculate the measures in the same manner. As a result, derivations of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Total operating expense less fuel and special items per block hour is derived by excluding fuel expense and special items from total operating expense. By excluding volatile fuel expenses that are outside of our control from our unit metrics and certain special items that we consider to not be indicative of our ongoing operations, we believe that we have better visibility into the results of operations and our non-fuel cost initiatives.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18</w:t>
      </w:r>
    </w:p>
    <w:p>
      <w:pPr>
        <w:sectPr>
          <w:pgSz w:w="11900" w:h="16838" w:orient="portrait"/>
          <w:cols w:equalWidth="0" w:num="1">
            <w:col w:w="11240"/>
          </w:cols>
          <w:pgMar w:left="320" w:top="1440"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b w:val="1"/>
          <w:bCs w:val="1"/>
          <w:color w:val="auto"/>
        </w:rPr>
        <w:t>Reconciliation of CASM to Adjusted CASM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may not recalculate due to rounding,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234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32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Three Months Ended June 30,</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760" w:type="dxa"/>
            <w:vAlign w:val="bottom"/>
          </w:tcPr>
          <w:p>
            <w:pPr>
              <w:spacing w:after="0"/>
              <w:rPr>
                <w:sz w:val="12"/>
                <w:szCs w:val="12"/>
                <w:color w:val="auto"/>
              </w:rPr>
            </w:pPr>
          </w:p>
        </w:tc>
        <w:tc>
          <w:tcPr>
            <w:tcW w:w="1800" w:type="dxa"/>
            <w:vAlign w:val="bottom"/>
            <w:gridSpan w:val="2"/>
          </w:tcPr>
          <w:p>
            <w:pPr>
              <w:jc w:val="center"/>
              <w:ind w:right="153"/>
              <w:spacing w:after="0" w:line="147"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ASM (cents)</w:t>
            </w:r>
          </w:p>
        </w:tc>
        <w:tc>
          <w:tcPr>
            <w:tcW w:w="1840" w:type="dxa"/>
            <w:vAlign w:val="bottom"/>
            <w:gridSpan w:val="2"/>
          </w:tcPr>
          <w:p>
            <w:pPr>
              <w:jc w:val="center"/>
              <w:ind w:right="193"/>
              <w:spacing w:after="0" w:line="147" w:lineRule="exact"/>
              <w:rPr>
                <w:sz w:val="20"/>
                <w:szCs w:val="20"/>
                <w:color w:val="auto"/>
              </w:rPr>
            </w:pPr>
            <w:r>
              <w:rPr>
                <w:rFonts w:ascii="Arial" w:cs="Arial" w:eastAsia="Arial" w:hAnsi="Arial"/>
                <w:sz w:val="14"/>
                <w:szCs w:val="14"/>
                <w:b w:val="1"/>
                <w:bCs w:val="1"/>
                <w:color w:val="auto"/>
              </w:rPr>
              <w:t>Operating Expenses</w:t>
            </w:r>
          </w:p>
        </w:tc>
        <w:tc>
          <w:tcPr>
            <w:tcW w:w="13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185"/>
        </w:trPr>
        <w:tc>
          <w:tcPr>
            <w:tcW w:w="4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33"/>
              <w:spacing w:after="0"/>
              <w:rPr>
                <w:sz w:val="20"/>
                <w:szCs w:val="20"/>
                <w:color w:val="auto"/>
              </w:rPr>
            </w:pPr>
            <w:r>
              <w:rPr>
                <w:rFonts w:ascii="Arial" w:cs="Arial" w:eastAsia="Arial" w:hAnsi="Arial"/>
                <w:sz w:val="14"/>
                <w:szCs w:val="14"/>
                <w:b w:val="1"/>
                <w:bCs w:val="1"/>
                <w:color w:val="auto"/>
              </w:rPr>
              <w:t>- mm</w:t>
            </w:r>
          </w:p>
        </w:tc>
        <w:tc>
          <w:tcPr>
            <w:tcW w:w="14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73"/>
              <w:spacing w:after="0"/>
              <w:rPr>
                <w:sz w:val="20"/>
                <w:szCs w:val="20"/>
                <w:color w:val="auto"/>
              </w:rPr>
            </w:pPr>
            <w:r>
              <w:rPr>
                <w:rFonts w:ascii="Arial" w:cs="Arial" w:eastAsia="Arial" w:hAnsi="Arial"/>
                <w:sz w:val="14"/>
                <w:szCs w:val="14"/>
                <w:b w:val="1"/>
                <w:bCs w:val="1"/>
                <w:color w:val="auto"/>
              </w:rPr>
              <w:t>- mm</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215.7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99.4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76.9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29.7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0.6</w:t>
            </w:r>
          </w:p>
        </w:tc>
        <w:tc>
          <w:tcPr>
            <w:tcW w:w="13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0.7</w:t>
            </w:r>
          </w:p>
        </w:tc>
        <w:tc>
          <w:tcPr>
            <w:tcW w:w="13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(39.8)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0"/>
        </w:trPr>
        <w:tc>
          <w:tcPr>
            <w:tcW w:w="4760" w:type="dxa"/>
            <w:vAlign w:val="bottom"/>
          </w:tcPr>
          <w:p>
            <w:pPr>
              <w:ind w:left="8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360" w:type="dxa"/>
            <w:vAlign w:val="bottom"/>
          </w:tcPr>
          <w:p>
            <w:pPr>
              <w:spacing w:after="0"/>
              <w:rPr>
                <w:sz w:val="23"/>
                <w:szCs w:val="23"/>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0.1</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21.3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16.2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Sun Country Vacations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0.2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CASM</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116.6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92.4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mm</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1,632.5</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1,442.7</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9"/>
        </w:trPr>
        <w:tc>
          <w:tcPr>
            <w:tcW w:w="4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Six Months Ended June 30,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7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(7)</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800" w:type="dxa"/>
            <w:vAlign w:val="bottom"/>
            <w:gridSpan w:val="2"/>
          </w:tcPr>
          <w:p>
            <w:pPr>
              <w:jc w:val="center"/>
              <w:ind w:right="153"/>
              <w:spacing w:after="0" w:line="142"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ASM (cents)</w:t>
            </w:r>
          </w:p>
        </w:tc>
        <w:tc>
          <w:tcPr>
            <w:tcW w:w="1840" w:type="dxa"/>
            <w:vAlign w:val="bottom"/>
            <w:gridSpan w:val="2"/>
          </w:tcPr>
          <w:p>
            <w:pPr>
              <w:jc w:val="center"/>
              <w:ind w:right="193"/>
              <w:spacing w:after="0" w:line="142" w:lineRule="exact"/>
              <w:rPr>
                <w:sz w:val="20"/>
                <w:szCs w:val="20"/>
                <w:color w:val="auto"/>
              </w:rPr>
            </w:pPr>
            <w:r>
              <w:rPr>
                <w:rFonts w:ascii="Arial" w:cs="Arial" w:eastAsia="Arial" w:hAnsi="Arial"/>
                <w:sz w:val="14"/>
                <w:szCs w:val="14"/>
                <w:b w:val="1"/>
                <w:bCs w:val="1"/>
                <w:color w:val="auto"/>
              </w:rPr>
              <w:t>Operating Expenses</w:t>
            </w:r>
          </w:p>
        </w:tc>
        <w:tc>
          <w:tcPr>
            <w:tcW w:w="13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189"/>
        </w:trPr>
        <w:tc>
          <w:tcPr>
            <w:tcW w:w="4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33"/>
              <w:spacing w:after="0"/>
              <w:rPr>
                <w:sz w:val="20"/>
                <w:szCs w:val="20"/>
                <w:color w:val="auto"/>
              </w:rPr>
            </w:pPr>
            <w:r>
              <w:rPr>
                <w:rFonts w:ascii="Arial" w:cs="Arial" w:eastAsia="Arial" w:hAnsi="Arial"/>
                <w:sz w:val="14"/>
                <w:szCs w:val="14"/>
                <w:b w:val="1"/>
                <w:bCs w:val="1"/>
                <w:color w:val="auto"/>
              </w:rPr>
              <w:t>- mm</w:t>
            </w:r>
          </w:p>
        </w:tc>
        <w:tc>
          <w:tcPr>
            <w:tcW w:w="14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73"/>
              <w:spacing w:after="0"/>
              <w:rPr>
                <w:sz w:val="20"/>
                <w:szCs w:val="20"/>
                <w:color w:val="auto"/>
              </w:rPr>
            </w:pPr>
            <w:r>
              <w:rPr>
                <w:rFonts w:ascii="Arial" w:cs="Arial" w:eastAsia="Arial" w:hAnsi="Arial"/>
                <w:sz w:val="14"/>
                <w:szCs w:val="14"/>
                <w:b w:val="1"/>
                <w:bCs w:val="1"/>
                <w:color w:val="auto"/>
              </w:rPr>
              <w:t>- mm</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420.4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196.4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0"/>
        </w:trPr>
        <w:tc>
          <w:tcPr>
            <w:tcW w:w="4760" w:type="dxa"/>
            <w:vAlign w:val="bottom"/>
          </w:tcPr>
          <w:p>
            <w:pPr>
              <w:ind w:left="8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141.5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54.0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1.5</w:t>
            </w:r>
          </w:p>
        </w:tc>
        <w:tc>
          <w:tcPr>
            <w:tcW w:w="13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3.6</w:t>
            </w:r>
          </w:p>
        </w:tc>
        <w:tc>
          <w:tcPr>
            <w:tcW w:w="134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(72.4)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0"/>
        </w:trPr>
        <w:tc>
          <w:tcPr>
            <w:tcW w:w="4760" w:type="dxa"/>
            <w:vAlign w:val="bottom"/>
          </w:tcPr>
          <w:p>
            <w:pPr>
              <w:ind w:left="80"/>
              <w:spacing w:after="0"/>
              <w:rPr>
                <w:sz w:val="20"/>
                <w:szCs w:val="20"/>
                <w:color w:val="auto"/>
              </w:rPr>
            </w:pPr>
            <w:r>
              <w:rPr>
                <w:rFonts w:ascii="Arial" w:cs="Arial" w:eastAsia="Arial" w:hAnsi="Arial"/>
                <w:sz w:val="18"/>
                <w:szCs w:val="18"/>
                <w:color w:val="auto"/>
              </w:rPr>
              <w:t xml:space="preserve">Tax Receivable Agreement expense </w:t>
            </w:r>
            <w:r>
              <w:rPr>
                <w:rFonts w:ascii="Arial" w:cs="Arial" w:eastAsia="Arial" w:hAnsi="Arial"/>
                <w:sz w:val="23"/>
                <w:szCs w:val="23"/>
                <w:color w:val="auto"/>
                <w:vertAlign w:val="superscript"/>
              </w:rPr>
              <w:t>(2)</w:t>
            </w:r>
          </w:p>
        </w:tc>
        <w:tc>
          <w:tcPr>
            <w:tcW w:w="360" w:type="dxa"/>
            <w:vAlign w:val="bottom"/>
          </w:tcPr>
          <w:p>
            <w:pPr>
              <w:spacing w:after="0"/>
              <w:rPr>
                <w:sz w:val="23"/>
                <w:szCs w:val="23"/>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0.3</w:t>
            </w: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33.4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Sun Country Vacations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0.6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CASM</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236.3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177.1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mm</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3,560.7</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2,819.5</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40" w:hanging="414"/>
        <w:spacing w:after="0"/>
        <w:tabs>
          <w:tab w:leader="none" w:pos="4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special items table above for more details</w:t>
      </w:r>
    </w:p>
    <w:p>
      <w:pPr>
        <w:spacing w:after="0" w:line="42" w:lineRule="exact"/>
        <w:rPr>
          <w:rFonts w:ascii="Arial" w:cs="Arial" w:eastAsia="Arial" w:hAnsi="Arial"/>
          <w:sz w:val="14"/>
          <w:szCs w:val="14"/>
          <w:color w:val="auto"/>
        </w:rPr>
      </w:pPr>
    </w:p>
    <w:p>
      <w:pPr>
        <w:ind w:left="440" w:hanging="414"/>
        <w:spacing w:after="0" w:line="184" w:lineRule="auto"/>
        <w:tabs>
          <w:tab w:leader="none" w:pos="440" w:val="left"/>
        </w:tabs>
        <w:numPr>
          <w:ilvl w:val="0"/>
          <w:numId w:val="11"/>
        </w:numPr>
        <w:rPr>
          <w:rFonts w:ascii="Arial" w:cs="Arial" w:eastAsia="Arial" w:hAnsi="Arial"/>
          <w:sz w:val="29"/>
          <w:szCs w:val="29"/>
          <w:color w:val="auto"/>
          <w:vertAlign w:val="superscript"/>
        </w:rPr>
      </w:pPr>
      <w:r>
        <w:rPr>
          <w:rFonts w:ascii="Arial" w:cs="Arial" w:eastAsia="Arial" w:hAnsi="Arial"/>
          <w:sz w:val="14"/>
          <w:szCs w:val="14"/>
          <w:color w:val="auto"/>
        </w:rPr>
        <w:t>This represents the one-time costs to establish the TRA liability with our pre-IPO stockholders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19</w:t>
      </w:r>
    </w:p>
    <w:sectPr>
      <w:pgSz w:w="11900" w:h="16838" w:orient="portrait"/>
      <w:cols w:equalWidth="0" w:num="1">
        <w:col w:w="11220"/>
      </w:cols>
      <w:pgMar w:left="320" w:top="13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6"/>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2022-08-09T03:13:56Z</dcterms:created>
  <dcterms:modified xsi:type="dcterms:W3CDTF">2022-08-09T03:13:56Z</dcterms:modified>
</cp:coreProperties>
</file>