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950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 may be changed. This prospectus supplement and the accompanying prospectus are not an offer to sell these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in any jurisdiction where the offer or sale is not permitted.</w:t>
            </w:r>
          </w:p>
        </w:tc>
      </w:tr>
      <w:tr>
        <w:trPr>
          <w:trHeight w:val="8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supplement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to buy these</w:t>
            </w:r>
          </w:p>
        </w:tc>
      </w:tr>
      <w:tr>
        <w:trPr>
          <w:trHeight w:val="122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w:t>
            </w:r>
          </w:p>
        </w:tc>
      </w:tr>
      <w:tr>
        <w:trPr>
          <w:trHeight w:val="81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they are not</w:t>
            </w:r>
          </w:p>
        </w:tc>
      </w:tr>
      <w:tr>
        <w:trPr>
          <w:trHeight w:val="290"/>
        </w:trPr>
        <w:tc>
          <w:tcPr>
            <w:tcW w:w="300" w:type="dxa"/>
            <w:vAlign w:val="bottom"/>
            <w:gridSpan w:val="2"/>
            <w:textDirection w:val="btLr"/>
          </w:tcPr>
          <w:p>
            <w:pPr>
              <w:ind w:left="197"/>
              <w:spacing w:after="0"/>
              <w:rPr>
                <w:sz w:val="20"/>
                <w:szCs w:val="20"/>
                <w:color w:val="auto"/>
              </w:rPr>
            </w:pPr>
            <w:r>
              <w:rPr>
                <w:rFonts w:ascii="Arial" w:cs="Arial" w:eastAsia="Arial" w:hAnsi="Arial"/>
                <w:sz w:val="9"/>
                <w:szCs w:val="9"/>
                <w:b w:val="1"/>
                <w:bCs w:val="1"/>
                <w:color w:val="FC0014"/>
                <w:w w:val="74"/>
              </w:rPr>
              <w:t>Theand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333-269023​</w:t>
      </w:r>
    </w:p>
    <w:p>
      <w:pPr>
        <w:spacing w:after="0" w:line="7"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FC0014"/>
        </w:rPr>
        <w:t>Subject to Completion, dated February 15, 2023</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January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1773555</wp:posOffset>
            </wp:positionH>
            <wp:positionV relativeFrom="paragraph">
              <wp:posOffset>81915</wp:posOffset>
            </wp:positionV>
            <wp:extent cx="222885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5,250,000 Shares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135890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8" w:lineRule="exact"/>
        <w:rPr>
          <w:sz w:val="24"/>
          <w:szCs w:val="24"/>
          <w:color w:val="auto"/>
        </w:rPr>
      </w:pPr>
    </w:p>
    <w:p>
      <w:pPr>
        <w:ind w:right="120" w:firstLine="360"/>
        <w:spacing w:after="0" w:line="243" w:lineRule="auto"/>
        <w:rPr>
          <w:sz w:val="20"/>
          <w:szCs w:val="20"/>
          <w:color w:val="auto"/>
        </w:rPr>
      </w:pPr>
      <w:r>
        <w:rPr>
          <w:rFonts w:ascii="Times New Roman" w:cs="Times New Roman" w:eastAsia="Times New Roman" w:hAnsi="Times New Roman"/>
          <w:sz w:val="17"/>
          <w:szCs w:val="17"/>
          <w:color w:val="auto"/>
        </w:rPr>
        <w:t>The information included or incorporated by reference in this prospectus supplement relates to the resale of an aggregate of 5,250,000 shares of common stock of Sun Country Airlines Holdings, Inc., a Delaware corporation, by SCA Horus Holdings, LLC, or the selling stockholder. In addition, the selling stockholder has granted the underwriter an option to purchase up to an additional 787,500 shares of common stock.</w:t>
      </w:r>
    </w:p>
    <w:p>
      <w:pPr>
        <w:spacing w:after="0" w:line="45" w:lineRule="exact"/>
        <w:rPr>
          <w:sz w:val="24"/>
          <w:szCs w:val="24"/>
          <w:color w:val="auto"/>
        </w:rPr>
      </w:pPr>
    </w:p>
    <w:p>
      <w:pPr>
        <w:ind w:right="120" w:firstLine="360"/>
        <w:spacing w:after="0" w:line="264" w:lineRule="auto"/>
        <w:rPr>
          <w:sz w:val="20"/>
          <w:szCs w:val="20"/>
          <w:color w:val="auto"/>
        </w:rPr>
      </w:pPr>
      <w:r>
        <w:rPr>
          <w:rFonts w:ascii="Times New Roman" w:cs="Times New Roman" w:eastAsia="Times New Roman" w:hAnsi="Times New Roman"/>
          <w:sz w:val="17"/>
          <w:szCs w:val="17"/>
          <w:color w:val="auto"/>
        </w:rPr>
        <w:t>Our shares of common stock are listed on the Nasdaq Global Select Market, or “Nasdaq,” under the symbol “SNCY.” On February 14, 2023, the last reported sale price per share of our common stock on Nasdaq was $20.95.</w:t>
      </w:r>
    </w:p>
    <w:p>
      <w:pPr>
        <w:spacing w:after="0" w:line="4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We will not receive any of the proceeds from the sale of the shares of common stock by the selling stockholder.</w:t>
      </w:r>
    </w:p>
    <w:p>
      <w:pPr>
        <w:spacing w:after="0" w:line="88" w:lineRule="exact"/>
        <w:rPr>
          <w:sz w:val="24"/>
          <w:szCs w:val="24"/>
          <w:color w:val="auto"/>
        </w:rPr>
      </w:pPr>
    </w:p>
    <w:p>
      <w:pPr>
        <w:ind w:right="100" w:firstLine="360"/>
        <w:spacing w:after="0" w:line="239" w:lineRule="auto"/>
        <w:rPr>
          <w:sz w:val="20"/>
          <w:szCs w:val="20"/>
          <w:color w:val="auto"/>
        </w:rPr>
      </w:pPr>
      <w:r>
        <w:rPr>
          <w:rFonts w:ascii="Times New Roman" w:cs="Times New Roman" w:eastAsia="Times New Roman" w:hAnsi="Times New Roman"/>
          <w:sz w:val="17"/>
          <w:szCs w:val="17"/>
          <w:color w:val="auto"/>
        </w:rPr>
        <w:t>Subject to the completion of this offering, the underwriter has reserved up to 750,000 of the shares of common stock that are the subject of this offering for repurchase by us at a price per share equal to the price at which the underwriter will purchase the shares from the selling stockholder in this offering, subject to a maximum aggregate repurchase price of</w:t>
      </w:r>
    </w:p>
    <w:p>
      <w:pPr>
        <w:spacing w:after="0" w:line="1" w:lineRule="exact"/>
        <w:rPr>
          <w:sz w:val="24"/>
          <w:szCs w:val="24"/>
          <w:color w:val="auto"/>
        </w:rPr>
      </w:pPr>
    </w:p>
    <w:p>
      <w:pPr>
        <w:ind w:right="100"/>
        <w:spacing w:after="0" w:line="235" w:lineRule="auto"/>
        <w:rPr>
          <w:sz w:val="20"/>
          <w:szCs w:val="20"/>
          <w:color w:val="auto"/>
        </w:rPr>
      </w:pPr>
      <w:r>
        <w:rPr>
          <w:rFonts w:ascii="Times New Roman" w:cs="Times New Roman" w:eastAsia="Times New Roman" w:hAnsi="Times New Roman"/>
          <w:sz w:val="17"/>
          <w:szCs w:val="17"/>
          <w:color w:val="auto"/>
        </w:rPr>
        <w:t>$15.0 million. Assuming that the underwriter purchases the shares of common stock that are the subject of this offering from the selling shareholder at a price of $20.95 per share, which was the last reported sale price per share of our common stock on Nasdaq on February 14, 2023, we expect to repurchase 715,990 shares of our common stock from the underwriter as part of this offering. The underwriter will not receive any compensation for the shares of our common stock being repurchased by us. The repurchase would be made pursuant to our existing $50.0 million stock repurchase program announced during the fourth quarter of 2022. See “</w:t>
      </w:r>
      <w:r>
        <w:rPr>
          <w:rFonts w:ascii="Times New Roman" w:cs="Times New Roman" w:eastAsia="Times New Roman" w:hAnsi="Times New Roman"/>
          <w:sz w:val="17"/>
          <w:szCs w:val="17"/>
          <w:i w:val="1"/>
          <w:iCs w:val="1"/>
          <w:color w:val="auto"/>
        </w:rPr>
        <w:t>Concurrent Share Repurchase</w:t>
      </w:r>
      <w:r>
        <w:rPr>
          <w:rFonts w:ascii="Times New Roman" w:cs="Times New Roman" w:eastAsia="Times New Roman" w:hAnsi="Times New Roman"/>
          <w:sz w:val="17"/>
          <w:szCs w:val="17"/>
          <w:color w:val="auto"/>
        </w:rPr>
        <w:t>.”</w:t>
      </w:r>
    </w:p>
    <w:p>
      <w:pPr>
        <w:spacing w:after="0" w:line="62" w:lineRule="exact"/>
        <w:rPr>
          <w:sz w:val="24"/>
          <w:szCs w:val="24"/>
          <w:color w:val="auto"/>
        </w:rPr>
      </w:pPr>
    </w:p>
    <w:p>
      <w:pPr>
        <w:ind w:right="300" w:firstLine="360"/>
        <w:spacing w:after="0" w:line="264"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and are eligible for reduced public company reporting requirements.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By participating in this offering, you are representing that you are a citizen of the United States, as defined in 49 U.S.C.</w:t>
      </w:r>
    </w:p>
    <w:p>
      <w:pPr>
        <w:spacing w:after="0" w:line="12" w:lineRule="exact"/>
        <w:rPr>
          <w:sz w:val="24"/>
          <w:szCs w:val="24"/>
          <w:color w:val="auto"/>
        </w:rPr>
      </w:pPr>
    </w:p>
    <w:p>
      <w:pPr>
        <w:ind w:right="80"/>
        <w:spacing w:after="0" w:line="242" w:lineRule="auto"/>
        <w:tabs>
          <w:tab w:leader="none" w:pos="1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40102(a)(15). See “</w:t>
      </w:r>
      <w:r>
        <w:rPr>
          <w:rFonts w:ascii="Times New Roman" w:cs="Times New Roman" w:eastAsia="Times New Roman" w:hAnsi="Times New Roman"/>
          <w:sz w:val="17"/>
          <w:szCs w:val="17"/>
          <w:i w:val="1"/>
          <w:iCs w:val="1"/>
          <w:color w:val="auto"/>
        </w:rPr>
        <w:t>Description of Capital Stock — Limited Ownership and Voting by Foreign Owners</w:t>
      </w:r>
      <w:r>
        <w:rPr>
          <w:rFonts w:ascii="Times New Roman" w:cs="Times New Roman" w:eastAsia="Times New Roman" w:hAnsi="Times New Roman"/>
          <w:sz w:val="17"/>
          <w:szCs w:val="17"/>
          <w:color w:val="auto"/>
        </w:rPr>
        <w:t>” in the accompanying prospectus.</w:t>
      </w:r>
    </w:p>
    <w:p>
      <w:pPr>
        <w:spacing w:after="0" w:line="54" w:lineRule="exact"/>
        <w:rPr>
          <w:sz w:val="24"/>
          <w:szCs w:val="24"/>
          <w:color w:val="auto"/>
        </w:rPr>
      </w:pPr>
    </w:p>
    <w:p>
      <w:pPr>
        <w:ind w:right="340"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Investing in the common stock involves risks that are described in the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section beginning on page </w:t>
      </w:r>
      <w:r>
        <w:rPr>
          <w:rFonts w:ascii="Times New Roman" w:cs="Times New Roman" w:eastAsia="Times New Roman" w:hAnsi="Times New Roman"/>
          <w:sz w:val="17"/>
          <w:szCs w:val="17"/>
          <w:b w:val="1"/>
          <w:bCs w:val="1"/>
          <w:u w:val="single" w:color="auto"/>
          <w:color w:val="0000EE"/>
        </w:rPr>
        <w:t>S-4</w:t>
      </w:r>
      <w:r>
        <w:rPr>
          <w:rFonts w:ascii="Times New Roman" w:cs="Times New Roman" w:eastAsia="Times New Roman" w:hAnsi="Times New Roman"/>
          <w:sz w:val="17"/>
          <w:szCs w:val="17"/>
          <w:b w:val="1"/>
          <w:bCs w:val="1"/>
          <w:color w:val="auto"/>
        </w:rPr>
        <w:t xml:space="preserve"> of this prospectus supplement and in the documents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87630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8" w:lineRule="exact"/>
        <w:rPr>
          <w:sz w:val="24"/>
          <w:szCs w:val="24"/>
          <w:color w:val="auto"/>
        </w:rPr>
      </w:pPr>
    </w:p>
    <w:p>
      <w:pPr>
        <w:ind w:right="40" w:firstLine="360"/>
        <w:spacing w:after="0"/>
        <w:rPr>
          <w:sz w:val="20"/>
          <w:szCs w:val="20"/>
          <w:color w:val="auto"/>
        </w:rPr>
      </w:pPr>
      <w:r>
        <w:rPr>
          <w:rFonts w:ascii="Times New Roman" w:cs="Times New Roman" w:eastAsia="Times New Roman" w:hAnsi="Times New Roman"/>
          <w:sz w:val="17"/>
          <w:szCs w:val="17"/>
          <w:color w:val="auto"/>
        </w:rPr>
        <w:t>The underwriter has agreed to purchase the shares of common stock at a price of $            per share, which will result in approximately $            of net proceeds (before deducting expenses) to the selling stockholder (or approximately $            if the underwriter’s option to purchase additional shares is exercised in full). The underwriter may offer the shares of common stock from time to time for sale directly or through agents, or through brokers in one or more brokerage transactions on Nasdaq, or to dealers in negotiated transactions or in a combination of such methods of sale, at a fixed price or prices, which may be changed, or at market prices prevailing at the time of sale, at prices related to prevailing market prices or at negotiated prices, subject to its right to reject any order in whole or in part. See “</w:t>
      </w:r>
      <w:r>
        <w:rPr>
          <w:rFonts w:ascii="Times New Roman" w:cs="Times New Roman" w:eastAsia="Times New Roman" w:hAnsi="Times New Roman"/>
          <w:sz w:val="17"/>
          <w:szCs w:val="17"/>
          <w:i w:val="1"/>
          <w:iCs w:val="1"/>
          <w:color w:val="auto"/>
        </w:rPr>
        <w:t>Underwriting</w:t>
      </w:r>
      <w:r>
        <w:rPr>
          <w:rFonts w:ascii="Times New Roman" w:cs="Times New Roman" w:eastAsia="Times New Roman" w:hAnsi="Times New Roman"/>
          <w:sz w:val="17"/>
          <w:szCs w:val="17"/>
          <w:color w:val="auto"/>
        </w:rPr>
        <w:t>”. The underwriter may exercise its option to purchase up to an additional 787,500 shares from the selling stockholder at the price set forth above for 30 days after the date of this prospectus supplement.</w:t>
      </w:r>
    </w:p>
    <w:p>
      <w:pPr>
        <w:spacing w:after="0" w:line="228" w:lineRule="exact"/>
        <w:rPr>
          <w:sz w:val="24"/>
          <w:szCs w:val="24"/>
          <w:color w:val="auto"/>
        </w:rPr>
      </w:pPr>
    </w:p>
    <w:p>
      <w:pPr>
        <w:ind w:right="60" w:firstLine="360"/>
        <w:spacing w:after="0" w:line="269" w:lineRule="auto"/>
        <w:rPr>
          <w:sz w:val="20"/>
          <w:szCs w:val="20"/>
          <w:color w:val="auto"/>
        </w:rPr>
      </w:pPr>
      <w:r>
        <w:rPr>
          <w:rFonts w:ascii="Times New Roman" w:cs="Times New Roman" w:eastAsia="Times New Roman" w:hAnsi="Times New Roman"/>
          <w:sz w:val="17"/>
          <w:szCs w:val="17"/>
          <w:color w:val="auto"/>
        </w:rPr>
        <w:t>References to “underwriter” in this prospectus supplement refer to each underwriter named in the “</w:t>
      </w:r>
      <w:r>
        <w:rPr>
          <w:rFonts w:ascii="Times New Roman" w:cs="Times New Roman" w:eastAsia="Times New Roman" w:hAnsi="Times New Roman"/>
          <w:sz w:val="17"/>
          <w:szCs w:val="17"/>
          <w:i w:val="1"/>
          <w:iCs w:val="1"/>
          <w:color w:val="auto"/>
        </w:rPr>
        <w:t>Underwriting</w:t>
      </w:r>
      <w:r>
        <w:rPr>
          <w:rFonts w:ascii="Times New Roman" w:cs="Times New Roman" w:eastAsia="Times New Roman" w:hAnsi="Times New Roman"/>
          <w:sz w:val="17"/>
          <w:szCs w:val="17"/>
          <w:color w:val="auto"/>
        </w:rPr>
        <w:t>” section of this prospectus supplement.</w:t>
      </w:r>
    </w:p>
    <w:p>
      <w:pPr>
        <w:spacing w:after="0" w:line="21" w:lineRule="exact"/>
        <w:rPr>
          <w:sz w:val="24"/>
          <w:szCs w:val="24"/>
          <w:color w:val="auto"/>
        </w:rPr>
      </w:pPr>
    </w:p>
    <w:p>
      <w:pPr>
        <w:ind w:right="20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5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The shares will be ready for delivery on or about 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172720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200" w:lineRule="exact"/>
        <w:rPr>
          <w:sz w:val="24"/>
          <w:szCs w:val="24"/>
          <w:color w:val="auto"/>
        </w:rPr>
      </w:pPr>
    </w:p>
    <w:p>
      <w:pPr>
        <w:sectPr>
          <w:pgSz w:w="11900" w:h="16838" w:orient="portrait"/>
          <w:cols w:equalWidth="0" w:num="2">
            <w:col w:w="740" w:space="400"/>
            <w:col w:w="9140"/>
          </w:cols>
          <w:pgMar w:left="580" w:top="205" w:right="1039" w:bottom="1440" w:gutter="0" w:footer="0" w:header="0"/>
          <w:type w:val="continuous"/>
        </w:sectPr>
      </w:pPr>
    </w:p>
    <w:p>
      <w:pPr>
        <w:spacing w:after="0" w:line="1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68065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right="1100"/>
        <w:spacing w:after="0" w:line="313" w:lineRule="auto"/>
        <w:rPr>
          <w:sz w:val="20"/>
          <w:szCs w:val="20"/>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MATERIAL U.S. FEDERAL INCOME TAX CONSIDERATIONS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contains specific information about the selling stockholder and the terms on which the selling stockholder is offering and selling shares of our common stock. The second part is the accompanying prospectus, which gives more general information, some of which may not apply to this offering.</w:t>
      </w:r>
    </w:p>
    <w:p>
      <w:pPr>
        <w:spacing w:after="0" w:line="104"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w:t>
      </w:r>
    </w:p>
    <w:p>
      <w:pPr>
        <w:spacing w:after="0" w:line="117"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To understand the terms of the securities offered by this prospectus supplement, you should carefully read this prospectus supplement and the accompanying prospectus.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w:t>
      </w:r>
    </w:p>
    <w:p>
      <w:pPr>
        <w:spacing w:after="0" w:line="10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References to “Apollo” refer to Apollo Global Management, Inc. and its subsidiaries. References to the “Apollo Stockholder” refer to SCA Horus Holdings, LLC. References to “Apollo Funds” refer to certain investment funds managed by affiliates of Apollo.</w:t>
      </w:r>
    </w:p>
    <w:p>
      <w:pPr>
        <w:spacing w:after="0" w:line="280" w:lineRule="exact"/>
        <w:rPr>
          <w:sz w:val="20"/>
          <w:szCs w:val="20"/>
          <w:color w:val="auto"/>
        </w:rPr>
      </w:pPr>
    </w:p>
    <w:p>
      <w:pPr>
        <w:ind w:left="1260" w:right="51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107"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Neither we, the selling stockholder or the underwriter have authorized anyone to provide you with information or to make any representations about anything not contained in this prospectus supplement, the accompanying prospectus or the documents incorporated by reference in this prospectus supplement. We can provide no assurance as to the reliability of any other information.</w:t>
      </w:r>
    </w:p>
    <w:p>
      <w:pPr>
        <w:spacing w:after="0" w:line="104" w:lineRule="exact"/>
        <w:rPr>
          <w:sz w:val="20"/>
          <w:szCs w:val="20"/>
          <w:color w:val="auto"/>
        </w:rPr>
      </w:pPr>
    </w:p>
    <w:p>
      <w:pPr>
        <w:ind w:left="1260" w:right="579" w:firstLine="360"/>
        <w:spacing w:after="0" w:line="238"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and sale of the common stock in certain jurisdictions may be restricted by law. We require persons into whose possession this prospectus supplement and the accompanying prospectus come to inform themselves about and to observe any such restrictions. This prospectus supplement and the accompanying prospectus do not constitute an offer of, or an invitation to purchase, any of the common stock in any jurisdiction in which such offer or invitation would be unlawful.</w:t>
      </w:r>
    </w:p>
    <w:p>
      <w:pPr>
        <w:spacing w:after="0" w:line="1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1260" w:right="579" w:firstLine="360"/>
        <w:spacing w:after="0" w:line="235" w:lineRule="auto"/>
        <w:rPr>
          <w:sz w:val="20"/>
          <w:szCs w:val="20"/>
          <w:color w:val="auto"/>
        </w:rPr>
      </w:pPr>
      <w:r>
        <w:rPr>
          <w:rFonts w:ascii="Times New Roman" w:cs="Times New Roman" w:eastAsia="Times New Roman" w:hAnsi="Times New Roman"/>
          <w:sz w:val="18"/>
          <w:szCs w:val="18"/>
          <w:color w:val="auto"/>
        </w:rPr>
        <w:t>In this prospectus supplement, we “incorporate by reference” certain information that we file with the SEC, which means that we can disclose important information to you by referring you to that information. The information we incorporate by reference is an important part of this prospectus supplement and the accompanying prospectus, and later information that we file with the SEC will automatically update and supersede this information. The following documents have been filed by us with the SEC and are incorporated by reference into this prospectus supplement and the accompanying prospectus:</w:t>
      </w:r>
    </w:p>
    <w:p>
      <w:pPr>
        <w:spacing w:after="0" w:line="80" w:lineRule="exact"/>
        <w:rPr>
          <w:sz w:val="20"/>
          <w:szCs w:val="20"/>
          <w:color w:val="auto"/>
        </w:rPr>
      </w:pPr>
    </w:p>
    <w:p>
      <w:pPr>
        <w:ind w:left="1800" w:right="6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2022, filed with the SEC on February 15, 2023 (the “2022 Annual Report”);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6">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000EE"/>
          </w:rPr>
          <w:t>February 6, 2023</w:t>
        </w:r>
      </w:hyperlink>
      <w:r>
        <w:rPr>
          <w:rFonts w:ascii="Times New Roman" w:cs="Times New Roman" w:eastAsia="Times New Roman" w:hAnsi="Times New Roman"/>
          <w:sz w:val="18"/>
          <w:szCs w:val="18"/>
          <w:color w:val="auto"/>
        </w:rPr>
        <w:t>; and</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2"/>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description.</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389" w:lineRule="exact"/>
        <w:rPr>
          <w:rFonts w:ascii="Times New Roman" w:cs="Times New Roman" w:eastAsia="Times New Roman" w:hAnsi="Times New Roman"/>
          <w:sz w:val="18"/>
          <w:szCs w:val="18"/>
          <w:u w:val="single" w:color="auto"/>
          <w:color w:val="0000EE"/>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supplement until the completion of the offering under this prospectus supplement shall be deemed to be incorporated in this prospectus supplement and the accompanying prospectus by reference. The information contained on or accessible through our website at www.suncountry.com is not incorporated into this prospectus supplement or the accompanying prospectus.</w:t>
      </w:r>
    </w:p>
    <w:p>
      <w:pPr>
        <w:spacing w:after="0" w:line="120"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Sun Country Airlines Holdings, Inc. at the following address:</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2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the accompanying prospectus or any free writing prospectus that we authorize or any documents incorporated by reference is accurate as of any date other than the date of the applicable document.</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8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with respect to the shares of common stock being sold in this offering. This prospectus supplement and the accompanying prospectus constitute a part of that registration statement. This prospectus supplement and the accompanying prospectus do not contain all the information set forth in the registration statement and the exhibits and schedules to the registration statement, because some parts have been omitted in accordance with the rules and regulations of the SEC. For further information with respect to us and our shares of common stock being sold in this offering, you should refer to the registration statement and the exhibits and schedules filed as part of the registration statement. Statements contained in this prospectus supplement and the accompanying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read and obtain a copy of the registration statement without charge at the SEC’s website. The SEC’s website address is www.sec.gov.</w:t>
      </w:r>
    </w:p>
    <w:p>
      <w:pPr>
        <w:spacing w:after="0" w:line="325"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supplement, the accompanying prospectus or the registration statement of which this prospectus supplement forms a part, and you should not rely on any such information in making your decision whether to purchase our shares of common stock.</w:t>
      </w:r>
    </w:p>
    <w:p>
      <w:pPr>
        <w:spacing w:after="0" w:line="200" w:lineRule="exact"/>
        <w:rPr>
          <w:sz w:val="20"/>
          <w:szCs w:val="20"/>
          <w:color w:val="auto"/>
        </w:rPr>
      </w:pPr>
    </w:p>
    <w:p>
      <w:pPr>
        <w:spacing w:after="0" w:line="3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supplement and the accompanying prospectus, including statements regarding our strategy, future operations, future financial position, future revenue, projected costs, prospects, plans, objectives of management, and expected market growth are forward-looking statements.</w:t>
      </w:r>
    </w:p>
    <w:p>
      <w:pPr>
        <w:spacing w:after="0" w:line="32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effects, including variants, travel restrictions, social distancing measures and decreased demand for air travel;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inflationary pressures;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aircraft fuel and our ability to control other costs;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or security concerns, including the unauthorized use, incursion or breach of our information technology and other cybersecurity risks;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operate in an exceedingly competitive industry;</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adverse weather, federal government shutdowns, aircraft-type groundings, increased security measures or outbreaks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or increased taxes applicable to charges for ancillary products and services;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the Minneapolis-St. Paul market and the concentration of our cargo business with amazon.com Services, Inc. (together with its affiliates, “Amazon”);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presence in international markets;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including regulation to reduce emissions of greenhouse gases;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our ability to attract and retain qualified personnel, including but not limited to, pilots and technicians, at a reasonable cost or maintain our company culture;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and third-party technology and systems;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insurance costs or reductions in insurance coverage;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those included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2022 Annual Report.</w:t>
      </w:r>
    </w:p>
    <w:p>
      <w:pPr>
        <w:spacing w:after="0" w:line="10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These forward-looking statements reflect our views, estimates and assumptions with respect to future events as of the date of this prospectus supplement and the accompanying prospectus, as applicable, and are based on assumptions and subject to risks and uncertainties. Given these uncertainties, you should not place undue reliance on these forward- looking statements. Except as required by law, we undertake no obligation to update or review publicly any forward-looking statements, whether as a result of new information, future events or otherwise after the date of this prospectus supplement. We anticipate that subsequent events and developments will cause our views to change. You should read this prospectus supplement, the accompanying prospectus, the documents incorporated by reference herein and therein and the documents filed as exhibits to the registration statement, of which this prospectus supplement is a part, completely and with the understanding that our actual future results may be materially different from</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supplement and the documents incorporated by reference herein reference to our trademarks, trade names and service marks. Solely for convenience, trademarks and trade names referred to and incorporated by reference in this prospectus supplement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include and incorporate by reference in this prospectus supplement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and incorporated by reference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and incorporated by reference herein, our estimates involve risks and uncertainties and are subject to change based on various factors, including those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in the documents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about us and about this offering that is contained elsewhere in this prospectus supplement, the accompanying prospectus or the documents that are incorporated by reference herein. It does not contain all of the information that is important to you and your investment decision. Before you make an investment decision, you should review this entire prospectus supplement, the accompanying prospectus and the documents incorporated by reference herein and therein, including the sections entitled “Risk Factors” in this prospectus supplement, the accompanying prospectus and in the 2022 Annual Report. Some of the statements in the following summary constitute forward-looking statements. See “Cautionary Note Regarding Forward-Looking Statements.”</w:t>
      </w:r>
    </w:p>
    <w:p>
      <w:pPr>
        <w:spacing w:after="0" w:line="18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passengers, charter customers, and providing crew, maintenance and insurance service to Amazon,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06"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2022, we operated a fleet of 54 Boeing 737-NG aircraft. This includes 42 aircraft in the passenger fleet and 12 cargo operated aircraft through the Air Transportation Services Agreement (the “ATSA”) with Amazon. This fleet is managed through our two reportable segments: Passenger, which includes both Scheduled Service and Charter, and Cargo.</w:t>
      </w:r>
    </w:p>
    <w:p>
      <w:pPr>
        <w:spacing w:after="0" w:line="17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resale of 5,250,000 shares of our common stock by the selling stockholder (or 6,037,500 shares if the underwriter’s option to purchase additional shares is exercised in full). The shares to be sold by the selling stockholder in this offering represent approximately 9.2% of our outstanding shares of common stock prior to giving effect to this offering (or approximately 10.5% if the underwriter’s option to purchase additional shares is exercised in full). After this offering, the selling stockholder will beneficially own an aggregate of 19,619,997 shares of common stock (or 18,832,497 shares if the underwriter’s option to purchase additional shares is exercised in full), which represents approximately 34.7% of our outstanding shares of common stock after giving effect to this offering (or approximately 33.3% if the underwriter’s option to purchase additional shares is exercised in full).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05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w:t>
      </w:r>
    </w:p>
    <w:p>
      <w:pPr>
        <w:spacing w:after="0" w:line="16" w:lineRule="exact"/>
        <w:rPr>
          <w:sz w:val="20"/>
          <w:szCs w:val="20"/>
          <w:color w:val="auto"/>
        </w:rPr>
      </w:pPr>
    </w:p>
    <w:p>
      <w:pPr>
        <w:ind w:left="1280" w:right="439"/>
        <w:spacing w:after="0" w:line="258" w:lineRule="auto"/>
        <w:rPr>
          <w:sz w:val="20"/>
          <w:szCs w:val="20"/>
          <w:color w:val="auto"/>
        </w:rPr>
      </w:pPr>
      <w:r>
        <w:rPr>
          <w:rFonts w:ascii="Times New Roman" w:cs="Times New Roman" w:eastAsia="Times New Roman" w:hAnsi="Times New Roman"/>
          <w:sz w:val="18"/>
          <w:szCs w:val="18"/>
          <w:color w:val="auto"/>
        </w:rPr>
        <w:t>defined in 49 U.S.C. § 40102(a)(15). See “</w:t>
      </w:r>
      <w:r>
        <w:rPr>
          <w:rFonts w:ascii="Times New Roman" w:cs="Times New Roman" w:eastAsia="Times New Roman" w:hAnsi="Times New Roman"/>
          <w:sz w:val="18"/>
          <w:szCs w:val="18"/>
          <w:i w:val="1"/>
          <w:iCs w:val="1"/>
          <w:color w:val="auto"/>
        </w:rPr>
        <w:t>Description of Capital Stock — Limited Ownership and Voting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Owners</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9879"/>
          </w:cols>
          <w:pgMar w:left="580" w:top="97" w:right="1440" w:bottom="1440" w:gutter="0" w:footer="0" w:header="0"/>
        </w:sectPr>
      </w:pPr>
    </w:p>
    <w:p>
      <w:pPr>
        <w:spacing w:after="0" w:line="61" w:lineRule="exact"/>
        <w:rPr>
          <w:sz w:val="20"/>
          <w:szCs w:val="20"/>
          <w:color w:val="auto"/>
        </w:rPr>
      </w:pPr>
    </w:p>
    <w:p>
      <w:pPr>
        <w:ind w:left="1460" w:right="16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offered for resale by the selling stockholder in this offering</w:t>
      </w:r>
    </w:p>
    <w:p>
      <w:pPr>
        <w:spacing w:after="0" w:line="200" w:lineRule="exact"/>
        <w:rPr>
          <w:sz w:val="20"/>
          <w:szCs w:val="20"/>
          <w:color w:val="auto"/>
        </w:rPr>
      </w:pPr>
    </w:p>
    <w:p>
      <w:pPr>
        <w:spacing w:after="0" w:line="300" w:lineRule="exact"/>
        <w:rPr>
          <w:sz w:val="20"/>
          <w:szCs w:val="20"/>
          <w:color w:val="auto"/>
        </w:rPr>
      </w:pPr>
    </w:p>
    <w:p>
      <w:pPr>
        <w:ind w:left="1460" w:right="6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to be outstanding upon completion of this offering</w:t>
      </w:r>
    </w:p>
    <w:p>
      <w:pPr>
        <w:spacing w:after="0" w:line="284"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739"/>
        <w:spacing w:after="0" w:line="266" w:lineRule="auto"/>
        <w:rPr>
          <w:sz w:val="20"/>
          <w:szCs w:val="20"/>
          <w:color w:val="auto"/>
        </w:rPr>
      </w:pPr>
      <w:r>
        <w:rPr>
          <w:rFonts w:ascii="Times New Roman" w:cs="Times New Roman" w:eastAsia="Times New Roman" w:hAnsi="Times New Roman"/>
          <w:sz w:val="18"/>
          <w:szCs w:val="18"/>
          <w:color w:val="auto"/>
        </w:rPr>
        <w:t>5,250,000 shares (or 6,037,500 shares if the underwriter exercises its option to purchase additional shares in full as described below).</w:t>
      </w:r>
    </w:p>
    <w:p>
      <w:pPr>
        <w:spacing w:after="0" w:line="200" w:lineRule="exact"/>
        <w:rPr>
          <w:sz w:val="20"/>
          <w:szCs w:val="20"/>
          <w:color w:val="auto"/>
        </w:rPr>
      </w:pPr>
    </w:p>
    <w:p>
      <w:pPr>
        <w:spacing w:after="0" w:line="300" w:lineRule="exact"/>
        <w:rPr>
          <w:sz w:val="20"/>
          <w:szCs w:val="20"/>
          <w:color w:val="auto"/>
        </w:rPr>
      </w:pPr>
    </w:p>
    <w:p>
      <w:pPr>
        <w:ind w:right="539"/>
        <w:spacing w:after="0" w:line="263" w:lineRule="auto"/>
        <w:rPr>
          <w:sz w:val="20"/>
          <w:szCs w:val="20"/>
          <w:color w:val="auto"/>
        </w:rPr>
      </w:pPr>
      <w:r>
        <w:rPr>
          <w:rFonts w:ascii="Times New Roman" w:cs="Times New Roman" w:eastAsia="Times New Roman" w:hAnsi="Times New Roman"/>
          <w:sz w:val="18"/>
          <w:szCs w:val="18"/>
          <w:color w:val="auto"/>
        </w:rPr>
        <w:t>56,609,248 shares (assuming 715,990 shares are repurchased by us in the Concurrent Share Repurchase).</w:t>
      </w:r>
      <w:r>
        <w:rPr>
          <w:rFonts w:ascii="Times New Roman" w:cs="Times New Roman" w:eastAsia="Times New Roman" w:hAnsi="Times New Roman"/>
          <w:sz w:val="26"/>
          <w:szCs w:val="26"/>
          <w:color w:val="auto"/>
          <w:vertAlign w:val="superscript"/>
        </w:rPr>
        <w:t>(1)</w:t>
      </w:r>
    </w:p>
    <w:p>
      <w:pPr>
        <w:spacing w:after="0" w:line="202" w:lineRule="exact"/>
        <w:rPr>
          <w:sz w:val="20"/>
          <w:szCs w:val="20"/>
          <w:color w:val="auto"/>
        </w:rPr>
      </w:pPr>
    </w:p>
    <w:p>
      <w:pPr>
        <w:ind w:right="479"/>
        <w:spacing w:after="0" w:line="258" w:lineRule="auto"/>
        <w:rPr>
          <w:sz w:val="20"/>
          <w:szCs w:val="20"/>
          <w:color w:val="auto"/>
        </w:rPr>
      </w:pPr>
      <w:r>
        <w:rPr>
          <w:rFonts w:ascii="Times New Roman" w:cs="Times New Roman" w:eastAsia="Times New Roman" w:hAnsi="Times New Roman"/>
          <w:sz w:val="18"/>
          <w:szCs w:val="18"/>
          <w:color w:val="auto"/>
        </w:rPr>
        <w:t>The selling stockholder has granted the underwriter an option to purchase up to 787,500 additional shares of common stock. The underwriter may exercise this option at any time within 30 days from the date of this prospectus supplement.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ectPr>
          <w:pgSz w:w="11900" w:h="16838" w:orient="portrait"/>
          <w:cols w:equalWidth="0" w:num="2">
            <w:col w:w="4240" w:space="500"/>
            <w:col w:w="5139"/>
          </w:cols>
          <w:pgMar w:left="580" w:top="97" w:right="1440" w:bottom="1440" w:gutter="0" w:footer="0" w:header="0"/>
          <w:type w:val="continuous"/>
        </w:sect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Concurrent Share Repurchase</w:t>
      </w:r>
      <w:r>
        <w:rPr>
          <w:sz w:val="20"/>
          <w:szCs w:val="20"/>
          <w:color w:val="auto"/>
        </w:rPr>
        <w:tab/>
      </w:r>
      <w:r>
        <w:rPr>
          <w:rFonts w:ascii="Times New Roman" w:cs="Times New Roman" w:eastAsia="Times New Roman" w:hAnsi="Times New Roman"/>
          <w:sz w:val="18"/>
          <w:szCs w:val="18"/>
          <w:color w:val="auto"/>
        </w:rPr>
        <w:t>Subject to the completion of this offering, the underwriter has</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reserved up to 750,000 of the shares of common stock that are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subject of this offering for repurchase by us at a price per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 equal to the price at which the underwriter will purchase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shares from the selling stockholder in this offering, subject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to a maximum aggregate repurchase price of $15.0 million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“Concurrent Share Repurchase”). Assuming that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underwriter purchases the shares of common stock that are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subject of this offering from the selling shareholder at a price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 $20.95 per share, which was the last reported sale price per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 of our common stock on Nasdaq on February 14, 2023,</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we expect to repurchase 715,990 shares of our common stock</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from the underwriter as part of this offering. The terms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conditions of the Concurrent Share Repurchase were reviewed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and approved by the audit committee of our board of directors.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Concurrent Share Repurchase will be funded from our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existing cash on hand. The underwriter will not receive any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compensation for the shares of our common stock being</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repurchased by us. The Concurrent Share Repurchase would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be made pursuant to our existing $50.0 million stock</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repurchase program announced during the fourth quarter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2022.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Dividend policy</w:t>
      </w:r>
      <w:r>
        <w:rPr>
          <w:sz w:val="20"/>
          <w:szCs w:val="20"/>
          <w:color w:val="auto"/>
        </w:rPr>
        <w:tab/>
      </w:r>
      <w:r>
        <w:rPr>
          <w:rFonts w:ascii="Times New Roman" w:cs="Times New Roman" w:eastAsia="Times New Roman" w:hAnsi="Times New Roman"/>
          <w:sz w:val="18"/>
          <w:szCs w:val="18"/>
          <w:color w:val="auto"/>
        </w:rPr>
        <w:t>We have not to date paid any cash dividends on our common</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and we currently do not intend to pay cash dividends 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our common stock in the foreseeable future. However, we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may, in the future, decide to pay dividends on our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Any declaration and payment of cash dividends in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future, if any, will be at the discretion of our board of directors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and will depend upon such factors as earnings levels, cash</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flows, capital requirements, levels of indebtedness,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deployment of cash for share repurchases, restrictions imposed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applicable law, our overall financial condition, restrictions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 our debt agreements, and any other factors deemed relevant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our board of directors.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As a holding company, our ability to pay dividends also</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depends on our receipt of cash dividends from our operating</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subsidiaries. Our ability to pay dividends will therefore be</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restricted as a result of restrictions on their ability to pay</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dividends to us under our subsidiaries’ credit agreement and</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may be restricted under future indebtedness that we or they</w:t>
            </w:r>
          </w:p>
        </w:tc>
      </w:tr>
      <w:tr>
        <w:trPr>
          <w:trHeight w:val="234"/>
        </w:trPr>
        <w:tc>
          <w:tcPr>
            <w:tcW w:w="2340" w:type="dxa"/>
            <w:vAlign w:val="bottom"/>
          </w:tcPr>
          <w:p>
            <w:pPr>
              <w:spacing w:after="0"/>
              <w:rPr>
                <w:sz w:val="20"/>
                <w:szCs w:val="20"/>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may incur.</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All of the shares of common stock offered hereby are being</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sold by the selling stockholder identified in this prospectus</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supplement. We will not receive any proceeds from the sale of</w:t>
            </w:r>
          </w:p>
        </w:tc>
      </w:tr>
      <w:tr>
        <w:trPr>
          <w:trHeight w:val="214"/>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the shares of common stock offered pursuant to this</w:t>
            </w:r>
          </w:p>
        </w:tc>
      </w:tr>
      <w:tr>
        <w:trPr>
          <w:trHeight w:val="236"/>
        </w:trPr>
        <w:tc>
          <w:tcPr>
            <w:tcW w:w="2340" w:type="dxa"/>
            <w:vAlign w:val="bottom"/>
          </w:tcPr>
          <w:p>
            <w:pPr>
              <w:spacing w:after="0"/>
              <w:rPr>
                <w:sz w:val="20"/>
                <w:szCs w:val="20"/>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prospectus supplement.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Our common stock is listed on Nasdaq under the symbol</w:t>
            </w:r>
          </w:p>
        </w:tc>
      </w:tr>
      <w:tr>
        <w:trPr>
          <w:trHeight w:val="234"/>
        </w:trPr>
        <w:tc>
          <w:tcPr>
            <w:tcW w:w="2340" w:type="dxa"/>
            <w:vAlign w:val="bottom"/>
          </w:tcPr>
          <w:p>
            <w:pPr>
              <w:spacing w:after="0"/>
              <w:rPr>
                <w:sz w:val="20"/>
                <w:szCs w:val="20"/>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“SNCY.”</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You should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w:t>
            </w:r>
          </w:p>
        </w:tc>
      </w:tr>
      <w:tr>
        <w:trPr>
          <w:trHeight w:val="194"/>
        </w:trPr>
        <w:tc>
          <w:tcPr>
            <w:tcW w:w="2340" w:type="dxa"/>
            <w:vAlign w:val="bottom"/>
          </w:tcPr>
          <w:p>
            <w:pPr>
              <w:spacing w:after="0"/>
              <w:rPr>
                <w:sz w:val="16"/>
                <w:szCs w:val="16"/>
                <w:color w:val="auto"/>
              </w:rPr>
            </w:pPr>
          </w:p>
        </w:tc>
        <w:tc>
          <w:tcPr>
            <w:tcW w:w="5840" w:type="dxa"/>
            <w:vAlign w:val="bottom"/>
            <w:gridSpan w:val="3"/>
          </w:tcPr>
          <w:p>
            <w:pPr>
              <w:ind w:left="1120"/>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S-4</w:t>
            </w:r>
            <w:r>
              <w:rPr>
                <w:rFonts w:ascii="Times New Roman" w:cs="Times New Roman" w:eastAsia="Times New Roman" w:hAnsi="Times New Roman"/>
                <w:sz w:val="18"/>
                <w:szCs w:val="18"/>
                <w:color w:val="auto"/>
              </w:rPr>
              <w:t xml:space="preserve"> of, and the other information included and</w:t>
            </w:r>
          </w:p>
        </w:tc>
      </w:tr>
      <w:tr>
        <w:trPr>
          <w:trHeight w:val="20"/>
        </w:trPr>
        <w:tc>
          <w:tcPr>
            <w:tcW w:w="2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18"/>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as</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well as the other risk factors included in the accompanying</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prospectus and incorporated by reference in this prospectus</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supplement, for a discussion of some of the risks and</w:t>
            </w:r>
          </w:p>
        </w:tc>
      </w:tr>
      <w:tr>
        <w:trPr>
          <w:trHeight w:val="216"/>
        </w:trPr>
        <w:tc>
          <w:tcPr>
            <w:tcW w:w="2340" w:type="dxa"/>
            <w:vAlign w:val="bottom"/>
          </w:tcPr>
          <w:p>
            <w:pPr>
              <w:spacing w:after="0"/>
              <w:rPr>
                <w:sz w:val="18"/>
                <w:szCs w:val="18"/>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uncertainties you should carefully consider before deciding to</w:t>
            </w:r>
          </w:p>
        </w:tc>
      </w:tr>
      <w:tr>
        <w:trPr>
          <w:trHeight w:val="234"/>
        </w:trPr>
        <w:tc>
          <w:tcPr>
            <w:tcW w:w="2340" w:type="dxa"/>
            <w:vAlign w:val="bottom"/>
          </w:tcPr>
          <w:p>
            <w:pPr>
              <w:spacing w:after="0"/>
              <w:rPr>
                <w:sz w:val="20"/>
                <w:szCs w:val="20"/>
                <w:color w:val="auto"/>
              </w:rPr>
            </w:pPr>
          </w:p>
        </w:tc>
        <w:tc>
          <w:tcPr>
            <w:tcW w:w="5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invest in our common stock.</w:t>
            </w:r>
          </w:p>
        </w:tc>
      </w:tr>
    </w:tbl>
    <w:p>
      <w:pPr>
        <w:spacing w:after="0" w:line="333" w:lineRule="exact"/>
        <w:rPr>
          <w:sz w:val="20"/>
          <w:szCs w:val="20"/>
          <w:color w:val="auto"/>
        </w:rPr>
      </w:pPr>
    </w:p>
    <w:p>
      <w:pPr>
        <w:ind w:left="1640" w:right="619" w:hanging="362"/>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information in this prospectus supplement regarding the number of shares of our common stock to be outstanding immediately after this offering:</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57,325,238 shares of our common stock outstanding as of December 31, 2022;</w:t>
      </w:r>
    </w:p>
    <w:p>
      <w:pPr>
        <w:spacing w:after="0" w:line="117"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4,535,055 shares of our common stock reserved as of December 31, 2022 for issuance upon exercise of outstanding stock options, 230,191 shares of our common stock reserved for issuance upon vesting of outstanding restricted stock units and 3,276,169 shares of our common stock reserved as of December 31, 2022 for issuance under our 2021 equity incentive plan;</w:t>
      </w:r>
    </w:p>
    <w:p>
      <w:pPr>
        <w:spacing w:after="0" w:line="71" w:lineRule="exact"/>
        <w:rPr>
          <w:rFonts w:ascii="Times New Roman" w:cs="Times New Roman" w:eastAsia="Times New Roman" w:hAnsi="Times New Roman"/>
          <w:sz w:val="18"/>
          <w:szCs w:val="18"/>
          <w:color w:val="auto"/>
        </w:rPr>
      </w:pPr>
    </w:p>
    <w:p>
      <w:pPr>
        <w:ind w:left="1820" w:right="559" w:hanging="182"/>
        <w:spacing w:after="0" w:line="282" w:lineRule="auto"/>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warrants to purchase an aggregate of 9,482,606 shares of common stock issued to Amazon, approximately 25% of which have vested as of December 31, 2022; and</w:t>
      </w:r>
    </w:p>
    <w:p>
      <w:pPr>
        <w:spacing w:after="0" w:line="53" w:lineRule="exact"/>
        <w:rPr>
          <w:rFonts w:ascii="Times New Roman" w:cs="Times New Roman" w:eastAsia="Times New Roman" w:hAnsi="Times New Roman"/>
          <w:sz w:val="18"/>
          <w:szCs w:val="18"/>
          <w:color w:val="auto"/>
        </w:rPr>
      </w:pPr>
    </w:p>
    <w:p>
      <w:pPr>
        <w:ind w:left="1820" w:right="439" w:hanging="182"/>
        <w:spacing w:after="0" w:line="254" w:lineRule="auto"/>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715,990 shares of our common stock are repurchased by us in the Concurrent Share Repurchase (which represents the number of shares of our common stock that we would expect to repurchase in the Concurrent Share Repurchase if the underwriter purchases the shares of common stock that are the subject of this offering from the selling stockholder at a price of $20.95 per share, which was the last reported sale price of our common stock on Nasdaq on February 14, 2023). Based on the actual price per share that the underwriter purchases the shares of common stock that are the subject of this offering from the selling stockholder, we may repurchase up to 750,000 shares of our common stock in the Concurrent Share Repurchase (which represents the maximum number of shares of our common stock that we may repurchase in the Concurrent Share Repurchase).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in our common stock, in addition to the other information contained in this prospectus supplement and the accompanying prospectus, you should carefully consider the discussion of risks under the heading “Item 1A. Risk Factors” in the 2022 Annual Report and the other risks and uncertainties identified in the Company’s reports filed with the SEC that are incorporated or deemed incorporated by reference into this prospectus supplement and the accompanying prospectus. Please see the section of this prospectus supplement entitled “Incorporation by Reference.” The occurrence of one or more of those risk factors could adversely impact our business, financial condition or results of operations. In such a case, you may lose all or part of your original investment. These risks are not the only risks that we face. Our business, financial condition and results of operations could also be affected by additional factors that are not presently known to us or that we currently do not consider to be material. In addition, you should carefully consider the risk factors set forth below.</w:t>
      </w:r>
    </w:p>
    <w:p>
      <w:pPr>
        <w:spacing w:after="0" w:line="3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fluctuate significantly and purchasers of our common stock could incur substantial losses.</w:t>
      </w:r>
    </w:p>
    <w:p>
      <w:pPr>
        <w:spacing w:after="0" w:line="173"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(if any) of our financial or operational indicators, such as earnings per share, net income, revenues, Adjusted Net Income (Loss), Adjusted EBITDA and Adjusted CASM (each, as defined in the 2022 Annual Report);</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the stock market valuations of other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revenue or earnings estimates made by research analysts or other investors;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equity research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or the perception that such sales may occur;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variants and their effects;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 in our internal control over financial reporting; and</w:t>
      </w:r>
    </w:p>
    <w:p>
      <w:pPr>
        <w:spacing w:after="0" w:line="101" w:lineRule="exact"/>
        <w:rPr>
          <w:rFonts w:ascii="Times New Roman" w:cs="Times New Roman" w:eastAsia="Times New Roman" w:hAnsi="Times New Roman"/>
          <w:sz w:val="18"/>
          <w:szCs w:val="18"/>
          <w:color w:val="auto"/>
        </w:rPr>
      </w:pPr>
    </w:p>
    <w:p>
      <w:pPr>
        <w:ind w:left="1800" w:right="939" w:hanging="180"/>
        <w:spacing w:after="0" w:line="284"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or other risks that may materialize in the future.</w:t>
      </w:r>
    </w:p>
    <w:p>
      <w:pPr>
        <w:spacing w:after="0" w:line="93"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7" w:lineRule="exact"/>
        <w:rPr>
          <w:sz w:val="20"/>
          <w:szCs w:val="20"/>
          <w:color w:val="auto"/>
        </w:rPr>
      </w:pPr>
    </w:p>
    <w:p>
      <w:pPr>
        <w:ind w:left="1260" w:right="8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are able to take advantage of reduced disclosure requirements applicable to “emerging growth companies,” which could make our common stock less attractive to investors.</w:t>
      </w:r>
    </w:p>
    <w:p>
      <w:pPr>
        <w:spacing w:after="0" w:line="6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 (i) the last day of the first fiscal year in which our annual gross revenues exceed $1.235 billion, (ii) the last day of our fiscal year ending December 31, 2026, (iii) the date that we become a “large accelerated filer” as defined in Rule 12b-2 under the Exchange Act, which would occur at the end of our most recently completed fiscal year if the market value of our common stock that is held by non-affiliates exceeds $700 million as of the last business day of our most recently completed second fiscal quarter, and (iv) the 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399"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costs and devote substantial management time as a result of operating as a public company, particularly after we are no longer an “emerging growth company.”</w:t>
      </w:r>
    </w:p>
    <w:p>
      <w:pPr>
        <w:spacing w:after="0" w:line="6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For example, we are required to comply with the requirements of Section 404(a) of the Sarbanes-Oxley Act and the Dodd -Frank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Further, the expenses incurred by public companies generally for reporting and corporate governance purposes have been increasing.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have needed to and may continue to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 Furthermore, if we are unable to satisfy our obligations as a public company, our common stock could be delisted, and we could be subject to fines, sanctions and other regulatory action and potentially civil litigation. Failure to remain in full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compliance with these and other applicable rules and regulations may also subject us to fines or other enforcement action or adversely affect our business, results of operations and financial condition.</w:t>
      </w:r>
    </w:p>
    <w:p>
      <w:pPr>
        <w:spacing w:after="0" w:line="81"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until such time as those standards apply to private companies. As of December 31, 2022 we have not delayed the adoption of new or revised accounting standards as allowed under the JOBS Act.</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10"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cannot predict or estimate the amount of additional costs we may incur as a result of becoming a public company or the timing and materiality of such costs.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include provisions limiting ownership and voting by non-U.S. citizens.</w:t>
      </w:r>
    </w:p>
    <w:p>
      <w:pPr>
        <w:spacing w:after="0" w:line="16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327"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In addition, only U.S. citizens may purchase shares in this offering. By participating in this offering, you will be deemed to represent that you are a citizen of the United States, as defined in 49 U.S.C.</w:t>
      </w:r>
    </w:p>
    <w:p>
      <w:pPr>
        <w:ind w:left="1260" w:right="479"/>
        <w:spacing w:after="0" w:line="255" w:lineRule="auto"/>
        <w:tabs>
          <w:tab w:leader="none" w:pos="14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82"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Apollo Stockholder has significant influence over us, and Apollo’s interests may conflict with our interests and the interests of other stockholders.</w:t>
      </w:r>
    </w:p>
    <w:p>
      <w:pPr>
        <w:spacing w:after="0" w:line="91"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the Apollo Stockholder beneficially owned approximately 43.4% of the voting power of our outstanding common equity. Following this offering, the Apollo Stockholder will beneficially own approximately 34.7% of the voting power of our outstanding common equity (or</w:t>
      </w: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approximately 33.3% if the underwriter exercises its option to purchase additional shares in full). Although the Apollo Stockholder beneficially owns less than 50% of our outstanding common equity, individuals affiliated with Apollo continue to have significant influence over the outcome of votes on all matters requiring approval by our stockholders, including the election of directors, changes to certain of our governing documents,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As of the date of this prospectus supplement, Apollo has not exercised its right to nominate any members to our board of directors.</w:t>
      </w:r>
    </w:p>
    <w:p>
      <w:pPr>
        <w:spacing w:after="0" w:line="200" w:lineRule="exact"/>
        <w:rPr>
          <w:sz w:val="20"/>
          <w:szCs w:val="20"/>
          <w:color w:val="auto"/>
        </w:rPr>
      </w:pPr>
    </w:p>
    <w:p>
      <w:pPr>
        <w:spacing w:after="0" w:line="210"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90"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61" w:lineRule="exact"/>
        <w:rPr>
          <w:sz w:val="20"/>
          <w:szCs w:val="20"/>
          <w:color w:val="auto"/>
        </w:rPr>
      </w:pPr>
    </w:p>
    <w:p>
      <w:pPr>
        <w:ind w:left="1800" w:right="6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divided into three classes, with each class of directors serving staggered three-year terms;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3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voting power of all the then-outstanding shares of stock of the Company entitled to vote thereon, voting together as a single class;</w:t>
      </w:r>
    </w:p>
    <w:p>
      <w:pPr>
        <w:spacing w:after="0" w:line="91"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of directors to fill any vacancy on our board of directors (other than in respect of an Apollo Director or an Amazon Director, if any (each as defined in the accompanying prospectus)), whether such vacancy occurs as a result of an increase in the number of directors or otherwise;</w:t>
      </w:r>
    </w:p>
    <w:p>
      <w:pPr>
        <w:spacing w:after="0" w:line="58"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stockholder meetings.</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such restrictions shall not apply to any business combination between Apollo and any affiliate thereof or their direct and indirect transferees, on the one hand, and us, on the other, or certain other situations as described under the heading “</w:t>
      </w:r>
      <w:r>
        <w:rPr>
          <w:rFonts w:ascii="Times New Roman" w:cs="Times New Roman" w:eastAsia="Times New Roman" w:hAnsi="Times New Roman"/>
          <w:sz w:val="18"/>
          <w:szCs w:val="18"/>
          <w:i w:val="1"/>
          <w:iCs w:val="1"/>
          <w:color w:val="auto"/>
        </w:rPr>
        <w:t>Description of Capital Stock — Certain Corporate Anti-takeover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Delaware Takeover Statute</w:t>
      </w:r>
      <w:r>
        <w:rPr>
          <w:rFonts w:ascii="Times New Roman" w:cs="Times New Roman" w:eastAsia="Times New Roman" w:hAnsi="Times New Roman"/>
          <w:sz w:val="18"/>
          <w:szCs w:val="18"/>
          <w:color w:val="auto"/>
        </w:rPr>
        <w:t>” in the accompanying prospectus.</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1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addition, our Stockholders Agreement also requires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Times New Roman" w:cs="Times New Roman" w:eastAsia="Times New Roman" w:hAnsi="Times New Roman"/>
          <w:sz w:val="18"/>
          <w:szCs w:val="18"/>
          <w:i w:val="1"/>
          <w:iCs w:val="1"/>
          <w:color w:val="auto"/>
        </w:rPr>
        <w:t>Description of Capital Stock — Certain Corporate Anti-takeover Provisions — Certain Matters that</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Require Consent of Our Stockholders</w:t>
      </w:r>
      <w:r>
        <w:rPr>
          <w:rFonts w:ascii="Times New Roman" w:cs="Times New Roman" w:eastAsia="Times New Roman" w:hAnsi="Times New Roman"/>
          <w:sz w:val="18"/>
          <w:szCs w:val="18"/>
          <w:color w:val="auto"/>
        </w:rPr>
        <w:t>” in the accompanying prospectus.</w:t>
      </w:r>
    </w:p>
    <w:p>
      <w:pPr>
        <w:spacing w:after="0" w:line="12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w:t>
      </w:r>
    </w:p>
    <w:p>
      <w:pPr>
        <w:spacing w:after="0" w:line="1"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other such anti-takeover provisions, see “</w:t>
      </w:r>
      <w:r>
        <w:rPr>
          <w:rFonts w:ascii="Times New Roman" w:cs="Times New Roman" w:eastAsia="Times New Roman" w:hAnsi="Times New Roman"/>
          <w:sz w:val="18"/>
          <w:szCs w:val="18"/>
          <w:i w:val="1"/>
          <w:iCs w:val="1"/>
          <w:color w:val="auto"/>
        </w:rPr>
        <w:t>Description of Capital Stock — 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in the accompanying prospectus.</w:t>
      </w:r>
    </w:p>
    <w:p>
      <w:pPr>
        <w:spacing w:after="0" w:line="176" w:lineRule="exact"/>
        <w:rPr>
          <w:sz w:val="20"/>
          <w:szCs w:val="20"/>
          <w:color w:val="auto"/>
        </w:rPr>
      </w:pPr>
    </w:p>
    <w:p>
      <w:pPr>
        <w:ind w:left="1260" w:right="5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8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spacing w:after="0" w:line="2" w:lineRule="exact"/>
        <w:rPr>
          <w:sz w:val="20"/>
          <w:szCs w:val="20"/>
          <w:color w:val="auto"/>
        </w:rPr>
      </w:pPr>
    </w:p>
    <w:p>
      <w:pPr>
        <w:ind w:left="1260" w:right="439"/>
        <w:spacing w:after="0" w:line="241" w:lineRule="auto"/>
        <w:tabs>
          <w:tab w:leader="none" w:pos="15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w:t>
      </w:r>
    </w:p>
    <w:p>
      <w:pPr>
        <w:spacing w:after="0" w:line="3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courts, including courts where a stockholder considering an action may be located or would otherwise choose to bring the action, and such judgments may be more or less favorable to us than our stockholders.</w:t>
      </w:r>
    </w:p>
    <w:p>
      <w:pPr>
        <w:spacing w:after="0" w:line="8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2"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9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For so long as Amazon holds the 2019 Warrants (as defined in the accompanying prospectus) or any shares of common stock issued upon exercise of the 2019 Warrants and the ATSA remains in effect, Amazon will have the right to nominate a member or an observer to our board of directors. As of the date of this prospectus supplement, there are no Apollo Directors on our board of directors and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under the heading “</w:t>
      </w:r>
      <w:r>
        <w:rPr>
          <w:rFonts w:ascii="Times New Roman" w:cs="Times New Roman" w:eastAsia="Times New Roman" w:hAnsi="Times New Roman"/>
          <w:sz w:val="18"/>
          <w:szCs w:val="18"/>
          <w:i w:val="1"/>
          <w:iCs w:val="1"/>
          <w:color w:val="auto"/>
        </w:rPr>
        <w:t>Description of Capital Stock — Corporate Opportunity</w:t>
      </w:r>
      <w:r>
        <w:rPr>
          <w:rFonts w:ascii="Times New Roman" w:cs="Times New Roman" w:eastAsia="Times New Roman" w:hAnsi="Times New Roman"/>
          <w:sz w:val="18"/>
          <w:szCs w:val="18"/>
          <w:color w:val="auto"/>
        </w:rPr>
        <w:t>”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90"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our subsidiaries’ credit agreement, impose restrictions on our</w:t>
      </w:r>
    </w:p>
    <w:p>
      <w:pPr>
        <w:spacing w:after="0" w:line="3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subsidiaries’ ability to pay dividends or other distributions to us.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73"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0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$ 15.17 per share, approximately 25% of which had vested as of December 31, 2022.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80"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6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December 31, 2022, we had 936,782,353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December 31, 2022, we had approximately 4,535,055 options outstanding, which are exercisable into approximately 4,535,055 shares of common stock, 230,191 shares of common stock that may be issued upon the vesting of outstanding restricted stock units and the 2019 Warrants outstanding, which are exercisable for 9,482,606 shares of common stock, subject to vesting requirements. Of the 2019 Warrants, approximately 25% have vested as of December 31, 2022 and the remainder will vest incrementally based on aggregate global payments by Amazon to the Company or its affiliates pursuant to the ATSA. We reserved approximately 3,600,000 shares for grant under our 2021 equity incentive plan, of which 3,276,169 remain available as of December 31, 2022. Any common stock that we issue, including under our 2021 equity incentive plan or other equity incentive plans that we may adopt in the future, as well as under outstanding options or warrants would dilute the percentage ownership held by the investors who purchase common stock in this offering.</w:t>
      </w:r>
    </w:p>
    <w:p>
      <w:pPr>
        <w:spacing w:after="0" w:line="33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91"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in the public market that such sales may occur, could reduce our stock price.</w:t>
      </w:r>
    </w:p>
    <w:p>
      <w:pPr>
        <w:spacing w:after="0" w:line="9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we had 57,325,238 shares of common stock outstanding, warrants to purchase 9,482,606 shares of common stock options to purchase 4,535,055 shares of common stock and</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230,191 shares of common stock that may be issued upon the vesting of outstanding restricted stock units. We, the Apollo Stockholder and all of our executive officers and directors have agreed that, for a period of 60 days after the date of this prospectus supplement, we and they will not, without the prior written consent of Barclays Capital Inc., dispose of any shares of common stock or any securities convertible into or exchangeable for our common stock, subject to certain exceptions.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 Following the expiration of the applicable lock-up period, all of the issued and outstanding shares of our common stock will be eligible for future sale, subject to the applicable volume, manner of sale, holding periods, and other limitations of Rule 144. Barclays Capital Inc., in its sole discretion, release all or any portion of the shares subject to lock-up agreements at any time and for any reason. In addition, certain of our existing stockholders, including the Apollo Stockholder and Amazon, have certain rights to require us to register the sale of common stock held by them including in connection with underwritten offerings. Pursuant to these registration rights, we filed a “shelf” registration statement, under which the Apollo Stockholder and Amazon could offer and sell, from time-to-time, up to an aggregate of 34,352,603 shares of our common stock, including 9,482,606 shares of our common stock issuable upon exercise of outstanding warrants. This prospectus supplement and the accompanying prospectus form a part of such “shelf” registration statement and the resale of shares of common stock by the Apollo Stockholder in this offering will reduce the number of shares of common stock that may be offered and sold under such “shelf” registration statement in the future. Additionally, we filed a registration statement in respect of all shares of common stock that we may issue under our 2021 equity incentive plan and our 2018 equity incentive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Our subsidiaries’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392"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our stock price could decline.</w:t>
      </w:r>
    </w:p>
    <w:p>
      <w:pPr>
        <w:spacing w:after="0" w:line="9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76" w:lineRule="exact"/>
        <w:rPr>
          <w:sz w:val="20"/>
          <w:szCs w:val="20"/>
          <w:color w:val="auto"/>
        </w:rPr>
      </w:pPr>
    </w:p>
    <w:p>
      <w:pPr>
        <w:ind w:left="12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preferred securities, the terms of which could adversely affect the voting power or value of our common stock.</w:t>
      </w:r>
    </w:p>
    <w:p>
      <w:pPr>
        <w:spacing w:after="0" w:line="7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our pre-IPO stockholders for certain tax benefits, and the amounts of such payments could be material.</w:t>
      </w:r>
    </w:p>
    <w:p>
      <w:pPr>
        <w:spacing w:after="0" w:line="9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1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9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$103.8 million. Payments in accordance with the terms of the income tax receivable agreement could have an adverse effect on our liquidity and financial condition.</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24"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continuing to improve our internal control over financial reporting.</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Subject to the completion of this offering, the underwriter has reserved up to 750,000 of the shares of common stock that are the subject of this offering for repurchase by us at a price per share equal to the price at which the underwriter will purchase the shares from the selling stockholder in this offering, subject to a maximum aggregate repurchase price of $15.0 million. Assuming that the underwriter purchases the shares of common stock that are the subject of this offering from the selling shareholder at a price of $20.95 per share, which was the last reported sale price per share of our common stock on Nasdaq on February 14, 2023, we would repurchase 715,990 shares of our common stock from the underwriter as part of this offering. The terms and conditions of the Concurrent Share Repurchase were reviewed and approved by the audit committee of our board of directors. The Concurrent Share Repurchase will be funded from our existing cash on hand. The underwriter will not receive any compensation for the shares of our common stock being repurchased by us.</w:t>
      </w:r>
    </w:p>
    <w:p>
      <w:pPr>
        <w:spacing w:after="0" w:line="343"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Concurrent Share Repurchase is being made pursuant to our stock repurchase program announced during the fourth quarter of 2022 pursuant to which we may purchase up to $50.0 million of our common stock. The Concurrent Share Repurchase will reduce remaining availability under the stock repurchase program.</w:t>
      </w:r>
    </w:p>
    <w:p>
      <w:pPr>
        <w:spacing w:after="0" w:line="31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This description and the other information in this prospectus supplement regarding the Concurrent Share Repurchase are included in this prospectus supplement solely for informational purposes. Nothing in this prospectus supplement should be construed as an offer to sell, or the solicitation of an offer to buy, any shares of our common stock subject to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 identified in this prospectus supplement. We will not receive any proceeds from the sale of the shares of common stock by the selling stockholder. The selling stockholder will receive all of the net proceeds from this offering. We have agreed to pay all expenses relating to registering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9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February 15, 2023 with respect to the ownership of our shares of common stock by the Apollo Stockholder, the selling stockholder.</w:t>
      </w:r>
    </w:p>
    <w:p>
      <w:pPr>
        <w:spacing w:after="0" w:line="94" w:lineRule="exact"/>
        <w:rPr>
          <w:sz w:val="20"/>
          <w:szCs w:val="20"/>
          <w:color w:val="auto"/>
        </w:rPr>
      </w:pPr>
    </w:p>
    <w:p>
      <w:pPr>
        <w:ind w:left="1260" w:right="900"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 before this offering is based on 57,325,238 shares of common stock outstanding as of December 31,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Hereby</w:t>
            </w:r>
          </w:p>
        </w:tc>
        <w:tc>
          <w:tcPr>
            <w:tcW w:w="16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 Stock</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Hereby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Assuming</w:t>
            </w:r>
          </w:p>
        </w:tc>
        <w:tc>
          <w:tcPr>
            <w:tcW w:w="16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 After this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6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Owned Before this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 is Not</w:t>
            </w:r>
          </w:p>
        </w:tc>
        <w:tc>
          <w:tcPr>
            <w:tcW w:w="160" w:type="dxa"/>
            <w:vAlign w:val="bottom"/>
          </w:tcPr>
          <w:p>
            <w:pPr>
              <w:spacing w:after="0"/>
              <w:rPr>
                <w:sz w:val="12"/>
                <w:szCs w:val="12"/>
                <w:color w:val="auto"/>
              </w:rPr>
            </w:pPr>
          </w:p>
        </w:tc>
        <w:tc>
          <w:tcPr>
            <w:tcW w:w="1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Underwriter’s Option is Not</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 is</w:t>
            </w:r>
          </w:p>
        </w:tc>
        <w:tc>
          <w:tcPr>
            <w:tcW w:w="140" w:type="dxa"/>
            <w:vAlign w:val="bottom"/>
          </w:tcPr>
          <w:p>
            <w:pPr>
              <w:spacing w:after="0"/>
              <w:rPr>
                <w:sz w:val="12"/>
                <w:szCs w:val="12"/>
                <w:color w:val="auto"/>
              </w:rPr>
            </w:pPr>
          </w:p>
        </w:tc>
        <w:tc>
          <w:tcPr>
            <w:tcW w:w="14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Underwriter’s Option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gridSpan w:val="3"/>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w w:val="92"/>
              </w:rPr>
              <w:t>Exercised</w:t>
            </w:r>
            <w:r>
              <w:rPr>
                <w:rFonts w:ascii="Times New Roman" w:cs="Times New Roman" w:eastAsia="Times New Roman" w:hAnsi="Times New Roman"/>
                <w:sz w:val="17"/>
                <w:szCs w:val="17"/>
                <w:b w:val="1"/>
                <w:bCs w:val="1"/>
                <w:color w:val="auto"/>
                <w:w w:val="92"/>
                <w:vertAlign w:val="superscript"/>
              </w:rPr>
              <w:t>(1)</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Exercised</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is Exercised</w:t>
            </w:r>
            <w:r>
              <w:rPr>
                <w:rFonts w:ascii="Times New Roman" w:cs="Times New Roman" w:eastAsia="Times New Roman" w:hAnsi="Times New Roman"/>
                <w:sz w:val="17"/>
                <w:szCs w:val="17"/>
                <w:b w:val="1"/>
                <w:bCs w:val="1"/>
                <w:color w:val="auto"/>
                <w:w w:val="94"/>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Percent </w:t>
            </w:r>
            <w:r>
              <w:rPr>
                <w:rFonts w:ascii="Times New Roman" w:cs="Times New Roman" w:eastAsia="Times New Roman" w:hAnsi="Times New Roman"/>
                <w:sz w:val="27"/>
                <w:szCs w:val="27"/>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SCA Horus Holdings, LLC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​24,869,997</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43.4%</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5,250,000</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19,619,997</w:t>
            </w: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34.7%</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6,037,500</w:t>
            </w:r>
          </w:p>
        </w:tc>
        <w:tc>
          <w:tcPr>
            <w:tcW w:w="14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​18,832,497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400" w:type="dxa"/>
            <w:vAlign w:val="bottom"/>
            <w:shd w:val="clear" w:color="auto" w:fill="CCEEFF"/>
          </w:tcPr>
          <w:p>
            <w:pPr>
              <w:spacing w:after="0"/>
              <w:rPr>
                <w:sz w:val="5"/>
                <w:szCs w:val="5"/>
                <w:color w:val="auto"/>
              </w:rPr>
            </w:pPr>
          </w:p>
        </w:tc>
        <w:tc>
          <w:tcPr>
            <w:tcW w:w="340" w:type="dxa"/>
            <w:vAlign w:val="bottom"/>
            <w:gridSpan w:val="2"/>
            <w:shd w:val="clear" w:color="auto" w:fill="CCEEFF"/>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shd w:val="clear" w:color="auto" w:fill="CCEEFF"/>
          </w:tcPr>
          <w:p>
            <w:pPr>
              <w:spacing w:after="0"/>
              <w:rPr>
                <w:sz w:val="5"/>
                <w:szCs w:val="5"/>
                <w:color w:val="auto"/>
              </w:rPr>
            </w:pPr>
          </w:p>
        </w:tc>
        <w:tc>
          <w:tcPr>
            <w:tcW w:w="5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920" w:type="dxa"/>
            <w:vAlign w:val="bottom"/>
            <w:tcBorders>
              <w:right w:val="single" w:sz="8" w:color="CCEEFF"/>
            </w:tcBorders>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980" w:type="dxa"/>
            <w:vAlign w:val="bottom"/>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vMerge w:val="continue"/>
            <w:shd w:val="clear" w:color="auto" w:fill="CCEEFF"/>
          </w:tcPr>
          <w:p>
            <w:pPr>
              <w:spacing w:after="0"/>
              <w:rPr>
                <w:sz w:val="5"/>
                <w:szCs w:val="5"/>
                <w:color w:val="auto"/>
              </w:rPr>
            </w:pPr>
          </w:p>
        </w:tc>
        <w:tc>
          <w:tcPr>
            <w:tcW w:w="540" w:type="dxa"/>
            <w:vAlign w:val="bottom"/>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940" w:type="dxa"/>
            <w:vAlign w:val="bottom"/>
            <w:tcBorders>
              <w:right w:val="single" w:sz="8" w:color="CCEEFF"/>
            </w:tcBorders>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Borders>
              <w:right w:val="single" w:sz="8" w:color="CCEEFF"/>
            </w:tcBorders>
            <w:shd w:val="clear" w:color="auto" w:fill="CCEEFF"/>
          </w:tcPr>
          <w:p>
            <w:pPr>
              <w:spacing w:after="0"/>
              <w:rPr>
                <w:sz w:val="5"/>
                <w:szCs w:val="5"/>
                <w:color w:val="auto"/>
              </w:rPr>
            </w:pPr>
          </w:p>
        </w:tc>
        <w:tc>
          <w:tcPr>
            <w:tcW w:w="580" w:type="dxa"/>
            <w:vAlign w:val="bottom"/>
            <w:gridSpan w:val="2"/>
            <w:shd w:val="clear" w:color="auto" w:fill="CCEEFF"/>
          </w:tcPr>
          <w:p>
            <w:pPr>
              <w:jc w:val="right"/>
              <w:ind w:right="34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-196215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-196215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-196215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-196215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-196215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-196215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-196215</wp:posOffset>
            </wp:positionV>
            <wp:extent cx="2297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900" w:hanging="360"/>
        <w:spacing w:after="0" w:line="257"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of our common stock after this offering is based on 57,325,238 shares of common stock outstanding as of December 31, 2022 and assumes that we repurchase 715,990 shares in the Concurrent Share Repurchase (assuming that the underwriter purchases the shares of common stock that are the subject of this offering from the selling shareholder at a price of $20.95 per share, which was the last reported sale price per share of our common stock on Nasdaq on February 14, 2023).</w:t>
      </w:r>
    </w:p>
    <w:p>
      <w:pPr>
        <w:spacing w:after="0" w:line="255" w:lineRule="exact"/>
        <w:rPr>
          <w:rFonts w:ascii="Times New Roman" w:cs="Times New Roman" w:eastAsia="Times New Roman" w:hAnsi="Times New Roman"/>
          <w:sz w:val="18"/>
          <w:szCs w:val="18"/>
          <w:color w:val="auto"/>
        </w:rPr>
      </w:pPr>
    </w:p>
    <w:p>
      <w:pPr>
        <w:ind w:left="1620" w:right="920" w:hanging="360"/>
        <w:spacing w:after="0" w:line="259"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w:t>
      </w:r>
    </w:p>
    <w:p>
      <w:pPr>
        <w:spacing w:after="0" w:line="162" w:lineRule="exact"/>
        <w:rPr>
          <w:sz w:val="20"/>
          <w:szCs w:val="20"/>
          <w:color w:val="auto"/>
        </w:rPr>
      </w:pPr>
    </w:p>
    <w:p>
      <w:pPr>
        <w:ind w:left="1260" w:right="960" w:firstLine="360"/>
        <w:spacing w:after="0" w:line="258" w:lineRule="auto"/>
        <w:rPr>
          <w:sz w:val="20"/>
          <w:szCs w:val="20"/>
          <w:color w:val="auto"/>
        </w:rPr>
      </w:pPr>
      <w:r>
        <w:rPr>
          <w:rFonts w:ascii="Times New Roman" w:cs="Times New Roman" w:eastAsia="Times New Roman" w:hAnsi="Times New Roman"/>
          <w:sz w:val="18"/>
          <w:szCs w:val="18"/>
          <w:color w:val="auto"/>
        </w:rPr>
        <w:t>The Apollo Stockholder is an affiliate of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20"/>
          </w:cols>
          <w:pgMar w:left="580" w:top="97" w:right="99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applicable to Non-U.S. Holders (as defined below) with respect to the ownership and disposition of our common stock.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discussion addresses only beneficial owners of our common stock that hold such common stock as a capital asset within the meaning of Section 1221 of the Code (generally, property held for investment) and that are Non-U.S. Holders (as defined below).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foreign governments,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Non-U.S. Holders required to conform the timing of income accruals to financial statements pursuant to Section 451 of the Code, controlled foreign corporations, passive foreign investment companies, former citizens or former long-term residents of the United States, and Non-U.S. Holders that hold our common stock as part of a hedge, straddle, other integrated transaction, constructive sale or conversion transaction). In addition, this discussion does not address U.S. federal tax laws other than those pertaining to U.S. federal income tax (such as U.S. federal estate or gift tax, the Medicare contribution tax on certain net investment income, or the alternative minimum tax), nor does it address any aspects of U.S. state, local or non-U.S. taxes. Non-U.S. Holders are urged to consult with their own tax advisors regarding the possible application of these taxes.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common stock that is an individual, corporation, estate or trust, other than:</w:t>
      </w:r>
    </w:p>
    <w:p>
      <w:pPr>
        <w:spacing w:after="0" w:line="67" w:lineRule="exact"/>
        <w:rPr>
          <w:sz w:val="20"/>
          <w:szCs w:val="20"/>
          <w:color w:val="auto"/>
        </w:rPr>
      </w:pPr>
    </w:p>
    <w:p>
      <w:pPr>
        <w:ind w:left="1800" w:right="4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as determined for U.S. federal income tax purposes;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Although we do not anticipate that we will make any distributions on our common stock in the foreseeable future, distributions of cash or property that we pay in respect of our common stock will constitute dividends for U.S. federal income tax purposes to the extent paid from our current or accumulated earnings and profits (as determined under U.S. federal income tax principles) . 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32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order to obtain a reduced rate of U.S. federal withholding tax under an applicable income tax treaty, you will be required to provide a properly executed IRS Form W-8BEN or Form W-8BEN-E (or, in each case, another applicable form or an appropriate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1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Dividend income that is effectively connected with your conduct of a trade or business within the United States will be taxed in the manner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w:t>
      </w:r>
    </w:p>
    <w:p>
      <w:pPr>
        <w:spacing w:after="0" w:line="29"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i w:val="1"/>
          <w:iCs w:val="1"/>
          <w:color w:val="auto"/>
        </w:rPr>
        <w:t>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FATCA</w:t>
      </w:r>
      <w:r>
        <w:rPr>
          <w:rFonts w:ascii="Times New Roman" w:cs="Times New Roman" w:eastAsia="Times New Roman" w:hAnsi="Times New Roman"/>
          <w:sz w:val="18"/>
          <w:szCs w:val="18"/>
          <w:color w:val="auto"/>
        </w:rPr>
        <w:t>,” you generally will not be subject to U.S. federal income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in respect of any gain on a sale, exchange or other taxable disposition of our common stock unless:</w:t>
      </w:r>
    </w:p>
    <w:p>
      <w:pPr>
        <w:spacing w:after="0" w:line="76" w:lineRule="exact"/>
        <w:rPr>
          <w:sz w:val="20"/>
          <w:szCs w:val="20"/>
          <w:color w:val="auto"/>
        </w:rPr>
      </w:pPr>
    </w:p>
    <w:p>
      <w:pPr>
        <w:ind w:left="1800" w:right="6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gain is effectively connected with your conduct of a U.S. trade or business, in which case, such gain will be taxed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(provided that you have timely filed U.S. federal income tax returns with respect to such losses; or</w:t>
      </w:r>
    </w:p>
    <w:p>
      <w:pPr>
        <w:spacing w:after="0" w:line="282"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or have been a “United States real property holding corporation” (a​ “USRPHC”) as defined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1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If we are determined to be a USRPHC, gain on a sale, exchange or other taxable disposition of our common stock will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USRPHC.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Trade or Business Income</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income or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5% ownership exception set forth above in the second paragraph of “— </w:t>
      </w:r>
      <w:r>
        <w:rPr>
          <w:rFonts w:ascii="Times New Roman" w:cs="Times New Roman" w:eastAsia="Times New Roman" w:hAnsi="Times New Roman"/>
          <w:sz w:val="18"/>
          <w:szCs w:val="18"/>
          <w:i w:val="1"/>
          <w:iCs w:val="1"/>
          <w:color w:val="auto"/>
        </w:rPr>
        <w:t>Sale, Exchange or Other Taxable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Generally, U.S. trade or business income is not subject to U.S. federal withholding tax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you comply with applicable certification and disclosure requirements, including providing a properly executed IRS Form W-8ECI (or other applicable form or an appropriate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must annually report to the IRS and to each Non -U.S.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an appropriate successor form) or otherwise establish an exemption and the applicable withholding agent does not have actual knowledge or reason to know that you are a U.S. person or that the conditions of such other exemption are not, in fact, satisfied.</w:t>
      </w:r>
    </w:p>
    <w:p>
      <w:pPr>
        <w:spacing w:after="0" w:line="10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payment of the proceeds from the disposition of our common stock to or through the U.S. office of any broker (U.S. or non -U.S.)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1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Foreign financial institutions located in jurisdictions that have an intergovernmental agreement with the United States governing FATCA may be subject to different rules.</w:t>
      </w:r>
    </w:p>
    <w:p>
      <w:pPr>
        <w:spacing w:after="0" w:line="120"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FATCA currently applies to dividends made in respect of our common stock. Pursuant to proposed Treasury regulations, FATCA withholding would not apply to gross proceeds from dispositions of U.S. common stock. Taxpayers may generally rely on those proposed regulations until final regulations are issued.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Barclays Capital Inc. is acting as the representative of the underwriters and the sole book-running manager of this offering. Under the terms of an underwriting agreement, each of the underwriters named below has severally agreed to purchase from the selling stockholder the respective number of shares of common stock shown opposite its name below, which includes the shares subject to the Concurrent Share Repurchase,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 To the extent that only one underwriter is listed below, all references to the representative and the underwriters shall refer to just Barclays Capital Inc.</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460" w:type="dxa"/>
            <w:vAlign w:val="bottom"/>
          </w:tcPr>
          <w:p>
            <w:pPr>
              <w:spacing w:after="0"/>
              <w:rPr>
                <w:sz w:val="18"/>
                <w:szCs w:val="18"/>
                <w:color w:val="auto"/>
              </w:rPr>
            </w:pPr>
          </w:p>
        </w:tc>
        <w:tc>
          <w:tcPr>
            <w:tcW w:w="10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  </w:t>
            </w:r>
            <w:r>
              <w:rPr>
                <w:rFonts w:ascii="Times New Roman" w:cs="Times New Roman" w:eastAsia="Times New Roman" w:hAnsi="Times New Roman"/>
                <w:sz w:val="24"/>
                <w:szCs w:val="24"/>
                <w:b w:val="1"/>
                <w:bCs w:val="1"/>
                <w:color w:val="auto"/>
                <w:vertAlign w:val="subscript"/>
              </w:rPr>
              <w:t>​</w:t>
            </w:r>
          </w:p>
        </w:tc>
      </w:tr>
      <w:tr>
        <w:trPr>
          <w:trHeight w:val="20"/>
        </w:trPr>
        <w:tc>
          <w:tcPr>
            <w:tcW w:w="4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4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​5,250,000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Pr>
          <w:p>
            <w:pPr>
              <w:spacing w:after="0"/>
              <w:rPr>
                <w:sz w:val="22"/>
                <w:szCs w:val="22"/>
                <w:color w:val="auto"/>
              </w:rPr>
            </w:pPr>
          </w:p>
        </w:tc>
        <w:tc>
          <w:tcPr>
            <w:tcW w:w="100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​5,250,000</w:t>
            </w:r>
            <w:r>
              <w:rPr>
                <w:rFonts w:ascii="Times New Roman" w:cs="Times New Roman" w:eastAsia="Times New Roman" w:hAnsi="Times New Roman"/>
                <w:sz w:val="28"/>
                <w:szCs w:val="28"/>
                <w:color w:val="auto"/>
                <w:vertAlign w:val="subscript"/>
              </w:rPr>
              <w:t>​</w:t>
            </w:r>
          </w:p>
        </w:tc>
      </w:tr>
      <w:tr>
        <w:trPr>
          <w:trHeight w:val="21"/>
        </w:trPr>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-393700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shares of common stock depends on the satisfaction of the certain conditions contained in the underwriting agreement including:</w:t>
      </w:r>
    </w:p>
    <w:p>
      <w:pPr>
        <w:spacing w:after="0" w:line="260" w:lineRule="exact"/>
        <w:rPr>
          <w:sz w:val="20"/>
          <w:szCs w:val="20"/>
          <w:color w:val="auto"/>
        </w:rPr>
      </w:pPr>
    </w:p>
    <w:p>
      <w:pPr>
        <w:ind w:left="1800" w:right="45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54"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stockholder to the underwriters are true;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closing documents are delivered to the underwriters.</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intend to purchase from the underwriters up to 750,000 of the shares of common stock at a price per share equal to the price at which the underwriters will purchase the shares from the selling stockholder in this offering, subject to a maximum aggregate repurchase price of $15.0 million. See “</w:t>
      </w:r>
      <w:r>
        <w:rPr>
          <w:rFonts w:ascii="Times New Roman" w:cs="Times New Roman" w:eastAsia="Times New Roman" w:hAnsi="Times New Roman"/>
          <w:sz w:val="18"/>
          <w:szCs w:val="18"/>
          <w:i w:val="1"/>
          <w:iCs w:val="1"/>
          <w:color w:val="auto"/>
        </w:rPr>
        <w:t>Concurrent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Repurchase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62" w:lineRule="exact"/>
        <w:rPr>
          <w:sz w:val="20"/>
          <w:szCs w:val="20"/>
          <w:color w:val="auto"/>
        </w:rPr>
      </w:pPr>
    </w:p>
    <w:p>
      <w:pPr>
        <w:ind w:left="1260" w:right="1799" w:firstLine="360"/>
        <w:spacing w:after="0" w:line="266" w:lineRule="auto"/>
        <w:rPr>
          <w:sz w:val="20"/>
          <w:szCs w:val="20"/>
          <w:color w:val="auto"/>
        </w:rPr>
      </w:pPr>
      <w:r>
        <w:rPr>
          <w:rFonts w:ascii="Times New Roman" w:cs="Times New Roman" w:eastAsia="Times New Roman" w:hAnsi="Times New Roman"/>
          <w:sz w:val="18"/>
          <w:szCs w:val="18"/>
          <w:color w:val="auto"/>
        </w:rPr>
        <w:t>The expenses of the offering that are payable by us are estimated to be approximately $            (excluding underwriting discounts and commissions).</w:t>
      </w:r>
    </w:p>
    <w:p>
      <w:pPr>
        <w:spacing w:after="0" w:line="95"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offered hereby, not subject to the Concurrent Share Repurchase from time to time for sale in one or more transactions on Nasdaq, in the over-the-counter market, through negotiated transactions or otherwise at market prices prevailing at the time of sale, subject to receipt and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of common stock and the price at which the underwriters resell such shares may be deemed underwriting compensation.</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 has granted the underwriters an option exercisable for 30 days after the date of this prospectus supplement to purchase, from time to time, in whole or in part, up to an aggregate of</w:t>
      </w: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787,500 shares from the selling stockholder.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the selling stockholder and all of our directors and executive officers have agreed that, for a period of 60 days after the date of this prospectus, we and they will not, without the prior written consent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underwriters, dispose of any shares of common stock or any securities convertible into or exchangeable for our common stock, subject to certain exceptions.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lock-up agreement applicable to the Company is subject to certain specified exceptions, including:</w:t>
      </w:r>
    </w:p>
    <w:p>
      <w:pPr>
        <w:spacing w:after="0" w:line="27" w:lineRule="exact"/>
        <w:rPr>
          <w:sz w:val="20"/>
          <w:szCs w:val="20"/>
          <w:color w:val="auto"/>
        </w:rPr>
      </w:pPr>
    </w:p>
    <w:p>
      <w:pPr>
        <w:ind w:left="1260" w:right="419"/>
        <w:spacing w:after="0" w:line="250" w:lineRule="auto"/>
        <w:tabs>
          <w:tab w:leader="none" w:pos="14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common stock, options to purchase shares of common stock, restricted stock units and other 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w:t>
      </w:r>
    </w:p>
    <w:p>
      <w:pPr>
        <w:spacing w:after="0" w:line="4" w:lineRule="exact"/>
        <w:rPr>
          <w:rFonts w:ascii="Times New Roman" w:cs="Times New Roman" w:eastAsia="Times New Roman" w:hAnsi="Times New Roman"/>
          <w:sz w:val="18"/>
          <w:szCs w:val="18"/>
          <w:color w:val="auto"/>
        </w:rPr>
      </w:pPr>
    </w:p>
    <w:p>
      <w:pPr>
        <w:ind w:left="1260" w:right="579"/>
        <w:spacing w:after="0" w:line="255" w:lineRule="auto"/>
        <w:tabs>
          <w:tab w:leader="none" w:pos="1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11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lock-up agreements applicable to the selling stockholder and all of our directors and executive officers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w:t>
      </w:r>
    </w:p>
    <w:p>
      <w:pPr>
        <w:spacing w:after="0" w:line="10" w:lineRule="exact"/>
        <w:rPr>
          <w:sz w:val="20"/>
          <w:szCs w:val="20"/>
          <w:color w:val="auto"/>
        </w:rPr>
      </w:pPr>
    </w:p>
    <w:p>
      <w:pPr>
        <w:ind w:left="1260" w:right="439"/>
        <w:spacing w:after="0" w:line="251" w:lineRule="auto"/>
        <w:tabs>
          <w:tab w:leader="none" w:pos="16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or transfers pursuant to an existing 10b5-1 trading plan, provided that no such transfers shall be made prior to the closing date of the offering; (xi) if the holder is a corporation, partnership or limited liability company, (A) distributions to partners, limited liability company members, stockholder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the representative,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 (i) through (v), (vii), (xi) and (xiv), the transferee or distributee agrees in writing to be bound by the lockup restrictions.</w:t>
      </w: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 representative, in its sole discretion, may release our common stock and other securities subject to the lock-up agreements described above in whole or in part at any time, subject to applicable notice requirements.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representative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9" w:lineRule="exact"/>
        <w:rPr>
          <w:sz w:val="20"/>
          <w:szCs w:val="20"/>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if any. In a naked short position, the number of shares involved is greater than the number of shares in their option to purchase additional shares, if any. The underwriters may close out any short position by either exercising their option to purchase additional shares, if any, in whole or in part,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if any.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74"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10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Nasdaq or otherwise and, if commenced, may be discontinued at any time.</w:t>
      </w:r>
    </w:p>
    <w:p>
      <w:pPr>
        <w:spacing w:after="0" w:line="114"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 will engage in these stabilizing transactions or that any transaction,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spacing w:after="0" w:line="258" w:lineRule="auto"/>
        <w:rPr>
          <w:sz w:val="20"/>
          <w:szCs w:val="20"/>
          <w:color w:val="auto"/>
        </w:rPr>
      </w:pPr>
      <w:r>
        <w:rPr>
          <w:rFonts w:ascii="Times New Roman" w:cs="Times New Roman" w:eastAsia="Times New Roman" w:hAnsi="Times New Roman"/>
          <w:sz w:val="18"/>
          <w:szCs w:val="18"/>
          <w:color w:val="auto"/>
        </w:rPr>
        <w:t>its bids at a price not in excess of the highest independent bid of the security. However, if all independent bids are lowered below the passive market maker’s bid that bid must be lowered when specified purchase limits are exceeded.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 on the same basis as other allocations.</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62"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investment banking and financial advisory services for the Company and its affiliates, for which they may in the future receive customary fees and expenses. In February 2021, the Company executed a five-year credit agreement with a group of lenders that provides for a $25.0 million revolving credit facility and a $90.0 million delayed draw term loan facility (collectively, the “Credit Facilities”). Barclays Bank PLC, the administrative agent, the collateral agent, a lender and a joint lead arranger under the Credit Facilities, is an affiliate of Barclays Capital Inc., the underwriter in this offering.</w:t>
      </w:r>
    </w:p>
    <w:p>
      <w:pPr>
        <w:spacing w:after="0" w:line="12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the Company or its affiliates. The underwriters and certain of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96"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295" w:lineRule="exact"/>
        <w:rPr>
          <w:sz w:val="20"/>
          <w:szCs w:val="20"/>
          <w:color w:val="auto"/>
        </w:rPr>
      </w:pPr>
    </w:p>
    <w:p>
      <w:pPr>
        <w:ind w:left="1800" w:right="8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4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subscribe for any shares and the expression “UK Prospectus Regulation” means Regulation (EU) 2017/1129 as it forms part of domestic law by virtue of the European Union (Withdrawal) Act 2018.</w:t>
      </w:r>
    </w:p>
    <w:p>
      <w:pPr>
        <w:spacing w:after="0" w:line="81"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2" w:lineRule="exact"/>
        <w:rPr>
          <w:sz w:val="20"/>
          <w:szCs w:val="20"/>
          <w:color w:val="auto"/>
        </w:rPr>
      </w:pPr>
    </w:p>
    <w:p>
      <w:pPr>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9"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 32, Laws of HongKong),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with the conditions of, any other applicable provision of the SFA. 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 (1) to an institutional investor or to a relevant person, or to any person pursuant to Section 275(1A), and in accordance with the conditions, specified in Section 275 of the SFA;</w:t>
      </w:r>
    </w:p>
    <w:p>
      <w:pPr>
        <w:spacing w:after="0" w:line="5" w:lineRule="exact"/>
        <w:rPr>
          <w:sz w:val="20"/>
          <w:szCs w:val="20"/>
          <w:color w:val="auto"/>
        </w:rPr>
      </w:pPr>
    </w:p>
    <w:p>
      <w:pPr>
        <w:ind w:left="1260" w:right="439"/>
        <w:spacing w:after="0" w:line="252" w:lineRule="auto"/>
        <w:tabs>
          <w:tab w:leader="none" w:pos="15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given for the transfer; or (3) where the transfer is by operation of law. 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 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Qualified Institutional Investors (“QII”)</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Non-QII Investors</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offered by this prospectus supplement will be passed upon for us by Paul, Weiss, Rifkind, Wharton &amp; Garrison LLP, New York, New York. Davis Polk &amp; Wardwell LLP, New York, New York, acted as counsel for the underwriter.</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448310</wp:posOffset>
            </wp:positionV>
            <wp:extent cx="2228850" cy="282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2288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1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named in this prospectus may sell, from time to time, up to 34,352,603 shares of our common stock, including 9,482,606 shares of our common stock issuable upon exercise of outstanding warrants. The selling stockholders may offer for sale the shares of common stock covered by this prospectus directly to purchasers or through underwriters, broker or dealers or agents, in public or private transactions, at fixed prices, prevailing market prices at the times of sale, prices related to the prevailing market prices, varying prices determined at the times of sale or negotiated prices. Information on the selling stockholders and the times and manners in which they may offer and sell shares of our common stock is described under the sections entitled “Selling Stockholders” and “Plan of Distribution” in this prospectus. Our registration of the shares of common stock covered by this prospectus does not mean the selling stockholders will offer or sell any of the shares.</w:t>
      </w:r>
    </w:p>
    <w:p>
      <w:pPr>
        <w:spacing w:after="0" w:line="127"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We have agreed to pay all expenses relating to registering the shares of common stock. The selling stockholders will pay any underwriting discounts and commissions, brokerage commissions and/or similar charges incurred for the sale of these shares of common stock.</w:t>
      </w:r>
    </w:p>
    <w:p>
      <w:pPr>
        <w:spacing w:after="0" w:line="9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common stock of Sun Country Airlines Holdings, Inc. is listed on the Nasdaq Global Select Market (“Nasdaq”) under the symbol “SNCY.”</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w:t>
      </w:r>
    </w:p>
    <w:p>
      <w:pPr>
        <w:spacing w:after="0" w:line="9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that are referenced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4</w:t>
      </w:r>
      <w:r>
        <w:rPr>
          <w:rFonts w:ascii="Times New Roman" w:cs="Times New Roman" w:eastAsia="Times New Roman" w:hAnsi="Times New Roman"/>
          <w:sz w:val="17"/>
          <w:szCs w:val="17"/>
          <w:b w:val="1"/>
          <w:bCs w:val="1"/>
          <w:color w:val="auto"/>
        </w:rPr>
        <w:t xml:space="preserve"> of this prospectus. You should carefully review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contained in the applicable prospectus supplement and any related free writing prospectus and under similar headings in the documents that are incorporated by reference in this prospectus.</w:t>
      </w:r>
    </w:p>
    <w:p>
      <w:pPr>
        <w:spacing w:after="0" w:line="80"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199390</wp:posOffset>
            </wp:positionV>
            <wp:extent cx="1234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us.    Certain capitalized terms used in this prospectus are defined elsewhere in this prospectus.</w:t>
      </w:r>
    </w:p>
    <w:p>
      <w:pPr>
        <w:spacing w:after="0" w:line="33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Under this process, the selling stockholders named herein may offer and sell, from time to time in one or more offerings, up to an aggregate of 34,352,603 shares of our common stock, including 9,482,606 shares of our common stock issuable upon exercise of outstanding warrants.</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stockholders may offer. Each time the selling stockholders offer and sell shares of common stock, such selling stockholders may provide you with a prospectus supplement that will describe the specific amounts, prices and terms of the common stock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33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may also contain information about any material U.S. federal income tax considerations relating to the securities covered by the prospectus supplement.</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our common stock to underwriters who will sell the common stock to the public on terms fixed at the time of sale or at variable prices. In addition, the common stock may be sold by the selling stockholders directly or through dealers or agents designated from time to time, which agents may be affiliates of ours. If the selling stockholders, directly or through agents, solicit offers to purchase the common stock, the selling stockholders and their agents reserve the sole right to accept and to reject, in whole or in part, any offer.</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will also contain, with respect to the securities being sold, the names of any underwriters, dealers or agents, together with the terms of the offering, the compensation of any underwriters, dealers or agents and the net proceeds to the selling stockholders.</w:t>
      </w:r>
    </w:p>
    <w:p>
      <w:pPr>
        <w:spacing w:after="0" w:line="108"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Any underwriters, dealers or agents participating in the offering may be deemed “underwriters” within the meaning of the Securities Act of 1933, as amended, which we refer to in this prospectus as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73" w:lineRule="exact"/>
        <w:rPr>
          <w:sz w:val="20"/>
          <w:szCs w:val="20"/>
          <w:color w:val="auto"/>
        </w:rPr>
      </w:pPr>
    </w:p>
    <w:p>
      <w:pPr>
        <w:ind w:left="1800" w:right="419" w:hanging="180"/>
        <w:spacing w:after="0" w:line="266"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our Annual Report on Form 10-K for the fiscal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February 18, 2022, and Amendment No. 1 thereto, filed with the SEC on February 22, 2022 (the</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“2021 Annual Report”);</w:t>
        </w:r>
      </w:hyperlink>
    </w:p>
    <w:p>
      <w:pPr>
        <w:spacing w:after="0" w:line="54" w:lineRule="exact"/>
        <w:rPr>
          <w:rFonts w:ascii="Times New Roman" w:cs="Times New Roman" w:eastAsia="Times New Roman" w:hAnsi="Times New Roman"/>
          <w:sz w:val="18"/>
          <w:szCs w:val="18"/>
          <w:u w:val="single" w:color="auto"/>
          <w:color w:val="0000EE"/>
        </w:rPr>
      </w:pPr>
    </w:p>
    <w:p>
      <w:pPr>
        <w:ind w:left="1800" w:right="579" w:hanging="180"/>
        <w:spacing w:after="0" w:line="282"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portions of our Definitive Proxy Statement on Schedule 14A, filed with the SEC on April 29, 2022,</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that are incorporated by reference into Part III of the 2021 Annual Report;</w:t>
        </w:r>
      </w:hyperlink>
    </w:p>
    <w:p>
      <w:pPr>
        <w:spacing w:after="0" w:line="53" w:lineRule="exact"/>
        <w:rPr>
          <w:rFonts w:ascii="Times New Roman" w:cs="Times New Roman" w:eastAsia="Times New Roman" w:hAnsi="Times New Roman"/>
          <w:sz w:val="18"/>
          <w:szCs w:val="18"/>
          <w:u w:val="single" w:color="auto"/>
          <w:color w:val="0000EE"/>
        </w:rPr>
      </w:pPr>
    </w:p>
    <w:p>
      <w:pPr>
        <w:ind w:left="1800" w:right="779" w:hanging="180"/>
        <w:spacing w:after="0" w:line="282"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our Quarterly Report on Form 10-Q for the quarter ended March 31, 2022, filed with the SEC on</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May 6,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919" w:hanging="180"/>
        <w:spacing w:after="0" w:line="282"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our Quarterly Report on Form 10-Q for the quarter ended June 30, 2022, filed with the SEC on</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August 10, 2022;</w:t>
        </w:r>
      </w:hyperlink>
    </w:p>
    <w:p>
      <w:pPr>
        <w:spacing w:after="0" w:line="40" w:lineRule="exact"/>
        <w:rPr>
          <w:rFonts w:ascii="Times New Roman" w:cs="Times New Roman" w:eastAsia="Times New Roman" w:hAnsi="Times New Roman"/>
          <w:sz w:val="18"/>
          <w:szCs w:val="18"/>
          <w:u w:val="single" w:color="auto"/>
          <w:color w:val="0000EE"/>
        </w:rPr>
      </w:pPr>
    </w:p>
    <w:p>
      <w:pPr>
        <w:ind w:left="1800" w:right="459" w:hanging="180"/>
        <w:spacing w:after="0" w:line="282"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our Quarterly Report on Form 10-Q for the quarter ended September 30, 2022, filed with the SEC on</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November 2,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58" w:lineRule="auto"/>
        <w:tabs>
          <w:tab w:leader="none" w:pos="1800" w:val="left"/>
        </w:tabs>
        <w:numPr>
          <w:ilvl w:val="0"/>
          <w:numId w:val="20"/>
        </w:numPr>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7, 2022 (second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5,</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1">
        <w:r>
          <w:rPr>
            <w:rFonts w:ascii="Times New Roman" w:cs="Times New Roman" w:eastAsia="Times New Roman" w:hAnsi="Times New Roman"/>
            <w:sz w:val="18"/>
            <w:szCs w:val="18"/>
            <w:u w:val="single" w:color="auto"/>
            <w:color w:val="0000EE"/>
          </w:rPr>
          <w:t xml:space="preserve">April 29, 2022 </w:t>
        </w:r>
      </w:hyperlink>
      <w:hyperlink r:id="rId90">
        <w:r>
          <w:rPr>
            <w:rFonts w:ascii="Times New Roman" w:cs="Times New Roman" w:eastAsia="Times New Roman" w:hAnsi="Times New Roman"/>
            <w:sz w:val="18"/>
            <w:szCs w:val="18"/>
            <w:color w:val="000000"/>
          </w:rPr>
          <w:t>(as amended by our Current Report on Form 8-K/A filed with the SEC on</w:t>
        </w:r>
      </w:hyperlink>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 xml:space="preserve">October 14,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6">
        <w:r>
          <w:rPr>
            <w:rFonts w:ascii="Times New Roman" w:cs="Times New Roman" w:eastAsia="Times New Roman" w:hAnsi="Times New Roman"/>
            <w:sz w:val="18"/>
            <w:szCs w:val="18"/>
            <w:u w:val="single" w:color="auto"/>
            <w:color w:val="0000EE"/>
          </w:rPr>
          <w:t xml:space="preserve">November 1, 2022 </w:t>
        </w:r>
      </w:hyperlink>
      <w:hyperlink r:id="rId97">
        <w:r>
          <w:rPr>
            <w:rFonts w:ascii="Times New Roman" w:cs="Times New Roman" w:eastAsia="Times New Roman" w:hAnsi="Times New Roman"/>
            <w:sz w:val="18"/>
            <w:szCs w:val="18"/>
            <w:u w:val="single" w:color="auto"/>
            <w:color w:val="0000EE"/>
          </w:rPr>
          <w:t>(both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other than information furnished pursuant to Item 2.02 or Item 7.01 of any such Current Report on Form 8-K); and</w:t>
      </w:r>
    </w:p>
    <w:p>
      <w:pPr>
        <w:spacing w:after="0" w:line="61" w:lineRule="exact"/>
        <w:rPr>
          <w:rFonts w:ascii="Times New Roman" w:cs="Times New Roman" w:eastAsia="Times New Roman" w:hAnsi="Times New Roman"/>
          <w:sz w:val="18"/>
          <w:szCs w:val="18"/>
          <w:color w:val="0000EE"/>
        </w:rPr>
      </w:pPr>
    </w:p>
    <w:p>
      <w:pPr>
        <w:ind w:left="1800" w:right="459" w:hanging="180"/>
        <w:spacing w:after="0" w:line="263" w:lineRule="auto"/>
        <w:tabs>
          <w:tab w:leader="none" w:pos="1800" w:val="left"/>
        </w:tabs>
        <w:numPr>
          <w:ilvl w:val="0"/>
          <w:numId w:val="20"/>
        </w:numPr>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until the completion of the offering under this prospectus shall be deemed to be incorporated in this prospectus by reference. The information contained on or accessible through our website at https://www.suncountry.com is not incorporated into this prospectus.</w:t>
      </w:r>
    </w:p>
    <w:p>
      <w:pPr>
        <w:spacing w:after="0" w:line="114" w:lineRule="exact"/>
        <w:rPr>
          <w:rFonts w:ascii="Times New Roman" w:cs="Times New Roman" w:eastAsia="Times New Roman" w:hAnsi="Times New Roman"/>
          <w:sz w:val="18"/>
          <w:szCs w:val="18"/>
          <w:u w:val="single" w:color="auto"/>
          <w:color w:val="0000EE"/>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the Company at the following address:</w:t>
      </w:r>
    </w:p>
    <w:p>
      <w:pPr>
        <w:spacing w:after="0" w:line="323" w:lineRule="exact"/>
        <w:rPr>
          <w:rFonts w:ascii="Times New Roman" w:cs="Times New Roman" w:eastAsia="Times New Roman" w:hAnsi="Times New Roman"/>
          <w:sz w:val="18"/>
          <w:szCs w:val="18"/>
          <w:u w:val="single" w:color="auto"/>
          <w:color w:val="0000EE"/>
        </w:rPr>
      </w:pPr>
    </w:p>
    <w:p>
      <w:pPr>
        <w:ind w:left="398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5" w:lineRule="exact"/>
        <w:rPr>
          <w:rFonts w:ascii="Times New Roman" w:cs="Times New Roman" w:eastAsia="Times New Roman" w:hAnsi="Times New Roman"/>
          <w:sz w:val="18"/>
          <w:szCs w:val="18"/>
          <w:u w:val="single" w:color="auto"/>
          <w:color w:val="0000EE"/>
        </w:rPr>
      </w:pPr>
    </w:p>
    <w:p>
      <w:pPr>
        <w:ind w:left="4680"/>
        <w:spacing w:after="0"/>
        <w:rPr>
          <w:sz w:val="20"/>
          <w:szCs w:val="20"/>
          <w:color w:val="auto"/>
        </w:rPr>
      </w:pPr>
      <w:r>
        <w:rPr>
          <w:rFonts w:ascii="Times New Roman" w:cs="Times New Roman" w:eastAsia="Times New Roman" w:hAnsi="Times New Roman"/>
          <w:sz w:val="18"/>
          <w:szCs w:val="18"/>
          <w:color w:val="auto"/>
        </w:rPr>
        <w:t>2005 Cargo Road</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Minneapolis, MN 55450</w:t>
      </w:r>
    </w:p>
    <w:p>
      <w:pPr>
        <w:spacing w:after="0" w:line="1"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7" w:lineRule="exact"/>
        <w:rPr>
          <w:rFonts w:ascii="Times New Roman" w:cs="Times New Roman" w:eastAsia="Times New Roman" w:hAnsi="Times New Roman"/>
          <w:sz w:val="18"/>
          <w:szCs w:val="18"/>
          <w:u w:val="single" w:color="auto"/>
          <w:color w:val="0000EE"/>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26" w:lineRule="exact"/>
        <w:rPr>
          <w:rFonts w:ascii="Times New Roman" w:cs="Times New Roman" w:eastAsia="Times New Roman" w:hAnsi="Times New Roman"/>
          <w:sz w:val="18"/>
          <w:szCs w:val="18"/>
          <w:u w:val="single" w:color="auto"/>
          <w:color w:val="0000EE"/>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prospectus supplement, any free writing prospectus that we authorize and any pricing supplement. We have not authorized any person, including any salesman or broker, to provide information other than that provided in this prospectus, any applicable prospectus supplement, any applicable free writing prospectus that we authorize or any applicable pricing supplement. We have not authorized anyone to provide you with different information. 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applicable free writing prospectus that we authorize, any applicable pricing supplement or any documents incorporated by reference is accurate as of any date other than the date of the applicable document.</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386" w:lineRule="exact"/>
        <w:rPr>
          <w:rFonts w:ascii="Times New Roman" w:cs="Times New Roman" w:eastAsia="Times New Roman" w:hAnsi="Times New Roman"/>
          <w:sz w:val="18"/>
          <w:szCs w:val="18"/>
          <w:u w:val="single" w:color="auto"/>
          <w:color w:val="0000EE"/>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33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including statements regarding our strategy, future operations, future financial position, future revenue, projected costs, prospects, plans, objectives of management, and expected market growth are forward-looking statements. The forward-looking statements include, among other things, statements relating to:</w:t>
      </w:r>
    </w:p>
    <w:p>
      <w:pPr>
        <w:spacing w:after="0" w:line="80"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8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effects including variants, travel restrictions, social distancing measures, vaccination requirements, and decreased demand for air travel;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fuel cost;</w:t>
      </w:r>
    </w:p>
    <w:p>
      <w:pPr>
        <w:spacing w:after="0" w:line="10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global instability and potential U.S. military actions or activities;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our industry;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weather, security measures, travel-related taxes and outbreak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in international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on, or increased taxes applicable to charges for, ancillary products and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travel substitutes;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successfully;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costs low;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Minneapolis-St. Paul market;</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being adversely affected in the event of an emergency, accident or similar public incident involving our aircraft or personnel;</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and other commercial partners to perform functions integral to our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unit revenues or maintain our ancillary revenues;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union disputes, employee strikes and other labor-related disruptions;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optimal daily aircraft utilization 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or operate reliably and efficiently out of airports where we maintain a large presence;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noise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customer service;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dependence on cash balances and operating cash flows;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in the event one or more of our credit card processors were to impose holdback restrictions;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access capital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aircraft-related fixed obligations that could impair our liquidity;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maintenance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sole-source supplier for our aircraft and engine parts;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including those set forth or referenced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For additional information about factors that could cause actual results to differ materially from those described in the forward-looking statements, please see the documents that we have filed with the SEC, including our most recent annual report on Form 10-K, quarterly reports on Form 10-Q, current reports on Form 8-K and proxy statements.</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prospectus or the documents incorporated by reference herein, as applicable,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incorporated by reference herein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passengers and charter customers and providing crew, maintenance and insurance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3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Annual Report and our Quarterly Reports on Form 10-Q, which are incorporated by reference in this prospectus, and which may be amended, supplemented or superseded from time to time in any prospectus supplement and by other reports we file with the SEC in the future. Please see the section of this prospectus under the heading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common stock offered by this prospectus. We will not receive any proceeds from sales of shares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December 27, 2022 by the selling stockholders.</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stockholders is based on 58,166,674 shares of common stock outstanding as of September 30,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 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Before this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960" w:type="dxa"/>
            <w:vAlign w:val="bottom"/>
            <w:gridSpan w:val="2"/>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 Hereby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15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SCA Horus Holdings, LLC</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24,869,997</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24,869,997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4"/>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220"/>
              <w:spacing w:after="0" w:line="54" w:lineRule="exact"/>
              <w:rPr>
                <w:sz w:val="20"/>
                <w:szCs w:val="20"/>
                <w:color w:val="auto"/>
              </w:rPr>
            </w:pPr>
            <w:r>
              <w:rPr>
                <w:rFonts w:ascii="Times New Roman" w:cs="Times New Roman" w:eastAsia="Times New Roman" w:hAnsi="Times New Roman"/>
                <w:sz w:val="6"/>
                <w:szCs w:val="6"/>
                <w:color w:val="auto"/>
              </w:rPr>
              <w:t>​ ​​</w:t>
            </w:r>
          </w:p>
        </w:tc>
        <w:tc>
          <w:tcPr>
            <w:tcW w:w="7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gridSpan w:val="3"/>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3"/>
                <w:szCs w:val="23"/>
                <w:color w:val="auto"/>
                <w:vertAlign w:val="superscript"/>
              </w:rPr>
              <w:t>(2)</w:t>
            </w: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-483235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-483235</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-483235</wp:posOffset>
            </wp:positionV>
            <wp:extent cx="3694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0"/>
          <w:szCs w:val="20"/>
          <w:color w:val="auto"/>
        </w:rPr>
      </w:pPr>
    </w:p>
    <w:p>
      <w:pPr>
        <w:ind w:left="1620" w:right="479" w:hanging="360"/>
        <w:spacing w:after="0" w:line="259"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267"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9,482,606 shares of common stock issuable upon exercise of warrants. The address for Amazon.com NV Investment Holdings LLC is c/o Amazon.com, Inc., P.O. Box 81226, Seattle, WA 98108.</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SCA Horus Holdings, LLC (the “Apollo Stockholder”) is an affiliate of certain investment funds managed by affiliates of Apollo Global Management, Inc. (together with its subsidiaries,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13, 2019, we signed the Air Transportation Services Agreement (as amended,</w:t>
      </w:r>
    </w:p>
    <w:p>
      <w:pPr>
        <w:spacing w:after="0" w:line="27" w:lineRule="exact"/>
        <w:rPr>
          <w:sz w:val="20"/>
          <w:szCs w:val="20"/>
          <w:color w:val="auto"/>
        </w:rPr>
      </w:pPr>
    </w:p>
    <w:p>
      <w:pPr>
        <w:jc w:val="both"/>
        <w:ind w:left="1260" w:right="539"/>
        <w:spacing w:after="0" w:line="250" w:lineRule="auto"/>
        <w:rPr>
          <w:sz w:val="20"/>
          <w:szCs w:val="20"/>
          <w:color w:val="auto"/>
        </w:rPr>
      </w:pPr>
      <w:r>
        <w:rPr>
          <w:rFonts w:ascii="Times New Roman" w:cs="Times New Roman" w:eastAsia="Times New Roman" w:hAnsi="Times New Roman"/>
          <w:sz w:val="18"/>
          <w:szCs w:val="18"/>
          <w:color w:val="auto"/>
        </w:rPr>
        <w:t>the “ATSA”) with Amazon.com Services, LLC (together with its affiliates, “Amazon”) to provide air cargo services. In connection with the ATSA, we issued warrants (the “2019 Warrants”) to purchase an aggregate of 9,482,606 shares of common stock at an exercise price of approximately $15.17 per share to Amazon.</w:t>
      </w:r>
    </w:p>
    <w:p>
      <w:pPr>
        <w:spacing w:after="0" w:line="1"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Additionally, Amazon is a party to the Stockholders Agreement and the Registration Rights Agreement. For more information on these agreements, please refer to the descriptions of these agreements found in our filings, which are incorporated by herein by reference.</w:t>
      </w: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Delaware General Corporation Law (the “DGCL”).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2022, there were 58,166,674 shares of common stock outstanding and no shares of preferred stock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for action by the stockholders generally.</w:t>
      </w:r>
    </w:p>
    <w:p>
      <w:pPr>
        <w:spacing w:after="0" w:line="91"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any preferential rights of any then outstanding preferred stock, all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are entitled to share equally in any dividends our board of directors may declare from legally available sources.</w:t>
      </w:r>
    </w:p>
    <w:p>
      <w:pPr>
        <w:spacing w:after="0" w:line="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 up, whether voluntary or</w:t>
      </w:r>
    </w:p>
    <w:p>
      <w:pPr>
        <w:spacing w:after="0" w:line="18" w:lineRule="exact"/>
        <w:rPr>
          <w:sz w:val="20"/>
          <w:szCs w:val="20"/>
          <w:color w:val="auto"/>
        </w:rPr>
      </w:pPr>
    </w:p>
    <w:p>
      <w:pPr>
        <w:jc w:val="both"/>
        <w:ind w:left="1260" w:right="919"/>
        <w:spacing w:after="0" w:line="246" w:lineRule="auto"/>
        <w:rPr>
          <w:sz w:val="20"/>
          <w:szCs w:val="20"/>
          <w:color w:val="auto"/>
        </w:rPr>
      </w:pPr>
      <w:r>
        <w:rPr>
          <w:rFonts w:ascii="Times New Roman" w:cs="Times New Roman" w:eastAsia="Times New Roman" w:hAnsi="Times New Roman"/>
          <w:sz w:val="18"/>
          <w:szCs w:val="18"/>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1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Holders of our common stock have no preemptive or conversion rights,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ATSA, we issued the 2019 Warrants to purchase an aggregate of 9,482,606 shares of our common stock at an exercise price of approximately $15.17 per share to Amazon. 632,183 of the 2019 Warrants vested upon issuance of the warrants and incremental tranches vest upon certain milestones of aggregate global payments by Amazon to the Company or its affiliates pursuant to the ATSA up to a total of $1.1 billion of aggregate payments. As of September 30, 2022, approximately 23.3%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for cash or on a cashless basis until the eighth anniversary of the issue date.</w:t>
      </w:r>
    </w:p>
    <w:p>
      <w:pPr>
        <w:spacing w:after="0" w:line="12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the event we or our equityholders propose to initiate a process to explore, enter into negotiations or accept any offer with respect to a change of control of the Company, we are required to provide Amazon at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Composition of Board of Directors; Election and Removal</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three directors in Class II and three directors in Class III. See “— </w:t>
      </w:r>
      <w:r>
        <w:rPr>
          <w:rFonts w:ascii="Times New Roman" w:cs="Times New Roman" w:eastAsia="Times New Roman" w:hAnsi="Times New Roman"/>
          <w:sz w:val="18"/>
          <w:szCs w:val="18"/>
          <w:i w:val="1"/>
          <w:iCs w:val="1"/>
          <w:color w:val="auto"/>
        </w:rPr>
        <w:t>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 Classified Board of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Under our Stockholders’ Agreement (as amended or modified from time to time, the “Stockholders Agreement”) with the Apollo Stockholder and certain other stockholders party thereto,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1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Corporate Anti-takeover Provisions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4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 </w:t>
      </w:r>
      <w:r>
        <w:rPr>
          <w:rFonts w:ascii="Times New Roman" w:cs="Times New Roman" w:eastAsia="Times New Roman" w:hAnsi="Times New Roman"/>
          <w:sz w:val="18"/>
          <w:szCs w:val="18"/>
          <w:i w:val="1"/>
          <w:iCs w:val="1"/>
          <w:color w:val="auto"/>
        </w:rPr>
        <w:t>Composition of Board of Directors;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Removal</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certificate of incorporation, directors serving on a classified board may be removed by the stockholders only for cause. Our certificate of incorporation provides that directors may only be removed for cause upon the affirmative vote of holders of at least 66 2/3% in voting power of all outstanding shares of stock entitled to vote thereon, voting together as a single class; provided, however, that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Times New Roman" w:cs="Times New Roman" w:eastAsia="Times New Roman" w:hAnsi="Times New Roman"/>
          <w:sz w:val="18"/>
          <w:szCs w:val="18"/>
          <w:i w:val="1"/>
          <w:iCs w:val="1"/>
          <w:color w:val="auto"/>
        </w:rPr>
        <w:t>Composition of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Election and Removal</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stockholders do not have the right to cumulative votes in the election of directors.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6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the stockholders may be called only by the chairman of the board of directors or by the secretary at the direction of a majority of the directors then in office. The business transacted at any special meeting will be limited to the proposal or proposals included in the notice of the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46"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certain investment funds managed by affiliates of Apollo and the Apollo Stockholder, or their direct and indirect transferees, on the one hand, and us, on the other. In addition, such restrictions will not apply if:</w:t>
      </w:r>
    </w:p>
    <w:p>
      <w:pPr>
        <w:spacing w:after="0" w:line="87" w:lineRule="exact"/>
        <w:rPr>
          <w:sz w:val="20"/>
          <w:szCs w:val="20"/>
          <w:color w:val="auto"/>
        </w:rPr>
      </w:pPr>
    </w:p>
    <w:p>
      <w:pPr>
        <w:ind w:left="1800" w:right="459" w:hanging="180"/>
        <w:spacing w:after="0" w:line="259"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w:t>
      </w:r>
    </w:p>
    <w:p>
      <w:pPr>
        <w:spacing w:after="0" w:line="3" w:lineRule="exact"/>
        <w:rPr>
          <w:rFonts w:ascii="Times New Roman" w:cs="Times New Roman" w:eastAsia="Times New Roman" w:hAnsi="Times New Roman"/>
          <w:sz w:val="18"/>
          <w:szCs w:val="18"/>
          <w:color w:val="auto"/>
        </w:rPr>
      </w:pPr>
    </w:p>
    <w:p>
      <w:pPr>
        <w:ind w:left="1800" w:right="439"/>
        <w:spacing w:after="0" w:line="251" w:lineRule="auto"/>
        <w:tabs>
          <w:tab w:leader="none" w:pos="21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8" w:lineRule="auto"/>
        <w:rPr>
          <w:sz w:val="20"/>
          <w:szCs w:val="20"/>
          <w:color w:val="auto"/>
        </w:rPr>
      </w:pPr>
      <w:r>
        <w:rPr>
          <w:rFonts w:ascii="Times New Roman" w:cs="Times New Roman" w:eastAsia="Times New Roman" w:hAnsi="Times New Roman"/>
          <w:sz w:val="18"/>
          <w:szCs w:val="18"/>
          <w:color w:val="auto"/>
        </w:rPr>
        <w:t>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61" w:lineRule="exact"/>
        <w:rPr>
          <w:sz w:val="20"/>
          <w:szCs w:val="20"/>
          <w:color w:val="auto"/>
        </w:rPr>
      </w:pPr>
    </w:p>
    <w:p>
      <w:pPr>
        <w:ind w:left="2160" w:right="699" w:hanging="180"/>
        <w:spacing w:after="0" w:line="266" w:lineRule="auto"/>
        <w:tabs>
          <w:tab w:leader="none" w:pos="2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Times New Roman" w:cs="Times New Roman" w:eastAsia="Times New Roman" w:hAnsi="Times New Roman"/>
          <w:sz w:val="18"/>
          <w:szCs w:val="18"/>
          <w:color w:val="auto"/>
        </w:rPr>
      </w:pPr>
    </w:p>
    <w:p>
      <w:pPr>
        <w:ind w:left="2160" w:right="619" w:hanging="180"/>
        <w:spacing w:after="0" w:line="255" w:lineRule="auto"/>
        <w:tabs>
          <w:tab w:leader="none" w:pos="2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31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Certificate of Incorporation</w:t>
      </w:r>
    </w:p>
    <w:p>
      <w:pPr>
        <w:spacing w:after="0" w:line="14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Under Delaware law, our certificate of incorporation may be amended only with the affirmative vote of holders of at least a majority of the outstanding stock entitled to vote thereon.</w:t>
      </w:r>
    </w:p>
    <w:p>
      <w:pPr>
        <w:spacing w:after="0" w:line="8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our certificate of incorporation provides that,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75" w:lineRule="exact"/>
        <w:rPr>
          <w:sz w:val="20"/>
          <w:szCs w:val="20"/>
          <w:color w:val="auto"/>
        </w:rPr>
      </w:pPr>
    </w:p>
    <w:p>
      <w:pPr>
        <w:ind w:left="1800" w:right="59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2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make, alter, amend or repeal our bylaws;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calling of special meetings and stockholder action by written consent in lieu of a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indemnification and advance of expenses of our directors and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to specified provisions of our certificate of incorporation require the affirmative vote of 66 2/3% in voting power of our outstanding stock, voting as a single class; and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by the stockholders to our bylaws require the affirmative vote of 66 2/3% in voting power of our outstanding stock, voting as a single class.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Bylaws</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Matters that Require Consent of our Stockholders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800" w:right="4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 or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Ownership and Voting by Foreign Owners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3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 restrictions on foreign ownership and control of U.S. airlines, under federal law and DOT policy, “citizen of the United States” means (A) an individual who is a citizen of the United States;</w:t>
      </w:r>
    </w:p>
    <w:p>
      <w:pPr>
        <w:spacing w:after="0" w:line="1" w:lineRule="exact"/>
        <w:rPr>
          <w:sz w:val="20"/>
          <w:szCs w:val="20"/>
          <w:color w:val="auto"/>
        </w:rPr>
      </w:pPr>
    </w:p>
    <w:p>
      <w:pPr>
        <w:ind w:left="1260" w:right="439"/>
        <w:spacing w:after="0" w:line="242" w:lineRule="auto"/>
        <w:tabs>
          <w:tab w:leader="none" w:pos="15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68" w:lineRule="exact"/>
        <w:rPr>
          <w:sz w:val="20"/>
          <w:szCs w:val="20"/>
          <w:color w:val="auto"/>
        </w:rPr>
      </w:pPr>
    </w:p>
    <w:p>
      <w:pPr>
        <w:ind w:left="5240" w:right="3659" w:hanging="3620"/>
        <w:spacing w:after="0" w:line="736" w:lineRule="auto"/>
        <w:tabs>
          <w:tab w:leader="none" w:pos="17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governed by the internal affairs doctrine,</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each such case subject to the Delaware Court of Chancery having personal jurisdiction over the indispensable parties named as defendants.</w:t>
      </w:r>
    </w:p>
    <w:p>
      <w:pPr>
        <w:spacing w:after="0" w:line="8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2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0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assist in attracting and retaining qualified individuals to serve as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“SNCY.”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Any selling stockholder may offer and sell shares of our common stock, in any one or more of the following ways:</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1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15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any selling stockholder may enter into option, share lending or other types of transactions that require such selling stockholder to deliver the shares of common stock to an underwriter, broker or dealer, who will then resell or transfer the shares of common stock under this prospectus. Any selling stockholder may also enter into hedging transactions with respect to the securities of such selling stockholder. For example, any selling stockholder may:</w:t>
      </w:r>
    </w:p>
    <w:p>
      <w:pPr>
        <w:spacing w:after="0" w:line="75" w:lineRule="exact"/>
        <w:rPr>
          <w:sz w:val="20"/>
          <w:szCs w:val="20"/>
          <w:color w:val="auto"/>
        </w:rPr>
      </w:pPr>
    </w:p>
    <w:p>
      <w:pPr>
        <w:ind w:left="1800" w:right="5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such selling stockholder to deliver shares of common stock to an underwriter or broker-dealer, who will then resell or transfer the shares of common stock under this prospectus; or</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8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us in making decisions with respect to the timing, manner and size of each sale of shares of common stock covered by this prospectus.</w:t>
      </w:r>
    </w:p>
    <w:p>
      <w:pPr>
        <w:spacing w:after="0" w:line="9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Any selling stockholder may enter into derivative transactions with third parties, or sell securities not covered by this prospectus to third parties in privately negotiated transactions, including sales deemed to be an at-the-market offering as defined in Rule 415 promulgated under the Securities Act, which includes sales made directly on or through Nasdaq, the existing trading market for our shares of common stock, or sales made to or through a market maker other than on an exchange. In connection with those derivatives, the third parties may sell securities covered by this prospectus, including in short sale transactions. If so, the third party may use securities pledged by such selling stockholder, or borrowed from such selling stockholder or others to settle those sales or to close out any related open borrowings of stock, and may use securities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the securities of such selling stockholder, or in connection with a concurrent offering of other securities.</w:t>
      </w:r>
    </w:p>
    <w:p>
      <w:pPr>
        <w:spacing w:after="0" w:line="12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any selling stockholder’s obligations or other liabilities to its creditors. Such transactions may or may not involve brokers or dealers.</w:t>
      </w:r>
    </w:p>
    <w:p>
      <w:pPr>
        <w:spacing w:after="0" w:line="8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is a part by delivering a prospectus with a plan of distribution. Such members, partners or stockholders (unless our affiliate) would thereby receive freely tradeable securities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pursuant to the distribution.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0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securities may be sold from time to time by any selling stockholder in one or more transactions:</w:t>
      </w:r>
    </w:p>
    <w:p>
      <w:pPr>
        <w:spacing w:after="0" w:line="117"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17" w:lineRule="exact"/>
        <w:rPr>
          <w:sz w:val="20"/>
          <w:szCs w:val="20"/>
          <w:color w:val="auto"/>
        </w:rPr>
      </w:pPr>
    </w:p>
    <w:p>
      <w:pPr>
        <w:ind w:left="1800" w:right="5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selling stockholders might not sell any securities under this prospectus. In addition, any of the</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securities covered by this prospectus that qualify for sale pursuant to Rule 144 under the Securities Act may be sold under Rule 144 rather than pursuant to this prospectus.</w:t>
      </w:r>
    </w:p>
    <w:p>
      <w:pPr>
        <w:spacing w:after="0" w:line="11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by any selling stockholder or through agents designated by such selling stockholder from time to time. Any such agent will be acting on a best efforts basis for the period of its appointment.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any selling stockholder directly to institutional investors or others, who may be deemed to be underwriters within the meaning of the Securities Act with respect to any resale of the securities.</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Underwriters, dealers or agents will be authorized to solicit offers by certain institutional investors to purchase securities from any selling stockholder pursuant to contracts providing for payment and delivery at a future date. Institutional investors with which these contracts may be made include, among others:</w:t>
      </w:r>
    </w:p>
    <w:p>
      <w:pPr>
        <w:spacing w:after="0" w:line="61"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all cases, these purchasers must be approved by the applicable selling stockholder.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any selling stockholder must have sold to these underwriters the securities not subject to delayed delivery. Underwriters and other agents will not have any responsibility in respect of the validity or performance of these contracts.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Some of the underwriters, dealers or agents used by any selling stockholder in any offering of securities under this prospectus may be customers of, engage in transactions with, and perform services for such selling stockholder or affiliates of such selling stockholder in the ordinary course of business. Underwriters, dealers, agents and other persons may be entitled under agreements that may be entered into with any selling stockholder to indemnification against and contribution toward certain civil liabilities, including liabilities under the Securities Act, and to be reimbursed by such selling stockholder for certain expenses.</w:t>
      </w:r>
    </w:p>
    <w:p>
      <w:pPr>
        <w:spacing w:after="0" w:line="12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Any underwriters to which offered securities are sold by any selling stockholder for public offering and sale may make a market in such securities, but those underwriters will not be obligated to do so and may discontinue any market making at any time.</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underwriters or dealers are used in the sale of securities, until the distribution of the securities is completed, rules of the SEC may limit the ability of any underwriters to bid for and purchase our securities. As an exception to these rules, representatives of any underwriters are permitted to engage in transactions that stabilize the price of our securities. These transactions may consist of bids or purchases for the purpose of pegging, fixing or maintaining the price of such securities. If the underwriters create a short position in our securities in connection with an offering (that is, if they sell more securities than are set forth on the cover page of this prospectus) the representatives of the underwriters may reduce that short position by purchasing such securities in the open market. We make no representation or prediction as to the direction or magnitude of any effect that the transactions described above may have on the price of our securities. In addition, we make no representation that the representatives of any underwriters will engage in these transactions or that these transactions, once commenced, will not be discontinued without notice.</w:t>
      </w:r>
    </w:p>
    <w:p>
      <w:pPr>
        <w:spacing w:after="0" w:line="124"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(“FINRA”), the maximum commission or discount to be received by any FINRA member or independent broker-dealer may not be greater than 8% of the proceeds received by any selling stockholder for the sale of any securities being offered by this prospectus.</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Paul, Weiss, Rifkind, Wharton &amp; Garrison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5,250,000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727075</wp:posOffset>
            </wp:positionV>
            <wp:extent cx="2228850" cy="283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22288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200" w:lineRule="exact"/>
        <w:rPr>
          <w:sz w:val="20"/>
          <w:szCs w:val="20"/>
          <w:color w:val="auto"/>
        </w:rPr>
      </w:pPr>
    </w:p>
    <w:p>
      <w:pPr>
        <w:spacing w:after="0" w:line="2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829945</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1014095</wp:posOffset>
            </wp:positionV>
            <wp:extent cx="5212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lvl w:ilvl="1">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lowerRoman"/>
      <w:start w:val="3"/>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Roman"/>
      <w:start w:val="1"/>
    </w:lvl>
  </w:abstractNum>
  <w:abstractNum w:abstractNumId="13">
    <w:nsid w:val="B03E0C6"/>
    <w:multiLevelType w:val="hybridMultilevel"/>
    <w:lvl w:ilvl="0">
      <w:lvlJc w:val="left"/>
      <w:lvlText w:val="(%1)"/>
      <w:numFmt w:val="lowerRoman"/>
      <w:start w:val="3"/>
    </w:lvl>
  </w:abstractNum>
  <w:abstractNum w:abstractNumId="14">
    <w:nsid w:val="189A769B"/>
    <w:multiLevelType w:val="hybridMultilevel"/>
    <w:lvl w:ilvl="0">
      <w:lvlJc w:val="left"/>
      <w:lvlText w:val="(%1)"/>
      <w:numFmt w:val="lowerRoman"/>
      <w:start w:val="8"/>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lvl w:ilvl="1">
      <w:lvlJc w:val="left"/>
      <w:lvlText w:val="(%2)"/>
      <w:numFmt w:val="lowerRoman"/>
      <w:start w:val="3"/>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upperLetter"/>
      <w:start w:val="2"/>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jpe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26" Type="http://schemas.openxmlformats.org/officeDocument/2006/relationships/hyperlink" Target="https://www.sec.gov/ix?doc=/Archives/edgar/data/1743907/000095014223000188/eh230323322_8k.htm" TargetMode="External"/><Relationship Id="rId27" Type="http://schemas.openxmlformats.org/officeDocument/2006/relationships/hyperlink" Target="https://www.sec.gov/ix?doc=/Archives/edgar/data/1743907/000174390723000005/sncy-20230206.htm" TargetMode="External"/><Relationship Id="rId28" Type="http://schemas.openxmlformats.org/officeDocument/2006/relationships/hyperlink" Target="https://www.sec.gov/Archives/edgar/data/1743907/000119312521080721/d150407d8a12b.htm" TargetMode="External"/><Relationship Id="rId84" Type="http://schemas.openxmlformats.org/officeDocument/2006/relationships/hyperlink" Target="http://www.sec.gov/ix?doc=/Archives/edgar/data/1743907/000155837022001409/sncy-20211231x10k.htm" TargetMode="External"/><Relationship Id="rId85" Type="http://schemas.openxmlformats.org/officeDocument/2006/relationships/hyperlink" Target="http://www.sec.gov/ix?doc=/Archives/edgar/data/1743907/000155837022001517/sncy-20211231x10ka.htm" TargetMode="External"/><Relationship Id="rId86" Type="http://schemas.openxmlformats.org/officeDocument/2006/relationships/hyperlink" Target="http://www.sec.gov/Archives/edgar/data/1743907/000114036122017008/ny20002474x1_def14a.htm" TargetMode="External"/><Relationship Id="rId87" Type="http://schemas.openxmlformats.org/officeDocument/2006/relationships/hyperlink" Target="http://www.sec.gov/ix?doc=/Archives/edgar/data/1743907/000174390722000004/sncy-20220331.htm" TargetMode="External"/><Relationship Id="rId88" Type="http://schemas.openxmlformats.org/officeDocument/2006/relationships/hyperlink" Target="http://www.sec.gov/ix?doc=/Archives/edgar/data/1743907/000174390722000010/sncy-20220630.htm" TargetMode="External"/><Relationship Id="rId89" Type="http://schemas.openxmlformats.org/officeDocument/2006/relationships/hyperlink" Target="http://www.sec.gov/ix?doc=/Archives/edgar/data/1743907/000174390722000018/sncy-20220930.htm" TargetMode="External"/><Relationship Id="rId90" Type="http://schemas.openxmlformats.org/officeDocument/2006/relationships/hyperlink" Target="http://www.sec.gov/ix?doc=/Archives/edgar/data/1743907/000119312522095256/d331629d8k.htm" TargetMode="External"/><Relationship Id="rId91" Type="http://schemas.openxmlformats.org/officeDocument/2006/relationships/hyperlink" Target="http://www.sec.gov/ix?doc=/Archives/edgar/data/1743907/000095014222001526/eh220248099_8k.htm" TargetMode="External"/><Relationship Id="rId92" Type="http://schemas.openxmlformats.org/officeDocument/2006/relationships/hyperlink" Target="http://www.sec.gov/ix?doc=/Archives/edgar/data/1743907/000095014222001576/eh220250292_8ka1.htm" TargetMode="External"/><Relationship Id="rId93" Type="http://schemas.openxmlformats.org/officeDocument/2006/relationships/hyperlink" Target="http://www.sec.gov/ix?doc=/Archives/edgar/data/1743907/000095014222001872/eh220260912_8k.htm" TargetMode="External"/><Relationship Id="rId94" Type="http://schemas.openxmlformats.org/officeDocument/2006/relationships/hyperlink" Target="http://www.sec.gov/ix?doc=/Archives/edgar/data/1743907/000095014222001966/eh220263307_8k.htm" TargetMode="External"/><Relationship Id="rId95" Type="http://schemas.openxmlformats.org/officeDocument/2006/relationships/hyperlink" Target="http://www.sec.gov/ix?doc=/Archives/edgar/data/1743907/000095014222002892/eh220294245_8k.htm" TargetMode="External"/><Relationship Id="rId96" Type="http://schemas.openxmlformats.org/officeDocument/2006/relationships/hyperlink" Target="http://www.sec.gov/ix?doc=/Archives/edgar/data/1743907/000174390722000016/sncy-20221031.htm" TargetMode="External"/><Relationship Id="rId97" Type="http://schemas.openxmlformats.org/officeDocument/2006/relationships/hyperlink" Target="http://www.sec.gov/ix?doc=/Archives/edgar/data/1743907/000095014222003027/eh220300824_8k.htm" TargetMode="External"/><Relationship Id="rId98" Type="http://schemas.openxmlformats.org/officeDocument/2006/relationships/hyperlink" Target="http://www.sec.gov/Archives/edgar/data/1743907/000119312521080721/d15040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2023-02-15T15:41:47Z</dcterms:created>
  <dcterms:modified xsi:type="dcterms:W3CDTF">2023-02-15T15:41:47Z</dcterms:modified>
</cp:coreProperties>
</file>