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June 30, 2025</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2" w:lineRule="exact"/>
        <w:rPr>
          <w:sz w:val="24"/>
          <w:szCs w:val="24"/>
          <w:color w:val="auto"/>
        </w:rPr>
      </w:pPr>
    </w:p>
    <w:p>
      <w:pPr>
        <w:ind w:left="4300" w:right="2500" w:hanging="4274"/>
        <w:spacing w:after="0" w:line="585"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-97155</wp:posOffset>
            </wp:positionV>
            <wp:extent cx="282892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Delaware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Pr>
          <w:p>
            <w:pPr>
              <w:jc w:val="right"/>
              <w:ind w:right="2028"/>
              <w:spacing w:after="0"/>
              <w:rPr>
                <w:sz w:val="20"/>
                <w:szCs w:val="20"/>
                <w:color w:val="auto"/>
              </w:rPr>
            </w:pPr>
            <w:r>
              <w:rPr>
                <w:rFonts w:ascii="Arial" w:cs="Arial" w:eastAsia="Arial" w:hAnsi="Arial"/>
                <w:sz w:val="14"/>
                <w:szCs w:val="14"/>
                <w:color w:val="auto"/>
              </w:rPr>
              <w:t>82-4092570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(State or other jurisdiction of incorporation or organization)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48"/>
              <w:spacing w:after="0"/>
              <w:rPr>
                <w:sz w:val="20"/>
                <w:szCs w:val="20"/>
                <w:color w:val="auto"/>
              </w:rPr>
            </w:pPr>
            <w:r>
              <w:rPr>
                <w:rFonts w:ascii="Arial" w:cs="Arial" w:eastAsia="Arial" w:hAnsi="Arial"/>
                <w:sz w:val="14"/>
                <w:szCs w:val="14"/>
                <w:color w:val="auto"/>
              </w:rPr>
              <w:t>(I.R.S. Employer Identification No.)</w:t>
            </w:r>
          </w:p>
        </w:tc>
      </w:tr>
      <w:tr>
        <w:trPr>
          <w:trHeight w:val="378"/>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2005 Cargo Road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Minneapolis, Minnesota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2208"/>
              <w:spacing w:after="0"/>
              <w:rPr>
                <w:sz w:val="20"/>
                <w:szCs w:val="20"/>
                <w:color w:val="auto"/>
              </w:rPr>
            </w:pPr>
            <w:r>
              <w:rPr>
                <w:rFonts w:ascii="Arial" w:cs="Arial" w:eastAsia="Arial" w:hAnsi="Arial"/>
                <w:sz w:val="14"/>
                <w:szCs w:val="14"/>
                <w:color w:val="auto"/>
              </w:rPr>
              <w:t>55450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(Address of principal executive offices)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68"/>
              <w:spacing w:after="0"/>
              <w:rPr>
                <w:sz w:val="20"/>
                <w:szCs w:val="20"/>
                <w:color w:val="auto"/>
              </w:rPr>
            </w:pPr>
            <w:r>
              <w:rPr>
                <w:rFonts w:ascii="Arial" w:cs="Arial" w:eastAsia="Arial" w:hAnsi="Arial"/>
                <w:sz w:val="14"/>
                <w:szCs w:val="14"/>
                <w:color w:val="auto"/>
              </w:rPr>
              <w:t>(Zip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 (651) 681-3900</w:t>
            </w:r>
          </w:p>
        </w:tc>
      </w:tr>
      <w:tr>
        <w:trPr>
          <w:trHeight w:val="553"/>
        </w:trPr>
        <w:tc>
          <w:tcPr>
            <w:tcW w:w="7520" w:type="dxa"/>
            <w:vAlign w:val="bottom"/>
            <w:gridSpan w:val="6"/>
          </w:tcPr>
          <w:p>
            <w:pPr>
              <w:jc w:val="center"/>
              <w:ind w:left="3668"/>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24"/>
                <w:szCs w:val="24"/>
                <w:color w:val="auto"/>
              </w:rPr>
            </w:pPr>
          </w:p>
        </w:tc>
      </w:tr>
      <w:tr>
        <w:trPr>
          <w:trHeight w:val="328"/>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Name of each exchange on which registered</w:t>
            </w:r>
          </w:p>
        </w:tc>
      </w:tr>
      <w:tr>
        <w:trPr>
          <w:trHeight w:val="205"/>
        </w:trPr>
        <w:tc>
          <w:tcPr>
            <w:tcW w:w="504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2480" w:type="dxa"/>
            <w:vAlign w:val="bottom"/>
            <w:gridSpan w:val="3"/>
          </w:tcPr>
          <w:p>
            <w:pPr>
              <w:jc w:val="center"/>
              <w:ind w:right="1360"/>
              <w:spacing w:after="0"/>
              <w:rPr>
                <w:sz w:val="20"/>
                <w:szCs w:val="20"/>
                <w:color w:val="auto"/>
              </w:rPr>
            </w:pPr>
            <w:r>
              <w:rPr>
                <w:rFonts w:ascii="Arial" w:cs="Arial" w:eastAsia="Arial" w:hAnsi="Arial"/>
                <w:sz w:val="14"/>
                <w:szCs w:val="14"/>
                <w:color w:val="auto"/>
              </w:rPr>
              <w:t>SNCY</w:t>
            </w:r>
          </w:p>
        </w:tc>
        <w:tc>
          <w:tcPr>
            <w:tcW w:w="3720" w:type="dxa"/>
            <w:vAlign w:val="bottom"/>
          </w:tcPr>
          <w:p>
            <w:pPr>
              <w:jc w:val="center"/>
              <w:ind w:right="648"/>
              <w:spacing w:after="0"/>
              <w:rPr>
                <w:sz w:val="20"/>
                <w:szCs w:val="20"/>
                <w:color w:val="auto"/>
              </w:rPr>
            </w:pPr>
            <w:r>
              <w:rPr>
                <w:rFonts w:ascii="Arial" w:cs="Arial" w:eastAsia="Arial" w:hAnsi="Arial"/>
                <w:sz w:val="14"/>
                <w:szCs w:val="14"/>
                <w:color w:val="auto"/>
              </w:rPr>
              <w:t>The Nasdaq Stock Market LLC</w:t>
            </w:r>
          </w:p>
        </w:tc>
      </w:tr>
    </w:tbl>
    <w:p>
      <w:pPr>
        <w:spacing w:after="0" w:line="201" w:lineRule="exact"/>
        <w:rPr>
          <w:sz w:val="24"/>
          <w:szCs w:val="24"/>
          <w:color w:val="auto"/>
        </w:rPr>
      </w:pPr>
    </w:p>
    <w:p>
      <w:pPr>
        <w:ind w:right="180" w:firstLine="324"/>
        <w:spacing w:after="0" w:line="30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360" w:firstLine="324"/>
        <w:spacing w:after="0" w:line="30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40" w:firstLine="324"/>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59" w:lineRule="exact"/>
        <w:rPr>
          <w:sz w:val="24"/>
          <w:szCs w:val="24"/>
          <w:color w:val="auto"/>
        </w:rPr>
      </w:pPr>
    </w:p>
    <w:p>
      <w:pPr>
        <w:jc w:val="center"/>
        <w:ind w:left="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3">
            <w:col w:w="5620" w:space="720"/>
            <w:col w:w="2620" w:space="720"/>
            <w:col w:w="1560"/>
          </w:cols>
          <w:pgMar w:left="320" w:top="512" w:right="339" w:bottom="1440" w:gutter="0" w:footer="0" w:header="0"/>
          <w:type w:val="continuous"/>
        </w:sectPr>
      </w:pPr>
    </w:p>
    <w:p>
      <w:pPr>
        <w:ind w:left="57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20" w:space="720"/>
            <w:col w:w="1900"/>
          </w:cols>
          <w:pgMar w:left="320" w:top="512" w:right="339" w:bottom="1440" w:gutter="0" w:footer="0" w:header="0"/>
          <w:type w:val="continuous"/>
        </w:sectPr>
      </w:pPr>
    </w:p>
    <w:p>
      <w:pPr>
        <w:spacing w:after="0" w:line="90" w:lineRule="exact"/>
        <w:rPr>
          <w:sz w:val="24"/>
          <w:szCs w:val="24"/>
          <w:color w:val="auto"/>
        </w:rPr>
      </w:pPr>
    </w:p>
    <w:p>
      <w:pPr>
        <w:ind w:right="540" w:firstLine="324"/>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2" w:lineRule="exact"/>
        <w:rPr>
          <w:sz w:val="24"/>
          <w:szCs w:val="24"/>
          <w:color w:val="auto"/>
        </w:rPr>
      </w:pPr>
    </w:p>
    <w:p>
      <w:pPr>
        <w:ind w:left="52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outstanding by each class of common stock, as of June 30, 2025:</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$0.01 par value – 53,316,378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39"/>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9"/>
              </w:rPr>
              <w:t>Sun Country Airlines Holdings,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80" w:type="dxa"/>
            <w:vAlign w:val="bottom"/>
            <w:gridSpan w:val="22"/>
            <w:vMerge w:val="restart"/>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7820" w:type="dxa"/>
            <w:vAlign w:val="bottom"/>
            <w:gridSpan w:val="16"/>
            <w:vMerge w:val="restart"/>
          </w:tcPr>
          <w:p>
            <w:pPr>
              <w:spacing w:after="0"/>
              <w:rPr>
                <w:sz w:val="21"/>
                <w:szCs w:val="21"/>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380" w:type="dxa"/>
            <w:vAlign w:val="bottom"/>
            <w:tcBorders>
              <w:bottom w:val="single" w:sz="8" w:color="0000FF"/>
            </w:tcBorders>
            <w:gridSpan w:val="22"/>
            <w:vMerge w:val="continue"/>
          </w:tcPr>
          <w:p>
            <w:pPr>
              <w:spacing w:after="0"/>
              <w:rPr>
                <w:sz w:val="14"/>
                <w:szCs w:val="14"/>
                <w:color w:val="auto"/>
              </w:rPr>
            </w:pPr>
          </w:p>
        </w:tc>
        <w:tc>
          <w:tcPr>
            <w:tcW w:w="7820" w:type="dxa"/>
            <w:vAlign w:val="bottom"/>
            <w:gridSpan w:val="16"/>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Item 1. Financial Statements</w:t>
            </w:r>
          </w:p>
        </w:tc>
        <w:tc>
          <w:tcPr>
            <w:tcW w:w="7800" w:type="dxa"/>
            <w:vAlign w:val="bottom"/>
            <w:gridSpan w:val="15"/>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Condensed Consolidated Balance Sheets</w:t>
            </w:r>
          </w:p>
        </w:tc>
        <w:tc>
          <w:tcPr>
            <w:tcW w:w="6640" w:type="dxa"/>
            <w:vAlign w:val="bottom"/>
            <w:gridSpan w:val="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586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840" w:type="dxa"/>
            <w:vAlign w:val="bottom"/>
            <w:gridSpan w:val="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29"/>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1640" w:type="dxa"/>
            <w:vAlign w:val="bottom"/>
            <w:tcBorders>
              <w:top w:val="single" w:sz="8" w:color="0000FF"/>
            </w:tcBorders>
            <w:gridSpan w:val="5"/>
          </w:tcPr>
          <w:p>
            <w:pPr>
              <w:spacing w:after="0"/>
              <w:rPr>
                <w:sz w:val="18"/>
                <w:szCs w:val="18"/>
                <w:color w:val="auto"/>
              </w:rPr>
            </w:pPr>
          </w:p>
        </w:tc>
        <w:tc>
          <w:tcPr>
            <w:tcW w:w="41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52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24"/>
                <w:szCs w:val="24"/>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Basis of Presentation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gridSpan w:val="6"/>
          </w:tcPr>
          <w:p>
            <w:pPr>
              <w:spacing w:after="0"/>
              <w:rPr>
                <w:sz w:val="17"/>
                <w:szCs w:val="17"/>
                <w:color w:val="auto"/>
              </w:rPr>
            </w:pPr>
          </w:p>
        </w:tc>
        <w:tc>
          <w:tcPr>
            <w:tcW w:w="10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7"/>
                <w:szCs w:val="17"/>
                <w:color w:val="auto"/>
              </w:rPr>
            </w:pPr>
          </w:p>
        </w:tc>
        <w:tc>
          <w:tcPr>
            <w:tcW w:w="7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7"/>
              </w:rPr>
              <w:t>Revenue</w:t>
            </w:r>
          </w:p>
        </w:tc>
        <w:tc>
          <w:tcPr>
            <w:tcW w:w="8740" w:type="dxa"/>
            <w:vAlign w:val="bottom"/>
            <w:gridSpan w:val="25"/>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Earnings per Share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15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Aircraft</w:t>
            </w:r>
          </w:p>
        </w:tc>
        <w:tc>
          <w:tcPr>
            <w:tcW w:w="7920" w:type="dxa"/>
            <w:vAlign w:val="bottom"/>
            <w:gridSpan w:val="1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Debt</w:t>
            </w:r>
          </w:p>
        </w:tc>
        <w:tc>
          <w:tcPr>
            <w:tcW w:w="180" w:type="dxa"/>
            <w:vAlign w:val="bottom"/>
            <w:tcBorders>
              <w:top w:val="single" w:sz="8" w:color="0000FF"/>
            </w:tcBorders>
          </w:tcPr>
          <w:p>
            <w:pPr>
              <w:spacing w:after="0"/>
              <w:rPr>
                <w:sz w:val="18"/>
                <w:szCs w:val="18"/>
                <w:color w:val="auto"/>
              </w:rPr>
            </w:pPr>
          </w:p>
        </w:tc>
        <w:tc>
          <w:tcPr>
            <w:tcW w:w="8900" w:type="dxa"/>
            <w:vAlign w:val="bottom"/>
            <w:gridSpan w:val="2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Fair Value Measurements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11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7"/>
              </w:rPr>
              <w:t>Income Taxes</w:t>
            </w:r>
          </w:p>
        </w:tc>
        <w:tc>
          <w:tcPr>
            <w:tcW w:w="920" w:type="dxa"/>
            <w:vAlign w:val="bottom"/>
            <w:tcBorders>
              <w:top w:val="single" w:sz="8" w:color="0000FF"/>
            </w:tcBorders>
            <w:gridSpan w:val="10"/>
          </w:tcPr>
          <w:p>
            <w:pPr>
              <w:spacing w:after="0"/>
              <w:rPr>
                <w:sz w:val="18"/>
                <w:szCs w:val="18"/>
                <w:color w:val="auto"/>
              </w:rPr>
            </w:pPr>
          </w:p>
        </w:tc>
        <w:tc>
          <w:tcPr>
            <w:tcW w:w="742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Special Items, net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10</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11</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Commitments and Contingencies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0000FF"/>
                <w:w w:val="89"/>
              </w:rPr>
              <w:t>12</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Operating Segments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13</w:t>
            </w:r>
          </w:p>
        </w:tc>
        <w:tc>
          <w:tcPr>
            <w:tcW w:w="100" w:type="dxa"/>
            <w:vAlign w:val="bottom"/>
          </w:tcPr>
          <w:p>
            <w:pPr>
              <w:spacing w:after="0"/>
              <w:rPr>
                <w:sz w:val="18"/>
                <w:szCs w:val="18"/>
                <w:color w:val="auto"/>
              </w:rPr>
            </w:pPr>
          </w:p>
        </w:tc>
        <w:tc>
          <w:tcPr>
            <w:tcW w:w="16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rPr>
              <w:t>Subsequent Events</w:t>
            </w:r>
          </w:p>
        </w:tc>
        <w:tc>
          <w:tcPr>
            <w:tcW w:w="20" w:type="dxa"/>
            <w:vAlign w:val="bottom"/>
            <w:tcBorders>
              <w:top w:val="single" w:sz="8" w:color="0000FF"/>
            </w:tcBorders>
          </w:tcPr>
          <w:p>
            <w:pPr>
              <w:spacing w:after="0"/>
              <w:rPr>
                <w:sz w:val="18"/>
                <w:szCs w:val="18"/>
                <w:color w:val="auto"/>
              </w:rPr>
            </w:pPr>
          </w:p>
        </w:tc>
        <w:tc>
          <w:tcPr>
            <w:tcW w:w="7820" w:type="dxa"/>
            <w:vAlign w:val="bottom"/>
            <w:gridSpan w:val="16"/>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4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top w:val="single" w:sz="8" w:color="0000FF"/>
            </w:tcBorders>
            <w:gridSpan w:val="33"/>
          </w:tcPr>
          <w:p>
            <w:pPr>
              <w:spacing w:after="0"/>
              <w:rPr>
                <w:sz w:val="20"/>
                <w:szCs w:val="20"/>
                <w:color w:val="auto"/>
              </w:rPr>
            </w:pPr>
            <w:r>
              <w:rPr>
                <w:rFonts w:ascii="Arial" w:cs="Arial" w:eastAsia="Arial" w:hAnsi="Arial"/>
                <w:sz w:val="18"/>
                <w:szCs w:val="18"/>
                <w:color w:val="0000FF"/>
              </w:rPr>
              <w:t>Item 4. Controls and Procedures</w:t>
            </w:r>
          </w:p>
        </w:tc>
        <w:tc>
          <w:tcPr>
            <w:tcW w:w="4780" w:type="dxa"/>
            <w:vAlign w:val="bottom"/>
            <w:gridSpan w:val="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99"/>
              </w:rPr>
              <w:t>Part II. Other Information</w:t>
            </w:r>
          </w:p>
        </w:tc>
        <w:tc>
          <w:tcPr>
            <w:tcW w:w="8040" w:type="dxa"/>
            <w:vAlign w:val="bottom"/>
            <w:gridSpan w:val="20"/>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1. 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8"/>
              </w:rPr>
              <w:t>Item 1A. Risk Factors</w:t>
            </w:r>
          </w:p>
        </w:tc>
        <w:tc>
          <w:tcPr>
            <w:tcW w:w="360" w:type="dxa"/>
            <w:vAlign w:val="bottom"/>
            <w:tcBorders>
              <w:top w:val="single" w:sz="8" w:color="0000FF"/>
            </w:tcBorders>
            <w:gridSpan w:val="4"/>
          </w:tcPr>
          <w:p>
            <w:pPr>
              <w:spacing w:after="0"/>
              <w:rPr>
                <w:sz w:val="18"/>
                <w:szCs w:val="18"/>
                <w:color w:val="auto"/>
              </w:rPr>
            </w:pPr>
          </w:p>
        </w:tc>
        <w:tc>
          <w:tcPr>
            <w:tcW w:w="8000" w:type="dxa"/>
            <w:vAlign w:val="bottom"/>
            <w:gridSpan w:val="1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0000FF"/>
            </w:tcBorders>
            <w:gridSpan w:val="34"/>
          </w:tcPr>
          <w:p>
            <w:pPr>
              <w:spacing w:after="0"/>
              <w:rPr>
                <w:sz w:val="20"/>
                <w:szCs w:val="20"/>
                <w:color w:val="auto"/>
              </w:rPr>
            </w:pPr>
            <w:r>
              <w:rPr>
                <w:rFonts w:ascii="Arial" w:cs="Arial" w:eastAsia="Arial" w:hAnsi="Arial"/>
                <w:sz w:val="18"/>
                <w:szCs w:val="18"/>
                <w:color w:val="0000FF"/>
              </w:rPr>
              <w:t>Item 3. Defaults Upon Senior Securities</w:t>
            </w:r>
          </w:p>
        </w:tc>
        <w:tc>
          <w:tcPr>
            <w:tcW w:w="464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Item 4. Mine Safety Disclosures</w:t>
            </w:r>
          </w:p>
        </w:tc>
        <w:tc>
          <w:tcPr>
            <w:tcW w:w="694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8"/>
              </w:rPr>
              <w:t>Item 5. Other Information</w:t>
            </w:r>
          </w:p>
        </w:tc>
        <w:tc>
          <w:tcPr>
            <w:tcW w:w="580" w:type="dxa"/>
            <w:vAlign w:val="bottom"/>
            <w:tcBorders>
              <w:top w:val="single" w:sz="8" w:color="0000FF"/>
            </w:tcBorders>
            <w:gridSpan w:val="8"/>
          </w:tcPr>
          <w:p>
            <w:pPr>
              <w:spacing w:after="0"/>
              <w:rPr>
                <w:sz w:val="18"/>
                <w:szCs w:val="18"/>
                <w:color w:val="auto"/>
              </w:rPr>
            </w:pPr>
          </w:p>
        </w:tc>
        <w:tc>
          <w:tcPr>
            <w:tcW w:w="7500" w:type="dxa"/>
            <w:vAlign w:val="bottom"/>
            <w:gridSpan w:val="1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6. Exhibits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860" w:type="dxa"/>
            <w:vAlign w:val="bottom"/>
            <w:gridSpan w:val="2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200" w:type="dxa"/>
            <w:vAlign w:val="bottom"/>
            <w:gridSpan w:val="38"/>
          </w:tcPr>
          <w:p>
            <w:pPr>
              <w:spacing w:after="0"/>
              <w:rPr>
                <w:sz w:val="20"/>
                <w:szCs w:val="20"/>
                <w:color w:val="auto"/>
              </w:rPr>
            </w:pPr>
            <w:r>
              <w:rPr>
                <w:rFonts w:ascii="Arial" w:cs="Arial" w:eastAsia="Arial" w:hAnsi="Arial"/>
                <w:sz w:val="18"/>
                <w:szCs w:val="18"/>
                <w:color w:val="0000FF"/>
              </w:rPr>
              <w:t>Signatures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5180" w:type="dxa"/>
            <w:vAlign w:val="bottom"/>
            <w:gridSpan w:val="28"/>
          </w:tcPr>
          <w:p>
            <w:pPr>
              <w:jc w:val="center"/>
              <w:ind w:left="4230"/>
              <w:spacing w:after="0"/>
              <w:rPr>
                <w:sz w:val="20"/>
                <w:szCs w:val="20"/>
                <w:color w:val="auto"/>
              </w:rPr>
            </w:pPr>
            <w:r>
              <w:rPr>
                <w:rFonts w:ascii="Arial" w:cs="Arial" w:eastAsia="Arial" w:hAnsi="Arial"/>
                <w:sz w:val="18"/>
                <w:szCs w:val="18"/>
                <w:color w:val="auto"/>
                <w:w w:val="99"/>
              </w:rPr>
              <w:t>-2-</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54"/>
        </w:trPr>
        <w:tc>
          <w:tcPr>
            <w:tcW w:w="7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36,964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83,219</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17,252</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101,337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104,053</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 of an allowance for credit losses of $759 and $617, respectively</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Short-term Lessor Maintenance Deposits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7"/>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 net of a reserve for obsolescence of $1,049 and $784, respectively</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10,467</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15,216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13,837</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w:t>
            </w:r>
          </w:p>
        </w:tc>
      </w:tr>
      <w:tr>
        <w:trPr>
          <w:trHeight w:val="248"/>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222,293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266,584</w:t>
            </w:r>
          </w:p>
        </w:tc>
      </w:tr>
      <w:tr>
        <w:trPr>
          <w:trHeight w:val="216"/>
        </w:trPr>
        <w:tc>
          <w:tcPr>
            <w:tcW w:w="72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Property &amp; Equipment, net:</w:t>
            </w:r>
          </w:p>
        </w:tc>
        <w:tc>
          <w:tcPr>
            <w:tcW w:w="3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and Flight Equipment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799,515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775,210</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Aircraft and Flight Equipment Held for Operating Lease</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93,548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124,383</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Ground Equipment and Leasehold Improvements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46,550</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Computer Hardware and Software</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23,729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22,436</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Assets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309,877</w:t>
            </w:r>
          </w:p>
        </w:tc>
      </w:tr>
      <w:tr>
        <w:trPr>
          <w:trHeight w:val="215"/>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Rotable Parts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26,626</w:t>
            </w:r>
          </w:p>
        </w:tc>
      </w:tr>
      <w:tr>
        <w:trPr>
          <w:trHeight w:val="210"/>
        </w:trPr>
        <w:tc>
          <w:tcPr>
            <w:tcW w:w="7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1,302,291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1,305,082</w:t>
            </w:r>
          </w:p>
        </w:tc>
      </w:tr>
      <w:tr>
        <w:trPr>
          <w:trHeight w:val="215"/>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 &amp; Amortization</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(334,993)</w:t>
            </w:r>
          </w:p>
        </w:tc>
      </w:tr>
      <w:tr>
        <w:trPr>
          <w:trHeight w:val="210"/>
        </w:trPr>
        <w:tc>
          <w:tcPr>
            <w:tcW w:w="7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 net</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928,152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970,089</w:t>
            </w:r>
          </w:p>
        </w:tc>
      </w:tr>
      <w:tr>
        <w:trPr>
          <w:trHeight w:val="34"/>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222,223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222,223</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Intangible Assets, net of accumulated amortization of $32,329 and $29,903, respectively</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77,838</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15,591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16,896</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Deposits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Long-term Lessor Maintenance Deposits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59,571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53,624</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14,998</w:t>
            </w:r>
          </w:p>
        </w:tc>
      </w:tr>
      <w:tr>
        <w:trPr>
          <w:trHeight w:val="209"/>
        </w:trPr>
        <w:tc>
          <w:tcPr>
            <w:tcW w:w="7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401,664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393,504</w:t>
            </w:r>
          </w:p>
        </w:tc>
      </w:tr>
      <w:tr>
        <w:trPr>
          <w:trHeight w:val="23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1,552,109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1,630,177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June 30, 2025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56,532</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56,034</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Salaries, Wages, and Benefits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38,327</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Accrued Transportation Taxes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14,795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20,534</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Air Traffic Liabilities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160,686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Finance Lease Obligations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20,830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20,175</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Loyalty Program Liabilities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10,121</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Operating Lease Obligations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3,281</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 net</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87,579</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11,720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10,325</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15,228</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354,702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422,290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Obligations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251,087</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Loyalty Program Liabilities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Lease Obligations</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17,369</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200,629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239,543</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Tax Liability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75,449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87,369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Long-term Liabilities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584,362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637,514</w:t>
            </w:r>
          </w:p>
        </w:tc>
        <w:tc>
          <w:tcPr>
            <w:tcW w:w="0" w:type="dxa"/>
            <w:vAlign w:val="bottom"/>
          </w:tcPr>
          <w:p>
            <w:pPr>
              <w:spacing w:after="0"/>
              <w:rPr>
                <w:sz w:val="1"/>
                <w:szCs w:val="1"/>
                <w:color w:val="auto"/>
              </w:rPr>
            </w:pPr>
          </w:p>
        </w:tc>
      </w:tr>
      <w:tr>
        <w:trPr>
          <w:trHeight w:val="21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939,064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1,059,804</w:t>
            </w:r>
          </w:p>
        </w:tc>
        <w:tc>
          <w:tcPr>
            <w:tcW w:w="0" w:type="dxa"/>
            <w:vAlign w:val="bottom"/>
          </w:tcPr>
          <w:p>
            <w:pPr>
              <w:spacing w:after="0"/>
              <w:rPr>
                <w:sz w:val="1"/>
                <w:szCs w:val="1"/>
                <w:color w:val="auto"/>
              </w:rPr>
            </w:pPr>
          </w:p>
        </w:tc>
      </w:tr>
      <w:tr>
        <w:trPr>
          <w:trHeight w:val="34"/>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 xml:space="preserve">Commitments and Contingencies (see </w:t>
            </w:r>
            <w:r>
              <w:rPr>
                <w:rFonts w:ascii="Arial" w:cs="Arial" w:eastAsia="Arial" w:hAnsi="Arial"/>
                <w:sz w:val="16"/>
                <w:szCs w:val="16"/>
                <w:b w:val="1"/>
                <w:bCs w:val="1"/>
                <w:color w:val="0000FF"/>
              </w:rPr>
              <w:t>Note 11</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0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7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6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gridSpan w:val="3"/>
          </w:tcPr>
          <w:p>
            <w:pPr>
              <w:ind w:left="100"/>
              <w:spacing w:after="0"/>
              <w:rPr>
                <w:sz w:val="20"/>
                <w:szCs w:val="20"/>
                <w:color w:val="auto"/>
              </w:rPr>
            </w:pPr>
            <w:r>
              <w:rPr>
                <w:rFonts w:ascii="Arial" w:cs="Arial" w:eastAsia="Arial" w:hAnsi="Arial"/>
                <w:sz w:val="16"/>
                <w:szCs w:val="16"/>
                <w:color w:val="auto"/>
              </w:rPr>
              <w:t>Common stock, with $0.01 par value, 995,000,000 shares authorized, 60,290,298 and 59,500,970</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issued and 53,316,378 and 53,157,964 outstanding at June 30, 2025 and December 31, 2024,</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03"/>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Preferred stock, with $0.01 par value, 5,000,000 shares authorized, no shares issued and</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outstanding at June 30, 2025 and December 31, 2024, respectively</w:t>
            </w:r>
          </w:p>
        </w:tc>
        <w:tc>
          <w:tcPr>
            <w:tcW w:w="2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320" w:type="dxa"/>
            <w:vAlign w:val="bottom"/>
            <w:gridSpan w:val="3"/>
          </w:tcPr>
          <w:p>
            <w:pPr>
              <w:ind w:left="100"/>
              <w:spacing w:after="0" w:line="162" w:lineRule="exact"/>
              <w:rPr>
                <w:sz w:val="20"/>
                <w:szCs w:val="20"/>
                <w:color w:val="auto"/>
              </w:rPr>
            </w:pPr>
            <w:r>
              <w:rPr>
                <w:rFonts w:ascii="Arial" w:cs="Arial" w:eastAsia="Arial" w:hAnsi="Arial"/>
                <w:sz w:val="16"/>
                <w:szCs w:val="16"/>
                <w:color w:val="auto"/>
              </w:rPr>
              <w:t>Treasury stock, at cost, 6,973,920 and 6,343,006 shares held at June 30, 2025 and December 31,</w:t>
            </w:r>
          </w:p>
        </w:tc>
        <w:tc>
          <w:tcPr>
            <w:tcW w:w="2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(115,866)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(105,866)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2024, respectively</w:t>
            </w:r>
          </w:p>
        </w:tc>
        <w:tc>
          <w:tcPr>
            <w:tcW w:w="2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528,604</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190,244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147,132</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613,045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570,373</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1,552,109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1,630,177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r>
      <w:tr>
        <w:trPr>
          <w:trHeight w:val="21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214,668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216,395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500,556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491,059</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r>
      <w:tr>
        <w:trPr>
          <w:trHeight w:val="23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25,410</w:t>
            </w:r>
          </w:p>
        </w:tc>
      </w:tr>
      <w:tr>
        <w:trPr>
          <w:trHeight w:val="223"/>
        </w:trPr>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590,270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565,864</w:t>
            </w:r>
          </w:p>
        </w:tc>
      </w:tr>
      <w:tr>
        <w:trPr>
          <w:trHeight w:val="34"/>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115,155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132,492</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161,597</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34,156</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19,071</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49,776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47,440</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20,522</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Landing Fees and Airport Rent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31,804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28,452</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54,593</w:t>
            </w:r>
          </w:p>
        </w:tc>
      </w:tr>
      <w:tr>
        <w:trPr>
          <w:trHeight w:val="223"/>
        </w:trPr>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517,762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498,323</w:t>
            </w:r>
          </w:p>
        </w:tc>
      </w:tr>
      <w:tr>
        <w:trPr>
          <w:trHeight w:val="262"/>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72,508</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67,541</w:t>
            </w:r>
          </w:p>
        </w:tc>
      </w:tr>
      <w:tr>
        <w:trPr>
          <w:trHeight w:val="230"/>
        </w:trPr>
        <w:tc>
          <w:tcPr>
            <w:tcW w:w="44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(22,189)</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442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(17,899)</w:t>
            </w:r>
          </w:p>
        </w:tc>
      </w:tr>
      <w:tr>
        <w:trPr>
          <w:trHeight w:val="270"/>
        </w:trPr>
        <w:tc>
          <w:tcPr>
            <w:tcW w:w="44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Before Income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49,642</w:t>
            </w:r>
          </w:p>
        </w:tc>
      </w:tr>
      <w:tr>
        <w:trPr>
          <w:trHeight w:val="223"/>
        </w:trPr>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r>
      <w:tr>
        <w:trPr>
          <w:trHeight w:val="223"/>
        </w:trPr>
        <w:tc>
          <w:tcPr>
            <w:tcW w:w="44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4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4"/>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2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0.78</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0.67</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4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for computation:</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53,222,461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52,689,408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53,282,013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52,861,973</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54,777,448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54,792,848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55,142,573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55,095,265</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37,125</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gains (losses) on Available-for-Sale</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tcPr>
          <w:p>
            <w:pPr>
              <w:ind w:left="240"/>
              <w:spacing w:after="0" w:line="181" w:lineRule="exact"/>
              <w:rPr>
                <w:sz w:val="20"/>
                <w:szCs w:val="20"/>
                <w:color w:val="auto"/>
              </w:rPr>
            </w:pPr>
            <w:r>
              <w:rPr>
                <w:rFonts w:ascii="Arial" w:cs="Arial" w:eastAsia="Arial" w:hAnsi="Arial"/>
                <w:sz w:val="18"/>
                <w:szCs w:val="18"/>
                <w:color w:val="auto"/>
              </w:rPr>
              <w:t>securities, net of deferred tax expense (benefit) of</w:t>
            </w:r>
          </w:p>
        </w:tc>
        <w:tc>
          <w:tcPr>
            <w:tcW w:w="1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$1, $(12), $18, and $(54), respectively</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1,796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3560"/>
        <w:spacing w:after="0" w:line="284" w:lineRule="auto"/>
        <w:rPr>
          <w:sz w:val="20"/>
          <w:szCs w:val="20"/>
          <w:color w:val="auto"/>
        </w:rPr>
      </w:pPr>
      <w:r>
        <w:rPr>
          <w:rFonts w:ascii="Arial" w:cs="Arial" w:eastAsia="Arial" w:hAnsi="Arial"/>
          <w:sz w:val="18"/>
          <w:szCs w:val="18"/>
          <w:b w:val="1"/>
          <w:bCs w:val="1"/>
          <w:color w:val="auto"/>
        </w:rPr>
        <w:t>CONDENSED CONSOLIDATED STATEMENTS OF CHANGES IN STOCKHOLDERS’ EQUITY (Dollars in thousands, except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0" w:type="dxa"/>
            <w:vAlign w:val="bottom"/>
            <w:gridSpan w:val="6"/>
          </w:tcPr>
          <w:p>
            <w:pPr>
              <w:jc w:val="right"/>
              <w:spacing w:after="0"/>
              <w:rPr>
                <w:sz w:val="20"/>
                <w:szCs w:val="20"/>
                <w:color w:val="auto"/>
              </w:rPr>
            </w:pPr>
            <w:r>
              <w:rPr>
                <w:rFonts w:ascii="Arial" w:cs="Arial" w:eastAsia="Arial" w:hAnsi="Arial"/>
                <w:sz w:val="9"/>
                <w:szCs w:val="9"/>
                <w:b w:val="1"/>
                <w:bCs w:val="1"/>
                <w:color w:val="auto"/>
                <w:w w:val="99"/>
              </w:rPr>
              <w:t>Six Months Ended June 30, 2025</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4"/>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3"/>
                <w:szCs w:val="3"/>
                <w:color w:val="auto"/>
              </w:rPr>
            </w:pPr>
          </w:p>
        </w:tc>
        <w:tc>
          <w:tcPr>
            <w:tcW w:w="1160" w:type="dxa"/>
            <w:vAlign w:val="bottom"/>
            <w:gridSpan w:val="2"/>
            <w:vMerge w:val="restart"/>
          </w:tcPr>
          <w:p>
            <w:pPr>
              <w:jc w:val="center"/>
              <w:ind w:right="160"/>
              <w:spacing w:after="0" w:line="95" w:lineRule="exact"/>
              <w:rPr>
                <w:sz w:val="20"/>
                <w:szCs w:val="20"/>
                <w:color w:val="auto"/>
              </w:rPr>
            </w:pPr>
            <w:r>
              <w:rPr>
                <w:rFonts w:ascii="Arial" w:cs="Arial" w:eastAsia="Arial" w:hAnsi="Arial"/>
                <w:sz w:val="9"/>
                <w:szCs w:val="9"/>
                <w:b w:val="1"/>
                <w:bCs w:val="1"/>
                <w:color w:val="auto"/>
                <w:w w:val="98"/>
              </w:rPr>
              <w:t>Comprehensive (Loss)</w:t>
            </w: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9"/>
                <w:szCs w:val="9"/>
                <w:b w:val="1"/>
                <w:bCs w:val="1"/>
                <w:color w:val="auto"/>
              </w:rPr>
              <w:t>Warrants</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9"/>
                <w:szCs w:val="9"/>
                <w:b w:val="1"/>
                <w:bCs w:val="1"/>
                <w:color w:val="auto"/>
              </w:rPr>
              <w:t>Shares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9"/>
                <w:szCs w:val="9"/>
                <w:b w:val="1"/>
                <w:bCs w:val="1"/>
                <w:color w:val="auto"/>
              </w:rPr>
              <w:t>Amount</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9"/>
                <w:szCs w:val="9"/>
                <w:b w:val="1"/>
                <w:bCs w:val="1"/>
                <w:color w:val="auto"/>
              </w:rPr>
              <w:t>Shares</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231"/>
              <w:spacing w:after="0"/>
              <w:rPr>
                <w:sz w:val="20"/>
                <w:szCs w:val="20"/>
                <w:color w:val="auto"/>
              </w:rPr>
            </w:pPr>
            <w:r>
              <w:rPr>
                <w:rFonts w:ascii="Arial" w:cs="Arial" w:eastAsia="Arial" w:hAnsi="Arial"/>
                <w:sz w:val="9"/>
                <w:szCs w:val="9"/>
                <w:b w:val="1"/>
                <w:bCs w:val="1"/>
                <w:color w:val="auto"/>
                <w:w w:val="99"/>
              </w:rPr>
              <w:t>Capital</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9"/>
                <w:szCs w:val="9"/>
                <w:b w:val="1"/>
                <w:bCs w:val="1"/>
                <w:color w:val="auto"/>
              </w:rPr>
              <w:t>Income</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6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2024</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4,109,135</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59,500,970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595</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6,343,006</w:t>
            </w:r>
          </w:p>
        </w:tc>
        <w:tc>
          <w:tcPr>
            <w:tcW w:w="420" w:type="dxa"/>
            <w:vAlign w:val="bottom"/>
            <w:tcBorders>
              <w:bottom w:val="single" w:sz="8" w:color="CCEEFF"/>
            </w:tcBorders>
            <w:gridSpan w:val="3"/>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(105,866)</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528,604</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147,132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(92)</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570,373</w:t>
            </w:r>
          </w:p>
        </w:tc>
        <w:tc>
          <w:tcPr>
            <w:tcW w:w="0" w:type="dxa"/>
            <w:vAlign w:val="bottom"/>
          </w:tcPr>
          <w:p>
            <w:pPr>
              <w:spacing w:after="0"/>
              <w:rPr>
                <w:sz w:val="1"/>
                <w:szCs w:val="1"/>
                <w:color w:val="auto"/>
              </w:rPr>
            </w:pPr>
          </w:p>
        </w:tc>
      </w:tr>
      <w:tr>
        <w:trPr>
          <w:trHeight w:val="133"/>
        </w:trPr>
        <w:tc>
          <w:tcPr>
            <w:tcW w:w="216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673,953</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2,483</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2,490</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630,914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36,535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36,535</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252,869</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1,695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1,695</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0"/>
                <w:szCs w:val="10"/>
                <w:color w:val="auto"/>
              </w:rPr>
              <w:t>March 31, 2025</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4,362,004</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60,174,923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602</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6,973,920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(115,866)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534,649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183,667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603,017</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 Issued for Stock-Based Awards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115,375</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21</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6,577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6,577</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252,869</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1,559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1,559</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0"/>
                <w:szCs w:val="10"/>
                <w:color w:val="auto"/>
              </w:rPr>
              <w:t>June 30, 2025</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4,614,873</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60,290,298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603</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6,973,920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(115,866)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538,096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190,244</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613,045</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6"/>
          </w:tcPr>
          <w:p>
            <w:pPr>
              <w:jc w:val="right"/>
              <w:spacing w:after="0"/>
              <w:rPr>
                <w:sz w:val="20"/>
                <w:szCs w:val="20"/>
                <w:color w:val="auto"/>
              </w:rPr>
            </w:pPr>
            <w:r>
              <w:rPr>
                <w:rFonts w:ascii="Arial" w:cs="Arial" w:eastAsia="Arial" w:hAnsi="Arial"/>
                <w:sz w:val="9"/>
                <w:szCs w:val="9"/>
                <w:b w:val="1"/>
                <w:bCs w:val="1"/>
                <w:color w:val="auto"/>
                <w:w w:val="99"/>
              </w:rPr>
              <w:t>Six Months Ended June 30, 2024</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4"/>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18"/>
                <w:szCs w:val="18"/>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18"/>
                <w:szCs w:val="18"/>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
        </w:trPr>
        <w:tc>
          <w:tcPr>
            <w:tcW w:w="2160" w:type="dxa"/>
            <w:vAlign w:val="bottom"/>
          </w:tcPr>
          <w:p>
            <w:pPr>
              <w:spacing w:after="0"/>
              <w:rPr>
                <w:sz w:val="4"/>
                <w:szCs w:val="4"/>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9"/>
                <w:szCs w:val="9"/>
                <w:b w:val="1"/>
                <w:bCs w:val="1"/>
                <w:color w:val="auto"/>
              </w:rPr>
              <w:t>Warrants</w:t>
            </w:r>
          </w:p>
        </w:tc>
        <w:tc>
          <w:tcPr>
            <w:tcW w:w="100" w:type="dxa"/>
            <w:vAlign w:val="bottom"/>
            <w:vMerge w:val="restart"/>
          </w:tcPr>
          <w:p>
            <w:pPr>
              <w:spacing w:after="0"/>
              <w:rPr>
                <w:sz w:val="4"/>
                <w:szCs w:val="4"/>
                <w:color w:val="auto"/>
              </w:rPr>
            </w:pPr>
          </w:p>
        </w:tc>
        <w:tc>
          <w:tcPr>
            <w:tcW w:w="880" w:type="dxa"/>
            <w:vAlign w:val="bottom"/>
            <w:vMerge w:val="restart"/>
          </w:tcPr>
          <w:p>
            <w:pPr>
              <w:jc w:val="right"/>
              <w:ind w:right="251"/>
              <w:spacing w:after="0"/>
              <w:rPr>
                <w:sz w:val="20"/>
                <w:szCs w:val="20"/>
                <w:color w:val="auto"/>
              </w:rPr>
            </w:pPr>
            <w:r>
              <w:rPr>
                <w:rFonts w:ascii="Arial" w:cs="Arial" w:eastAsia="Arial" w:hAnsi="Arial"/>
                <w:sz w:val="9"/>
                <w:szCs w:val="9"/>
                <w:b w:val="1"/>
                <w:bCs w:val="1"/>
                <w:color w:val="auto"/>
              </w:rPr>
              <w:t>Shares</w:t>
            </w:r>
          </w:p>
        </w:tc>
        <w:tc>
          <w:tcPr>
            <w:tcW w:w="10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9"/>
                <w:szCs w:val="9"/>
                <w:b w:val="1"/>
                <w:bCs w:val="1"/>
                <w:color w:val="auto"/>
              </w:rPr>
              <w:t>Amount</w:t>
            </w:r>
          </w:p>
        </w:tc>
        <w:tc>
          <w:tcPr>
            <w:tcW w:w="100" w:type="dxa"/>
            <w:vAlign w:val="bottom"/>
            <w:vMerge w:val="restart"/>
          </w:tcPr>
          <w:p>
            <w:pPr>
              <w:spacing w:after="0"/>
              <w:rPr>
                <w:sz w:val="4"/>
                <w:szCs w:val="4"/>
                <w:color w:val="auto"/>
              </w:rPr>
            </w:pPr>
          </w:p>
        </w:tc>
        <w:tc>
          <w:tcPr>
            <w:tcW w:w="840" w:type="dxa"/>
            <w:vAlign w:val="bottom"/>
            <w:vMerge w:val="restart"/>
          </w:tcPr>
          <w:p>
            <w:pPr>
              <w:jc w:val="right"/>
              <w:ind w:right="211"/>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vMerge w:val="restart"/>
          </w:tcPr>
          <w:p>
            <w:pPr>
              <w:jc w:val="right"/>
              <w:ind w:right="211"/>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vMerge w:val="restart"/>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6"/>
        </w:trPr>
        <w:tc>
          <w:tcPr>
            <w:tcW w:w="216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31"/>
              <w:spacing w:after="0"/>
              <w:rPr>
                <w:sz w:val="20"/>
                <w:szCs w:val="20"/>
                <w:color w:val="auto"/>
              </w:rPr>
            </w:pPr>
            <w:r>
              <w:rPr>
                <w:rFonts w:ascii="Arial" w:cs="Arial" w:eastAsia="Arial" w:hAnsi="Arial"/>
                <w:sz w:val="9"/>
                <w:szCs w:val="9"/>
                <w:b w:val="1"/>
                <w:bCs w:val="1"/>
                <w:color w:val="auto"/>
                <w:w w:val="99"/>
              </w:rPr>
              <w:t>Capital</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Earnings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9"/>
                <w:szCs w:val="9"/>
                <w:b w:val="1"/>
                <w:bCs w:val="1"/>
                <w:color w:val="auto"/>
              </w:rPr>
              <w:t>Comprehensive Loss</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2023</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3,224,093</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58,878,723</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589</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5,587,722</w:t>
            </w:r>
          </w:p>
        </w:tc>
        <w:tc>
          <w:tcPr>
            <w:tcW w:w="420" w:type="dxa"/>
            <w:vAlign w:val="bottom"/>
            <w:tcBorders>
              <w:bottom w:val="single" w:sz="8" w:color="CCEEFF"/>
            </w:tcBorders>
            <w:gridSpan w:val="3"/>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(94,341)</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513,988</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94,229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(62)</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514,403</w:t>
            </w:r>
          </w:p>
        </w:tc>
        <w:tc>
          <w:tcPr>
            <w:tcW w:w="0" w:type="dxa"/>
            <w:vAlign w:val="bottom"/>
          </w:tcPr>
          <w:p>
            <w:pPr>
              <w:spacing w:after="0"/>
              <w:rPr>
                <w:sz w:val="1"/>
                <w:szCs w:val="1"/>
                <w:color w:val="auto"/>
              </w:rPr>
            </w:pPr>
          </w:p>
        </w:tc>
      </w:tr>
      <w:tr>
        <w:trPr>
          <w:trHeight w:val="134"/>
        </w:trPr>
        <w:tc>
          <w:tcPr>
            <w:tcW w:w="216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75,606</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110</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111</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755,284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(11,596)</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(11,596)</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35,313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35,313</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189,652</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1,400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1,400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1,514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1,514</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0"/>
                <w:szCs w:val="10"/>
                <w:color w:val="auto"/>
              </w:rPr>
              <w:t>March 31, 2024</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3,413,745</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58,954,329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590</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6,343,006</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(105,937)</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517,012</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129,542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541,006</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 Issued for Stock-Based Awards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195,760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587</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589</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1,812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1,812</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Pr>
          <w:p>
            <w:pPr>
              <w:jc w:val="right"/>
              <w:ind w:right="11"/>
              <w:spacing w:after="0"/>
              <w:rPr>
                <w:sz w:val="20"/>
                <w:szCs w:val="20"/>
                <w:color w:val="auto"/>
              </w:rPr>
            </w:pPr>
            <w:r>
              <w:rPr>
                <w:rFonts w:ascii="Arial" w:cs="Arial" w:eastAsia="Arial" w:hAnsi="Arial"/>
                <w:sz w:val="10"/>
                <w:szCs w:val="10"/>
                <w:color w:val="auto"/>
              </w:rPr>
              <w:t>252,869</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1,867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1,867</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1,570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1,570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Other Comprehensive Loss</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22"/>
        </w:trPr>
        <w:tc>
          <w:tcPr>
            <w:tcW w:w="2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June 30, 2024</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3,666,614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59,150,089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592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6,343,006</w:t>
            </w:r>
          </w:p>
        </w:tc>
        <w:tc>
          <w:tcPr>
            <w:tcW w:w="420" w:type="dxa"/>
            <w:vAlign w:val="bottom"/>
            <w:gridSpan w:val="3"/>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(105,914)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521,036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131,354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546,851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76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2024</w:t>
            </w: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43,112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37,125</w:t>
            </w:r>
          </w:p>
        </w:tc>
      </w:tr>
      <w:tr>
        <w:trPr>
          <w:trHeight w:val="174"/>
        </w:trPr>
        <w:tc>
          <w:tcPr>
            <w:tcW w:w="7680" w:type="dxa"/>
            <w:vAlign w:val="bottom"/>
          </w:tcPr>
          <w:p>
            <w:pPr>
              <w:ind w:left="140"/>
              <w:spacing w:after="0"/>
              <w:rPr>
                <w:sz w:val="20"/>
                <w:szCs w:val="20"/>
                <w:color w:val="auto"/>
              </w:rPr>
            </w:pPr>
            <w:r>
              <w:rPr>
                <w:rFonts w:ascii="Arial" w:cs="Arial" w:eastAsia="Arial" w:hAnsi="Arial"/>
                <w:sz w:val="13"/>
                <w:szCs w:val="13"/>
                <w:b w:val="1"/>
                <w:bCs w:val="1"/>
                <w:color w:val="auto"/>
              </w:rPr>
              <w:t>Adjustments to reconcile Net Income to Cash Provided by Operating Activities:</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7"/>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49,776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47,440</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Deferred Income Taxes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10,079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9,539</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w:t>
            </w:r>
          </w:p>
        </w:tc>
      </w:tr>
      <w:tr>
        <w:trPr>
          <w:trHeight w:val="174"/>
        </w:trPr>
        <w:tc>
          <w:tcPr>
            <w:tcW w:w="7680" w:type="dxa"/>
            <w:vAlign w:val="bottom"/>
          </w:tcPr>
          <w:p>
            <w:pPr>
              <w:ind w:left="140"/>
              <w:spacing w:after="0"/>
              <w:rPr>
                <w:sz w:val="20"/>
                <w:szCs w:val="20"/>
                <w:color w:val="auto"/>
              </w:rPr>
            </w:pPr>
            <w:r>
              <w:rPr>
                <w:rFonts w:ascii="Arial" w:cs="Arial" w:eastAsia="Arial" w:hAnsi="Arial"/>
                <w:sz w:val="13"/>
                <w:szCs w:val="13"/>
                <w:b w:val="1"/>
                <w:bCs w:val="1"/>
                <w:color w:val="auto"/>
              </w:rPr>
              <w:t>Changes in Operating Assets and Liabilities:</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7"/>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(1,079)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(2,444)</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Lessor Maintenance Deposits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(6,573)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(8,387)</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Assets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2,089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3,625</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Transportation Taxes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(2,934)</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Air Traffic Liabilities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(54,086)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(41,119)</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Loyalty Program Liabilities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Operating Lease Obligations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(1,610)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(958)</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(3,532)</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(6,304)</w:t>
            </w:r>
          </w:p>
        </w:tc>
      </w:tr>
      <w:tr>
        <w:trPr>
          <w:trHeight w:val="165"/>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36,252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38,872</w:t>
            </w:r>
          </w:p>
        </w:tc>
      </w:tr>
      <w:tr>
        <w:trPr>
          <w:trHeight w:val="173"/>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Cash Flows (Used in) Provided by Investing Activities: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Purchases of Property &amp; Equipment</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(21,204)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(38,231)</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Investments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(28,034)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(31,610)</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Proceeds from the Maturities of Investments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30,979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64,500</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8,863</w:t>
            </w:r>
          </w:p>
        </w:tc>
      </w:tr>
      <w:tr>
        <w:trPr>
          <w:trHeight w:val="165"/>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(8,011)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3,522</w:t>
            </w:r>
          </w:p>
        </w:tc>
      </w:tr>
      <w:tr>
        <w:trPr>
          <w:trHeight w:val="173"/>
        </w:trPr>
        <w:tc>
          <w:tcPr>
            <w:tcW w:w="76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Cash Flows Used in Financing Activities: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Common Stock Repurchases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(11,493)</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Borrowings</w:t>
            </w:r>
          </w:p>
        </w:tc>
        <w:tc>
          <w:tcPr>
            <w:tcW w:w="2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Repayment of Finance Lease Obligations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(9,926)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(20,870)</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Borrowings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(45,628)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(46,767)</w:t>
            </w:r>
          </w:p>
        </w:tc>
      </w:tr>
      <w:tr>
        <w:trPr>
          <w:trHeight w:val="171"/>
        </w:trPr>
        <w:tc>
          <w:tcPr>
            <w:tcW w:w="7680" w:type="dxa"/>
            <w:vAlign w:val="bottom"/>
          </w:tcPr>
          <w:p>
            <w:pPr>
              <w:ind w:left="240"/>
              <w:spacing w:after="0"/>
              <w:rPr>
                <w:sz w:val="20"/>
                <w:szCs w:val="20"/>
                <w:color w:val="auto"/>
              </w:rPr>
            </w:pPr>
            <w:r>
              <w:rPr>
                <w:rFonts w:ascii="Arial" w:cs="Arial" w:eastAsia="Arial" w:hAnsi="Arial"/>
                <w:sz w:val="13"/>
                <w:szCs w:val="13"/>
                <w:color w:val="auto"/>
              </w:rPr>
              <w:t>Tax Receivable Agreement Payment</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(10,525)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(3,350)</w:t>
            </w:r>
          </w:p>
        </w:tc>
      </w:tr>
      <w:tr>
        <w:trPr>
          <w:trHeight w:val="180"/>
        </w:trPr>
        <w:tc>
          <w:tcPr>
            <w:tcW w:w="7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w:t>
            </w:r>
          </w:p>
        </w:tc>
      </w:tr>
      <w:tr>
        <w:trPr>
          <w:trHeight w:val="208"/>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(75,402)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(72,037)</w:t>
            </w:r>
          </w:p>
        </w:tc>
      </w:tr>
      <w:tr>
        <w:trPr>
          <w:trHeight w:val="210"/>
        </w:trPr>
        <w:tc>
          <w:tcPr>
            <w:tcW w:w="768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Decrease in Cash, Cash Equivalents and Restricted Cash</w:t>
            </w:r>
          </w:p>
        </w:tc>
        <w:tc>
          <w:tcPr>
            <w:tcW w:w="26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3"/>
                <w:szCs w:val="13"/>
                <w:color w:val="auto"/>
              </w:rPr>
              <w:t>(47,161)</w:t>
            </w: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3"/>
                <w:szCs w:val="13"/>
                <w:color w:val="auto"/>
              </w:rPr>
              <w:t>(29,643)</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100,471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63,680</w:t>
            </w:r>
          </w:p>
        </w:tc>
      </w:tr>
      <w:tr>
        <w:trPr>
          <w:trHeight w:val="169"/>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53,310</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34,037</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29"/>
        </w:trPr>
        <w:tc>
          <w:tcPr>
            <w:tcW w:w="7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r>
        <w:trPr>
          <w:trHeight w:val="174"/>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7"/>
        </w:trPr>
        <w:tc>
          <w:tcPr>
            <w:tcW w:w="7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Aircraft Acquired under Finance Lease</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40,116</w:t>
            </w:r>
          </w:p>
        </w:tc>
      </w:tr>
      <w:tr>
        <w:trPr>
          <w:trHeight w:val="171"/>
        </w:trPr>
        <w:tc>
          <w:tcPr>
            <w:tcW w:w="7680" w:type="dxa"/>
            <w:vAlign w:val="bottom"/>
          </w:tcPr>
          <w:p>
            <w:pPr>
              <w:ind w:left="100"/>
              <w:spacing w:after="0"/>
              <w:rPr>
                <w:sz w:val="20"/>
                <w:szCs w:val="20"/>
                <w:color w:val="auto"/>
              </w:rPr>
            </w:pPr>
            <w:r>
              <w:rPr>
                <w:rFonts w:ascii="Arial" w:cs="Arial" w:eastAsia="Arial" w:hAnsi="Arial"/>
                <w:sz w:val="13"/>
                <w:szCs w:val="13"/>
                <w:color w:val="auto"/>
              </w:rPr>
              <w:t>Aircraft Acquired from the Exercise of Finance Lease Purchase Option, net of Accumulated Depreciation</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11,634</w:t>
            </w:r>
          </w:p>
        </w:tc>
      </w:tr>
      <w:tr>
        <w:trPr>
          <w:trHeight w:val="180"/>
        </w:trPr>
        <w:tc>
          <w:tcPr>
            <w:tcW w:w="7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Maintenance Rights Asset Capitalized into Aircraft and Flight Equipment upon End of Lease</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680" w:type="dxa"/>
            <w:vAlign w:val="bottom"/>
          </w:tcPr>
          <w:p>
            <w:pPr>
              <w:ind w:left="100"/>
              <w:spacing w:after="0"/>
              <w:rPr>
                <w:sz w:val="20"/>
                <w:szCs w:val="20"/>
                <w:color w:val="auto"/>
              </w:rPr>
            </w:pPr>
            <w:r>
              <w:rPr>
                <w:rFonts w:ascii="Arial" w:cs="Arial" w:eastAsia="Arial" w:hAnsi="Arial"/>
                <w:sz w:val="13"/>
                <w:szCs w:val="13"/>
                <w:color w:val="auto"/>
              </w:rPr>
              <w:t>Maintenance Rights Asset Converted to Accounts Receivable upon End of Lease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3,982</w:t>
            </w:r>
          </w:p>
        </w:tc>
        <w:tc>
          <w:tcPr>
            <w:tcW w:w="12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7"/>
        </w:trPr>
        <w:tc>
          <w:tcPr>
            <w:tcW w:w="940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71"/>
        </w:trPr>
        <w:tc>
          <w:tcPr>
            <w:tcW w:w="9520" w:type="dxa"/>
            <w:vAlign w:val="bottom"/>
            <w:gridSpan w:val="4"/>
          </w:tcPr>
          <w:p>
            <w:pPr>
              <w:ind w:left="20"/>
              <w:spacing w:after="0"/>
              <w:rPr>
                <w:sz w:val="20"/>
                <w:szCs w:val="20"/>
                <w:color w:val="auto"/>
              </w:rPr>
            </w:pPr>
            <w:r>
              <w:rPr>
                <w:rFonts w:ascii="Arial" w:cs="Arial" w:eastAsia="Arial" w:hAnsi="Arial"/>
                <w:sz w:val="13"/>
                <w:szCs w:val="13"/>
                <w:color w:val="auto"/>
              </w:rPr>
              <w:t>The following provides a reconciliation of Cash, Cash Equivalents and Restricted Cash to the amounts reported on the Condensed Consolidated Balance Sheets: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7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June 30, 2025</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397"/>
              <w:spacing w:after="0"/>
              <w:rPr>
                <w:sz w:val="20"/>
                <w:szCs w:val="20"/>
                <w:color w:val="auto"/>
              </w:rPr>
            </w:pPr>
            <w:r>
              <w:rPr>
                <w:rFonts w:ascii="Arial" w:cs="Arial" w:eastAsia="Arial" w:hAnsi="Arial"/>
                <w:sz w:val="13"/>
                <w:szCs w:val="13"/>
                <w:b w:val="1"/>
                <w:bCs w:val="1"/>
                <w:color w:val="auto"/>
              </w:rPr>
              <w:t>June 30, 2024</w:t>
            </w:r>
          </w:p>
        </w:tc>
      </w:tr>
      <w:tr>
        <w:trPr>
          <w:trHeight w:val="164"/>
        </w:trPr>
        <w:tc>
          <w:tcPr>
            <w:tcW w:w="768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36,964</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26,864</w:t>
            </w:r>
          </w:p>
        </w:tc>
      </w:tr>
      <w:tr>
        <w:trPr>
          <w:trHeight w:val="175"/>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16,346</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7,173</w:t>
            </w:r>
          </w:p>
        </w:tc>
      </w:tr>
      <w:tr>
        <w:trPr>
          <w:trHeight w:val="174"/>
        </w:trPr>
        <w:tc>
          <w:tcPr>
            <w:tcW w:w="7680" w:type="dxa"/>
            <w:vAlign w:val="bottom"/>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53,310</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34,037</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unaudited Condensed Consolidated Financial Statements of Sun Country Airlines Holdings, Inc. should be read in conjunction with the Consolidated Financial Statements contained in the Company's Annual Report on Form 10-K for the year ended December 31, 2024 as filed with the SEC ("2024 10-K"). These unaudited Condensed Consolidated Financial Statements reflect all normal recurring adjustments that are necessary for the fair presentation of the Company’s financial position, results of operations, and cash flows for the respective periods presented. All material intercompany balances and transactions have been eliminated in consolidation.</w:t>
      </w:r>
    </w:p>
    <w:p>
      <w:pPr>
        <w:spacing w:after="0" w:line="18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Due to impacts from seasonal variations in the demand for air travel, the volatility of aircraft fuel prices, the impact of macroeconomic conditions, and other factors, operating results for the six months ended June 30, 2025 are not necessarily indicative of operating results for other interim periods or for the full year ending December 31, 2025.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December 2023, the Financial Accounting Standards Board issued Accounting Standards Update ("ASU") 2023-09, Income Taxes (Topic 740): Improvements to Income Tax Disclosures. This ASU requires, among other disclosures, greater disaggregation of information, the use of certain categories in the rate reconciliation, and the disaggregation of income taxes paid by jurisdiction. The ASU is effective for public business entities for fiscal years beginning after December 15, 2024, with early adoption permitted. The Company continues to assess the impact of this ASU on its Consolidated Financial Statements.</w:t>
      </w:r>
    </w:p>
    <w:p>
      <w:pPr>
        <w:spacing w:after="0" w:line="17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Sun Country is a certificated air carrier generating Operating Revenues from Passenger (consisting of Scheduled Service, Charter, and Ancillary), Cargo and Other revenue. Scheduled Service revenue mainly consists of base fares. Charter revenue is primarily generated through service provided to the U.S. Department of Defense ("DoD"), collegiate and professional sports teams, and casinos. Ancillary revenue consists of revenue earned from air travel-related services, such as: baggage fees, seat selection fees, other fees and on-board sales. Cargo consists of revenue earned from flying cargo aircraft for Amazon.com Services, Inc. (together with its affiliates, “Amazon”) under the Amended and Restated Air Transportation Services Agreement (the “A&amp;R ATSA”). Other revenue consists primarily of revenue from services in connection with Sun Country Vacations products and rental revenue related to certain transactions where the Company serves as a lessor. The Company recognized rental revenue of $10,981 and $9,873, during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three months ended June 30, 2025 and 2024, respectively; and $19,617 and $19,148 during the six months ended June 30, 2025 and 2024, respectively.</w:t>
      </w:r>
    </w:p>
    <w:p>
      <w:pPr>
        <w:spacing w:after="0" w:line="153" w:lineRule="exact"/>
        <w:rPr>
          <w:sz w:val="20"/>
          <w:szCs w:val="20"/>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In June 2024, the Company entered into the A&amp;R ATSA with Amazon that will increase the number of Boeing 737-800 cargo aircraft that Sun Country operates on behalf of Amazon from 12 to 20 in 2025. For more information on the A&amp;R ATSA, see Note 2, "Basis of Presentation and Summary of Significant Accounting Policies" included within Part II, </w:t>
      </w:r>
      <w:hyperlink r:id="rId31">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2024 10-K. During the six months ended June 30, 2025, the Company received seven additional cargo aircraft under the A&amp;R ATSA, of which three aircraft were in-service. Subsequent to June 30, 2025, the Company received the eighth and final aircraft. As of the date of this filing, five aircraft were in-service. All eight additional aircraft are expected to be in-service by the end of the third quarter of 2025.</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4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8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r>
      <w:tr>
        <w:trPr>
          <w:trHeight w:val="224"/>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Service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229,272</w:t>
            </w:r>
          </w:p>
        </w:tc>
      </w:tr>
      <w:tr>
        <w:trPr>
          <w:trHeight w:val="229"/>
        </w:trPr>
        <w:tc>
          <w:tcPr>
            <w:tcW w:w="3820" w:type="dxa"/>
            <w:vAlign w:val="bottom"/>
          </w:tcPr>
          <w:p>
            <w:pPr>
              <w:ind w:left="120"/>
              <w:spacing w:after="0"/>
              <w:rPr>
                <w:sz w:val="20"/>
                <w:szCs w:val="20"/>
                <w:color w:val="auto"/>
              </w:rPr>
            </w:pPr>
            <w:r>
              <w:rPr>
                <w:rFonts w:ascii="Arial" w:cs="Arial" w:eastAsia="Arial" w:hAnsi="Arial"/>
                <w:sz w:val="18"/>
                <w:szCs w:val="18"/>
                <w:color w:val="auto"/>
              </w:rPr>
              <w:t>Charter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98,321</w:t>
            </w:r>
          </w:p>
        </w:tc>
      </w:tr>
      <w:tr>
        <w:trPr>
          <w:trHeight w:val="229"/>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Ancillary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163,466</w:t>
            </w:r>
          </w:p>
        </w:tc>
      </w:tr>
      <w:tr>
        <w:trPr>
          <w:trHeight w:val="223"/>
        </w:trPr>
        <w:tc>
          <w:tcPr>
            <w:tcW w:w="3820" w:type="dxa"/>
            <w:vAlign w:val="bottom"/>
          </w:tcPr>
          <w:p>
            <w:pPr>
              <w:ind w:left="260"/>
              <w:spacing w:after="0"/>
              <w:rPr>
                <w:sz w:val="20"/>
                <w:szCs w:val="20"/>
                <w:color w:val="auto"/>
              </w:rPr>
            </w:pPr>
            <w:r>
              <w:rPr>
                <w:rFonts w:ascii="Arial" w:cs="Arial" w:eastAsia="Arial" w:hAnsi="Arial"/>
                <w:sz w:val="18"/>
                <w:szCs w:val="18"/>
                <w:color w:val="auto"/>
              </w:rPr>
              <w:t>Passenger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214,668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216,395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500,556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491,059</w:t>
            </w:r>
          </w:p>
        </w:tc>
      </w:tr>
      <w:tr>
        <w:trPr>
          <w:trHeight w:val="230"/>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r>
      <w:tr>
        <w:trPr>
          <w:trHeight w:val="229"/>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25,410</w:t>
            </w:r>
          </w:p>
        </w:tc>
      </w:tr>
      <w:tr>
        <w:trPr>
          <w:trHeight w:val="248"/>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254,381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565,864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attributes and measures its Operating Revenues by geographic region as defined by the U.S. Department of Transportation ("DOT") for airline reporting based upon the origin of each passenger and cargo flight segment.</w:t>
      </w:r>
    </w:p>
    <w:p>
      <w:pPr>
        <w:spacing w:after="0" w:line="15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consisting of scheduled service to Latin America and military charter service to various international destinations.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8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538,112</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27,752</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263,621</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254,381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590,270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565,864</w:t>
            </w:r>
          </w:p>
        </w:tc>
      </w:tr>
      <w:tr>
        <w:trPr>
          <w:trHeight w:val="20"/>
        </w:trPr>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Company’s contract assets primarily relate to costs incurred to prepare the Amazon cargo aircraft for service under the original ATSA and the A&amp;R ATSA, as well as warrants that have vested and will be amortized against Cargo revenue over the remaining term of the A&amp;R ATSA. The balances are included in Other Current Assets and Other Assets on the Condensed Consolidated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Company’s contract liabilities are primarily comprised of: 1) ticket sales for transportation that have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under the original ATSA (reported within Other Current Liabilities and Other Long-term Liabilities on the Condensed Consolidated Balance Sheets).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and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2025</w:t>
            </w:r>
          </w:p>
        </w:tc>
        <w:tc>
          <w:tcPr>
            <w:tcW w:w="220" w:type="dxa"/>
            <w:vAlign w:val="bottom"/>
          </w:tcPr>
          <w:p>
            <w:pPr>
              <w:spacing w:after="0"/>
              <w:rPr>
                <w:sz w:val="17"/>
                <w:szCs w:val="17"/>
                <w:color w:val="auto"/>
              </w:rPr>
            </w:pPr>
          </w:p>
        </w:tc>
        <w:tc>
          <w:tcPr>
            <w:tcW w:w="172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2024</w:t>
            </w:r>
          </w:p>
        </w:tc>
      </w:tr>
      <w:tr>
        <w:trPr>
          <w:trHeight w:val="211"/>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106,599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160,686</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12 months in advance, therefore any revenue associated with tickets sold for future travel will be recognized within that timeframe. For the six months ended June 30, 2025, $151,101 of revenue was recognized in Passenger revenue that was included in the Air Traffic Liabilities as of December 31, 2024.</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co-branded credit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714"/>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28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2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28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Balance – June 30</w:t>
            </w:r>
          </w:p>
        </w:tc>
        <w:tc>
          <w:tcPr>
            <w:tcW w:w="28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80" w:type="dxa"/>
            <w:vAlign w:val="bottom"/>
            <w:vMerge w:val="restart"/>
          </w:tcPr>
          <w:p>
            <w:pPr>
              <w:jc w:val="right"/>
              <w:ind w:right="1059"/>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61" w:lineRule="exact"/>
        <w:rPr>
          <w:sz w:val="20"/>
          <w:szCs w:val="20"/>
          <w:color w:val="auto"/>
        </w:rPr>
      </w:pPr>
    </w:p>
    <w:p>
      <w:pPr>
        <w:jc w:val="both"/>
        <w:ind w:left="900" w:right="500" w:hanging="550"/>
        <w:spacing w:after="0" w:line="27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points are combined in one homogenous pool, which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6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In March 2025, the Company entered into a Credit Card Program Agreement for a new co-branded credit card program. The new co-branded credit card program is expected to launch in the second half of 2025. Subject to certain exceptions, the Credit Card Program Agreement has a term of seven years following its launch, with automatic successive one-year renewal terms.</w:t>
      </w:r>
    </w:p>
    <w:p>
      <w:pPr>
        <w:spacing w:after="0" w:line="17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4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6,577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1,812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43,112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37,125</w:t>
            </w:r>
          </w:p>
        </w:tc>
        <w:tc>
          <w:tcPr>
            <w:tcW w:w="0" w:type="dxa"/>
            <w:vAlign w:val="bottom"/>
          </w:tcPr>
          <w:p>
            <w:pPr>
              <w:spacing w:after="0"/>
              <w:rPr>
                <w:sz w:val="1"/>
                <w:szCs w:val="1"/>
                <w:color w:val="auto"/>
              </w:rPr>
            </w:pPr>
          </w:p>
        </w:tc>
      </w:tr>
      <w:tr>
        <w:trPr>
          <w:trHeight w:val="260"/>
        </w:trPr>
        <w:tc>
          <w:tcPr>
            <w:tcW w:w="5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Basic</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53,222,461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52,689,408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53,282,013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52,861,973</w:t>
            </w:r>
          </w:p>
        </w:tc>
        <w:tc>
          <w:tcPr>
            <w:tcW w:w="0" w:type="dxa"/>
            <w:vAlign w:val="bottom"/>
          </w:tcPr>
          <w:p>
            <w:pPr>
              <w:spacing w:after="0"/>
              <w:rPr>
                <w:sz w:val="1"/>
                <w:szCs w:val="1"/>
                <w:color w:val="auto"/>
              </w:rPr>
            </w:pPr>
          </w:p>
        </w:tc>
      </w:tr>
      <w:tr>
        <w:trPr>
          <w:trHeight w:val="198"/>
        </w:trPr>
        <w:tc>
          <w:tcPr>
            <w:tcW w:w="50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Dilutive effect of Stock Options, RSUs and Warrants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1,554,987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2,103,440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1,860,560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2,233,292</w:t>
            </w:r>
          </w:p>
        </w:tc>
        <w:tc>
          <w:tcPr>
            <w:tcW w:w="0" w:type="dxa"/>
            <w:vAlign w:val="bottom"/>
          </w:tcPr>
          <w:p>
            <w:pPr>
              <w:spacing w:after="0"/>
              <w:rPr>
                <w:sz w:val="1"/>
                <w:szCs w:val="1"/>
                <w:color w:val="auto"/>
              </w:rPr>
            </w:pPr>
          </w:p>
        </w:tc>
      </w:tr>
      <w:tr>
        <w:trPr>
          <w:trHeight w:val="225"/>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54,777,448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54,792,848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55,142,573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55,095,265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20"/>
              <w:spacing w:after="0" w:line="140" w:lineRule="exact"/>
              <w:rPr>
                <w:sz w:val="20"/>
                <w:szCs w:val="20"/>
                <w:color w:val="auto"/>
              </w:rPr>
            </w:pPr>
            <w:r>
              <w:rPr>
                <w:rFonts w:ascii="Arial" w:cs="Arial" w:eastAsia="Arial" w:hAnsi="Arial"/>
                <w:sz w:val="14"/>
                <w:szCs w:val="14"/>
                <w:color w:val="auto"/>
              </w:rPr>
              <w:t>Anti-dilutive effect of Stock Options, RSUs and Warrants excluded from</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0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5,668,729</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4,856,996</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3,043,760</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4,543,986</w:t>
            </w:r>
          </w:p>
        </w:tc>
        <w:tc>
          <w:tcPr>
            <w:tcW w:w="0" w:type="dxa"/>
            <w:vAlign w:val="bottom"/>
          </w:tcPr>
          <w:p>
            <w:pPr>
              <w:spacing w:after="0"/>
              <w:rPr>
                <w:sz w:val="1"/>
                <w:szCs w:val="1"/>
                <w:color w:val="auto"/>
              </w:rPr>
            </w:pPr>
          </w:p>
        </w:tc>
      </w:tr>
      <w:tr>
        <w:trPr>
          <w:trHeight w:val="185"/>
        </w:trPr>
        <w:tc>
          <w:tcPr>
            <w:tcW w:w="5080" w:type="dxa"/>
            <w:vAlign w:val="bottom"/>
          </w:tcPr>
          <w:p>
            <w:pPr>
              <w:ind w:left="280"/>
              <w:spacing w:after="0"/>
              <w:rPr>
                <w:sz w:val="20"/>
                <w:szCs w:val="20"/>
                <w:color w:val="auto"/>
              </w:rPr>
            </w:pPr>
            <w:r>
              <w:rPr>
                <w:rFonts w:ascii="Arial" w:cs="Arial" w:eastAsia="Arial" w:hAnsi="Arial"/>
                <w:sz w:val="14"/>
                <w:szCs w:val="14"/>
                <w:color w:val="auto"/>
              </w:rPr>
              <w:t>calculation of Dilutive effect</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Basic earnings per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AIRCRAFT</w:t>
      </w:r>
    </w:p>
    <w:p>
      <w:pPr>
        <w:spacing w:after="0" w:line="225" w:lineRule="exact"/>
        <w:rPr>
          <w:sz w:val="20"/>
          <w:szCs w:val="20"/>
          <w:color w:val="auto"/>
        </w:rPr>
      </w:pPr>
    </w:p>
    <w:p>
      <w:pPr>
        <w:ind w:left="340" w:right="20"/>
        <w:spacing w:after="0" w:line="287" w:lineRule="auto"/>
        <w:rPr>
          <w:sz w:val="20"/>
          <w:szCs w:val="20"/>
          <w:color w:val="auto"/>
        </w:rPr>
      </w:pPr>
      <w:r>
        <w:rPr>
          <w:rFonts w:ascii="Arial" w:cs="Arial" w:eastAsia="Arial" w:hAnsi="Arial"/>
          <w:sz w:val="18"/>
          <w:szCs w:val="18"/>
          <w:color w:val="auto"/>
        </w:rPr>
        <w:t>As of June 30, 2025, Sun Country's fleet consisted of 69 Boeing 737-NG aircraft, comprised of 64 Boeing 737-800s and five Boeing 737-900ERs.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aircraft fleet activity for the six months ended June 30, 2025 and 2024, respectively:</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2024</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 2025</w:t>
            </w:r>
          </w:p>
        </w:tc>
        <w:tc>
          <w:tcPr>
            <w:tcW w:w="0" w:type="dxa"/>
            <w:vAlign w:val="bottom"/>
          </w:tcPr>
          <w:p>
            <w:pPr>
              <w:spacing w:after="0"/>
              <w:rPr>
                <w:sz w:val="1"/>
                <w:szCs w:val="1"/>
                <w:color w:val="auto"/>
              </w:rPr>
            </w:pPr>
          </w:p>
        </w:tc>
      </w:tr>
      <w:tr>
        <w:trPr>
          <w:trHeight w:val="238"/>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420" w:type="dxa"/>
            <w:vAlign w:val="bottom"/>
          </w:tcPr>
          <w:p>
            <w:pPr>
              <w:ind w:left="8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Sun Country Airlines’ Fleet</w:t>
            </w: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80"/>
              <w:spacing w:after="0"/>
              <w:rPr>
                <w:sz w:val="20"/>
                <w:szCs w:val="20"/>
                <w:color w:val="auto"/>
              </w:rPr>
            </w:pPr>
            <w:r>
              <w:rPr>
                <w:rFonts w:ascii="Arial" w:cs="Arial" w:eastAsia="Arial" w:hAnsi="Arial"/>
                <w:sz w:val="18"/>
                <w:szCs w:val="18"/>
                <w:color w:val="auto"/>
              </w:rPr>
              <w:t>Aircraft Operated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80"/>
              <w:spacing w:after="0" w:line="248" w:lineRule="exact"/>
              <w:rPr>
                <w:sz w:val="20"/>
                <w:szCs w:val="20"/>
                <w:color w:val="auto"/>
              </w:rPr>
            </w:pPr>
            <w:r>
              <w:rPr>
                <w:rFonts w:ascii="Arial" w:cs="Arial" w:eastAsia="Arial" w:hAnsi="Arial"/>
                <w:sz w:val="18"/>
                <w:szCs w:val="18"/>
                <w:color w:val="auto"/>
              </w:rPr>
              <w:t xml:space="preserve">Amazon </w:t>
            </w:r>
            <w:r>
              <w:rPr>
                <w:rFonts w:ascii="Arial" w:cs="Arial" w:eastAsia="Arial" w:hAnsi="Arial"/>
                <w:sz w:val="23"/>
                <w:szCs w:val="23"/>
                <w:color w:val="auto"/>
                <w:vertAlign w:val="superscript"/>
              </w:rPr>
              <w:t>(1)</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Total Aircraft</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ind w:left="10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2023</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420" w:type="dxa"/>
            <w:vAlign w:val="bottom"/>
          </w:tcPr>
          <w:p>
            <w:pPr>
              <w:ind w:left="260"/>
              <w:spacing w:after="0"/>
              <w:rPr>
                <w:sz w:val="20"/>
                <w:szCs w:val="20"/>
                <w:color w:val="auto"/>
              </w:rPr>
            </w:pPr>
            <w:r>
              <w:rPr>
                <w:rFonts w:ascii="Arial" w:cs="Arial" w:eastAsia="Arial" w:hAnsi="Arial"/>
                <w:sz w:val="18"/>
                <w:szCs w:val="18"/>
                <w:color w:val="auto"/>
              </w:rPr>
              <w:t>Sun Country Airlines’ Fleet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100"/>
              <w:spacing w:after="0" w:line="176" w:lineRule="exact"/>
              <w:rPr>
                <w:sz w:val="20"/>
                <w:szCs w:val="20"/>
                <w:color w:val="auto"/>
              </w:rPr>
            </w:pPr>
            <w:r>
              <w:rPr>
                <w:rFonts w:ascii="Arial" w:cs="Arial" w:eastAsia="Arial" w:hAnsi="Arial"/>
                <w:sz w:val="18"/>
                <w:szCs w:val="18"/>
                <w:color w:val="auto"/>
              </w:rPr>
              <w:t>Aircraft Operated for</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Amazon</w:t>
            </w:r>
          </w:p>
        </w:tc>
        <w:tc>
          <w:tcPr>
            <w:tcW w:w="1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420" w:type="dxa"/>
            <w:vAlign w:val="bottom"/>
          </w:tcPr>
          <w:p>
            <w:pPr>
              <w:ind w:left="220"/>
              <w:spacing w:after="0"/>
              <w:rPr>
                <w:sz w:val="20"/>
                <w:szCs w:val="20"/>
                <w:color w:val="auto"/>
              </w:rPr>
            </w:pPr>
            <w:r>
              <w:rPr>
                <w:rFonts w:ascii="Arial" w:cs="Arial" w:eastAsia="Arial" w:hAnsi="Arial"/>
                <w:sz w:val="18"/>
                <w:szCs w:val="18"/>
                <w:color w:val="auto"/>
              </w:rPr>
              <w:t>Total Aircraft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00" w:hanging="5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amount includes 15 aircraft in-service and 4 aircraft received, but not in-service as of June 30, 2025.</w:t>
      </w:r>
    </w:p>
    <w:p>
      <w:pPr>
        <w:spacing w:after="0" w:line="68" w:lineRule="exact"/>
        <w:rPr>
          <w:rFonts w:ascii="Arial" w:cs="Arial" w:eastAsia="Arial" w:hAnsi="Arial"/>
          <w:sz w:val="14"/>
          <w:szCs w:val="14"/>
          <w:color w:val="auto"/>
        </w:rPr>
      </w:pPr>
    </w:p>
    <w:p>
      <w:pPr>
        <w:ind w:left="900" w:hanging="5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head leases associated with these subleases are classified as finance leases.</w:t>
      </w:r>
    </w:p>
    <w:p>
      <w:pPr>
        <w:spacing w:after="0" w:line="16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During the six months ended June 30, 2025, the Company received seven additional cargo aircraft under the A&amp;R ATSA, of which three aircraft were in-service. Subsequent to June 30, 2025, the Company received the eighth and final aircraft. As of the date of this filing, five aircraft were in-service. During the six months ended June 30, 2025, amendments were executed to extend the lease expiry terms for the three Owned Aircraft Held for Operating Lease, which now expire over various dates through the fourth quarter of 2026. During the six months ended June 30, 2025, an amendment was executed to extend the lease expiry terms for one of the Company's subleased aircraft, which now expires in the second quarter of 2026. During the six months ended June 30, 2025, the Company retired one owned aircraft. Of the 37 Owned aircraft and Owned Aircraft Held for Operating Lease as of June 30, 2025, 31 aircraft were financed, five aircraft have been pledged to support the ability to efficiently utilize the Company's four-year $75,000 revolving credit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 xml:space="preserve">facility (“Revolving Credit Facility”) entered into during March 2025, and one aircraft was unencumbered.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for more information on the Company's Revolving Credit Facility.</w:t>
      </w:r>
    </w:p>
    <w:p>
      <w:pPr>
        <w:spacing w:after="0" w:line="99"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During the six months ended June 30, 2025, the Company accepted delivery of one of the Owned Aircraft Held for Operating Lease that was leased to an unaffiliated airline, which will be inducted into the passenger fleet. Upon acquisition of the Owned Aircraft held for Operating Lease, the Company recognized a Maintenance Rights Asset associated with the acquired leases. Based on the maintenance condition of the one aircraft returned in 2025, the Maintenance Rights Asset settlement resulted in capitalized asset improvements of $4,697 and cash received from the lessee in excess of the Maintenance Rights Asset totaling $2,716. The cash received for end of lease compensation in excess of the Maintenance Rights Asset was recognized within Other Revenue in the Company’s Condensed Consolidated Statement of Operations.</w:t>
      </w:r>
    </w:p>
    <w:p>
      <w:pPr>
        <w:spacing w:after="0" w:line="12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During the six months ended June 30, 2024, the Company acquired one incremental aircraft and took control of two aircraft through finance lease arrangements, one of which was subsequently subleased to an unaffiliated airline. Upon expiry of the sublease, the aircraft will be redelivered to the Company and is expected to be inducted into the Company's passenger fleet. Further, the Company purchased one aircraft previously classified as a finance lease.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rent expense on aircraft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615"/>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Aircraft Status</w:t>
            </w: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Expense Type</w:t>
            </w:r>
          </w:p>
        </w:tc>
        <w:tc>
          <w:tcPr>
            <w:tcW w:w="420" w:type="dxa"/>
            <w:vAlign w:val="bottom"/>
          </w:tcPr>
          <w:p>
            <w:pPr>
              <w:spacing w:after="0"/>
              <w:rPr>
                <w:sz w:val="17"/>
                <w:szCs w:val="17"/>
                <w:color w:val="auto"/>
              </w:rPr>
            </w:pPr>
          </w:p>
        </w:tc>
        <w:tc>
          <w:tcPr>
            <w:tcW w:w="1340" w:type="dxa"/>
            <w:vAlign w:val="bottom"/>
          </w:tcPr>
          <w:p>
            <w:pPr>
              <w:jc w:val="right"/>
              <w:ind w:right="63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2024</w:t>
            </w:r>
          </w:p>
        </w:tc>
      </w:tr>
      <w:tr>
        <w:trPr>
          <w:trHeight w:val="224"/>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28,892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28,507</w:t>
            </w:r>
          </w:p>
        </w:tc>
      </w:tr>
      <w:tr>
        <w:trPr>
          <w:trHeight w:val="230"/>
        </w:trPr>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Finance Leased</w:t>
            </w:r>
          </w:p>
        </w:tc>
        <w:tc>
          <w:tcPr>
            <w:tcW w:w="1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r>
      <w:tr>
        <w:trPr>
          <w:trHeight w:val="248"/>
        </w:trPr>
        <w:tc>
          <w:tcPr>
            <w:tcW w:w="1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39,303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39,674</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Credit Facilities</w:t>
      </w:r>
    </w:p>
    <w:p>
      <w:pPr>
        <w:spacing w:after="0" w:line="171"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color w:val="auto"/>
        </w:rPr>
        <w:t>In March 2025, the Company executed a new $75,000 Revolving Credit Facility with a group of lenders. The new Revolving Credit Facility replaces the Company's previous $25,000 revolving credit facility. The interest rate on borrowings is determined using a base rate plus an applicable margin of 2.5%. In addition, there is a commitment fee on the unused Revolving Credit Facility of 0.6%. The Revolving Credit Facility is guaranteed by the Company and secured by a pool of collateral. Accordingly, the Company pledged certain assets as collateral, including certain previously unencumbered aircraft, to support the ability to efficiently utilize the Revolving Credit Facility. Available funds from the Revolving Credit Facility can be used for general corporate purposes. The Revolving Credit Facility includes financial covenants that require the Company to maintain: 1) minimum liquidity, as defined within the agreement, of not less than $55,000, 2) a minimum adjusted EBITDAR of $ 110,000 for any four consecutive fiscal quarters and 3) a minimum ratio of the borrowing base of the collateral to outstanding obligations under the Revolving Credit Facility of not less than 1.0 to 1.0. The Company was in compliance with these financial covenants as of June 30, 2025. As of June 30, 2025, the Company had $75,000 of financing available through the Revolving Credit Facility.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Long-term Debt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Term Loan Credit Facility</w:t>
      </w:r>
    </w:p>
    <w:p>
      <w:pPr>
        <w:spacing w:after="0" w:line="223" w:lineRule="exact"/>
        <w:rPr>
          <w:sz w:val="20"/>
          <w:szCs w:val="20"/>
          <w:color w:val="auto"/>
        </w:rPr>
      </w:pPr>
    </w:p>
    <w:p>
      <w:pPr>
        <w:jc w:val="both"/>
        <w:ind w:left="260"/>
        <w:spacing w:after="0" w:line="257" w:lineRule="auto"/>
        <w:rPr>
          <w:sz w:val="20"/>
          <w:szCs w:val="20"/>
          <w:color w:val="auto"/>
        </w:rPr>
      </w:pPr>
      <w:r>
        <w:rPr>
          <w:rFonts w:ascii="Arial" w:cs="Arial" w:eastAsia="Arial" w:hAnsi="Arial"/>
          <w:sz w:val="18"/>
          <w:szCs w:val="18"/>
          <w:color w:val="auto"/>
        </w:rPr>
        <w:t>During the three months ended March 31, 2023, the Company executed a term loan credit facility with a face amount of $119,200 ("Term Loan Credit Facility") for the purpose of financing the five Owned Aircraft Held for Operating Lease. The loan is repaid monthly through March 2030. During the lease term, payments collected from the lessee are applied directly to the repayment of principal and interest on the Term Loan Credit Facility. The Owned Aircraft Held for Operating Lease, as well as the related lease payments received from the lessee, are pledged as collateral. In December 2024, the Company made a partial repayment of $60,000 on the Term Loan Credit Facility using proceeds from the reissued Class C trust certificates Series 2019-1.</w:t>
      </w:r>
    </w:p>
    <w:p>
      <w:pPr>
        <w:spacing w:after="0" w:line="182" w:lineRule="exact"/>
        <w:rPr>
          <w:sz w:val="20"/>
          <w:szCs w:val="20"/>
          <w:color w:val="auto"/>
        </w:rPr>
      </w:pPr>
    </w:p>
    <w:p>
      <w:pPr>
        <w:jc w:val="both"/>
        <w:ind w:left="2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interest rate on the Term Loan Credit Facility is determined using a base rate, which resets monthly, plus an applicable margin, and a fixed credit spread adjustment of 0.1%. The applicable margin during the lease term is fixed at 3.75%, and is subsequently reduced to 3.25% once the aircraft have been redelivered to the Company and a Loan-to-Value ("LTV") ratio calculation is completed. To the extent that the LTV ratio exceeds 75% at the end of the lease term, a principal prepayment will be required in order to reduce the ratio to 75%. For more information on the LTV and the Company's related accounting policies, see Note 7, "Debt" included within Part II, </w:t>
      </w:r>
      <w:hyperlink r:id="rId43">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2024 10-K.</w:t>
      </w:r>
    </w:p>
    <w:p>
      <w:pPr>
        <w:spacing w:after="0" w:line="182"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As of June 30, 2025, the lease terms had expired for two Owned Aircraft Held for Operating Lease. As of the lease term expiry dates, the LTV ratios were below 75%. Therefore, principal prepayments were not required. The interest rate in effect as of June 30, 2025 for the redelivered aircraft was 7.7%. The interest rate in effect for the three remaining Owned Aircraft Held for Operating Lease as of June 30, 2025 was 8.2%.</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Pass-Through Trust Certificates</w:t>
      </w:r>
    </w:p>
    <w:p>
      <w:pPr>
        <w:spacing w:after="0" w:line="223"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March 2022, the Company arranged for the issuance of Class A and Class B certificates Series 2022-1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5.05% as of June 30, 2025.</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December 2019, the Company arranged for the issuance of Class A, Class B and Class C trust certificates Series 2019-1 (the “2019-1</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EETC”), in an aggregate face amount of $248,587 for the purpose of financing or refinancing 13 aircraft, which was completed in 2020.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is required to make bi-annual principal and interest payments each June and December, through December 2027.</w:t>
      </w:r>
    </w:p>
    <w:p>
      <w:pPr>
        <w:spacing w:after="0" w:line="207"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In December 2024, the Company reissued Class C trust certificates from the 2019-1 EETC, which had previously been repaid, in an aggregate face amount of $60,000 and concurrently applied the proceeds to repay a portion of the Term Loan Credit Facility. The reissued Class C trust certificates had no impact on the bi-annual payment schedule or the term of the 2019-1 EETC. The 2019-1 EETC notes bear interest at an annual rate between 4.13% and 7.10%. The weighted average interest rate was 5.43% as of June 30, 2025.</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p>
      <w:pPr>
        <w:jc w:val="right"/>
        <w:ind w:right="640"/>
        <w:spacing w:after="0"/>
        <w:tabs>
          <w:tab w:leader="none" w:pos="1280" w:val="left"/>
        </w:tabs>
        <w:rPr>
          <w:sz w:val="20"/>
          <w:szCs w:val="20"/>
          <w:color w:val="auto"/>
        </w:rPr>
      </w:pPr>
      <w:r>
        <w:rPr>
          <w:rFonts w:ascii="Arial" w:cs="Arial" w:eastAsia="Arial" w:hAnsi="Arial"/>
          <w:sz w:val="14"/>
          <w:szCs w:val="14"/>
          <w:b w:val="1"/>
          <w:bCs w:val="1"/>
          <w:color w:val="auto"/>
        </w:rPr>
        <w:t>June 30, 2025</w:t>
      </w:r>
      <w:r>
        <w:rPr>
          <w:sz w:val="20"/>
          <w:szCs w:val="20"/>
          <w:color w:val="auto"/>
        </w:rPr>
        <w:tab/>
      </w:r>
      <w:r>
        <w:rPr>
          <w:rFonts w:ascii="Arial" w:cs="Arial" w:eastAsia="Arial" w:hAnsi="Arial"/>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23495</wp:posOffset>
            </wp:positionV>
            <wp:extent cx="678053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780530" cy="1543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2019-1 EETC (see terms and conditions above)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2022-1 EETC (see terms and conditions above)</w:t>
      </w:r>
    </w:p>
    <w:p>
      <w:pPr>
        <w:spacing w:after="0" w:line="23" w:lineRule="exact"/>
        <w:rPr>
          <w:sz w:val="20"/>
          <w:szCs w:val="20"/>
          <w:color w:val="auto"/>
        </w:rPr>
      </w:pPr>
    </w:p>
    <w:p>
      <w:pPr>
        <w:ind w:left="360" w:right="100" w:hanging="96"/>
        <w:spacing w:after="0" w:line="273" w:lineRule="auto"/>
        <w:rPr>
          <w:sz w:val="20"/>
          <w:szCs w:val="20"/>
          <w:color w:val="auto"/>
        </w:rPr>
      </w:pPr>
      <w:r>
        <w:rPr>
          <w:rFonts w:ascii="Arial" w:cs="Arial" w:eastAsia="Arial" w:hAnsi="Arial"/>
          <w:sz w:val="18"/>
          <w:szCs w:val="18"/>
          <w:color w:val="auto"/>
        </w:rPr>
        <w:t>Term Loan Credit Facility (see terms and conditions above) Total Debt</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Less: Unamortized debt issuance costs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Less: Current Maturities of Long-term Debt, net</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 net</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1160" w:type="dxa"/>
        <w:tblCellMar>
          <w:top w:w="0" w:type="dxa"/>
          <w:left w:w="0" w:type="dxa"/>
          <w:bottom w:w="0" w:type="dxa"/>
          <w:right w:w="0" w:type="dxa"/>
        </w:tblCellMar>
      </w:tblPr>
      <w:tr>
        <w:trPr>
          <w:trHeight w:val="220"/>
        </w:trPr>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131,811</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158,510</w:t>
            </w:r>
          </w:p>
        </w:tc>
      </w:tr>
      <w:tr>
        <w:trPr>
          <w:trHeight w:val="229"/>
        </w:trPr>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128,410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138,532</w:t>
            </w:r>
          </w:p>
        </w:tc>
      </w:tr>
      <w:tr>
        <w:trPr>
          <w:trHeight w:val="235"/>
        </w:trPr>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24,273</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33,080</w:t>
            </w:r>
          </w:p>
        </w:tc>
      </w:tr>
      <w:tr>
        <w:trPr>
          <w:trHeight w:val="218"/>
        </w:trPr>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284,494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330,122</w:t>
            </w:r>
          </w:p>
        </w:tc>
      </w:tr>
      <w:tr>
        <w:trPr>
          <w:trHeight w:val="230"/>
        </w:trPr>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5"/>
        </w:trPr>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(81,438)</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(87,579)</w:t>
            </w:r>
          </w:p>
        </w:tc>
      </w:tr>
      <w:tr>
        <w:trPr>
          <w:trHeight w:val="223"/>
        </w:trPr>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200,629</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239,543</w:t>
            </w: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-779145</wp:posOffset>
            </wp:positionV>
            <wp:extent cx="678053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780530" cy="14541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-479425</wp:posOffset>
            </wp:positionV>
            <wp:extent cx="678053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780530" cy="14541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-187960</wp:posOffset>
            </wp:positionV>
            <wp:extent cx="678053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7805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ind w:right="268"/>
              <w:spacing w:after="0"/>
              <w:rPr>
                <w:sz w:val="20"/>
                <w:szCs w:val="20"/>
                <w:color w:val="auto"/>
              </w:rPr>
            </w:pPr>
            <w:r>
              <w:rPr>
                <w:rFonts w:ascii="Arial" w:cs="Arial" w:eastAsia="Arial" w:hAnsi="Arial"/>
                <w:sz w:val="14"/>
                <w:szCs w:val="14"/>
                <w:b w:val="1"/>
                <w:bCs w:val="1"/>
                <w:color w:val="auto"/>
              </w:rPr>
              <w:t>Debt Principal</w:t>
            </w:r>
          </w:p>
        </w:tc>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Amortization of Debt</w:t>
            </w:r>
          </w:p>
        </w:tc>
        <w:tc>
          <w:tcPr>
            <w:tcW w:w="10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89"/>
        </w:trPr>
        <w:tc>
          <w:tcPr>
            <w:tcW w:w="1300" w:type="dxa"/>
            <w:vAlign w:val="bottom"/>
          </w:tcPr>
          <w:p>
            <w:pPr>
              <w:jc w:val="center"/>
              <w:ind w:right="268"/>
              <w:spacing w:after="0"/>
              <w:rPr>
                <w:sz w:val="20"/>
                <w:szCs w:val="20"/>
                <w:color w:val="auto"/>
              </w:rPr>
            </w:pPr>
            <w:r>
              <w:rPr>
                <w:rFonts w:ascii="Arial" w:cs="Arial" w:eastAsia="Arial" w:hAnsi="Arial"/>
                <w:sz w:val="14"/>
                <w:szCs w:val="14"/>
                <w:b w:val="1"/>
                <w:bCs w:val="1"/>
                <w:color w:val="auto"/>
              </w:rPr>
              <w:t>Payments</w:t>
            </w:r>
          </w:p>
        </w:tc>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Issuance Costs</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060" w:space="720"/>
            <w:col w:w="5460"/>
          </w:cols>
          <w:pgMar w:left="320" w:top="130" w:right="339" w:bottom="1440" w:gutter="0" w:footer="0" w:header="0"/>
          <w:type w:val="continuous"/>
        </w:sectPr>
      </w:pPr>
    </w:p>
    <w:tbl>
      <w:tblPr>
        <w:tblLayout w:type="fixed"/>
        <w:tblInd w:w="260" w:type="dxa"/>
        <w:tblCellMar>
          <w:top w:w="0" w:type="dxa"/>
          <w:left w:w="0" w:type="dxa"/>
          <w:bottom w:w="0" w:type="dxa"/>
          <w:right w:w="0" w:type="dxa"/>
        </w:tblCellMar>
      </w:tblP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2025</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46,313</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2026</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65,439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64,630</w:t>
            </w: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86,054</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2028</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20,355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20,095</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28,245</w:t>
            </w:r>
          </w:p>
        </w:tc>
      </w:tr>
      <w:tr>
        <w:trPr>
          <w:trHeight w:val="23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36,730</w:t>
            </w:r>
          </w:p>
        </w:tc>
      </w:tr>
      <w:tr>
        <w:trPr>
          <w:trHeight w:val="248"/>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 of June 30, 2025</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284,494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282,067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The fair value of Debt was $273,041 as of June 30, 2025 and $311,103 as of December 31, 2024. The fair value of the Company’s debt was based on the discounted amount of future cash flows using the Company’s end-of-period estimated incremental borrowing rate for similar obligations. The estimates were primarily based on Level 3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debt securities by major security type: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center"/>
              <w:ind w:left="916"/>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96"/>
              <w:spacing w:after="0"/>
              <w:rPr>
                <w:sz w:val="20"/>
                <w:szCs w:val="20"/>
                <w:color w:val="auto"/>
              </w:rPr>
            </w:pPr>
            <w:r>
              <w:rPr>
                <w:rFonts w:ascii="Arial" w:cs="Arial" w:eastAsia="Arial" w:hAnsi="Arial"/>
                <w:sz w:val="18"/>
                <w:szCs w:val="18"/>
                <w:color w:val="auto"/>
                <w:w w:val="99"/>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996"/>
              <w:spacing w:after="0"/>
              <w:rPr>
                <w:sz w:val="20"/>
                <w:szCs w:val="20"/>
                <w:color w:val="auto"/>
              </w:rPr>
            </w:pPr>
            <w:r>
              <w:rPr>
                <w:rFonts w:ascii="Arial" w:cs="Arial" w:eastAsia="Arial" w:hAnsi="Arial"/>
                <w:sz w:val="18"/>
                <w:szCs w:val="18"/>
                <w:color w:val="auto"/>
                <w:w w:val="99"/>
              </w:rPr>
              <w:t>(50)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left="996"/>
              <w:spacing w:after="0"/>
              <w:rPr>
                <w:sz w:val="20"/>
                <w:szCs w:val="20"/>
                <w:color w:val="auto"/>
              </w:rPr>
            </w:pPr>
            <w:r>
              <w:rPr>
                <w:rFonts w:ascii="Arial" w:cs="Arial" w:eastAsia="Arial" w:hAnsi="Arial"/>
                <w:sz w:val="18"/>
                <w:szCs w:val="18"/>
                <w:color w:val="auto"/>
                <w:w w:val="99"/>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6"/>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2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3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53,452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44,202</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760" w:right="200" w:hanging="410"/>
        <w:spacing w:after="0" w:line="285" w:lineRule="auto"/>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Condensed Consolidated Balance Sheets totaling $6,693 and $6,417 as of June 30, 2025 and December 31, 2024, respectively.</w:t>
      </w:r>
    </w:p>
    <w:p>
      <w:pPr>
        <w:spacing w:after="0" w:line="256" w:lineRule="exact"/>
        <w:rPr>
          <w:sz w:val="20"/>
          <w:szCs w:val="20"/>
          <w:color w:val="auto"/>
        </w:rPr>
      </w:pPr>
    </w:p>
    <w:p>
      <w:pPr>
        <w:jc w:val="both"/>
        <w:ind w:left="260"/>
        <w:spacing w:after="0" w:line="253" w:lineRule="auto"/>
        <w:rPr>
          <w:sz w:val="20"/>
          <w:szCs w:val="20"/>
          <w:color w:val="auto"/>
        </w:rPr>
      </w:pPr>
      <w:r>
        <w:rPr>
          <w:rFonts w:ascii="Arial" w:cs="Arial" w:eastAsia="Arial" w:hAnsi="Arial"/>
          <w:sz w:val="18"/>
          <w:szCs w:val="18"/>
          <w:color w:val="auto"/>
        </w:rPr>
        <w:t>As of June 30, 2025, the unrealized losses were the result of changes in market interest rates and were not the result of a deterioration in the credit quality of the securities. As of June 30, 2025, the Company expects any unrealized losses to be recoverable prior to the investment's conversion to cash.</w:t>
      </w:r>
    </w:p>
    <w:p>
      <w:pPr>
        <w:spacing w:after="0" w:line="18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 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48,204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45,092</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94,644</w:t>
            </w:r>
          </w:p>
        </w:tc>
        <w:tc>
          <w:tcPr>
            <w:tcW w:w="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4040" w:type="dxa"/>
            <w:vAlign w:val="bottom"/>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43,657</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94,644</w:t>
            </w:r>
          </w:p>
        </w:tc>
        <w:tc>
          <w:tcPr>
            <w:tcW w:w="80" w:type="dxa"/>
            <w:vAlign w:val="bottom"/>
          </w:tcPr>
          <w:p>
            <w:pPr>
              <w:spacing w:after="0"/>
              <w:rPr>
                <w:sz w:val="13"/>
                <w:szCs w:val="13"/>
                <w:color w:val="auto"/>
              </w:rPr>
            </w:pPr>
          </w:p>
        </w:tc>
        <w:tc>
          <w:tcPr>
            <w:tcW w:w="1160" w:type="dxa"/>
            <w:vAlign w:val="bottom"/>
            <w:vMerge w:val="restart"/>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138,301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8"/>
                <w:szCs w:val="18"/>
                <w:color w:val="auto"/>
              </w:rPr>
            </w:pPr>
          </w:p>
        </w:tc>
        <w:tc>
          <w:tcPr>
            <w:tcW w:w="4040" w:type="dxa"/>
            <w:vAlign w:val="bottom"/>
          </w:tcPr>
          <w:p>
            <w:pPr>
              <w:ind w:left="500"/>
              <w:spacing w:after="0"/>
              <w:rPr>
                <w:sz w:val="20"/>
                <w:szCs w:val="20"/>
                <w:color w:val="auto"/>
              </w:rPr>
            </w:pPr>
            <w:r>
              <w:rPr>
                <w:rFonts w:ascii="Arial" w:cs="Arial" w:eastAsia="Arial" w:hAnsi="Arial"/>
                <w:sz w:val="18"/>
                <w:szCs w:val="18"/>
                <w:color w:val="auto"/>
              </w:rPr>
              <w:t>Recurring Basis</w:t>
            </w:r>
          </w:p>
        </w:tc>
        <w:tc>
          <w:tcPr>
            <w:tcW w:w="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44,202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404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89,636</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187,272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4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Recurring Basis</w:t>
            </w:r>
          </w:p>
        </w:tc>
        <w:tc>
          <w:tcPr>
            <w:tcW w:w="3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8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Company's effective tax rate for the three and six months ended June 30, 2025 was 23.1% and 24.0%, respectively. The Company's effective tax rate for the three and six months ended June 30, 2024 was 41.2% and 25.2%, respectively. The effective tax rate represents a blend of federal and state taxes and includes the impact of certain nondeductible or nontaxable items. The effective tax rate in both periods was impacted by permanent stock compensation items.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total Tax Receivable Agreement ("TRA") balance as of June 30, 2025 and December 31, 2024 was $87,169 and $ 97,694, of which $11,720 and $10,325 was current, respectively. The TRA liability is an estimate and actual amounts payable under the TRA could differ from this estimate. During the six months ended June 30, 2025 and 2024, the Company made payments of $10,525 and $3,350, respectively, to the pre-IPO stockholders (the “TRA holders”), which includes certain members of the Company's management and certain members of the Company's Board of Directors. The payment is included within Financing Activities on the Condensed Consolidated Statements of Cash Flows. Payments will be made in future periods as attributes that existed at the time of the IPO (the “Pre-IPO Tax Attributes”) are utilized.</w:t>
      </w:r>
    </w:p>
    <w:p>
      <w:pPr>
        <w:spacing w:after="0" w:line="183"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225" w:lineRule="exact"/>
        <w:rPr>
          <w:sz w:val="20"/>
          <w:szCs w:val="20"/>
          <w:color w:val="auto"/>
        </w:rPr>
      </w:pPr>
    </w:p>
    <w:p>
      <w:pPr>
        <w:ind w:left="340" w:right="340"/>
        <w:spacing w:after="0" w:line="287" w:lineRule="auto"/>
        <w:rPr>
          <w:sz w:val="20"/>
          <w:szCs w:val="20"/>
          <w:color w:val="auto"/>
        </w:rPr>
      </w:pPr>
      <w:r>
        <w:rPr>
          <w:rFonts w:ascii="Arial" w:cs="Arial" w:eastAsia="Arial" w:hAnsi="Arial"/>
          <w:sz w:val="18"/>
          <w:szCs w:val="18"/>
          <w:color w:val="auto"/>
        </w:rPr>
        <w:t>Special Items, net reflects expenses, or credits to expense, that are not representative of our ongoing costs for the periods presented and may vary from period to period in nature, frequency, and amount.</w:t>
      </w:r>
    </w:p>
    <w:p>
      <w:pPr>
        <w:spacing w:after="0" w:line="15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March 2025, the Company's flight attendants, represented by the International Brotherhood of Teamsters, ratified a new five-year collective bargaining agreement. Upon ratification of the new agreement, eligible flight attendants became entitled to a one-time ratification bonus. Eligibility requirements stipulate that flight attendants must be on the seniority list as of the ratification date, have completed probation, and hold an active status in order to receive the bonus payment. Certain portions of the ratification bonus will be paid in future periods as flight attendants on the seniority list as of the ratification date complete their probationary period or change their status from inactive to active. Ratification bonuses were paid to all eligible flight attendants during the six months ended June 30, 2025, per the collective bargaining agreement. The Company recognized ratification bonuses of $ 49 and $1,848, including $ 4 and $142 of payroll related tax expense, for the three and six months ended June 30, 2025, respectively. These items were included within Special Items, net on the Company's Condensed Consolidated Statements of Operations.</w:t>
      </w:r>
    </w:p>
    <w:p>
      <w:pPr>
        <w:spacing w:after="0" w:line="181" w:lineRule="exact"/>
        <w:rPr>
          <w:sz w:val="20"/>
          <w:szCs w:val="20"/>
          <w:color w:val="auto"/>
        </w:rPr>
      </w:pPr>
    </w:p>
    <w:p>
      <w:pPr>
        <w:ind w:left="340" w:right="8520" w:hanging="332"/>
        <w:spacing w:after="0" w:line="523" w:lineRule="auto"/>
        <w:tabs>
          <w:tab w:leader="none" w:pos="46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Equity Transactions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Repurchases</w:t>
      </w:r>
    </w:p>
    <w:p>
      <w:pPr>
        <w:spacing w:after="0" w:line="223"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The Company may purchase shares of its Common Stock on a discretionary basis from time-to-time through open market repurchases, privately negotiated transactions, accelerated share repurchase, or other means, including through Rule 10b5-1 trading plans.</w:t>
      </w:r>
    </w:p>
    <w:p>
      <w:pPr>
        <w:spacing w:after="0" w:line="15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During the six months ended June 30, 2025, the Company announced the commencement of a secondary public offering of 6,346,105 shares of its Common Stock by the SCA Horus Stockholder. Upon completion of the secondary public offering, the SCA Horus Stockholder did not own any shares of the Company’s Common Stock. The Company did not receive any of the proceeds from the offering. The Company received authorization from its Board of Directors to repurchase up to $10,000 of its Common Stock in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connection with this offering. The underwriters agreed to sell to the Company, and the Company agreed to purchase up to $10,000 of the Company's Common Stock from the underwriters equal to the price at which the underwriter purchased the shares from the SCA Horus Stockholder. As part of this transaction, the Company repurchased 630,914 shares of its Common Stock, for a total cost of $10,000, or an average price of $15.85 per share. The Company incurred offering expenses of $481 in conjunction with the secondary public offering.</w:t>
      </w:r>
    </w:p>
    <w:p>
      <w:pPr>
        <w:spacing w:after="0" w:line="179"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During the three months ended June 30, 2025, the Company's Board of Directors authorized $25,000 to repurchase shares of the Company's Common Stock, all of which was remaining as of June 30, 2025.</w:t>
      </w:r>
    </w:p>
    <w:p>
      <w:pPr>
        <w:spacing w:after="0" w:line="15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During the six months ended June 30, 2024, the Company repurchased 755,284 shares of its Common Stock at a total cost of $11,493, or an average price of $15.22 per share. The repurchases were open market purchases.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December 13, 2019, the Company signed a six-year contract with Amazon to provide cargo services under the ATSA. In connection with the ATSA, the Company issued warrants to Amazon to purchase an aggregate of up to 9,482,606 shares of common stock at an exercise price of approximately $15.17 per share. During the six months ended June 30, 2025 and 2024, 505,738 and 442,521 warrants vested in each respective period. As of June 30, 2025 and 2024, the cumulative vested warrants held by Amazon were 4,614,873 and 3,666,614, respectively. The exercise period for these warrants extends through the eighth anniversary of the issue date. No incremental warrants were issued, nor was the original warrant agreement modified, upon the signing of the A&amp;R ATSA.</w:t>
      </w:r>
    </w:p>
    <w:p>
      <w:pPr>
        <w:spacing w:after="0" w:line="182"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repayment of debt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w:t>
      </w:r>
      <w:r>
        <w:rPr>
          <w:rFonts w:ascii="Arial" w:cs="Arial" w:eastAsia="Arial" w:hAnsi="Arial"/>
          <w:sz w:val="18"/>
          <w:szCs w:val="18"/>
          <w:color w:val="000000"/>
        </w:rPr>
        <w:t>), payments under the TRA (see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8</w:t>
      </w:r>
      <w:r>
        <w:rPr>
          <w:rFonts w:ascii="Arial" w:cs="Arial" w:eastAsia="Arial" w:hAnsi="Arial"/>
          <w:sz w:val="18"/>
          <w:szCs w:val="18"/>
          <w:color w:val="000000"/>
        </w:rPr>
        <w:t>), and probable future purchases of aircraft.</w:t>
      </w:r>
    </w:p>
    <w:p>
      <w:pPr>
        <w:spacing w:after="0" w:line="15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is subject to an audit by the Internal Revenue Service (“IRS”) related to the collection of federal excise taxes on optional passenger seat selection charges covering the period of October 1, 2021 through June 30, 2023. During 2024, the Company received an assessment of approximately $2,700 from the IRS related to the results of the audit. As of June 30, 2025, the Company has appealed the results of the audit through a formal protest with the IRS and there has been no further communication on this matter. The Company believes a loss in this matter is not probable and has not recognized a loss contingency as of June 30, 2025.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does not believe these proceedings will have a materially adverse effect on the Company.</w:t>
      </w:r>
    </w:p>
    <w:p>
      <w:pPr>
        <w:spacing w:after="0" w:line="20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has two operating and reportable segments: Passenger and Cargo, which are determined by the services provided and fleet utilized. The Chief Operating Decision Maker ("CODM") makes resource allocation decisions with the objective of generating high returns and margins and mitigating the seasonality of the Company’s route network. Operating Income (Loss) is the measure of segment profit that is the most consistent with the amounts presented in the Company’s Condensed Consolidated Financial Statements, as well as the measure the CODM uses to assess segment performance. The accounting policies for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Company’s reportable segments are consistent with those described in Note 2, "Basis of Presentation and Summary of Significant Accounting Policies" included within Part II, </w:t>
      </w:r>
      <w:hyperlink r:id="rId60">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2024 10-K. There are no intercompany transactions between the Company’s reportable segments.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tables present financial information for the Company’s two operating segments: Passenger and Cargo. Certain operating expenses are allocated between the Passenger and Cargo segments. Certain non-fuel operating expenses are allocated based on metrics such as block hours, fleet count and departures, which best align with the nature of the respective expense. Other Operating, net includes crew and other employee travel, interrupted trip expenses, information technology, property taxes and insurance, including hull-liability insurance, supplies, legal and other professional fees, facilities and all other administrative and operational overhead expenses. The CODM does not consider Interest Income, Interest Expense, and Other Income, net, in assessing the financial performance of its operating segments. Collectively, these items are included in reconciling reporting segment financial amounts to consolidated financial amounts.</w:t>
      </w:r>
    </w:p>
    <w:p>
      <w:pPr>
        <w:spacing w:after="0" w:line="18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Nearly all of the Company’s long-lived assets are associated with the Passenger operating segment. Therefore, predominately all depreciation and amortization expense is associated with the Passenger operating segment. Substantially all the Company’s tangible assets are located in the U.S. The Company's Aircraft and Flight equipment are mobile across geographic markets. As a result, assets by segment are not reviewed by the CODM and have not been presented herein.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financial information for the Company’s two segments.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7"/>
          </w:tcPr>
          <w:p>
            <w:pPr>
              <w:jc w:val="right"/>
              <w:ind w:right="568"/>
              <w:spacing w:after="0"/>
              <w:rPr>
                <w:sz w:val="20"/>
                <w:szCs w:val="20"/>
                <w:color w:val="auto"/>
              </w:rPr>
            </w:pPr>
            <w:r>
              <w:rPr>
                <w:rFonts w:ascii="Arial" w:cs="Arial" w:eastAsia="Arial" w:hAnsi="Arial"/>
                <w:sz w:val="14"/>
                <w:szCs w:val="14"/>
                <w:b w:val="1"/>
                <w:bCs w:val="1"/>
                <w:color w:val="auto"/>
              </w:rPr>
              <w:t>Three Months Ended June 30, 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right"/>
              <w:ind w:right="588"/>
              <w:spacing w:after="0"/>
              <w:rPr>
                <w:sz w:val="20"/>
                <w:szCs w:val="20"/>
                <w:color w:val="auto"/>
              </w:rPr>
            </w:pPr>
            <w:r>
              <w:rPr>
                <w:rFonts w:ascii="Arial" w:cs="Arial" w:eastAsia="Arial" w:hAnsi="Arial"/>
                <w:sz w:val="14"/>
                <w:szCs w:val="14"/>
                <w:b w:val="1"/>
                <w:bCs w:val="1"/>
                <w:color w:val="auto"/>
              </w:rPr>
              <w:t>Three Months Ended June 30, 2024</w:t>
            </w:r>
          </w:p>
        </w:tc>
      </w:tr>
      <w:tr>
        <w:trPr>
          <w:trHeight w:val="223"/>
        </w:trPr>
        <w:tc>
          <w:tcPr>
            <w:tcW w:w="2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3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228,818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34,803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263,621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228,934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25,447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254,381</w:t>
            </w:r>
          </w:p>
        </w:tc>
      </w:tr>
      <w:tr>
        <w:trPr>
          <w:trHeight w:val="250"/>
        </w:trPr>
        <w:tc>
          <w:tcPr>
            <w:tcW w:w="29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Aircraft Fuel</w:t>
            </w: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50,465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62,180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62,188</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Salaries, Wages, and Benefits</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68,476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21,081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89,557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62,508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16,851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79,359</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Maintenance</w:t>
            </w: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13,438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13,853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17,339</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8,001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8,001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8,392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8,392</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24,967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24,972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23,626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23,631</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Ground Handling</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11,353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11,353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11,368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11,368</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Landing Fees and Airport Rent</w:t>
            </w: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14,801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13,575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13,723</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Special Items, net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Other Operating, net</w:t>
            </w: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23,257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20,891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26,016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214,807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32,552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247,359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216,393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25,623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242,016</w:t>
            </w:r>
          </w:p>
        </w:tc>
      </w:tr>
      <w:tr>
        <w:trPr>
          <w:trHeight w:val="223"/>
        </w:trPr>
        <w:tc>
          <w:tcPr>
            <w:tcW w:w="298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14,011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2,251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16,262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12,541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12,365</w:t>
            </w:r>
          </w:p>
        </w:tc>
      </w:tr>
      <w:tr>
        <w:trPr>
          <w:trHeight w:val="45"/>
        </w:trPr>
        <w:tc>
          <w:tcPr>
            <w:tcW w:w="29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0"/>
        </w:trPr>
        <w:tc>
          <w:tcPr>
            <w:tcW w:w="2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1,513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1,800</w:t>
            </w:r>
          </w:p>
        </w:tc>
      </w:tr>
      <w:tr>
        <w:trPr>
          <w:trHeight w:val="208"/>
        </w:trPr>
        <w:tc>
          <w:tcPr>
            <w:tcW w:w="298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(9,212)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(11,077)</w:t>
            </w:r>
          </w:p>
        </w:tc>
      </w:tr>
      <w:tr>
        <w:trPr>
          <w:trHeight w:val="22"/>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r>
      <w:tr>
        <w:trPr>
          <w:trHeight w:val="223"/>
        </w:trPr>
        <w:tc>
          <w:tcPr>
            <w:tcW w:w="2980" w:type="dxa"/>
            <w:vAlign w:val="bottom"/>
          </w:tcPr>
          <w:p>
            <w:pPr>
              <w:ind w:left="340"/>
              <w:spacing w:after="0"/>
              <w:rPr>
                <w:sz w:val="20"/>
                <w:szCs w:val="20"/>
                <w:color w:val="auto"/>
              </w:rPr>
            </w:pPr>
            <w:r>
              <w:rPr>
                <w:rFonts w:ascii="Arial" w:cs="Arial" w:eastAsia="Arial" w:hAnsi="Arial"/>
                <w:sz w:val="14"/>
                <w:szCs w:val="14"/>
                <w:color w:val="auto"/>
              </w:rPr>
              <w:t>Income Before Income Tax</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3,084</w:t>
            </w: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2025</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2024</w:t>
            </w:r>
          </w:p>
        </w:tc>
        <w:tc>
          <w:tcPr>
            <w:tcW w:w="760" w:type="dxa"/>
            <w:vAlign w:val="bottom"/>
            <w:tcBorders>
              <w:bottom w:val="single" w:sz="8" w:color="auto"/>
            </w:tcBorders>
          </w:tcPr>
          <w:p>
            <w:pPr>
              <w:spacing w:after="0"/>
              <w:rPr>
                <w:sz w:val="17"/>
                <w:szCs w:val="17"/>
                <w:color w:val="auto"/>
              </w:rPr>
            </w:pPr>
          </w:p>
        </w:tc>
      </w:tr>
      <w:tr>
        <w:trPr>
          <w:trHeight w:val="223"/>
        </w:trPr>
        <w:tc>
          <w:tcPr>
            <w:tcW w:w="2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Passenger</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Cargo</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Passenger</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Cargo</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5"/>
              </w:rPr>
              <w:t>Total</w:t>
            </w:r>
          </w:p>
        </w:tc>
      </w:tr>
      <w:tr>
        <w:trPr>
          <w:trHeight w:val="229"/>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527,310</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62,960</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590,270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516,469</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49,395</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565,864</w:t>
            </w:r>
          </w:p>
        </w:tc>
      </w:tr>
      <w:tr>
        <w:trPr>
          <w:trHeight w:val="250"/>
        </w:trPr>
        <w:tc>
          <w:tcPr>
            <w:tcW w:w="29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r>
      <w:tr>
        <w:trPr>
          <w:trHeight w:val="21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208"/>
        </w:trPr>
        <w:tc>
          <w:tcPr>
            <w:tcW w:w="2900" w:type="dxa"/>
            <w:vAlign w:val="bottom"/>
          </w:tcPr>
          <w:p>
            <w:pPr>
              <w:ind w:left="180"/>
              <w:spacing w:after="0"/>
              <w:rPr>
                <w:sz w:val="20"/>
                <w:szCs w:val="20"/>
                <w:color w:val="auto"/>
              </w:rPr>
            </w:pPr>
            <w:r>
              <w:rPr>
                <w:rFonts w:ascii="Arial" w:cs="Arial" w:eastAsia="Arial" w:hAnsi="Arial"/>
                <w:sz w:val="14"/>
                <w:szCs w:val="14"/>
                <w:color w:val="auto"/>
              </w:rPr>
              <w:t>Aircraft Fuel</w:t>
            </w:r>
          </w:p>
        </w:tc>
        <w:tc>
          <w:tcPr>
            <w:tcW w:w="16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115,084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115,155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132,484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132,492</w:t>
            </w:r>
          </w:p>
        </w:tc>
      </w:tr>
      <w:tr>
        <w:trPr>
          <w:trHeight w:val="22"/>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Salaries, Wages, and Benefits</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143,659</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38,743</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182,402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128,096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33,501</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161,597</w:t>
            </w:r>
          </w:p>
        </w:tc>
      </w:tr>
      <w:tr>
        <w:trPr>
          <w:trHeight w:val="208"/>
        </w:trPr>
        <w:tc>
          <w:tcPr>
            <w:tcW w:w="2900" w:type="dxa"/>
            <w:vAlign w:val="bottom"/>
          </w:tcPr>
          <w:p>
            <w:pPr>
              <w:ind w:left="180"/>
              <w:spacing w:after="0"/>
              <w:rPr>
                <w:sz w:val="20"/>
                <w:szCs w:val="20"/>
                <w:color w:val="auto"/>
              </w:rPr>
            </w:pPr>
            <w:r>
              <w:rPr>
                <w:rFonts w:ascii="Arial" w:cs="Arial" w:eastAsia="Arial" w:hAnsi="Arial"/>
                <w:sz w:val="14"/>
                <w:szCs w:val="14"/>
                <w:color w:val="auto"/>
              </w:rPr>
              <w:t>Maintenance</w:t>
            </w:r>
          </w:p>
        </w:tc>
        <w:tc>
          <w:tcPr>
            <w:tcW w:w="16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28,781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8,331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27,257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6,899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34,156</w:t>
            </w:r>
          </w:p>
        </w:tc>
      </w:tr>
      <w:tr>
        <w:trPr>
          <w:trHeight w:val="22"/>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18,396</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18,396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19,071</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19,071</w:t>
            </w:r>
          </w:p>
        </w:tc>
      </w:tr>
      <w:tr>
        <w:trPr>
          <w:trHeight w:val="208"/>
        </w:trPr>
        <w:tc>
          <w:tcPr>
            <w:tcW w:w="29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49,766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49,776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47,430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47,440</w:t>
            </w:r>
          </w:p>
        </w:tc>
      </w:tr>
      <w:tr>
        <w:trPr>
          <w:trHeight w:val="22"/>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9"/>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Ground Handling</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22,760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22,760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20,513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20,522</w:t>
            </w:r>
          </w:p>
        </w:tc>
      </w:tr>
      <w:tr>
        <w:trPr>
          <w:trHeight w:val="208"/>
        </w:trPr>
        <w:tc>
          <w:tcPr>
            <w:tcW w:w="2900" w:type="dxa"/>
            <w:vAlign w:val="bottom"/>
          </w:tcPr>
          <w:p>
            <w:pPr>
              <w:ind w:left="180"/>
              <w:spacing w:after="0"/>
              <w:rPr>
                <w:sz w:val="20"/>
                <w:szCs w:val="20"/>
                <w:color w:val="auto"/>
              </w:rPr>
            </w:pPr>
            <w:r>
              <w:rPr>
                <w:rFonts w:ascii="Arial" w:cs="Arial" w:eastAsia="Arial" w:hAnsi="Arial"/>
                <w:sz w:val="14"/>
                <w:szCs w:val="14"/>
                <w:color w:val="auto"/>
              </w:rPr>
              <w:t>Landing Fees and Airport Rent</w:t>
            </w:r>
          </w:p>
        </w:tc>
        <w:tc>
          <w:tcPr>
            <w:tcW w:w="16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31,485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31,804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28,151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28,452</w:t>
            </w:r>
          </w:p>
        </w:tc>
      </w:tr>
      <w:tr>
        <w:trPr>
          <w:trHeight w:val="22"/>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Special Items, net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1,848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1,848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2900" w:type="dxa"/>
            <w:vAlign w:val="bottom"/>
          </w:tcPr>
          <w:p>
            <w:pPr>
              <w:ind w:left="180"/>
              <w:spacing w:after="0"/>
              <w:rPr>
                <w:sz w:val="20"/>
                <w:szCs w:val="20"/>
                <w:color w:val="auto"/>
              </w:rPr>
            </w:pPr>
            <w:r>
              <w:rPr>
                <w:rFonts w:ascii="Arial" w:cs="Arial" w:eastAsia="Arial" w:hAnsi="Arial"/>
                <w:sz w:val="14"/>
                <w:szCs w:val="14"/>
                <w:color w:val="auto"/>
              </w:rPr>
              <w:t>Other Operating, net</w:t>
            </w:r>
          </w:p>
        </w:tc>
        <w:tc>
          <w:tcPr>
            <w:tcW w:w="16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46,800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11,709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58,509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44,395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10,198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54,593</w:t>
            </w:r>
          </w:p>
        </w:tc>
      </w:tr>
      <w:tr>
        <w:trPr>
          <w:trHeight w:val="22"/>
        </w:trPr>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458,579</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59,183</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517,762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447,397</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50,926</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498,323</w:t>
            </w:r>
          </w:p>
        </w:tc>
      </w:tr>
      <w:tr>
        <w:trPr>
          <w:trHeight w:val="223"/>
        </w:trPr>
        <w:tc>
          <w:tcPr>
            <w:tcW w:w="29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68,731</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3,777</w:t>
            </w: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72,508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69,072</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(1,531)</w:t>
            </w: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67,541</w:t>
            </w:r>
          </w:p>
        </w:tc>
      </w:tr>
      <w:tr>
        <w:trPr>
          <w:trHeight w:val="45"/>
        </w:trPr>
        <w:tc>
          <w:tcPr>
            <w:tcW w:w="29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70"/>
        </w:trPr>
        <w:tc>
          <w:tcPr>
            <w:tcW w:w="2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3,508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4,248</w:t>
            </w:r>
          </w:p>
        </w:tc>
      </w:tr>
      <w:tr>
        <w:trPr>
          <w:trHeight w:val="208"/>
        </w:trPr>
        <w:tc>
          <w:tcPr>
            <w:tcW w:w="290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(18,837)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(22,189)</w:t>
            </w:r>
          </w:p>
        </w:tc>
      </w:tr>
      <w:tr>
        <w:trPr>
          <w:trHeight w:val="22"/>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r>
      <w:tr>
        <w:trPr>
          <w:trHeight w:val="223"/>
        </w:trPr>
        <w:tc>
          <w:tcPr>
            <w:tcW w:w="2900" w:type="dxa"/>
            <w:vAlign w:val="bottom"/>
          </w:tcPr>
          <w:p>
            <w:pPr>
              <w:ind w:left="340"/>
              <w:spacing w:after="0"/>
              <w:rPr>
                <w:sz w:val="20"/>
                <w:szCs w:val="20"/>
                <w:color w:val="auto"/>
              </w:rPr>
            </w:pPr>
            <w:r>
              <w:rPr>
                <w:rFonts w:ascii="Arial" w:cs="Arial" w:eastAsia="Arial" w:hAnsi="Arial"/>
                <w:sz w:val="14"/>
                <w:szCs w:val="14"/>
                <w:color w:val="auto"/>
              </w:rPr>
              <w:t>Income Before Income Tax</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49,642</w:t>
            </w: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August 1, 2025, the date that the Condensed Consolidated Financial Statements were available to be issued.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six months ended June 30, 2025 and 2024. Also discussed is our financial position as of June 30, 2025 and December 31, 2024.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w:t>
      </w:r>
      <w:hyperlink r:id="rId65">
        <w:r>
          <w:rPr>
            <w:rFonts w:ascii="Arial" w:cs="Arial" w:eastAsia="Arial" w:hAnsi="Arial"/>
            <w:sz w:val="18"/>
            <w:szCs w:val="18"/>
            <w:i w:val="1"/>
            <w:iCs w:val="1"/>
            <w:u w:val="single" w:color="auto"/>
            <w:color w:val="0000FF"/>
          </w:rPr>
          <w:t>Management’s Discussion and Analysis of Financial Condition and Results of Operations</w:t>
        </w:r>
      </w:hyperlink>
      <w:r>
        <w:rPr>
          <w:rFonts w:ascii="Arial" w:cs="Arial" w:eastAsia="Arial" w:hAnsi="Arial"/>
          <w:sz w:val="18"/>
          <w:szCs w:val="18"/>
          <w:i w:val="1"/>
          <w:iCs w:val="1"/>
          <w:color w:val="auto"/>
        </w:rPr>
        <w:t>” in our 2024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66">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included in our 2024 10-K to gain an understanding of the important factors that could cause actual results to differ materially from our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 Country is a new breed of hybrid low-cost air carrier that dynamically and synergistically deploys shared resources across our Passenger and Cargo segments, and within our Passenger segment, across our Scheduled Service and Charter Service businesses. By doing so, we believe we are able to generate high growth, high margins and strong cash flows with greater resilience than other passenger airlines. Based in Minnesota, we focus on serving leisure and visiting friends and relatives ("VFR") passengers, Charter customers and providing crew, maintenance and insurance (“CMI”) service to Amazon, with flights throughout the U.S.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We believe this flexible business model provides greater resiliency to economic and industry downturns than a traditional scheduled service carrier. This strategy has been implemented and executed by an experienced management team with deep knowledge of the industry.</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2025, we entered into a Credit Card Program Agreement for a new co-branded credit card program. The new co-branded credit card program is expected to launch in the second half of 2025. Subject to certain exceptions, the Credit Card Program Agreement has a term of seven years following its launch, with automatic successive one-year renewal terms.</w:t>
      </w:r>
    </w:p>
    <w:p>
      <w:pPr>
        <w:spacing w:after="0" w:line="171"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business and strategic advantages, see the "Business" and “Management’s Discussion and Analysis of Financial Condition and Results of Operations” sections within Part I, </w:t>
      </w:r>
      <w:hyperlink r:id="rId67">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Part II, </w:t>
      </w:r>
      <w:hyperlink r:id="rId65">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2024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U.S. by attracting customers with low fares and garnering repeat business by delivering a high-quality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passenger experience, offering state-of-the-art interiors, complimentary streaming of in-flight entertainment to passenger devices, seat reclining and seat-back power in all our aircraft.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demand for air travel services has historically been affected by U.S. and global economic conditions, or other geopolitical events. Our diversified business model, which includes a focus on leisure and VFR passengers, Charter and Cargo service, all primarily within the U.S., is unique in the airline sector and helps mitigate the impact of cyclical, economic, and industry downturns on our business when compared with other large U.S. passenger airlines. For example, most of our Charter contracts are non-cyclical because these customers still fly during normal economic downturns, and our casino contracts are long-term in nature. Further, our crew can be utilized by flying Cargo service in periods when the Passenger business is less profitable. Our business model is flexible, which gives us the ability to adjust our services in response to market conditions and is intended to produce the highest possible returns for Sun Country.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accounting estimates and assumptions used in the preparation of our Condensed Consolidated Financial Statements involve financial projections or depend on factors that are inherently uncertain and challenging to estimate during periods of economic uncertainty. Should the current economic uncertainty persist or worsen, the Company may need to reevaluate these estimates and assumptions, potentially resulting in a material impact on the Company's financial position, assets, or earnings.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2024, the Company entered into the A&amp;R ATSA with Amazon that will result in an increase in the number of Boeing 737-800 cargo aircraft that we operate on behalf of Amazon from 12 to 20. During the six months ended June 30, 2025, the Company received seven additional cargo aircraft under the A&amp;R ATSA, of which three aircraft were in-service. Subsequent to June 30, 2025, the Company received the eighth and final aircraft. As of the date of this filing, five aircraft were in-service. Cargo revenue will continue to grow during 2025 as all eight additional aircraft are expected to be in-service by the end of the third quarter of 2025. In the near term, the increase in aircraft we operate on behalf of Amazon will result in more resources being allocated to the Cargo business. This aligns with our strategy of long-term flexibility and supports our ability to mitigate the impact of cyclical, economic, and industry downturns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the nature of transactions included in the separate line items of our Condensed Consolidated Statement of Operations, see “Management’s Discussion and Analysis of Financial Condition and Results of Operations” in Part II, </w:t>
      </w:r>
      <w:hyperlink r:id="rId65">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2024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rPr>
              <w:t xml:space="preserve">Three Months Ended June 30, 2025 </w:t>
            </w:r>
            <w:r>
              <w:rPr>
                <w:rFonts w:ascii="Arial" w:cs="Arial" w:eastAsia="Arial" w:hAnsi="Arial"/>
                <w:sz w:val="14"/>
                <w:szCs w:val="14"/>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1"/>
                <w:szCs w:val="11"/>
                <w:b w:val="1"/>
                <w:bCs w:val="1"/>
                <w:color w:val="auto"/>
              </w:rPr>
              <w:t xml:space="preserve">Three Months Ended June 30, 2024 </w:t>
            </w:r>
            <w:r>
              <w:rPr>
                <w:rFonts w:ascii="Arial" w:cs="Arial" w:eastAsia="Arial" w:hAnsi="Arial"/>
                <w:sz w:val="14"/>
                <w:szCs w:val="14"/>
                <w:b w:val="1"/>
                <w:bCs w:val="1"/>
                <w:color w:val="auto"/>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366"/>
              <w:spacing w:after="0" w:line="102" w:lineRule="exact"/>
              <w:rPr>
                <w:sz w:val="20"/>
                <w:szCs w:val="20"/>
                <w:color w:val="auto"/>
              </w:rPr>
            </w:pPr>
            <w:r>
              <w:rPr>
                <w:rFonts w:ascii="Arial" w:cs="Arial" w:eastAsia="Arial" w:hAnsi="Arial"/>
                <w:sz w:val="11"/>
                <w:szCs w:val="11"/>
                <w:b w:val="1"/>
                <w:bCs w:val="1"/>
                <w:color w:val="auto"/>
                <w:w w:val="96"/>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04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66"/>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6,979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2,670</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3,645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13,444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7,681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2,537</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3,246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13,610</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21,887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5,489</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9,157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37,086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5,089</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8,363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37,281</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8,447,367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1,882,007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3,482,144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13,965,634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9,010,358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1,755,354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3,170,139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14,077,119</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1,571,210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335,137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1,933,871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1,675,927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309,857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2,011,921</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16.23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16.46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10.89</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42.2</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Leased Aircraft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1,054</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1,062,295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1,167,039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1,285,926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1,392,312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(6) (7)</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81.8 %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83.1 %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82.97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75.47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68.02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66.24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150.99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141.71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10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9,887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10,023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3,853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20,949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3,599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21,864</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indirect fuel credits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2.86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3,079</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(8)</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12.03</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(9)</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7.49</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hanging="332"/>
        <w:spacing w:after="0" w:line="261"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Condensed Consolidated Statements of Operations.</w:t>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Load factor is a measure of utilized available seating capacity calculated by dividing Scheduled Service RPMs by Scheduled Service ASMs for a reporting period.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 xml:space="preserve">Six Months Ended June 30, 2025 </w:t>
            </w:r>
            <w:r>
              <w:rPr>
                <w:rFonts w:ascii="Arial" w:cs="Arial" w:eastAsia="Arial" w:hAnsi="Arial"/>
                <w:sz w:val="14"/>
                <w:szCs w:val="14"/>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1"/>
                <w:szCs w:val="11"/>
                <w:b w:val="1"/>
                <w:bCs w:val="1"/>
                <w:color w:val="auto"/>
                <w:w w:val="98"/>
              </w:rPr>
              <w:t xml:space="preserve">Six Months Ended June 30, 2024 </w:t>
            </w:r>
            <w:r>
              <w:rPr>
                <w:rFonts w:ascii="Arial" w:cs="Arial" w:eastAsia="Arial" w:hAnsi="Arial"/>
                <w:sz w:val="14"/>
                <w:szCs w:val="14"/>
                <w:b w:val="1"/>
                <w:bCs w:val="1"/>
                <w:color w:val="auto"/>
                <w:w w:val="98"/>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3"/>
          </w:tcPr>
          <w:p>
            <w:pPr>
              <w:jc w:val="center"/>
              <w:ind w:right="340"/>
              <w:spacing w:after="0" w:line="102" w:lineRule="exact"/>
              <w:rPr>
                <w:sz w:val="20"/>
                <w:szCs w:val="20"/>
                <w:color w:val="auto"/>
              </w:rPr>
            </w:pPr>
            <w:r>
              <w:rPr>
                <w:rFonts w:ascii="Arial" w:cs="Arial" w:eastAsia="Arial" w:hAnsi="Arial"/>
                <w:sz w:val="11"/>
                <w:szCs w:val="11"/>
                <w:b w:val="1"/>
                <w:bCs w:val="1"/>
                <w:color w:val="auto"/>
                <w:w w:val="96"/>
              </w:rPr>
              <w:t>Scheduled</w:t>
            </w:r>
          </w:p>
        </w:tc>
        <w:tc>
          <w:tcPr>
            <w:tcW w:w="9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Charter</w:t>
            </w:r>
          </w:p>
        </w:tc>
        <w:tc>
          <w:tcPr>
            <w:tcW w:w="104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366"/>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6"/>
              </w:rPr>
              <w:t>Service</w:t>
            </w:r>
          </w:p>
        </w:tc>
        <w:tc>
          <w:tcPr>
            <w:tcW w:w="9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366"/>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14,445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5,138</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6,571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26,408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14,850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4,829</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6,207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26,149</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49,129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10,913</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16,763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77,767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48,896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9,989</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16,052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75,717</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19,310,512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3,768,753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6,350,831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29,684,748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19,187,193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3,451,475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6,026,801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28,917,587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3,591,755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666,648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4,304,626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3,568,818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608,915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4,223,807</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16.39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16.15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11.77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Leased Aircraft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1,179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1,150</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2,227,368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2,324,550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2,972,410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3,047,163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(6) (7)</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82.8 %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104.01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98.63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71.80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70.32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175.81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168.95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9,984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9,842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7,553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46,120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7,032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45,540</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indirect fuel credits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3,079</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(8)</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11.80</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(9)</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7.28</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w:t>
      </w:r>
    </w:p>
    <w:p>
      <w:pPr>
        <w:spacing w:after="0" w:line="15"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hanging="332"/>
        <w:spacing w:after="0" w:line="25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Condensed Consolidated Statements of Operations.</w:t>
      </w: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Load factor is a measure of utilized available seating capacity calculated by dividing Scheduled Service RPMs by Scheduled Service ASMs for a reporting period.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2025 and 2024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32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June 30,</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7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88,138</w:t>
            </w:r>
          </w:p>
        </w:tc>
        <w:tc>
          <w:tcPr>
            <w:tcW w:w="100" w:type="dxa"/>
            <w:vAlign w:val="bottom"/>
          </w:tcPr>
          <w:p>
            <w:pPr>
              <w:spacing w:after="0"/>
              <w:rPr>
                <w:sz w:val="23"/>
                <w:szCs w:val="23"/>
                <w:color w:val="auto"/>
              </w:rPr>
            </w:pP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88,078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72,259</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77,308</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214,668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216,395</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Cargo</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34,803</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25,447</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263,621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254,381</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88"/>
        </w:trPr>
        <w:tc>
          <w:tcPr>
            <w:tcW w:w="57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50,536</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89,557</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79,359</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8,392</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11,368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14,971</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29,670</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26,016</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247,359</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242,016</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16,262</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88"/>
        </w:trPr>
        <w:tc>
          <w:tcPr>
            <w:tcW w:w="5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“NM” stands for not meaningful</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Operating Revenues increased $9,240, or 4%, to $263,621 for the three months ended June 30, 2025, as compared to the three months ended June 30, 2024. The increase was primarily the result of growth in Cargo revenue due to additional aircraft received and operated, as well as contractual rate increases under the A&amp;R ATSA. This was partially offset by a slight decrease in Passenger business capacity as we focused our operations on growth in the Cargo business. These items are discussed in further detail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revenue decreased $1,727, or 1%, to $214,668 for the three months ended June 30, 2025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The table below presents select operating data for lines of revenue within Passenger, expressed as quarter-over-quarter changes: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 June 30,</w:t>
            </w:r>
          </w:p>
        </w:tc>
        <w:tc>
          <w:tcPr>
            <w:tcW w:w="1460" w:type="dxa"/>
            <w:vAlign w:val="bottom"/>
            <w:gridSpan w:val="2"/>
            <w:vMerge w:val="restart"/>
          </w:tcPr>
          <w:p>
            <w:pPr>
              <w:jc w:val="right"/>
              <w:ind w:right="5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vMerge w:val="restart"/>
          </w:tcPr>
          <w:p>
            <w:pPr>
              <w:jc w:val="right"/>
              <w:ind w:right="591"/>
              <w:spacing w:after="0"/>
              <w:rPr>
                <w:sz w:val="20"/>
                <w:szCs w:val="20"/>
                <w:color w:val="auto"/>
              </w:rPr>
            </w:pPr>
            <w:r>
              <w:rPr>
                <w:rFonts w:ascii="Arial" w:cs="Arial" w:eastAsia="Arial" w:hAnsi="Arial"/>
                <w:sz w:val="14"/>
                <w:szCs w:val="14"/>
                <w:b w:val="1"/>
                <w:bCs w:val="1"/>
                <w:color w:val="auto"/>
              </w:rPr>
              <w:t>2024</w:t>
            </w:r>
          </w:p>
        </w:tc>
        <w:tc>
          <w:tcPr>
            <w:tcW w:w="14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7,681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23,400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Passengers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1,062,295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1,167,039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Average base fare per passenger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75.47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Ancillary revenue per passenger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68.02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66.24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fare per passenger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150.99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141.71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RPMs (thousands)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1,285,926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1,392,312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ASMs (thousands)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1,571,210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1,675,927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TRASM (cents)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10.03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94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Passenger load factor</w:t>
            </w:r>
          </w:p>
        </w:tc>
        <w:tc>
          <w:tcPr>
            <w:tcW w:w="4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81.8 %</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83.1 %</w:t>
            </w:r>
          </w:p>
        </w:tc>
        <w:tc>
          <w:tcPr>
            <w:tcW w:w="146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7"/>
        </w:trPr>
        <w:tc>
          <w:tcPr>
            <w:tcW w:w="594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6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2,537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300"/>
              <w:spacing w:after="0"/>
              <w:rPr>
                <w:sz w:val="20"/>
                <w:szCs w:val="20"/>
                <w:color w:val="auto"/>
              </w:rPr>
            </w:pPr>
            <w:r>
              <w:rPr>
                <w:rFonts w:ascii="Arial" w:cs="Arial" w:eastAsia="Arial" w:hAnsi="Arial"/>
                <w:sz w:val="18"/>
                <w:szCs w:val="18"/>
                <w:color w:val="auto"/>
              </w:rPr>
              <w:t>Charter revenue per block hour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9,887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10,023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(1) Percentage point difference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quarter-over-quarter results benefited from healthy demand for Scheduled Service, which was slightly offset by reduced capacity as we focused our operations on growth in the Cargo business. This resulted in a 9% decrease in Scheduled Service departures and a 6% decrease in ASMs, which were offset by a 4% increase in TRASM and a 7% increase in total fare per passenger. Ancillary revenues were negatively impacted by the 9% decrease in passengers quarter-over-quarter.</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Passenger revenue also benefited from the $3,262, or 6%, increase in Charter revenue during the three months ended June 30, 2025, as compared to the three months ended June 30, 2024. This increase was the result of an 8% increase in block hours, partially offset by a 1% decrease in Charter revenue per block hour. The quarter-over-quarter increase in block hours was due to an increase in flying by large program customers and ad hoc flying. The decrease in Charter revenue per block hour was primarily driven by customer mix and lower fuel recovery revenue due to the quarter-over-quarter decrease in fuel cost per gallon, partially offset by rate increases.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$9,356, or 37%, to $34,803 for the three months ended June 30,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2024. The increase was primarily due to additional aircraft received and operated under the A&amp;R ATSA. During the six months ended June 30, 2025, the Company received seven additional cargo aircraft under the A&amp;R ATSA, of which three aircraft were in-service by the end of the quarter. Quarter-over-quarter revenue growth was further supported by contractual rate increases.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increased $1,611, or 13%, to $14,150 for the three months ended June 30, 2025,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2024. The increase was driven by end of lease compensation revenue recognized during the three months ended June 30, 2025, due to the return of one Owned Aircraft Held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Operating Lease that was previously leased to an unaffiliated airline. For more information,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Condensed Consolidated Financial Statements included in Part I, Item 1 of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Three Months Ended June 30,</w:t>
            </w:r>
          </w:p>
        </w:tc>
        <w:tc>
          <w:tcPr>
            <w:tcW w:w="1820" w:type="dxa"/>
            <w:vAlign w:val="bottom"/>
            <w:gridSpan w:val="2"/>
            <w:vMerge w:val="restart"/>
          </w:tcPr>
          <w:p>
            <w:pPr>
              <w:jc w:val="right"/>
              <w:ind w:right="7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616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50,536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50,974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62,456</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20,949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21,864</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decreased 19% quarter-over-quarter due to a 15% decrease in the average fuel cost per gallon and a 4% decrease in fuel consumption due to fewer Scheduled Service aircraft miles flown.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$10,198, or 13%, to $89,557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as compared to the three months ended June 30, 2024. The quarter-over-quarter increase in Salaries, Wages, and Benefits was impacted by a 7% increase in employee headcount to support our expanding operations, contractual rate increases for our pilots, and contractual pay increases as a result of new collective bargaining agreements.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$911, or 5%, to $18,250 for the three months ended June 30,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2024. The quarter-over-quarter increase in Maintenance expense was primarily driven by growth in our fleet and operations and higher rates for service. These increases were partially offset by a quarter-over-quarter decrease in the number of routine, time-based heavy maintenance and engine maintenance events.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$391, or 5%, to $8,001 for the three months ended June 30,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June 30, 2024. The quarter-over-quarter decrease was primarily driven by lower booking and credit card transaction fees due to the shift in capacity growth from Scheduled Service to the Cargo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$1,341, or 6%, to $24,972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as compared to the three months ended June 30, 2024. The increase was primarily due to growth in our spare parts program to support operations. For the three months ended June 30, 2025 and 2024, there were an average of 51 aircraft that were owned or under finance leases for both periods.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for the three months ended June 30, 2025 was materially consistent with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2024. Quarter-over-quarter rate increases due to market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pressures were mostly offset by the 6% decrease in Passenger segment departures as we focused our operations on the growth in Cargo.</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$1,248, or 9%, to $14,971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as compared to the three months ended June 30, 2024. This quarter-over-quarter increase was driven by rate increases at airports due to market pressures, primarily at Minneapolis – St. Paul International Airport ("MSP"). These were partially offset by a 6% decrease in Passenger segment departures.</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Special Items, net. </w:t>
      </w:r>
      <w:r>
        <w:rPr>
          <w:rFonts w:ascii="Arial" w:cs="Arial" w:eastAsia="Arial" w:hAnsi="Arial"/>
          <w:sz w:val="18"/>
          <w:szCs w:val="18"/>
          <w:color w:val="auto"/>
        </w:rPr>
        <w:t>Special Items, net consisted of $49 of ratification bonuses for the new five-year collective bargaining agreement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eligible flight attendants during the period, as well as the related payroll tax expense. For more information,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1 of this report.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increased $3,654, or 14%, to $29,670 for the three months ended June 30, 2025,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three months ended June 30, 2024. The increase was primarily the result of an increase in operations and decreased quarter-over-quarter activity from our engine part sales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$287, or 16%, to $1,513 for the three months ended June 30, 2025,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The decrease was primarily due to the reduction in the Company's average investment balance quarter-over-quarter.</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decreased $1,865, or 17%, to $9,212 for the three months ended June 30,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June 30, 2024. The decrease was due to quarter-over-quarter decreases in debt balances; as well as the partial refinancing of the Term Loan Credit Facility in December 2024 which resulted in a lower interest rate. For more information on the Company's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1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did not have a material impact to either period presented.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three months ended June 30, 2025 was 23.1% compared to 41.2%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June 30, 2024. The effective tax rate in both periods was impacted by permanent stock compensation items. For more information on the effective tax rate,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1 of this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2025 and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32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7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231,660</w:t>
            </w:r>
          </w:p>
        </w:tc>
        <w:tc>
          <w:tcPr>
            <w:tcW w:w="100" w:type="dxa"/>
            <w:vAlign w:val="bottom"/>
          </w:tcPr>
          <w:p>
            <w:pPr>
              <w:spacing w:after="0"/>
              <w:rPr>
                <w:sz w:val="23"/>
                <w:szCs w:val="23"/>
                <w:color w:val="auto"/>
              </w:rPr>
            </w:pP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229,272</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108,963</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98,321</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159,933</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163,466</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500,556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491,059</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Cargo</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62,960</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49,395</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26,754</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25,410</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590,270</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565,864</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88"/>
        </w:trPr>
        <w:tc>
          <w:tcPr>
            <w:tcW w:w="57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115,155</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182,402</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161,597</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34,156</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18,396</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19,071</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49,776</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47,440</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22,760</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20,522</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28,452</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70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58,509</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54,593</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517,762</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498,323</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67,541</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88"/>
        </w:trPr>
        <w:tc>
          <w:tcPr>
            <w:tcW w:w="5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56,694</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49,642</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13,582</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Revenues increased $24,406, or 4%, to $590,270 for the six months ended June 30, 2025, as compared to the six months ended June 30, 2024. The increase was primarily the result of growth in Cargo revenue due to additional aircraft received and operated, as well as contractual rate increases under the A&amp;R ATSA. Revenue growth for the Passenger business was partially offset by reduced capacity in the second quarter of 2025 as we focused our operations on growth in the Cargo business. These items, as well as other changes to revenue are discussed in further detail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revenue increased $9,497, or 2%, to $500,556 for the six months ended June 30, 2025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The table below presents select operating data for lines of revenue within Passenger, expressed as year-over-year changes: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June 30,</w:t>
            </w:r>
          </w:p>
        </w:tc>
        <w:tc>
          <w:tcPr>
            <w:tcW w:w="1460" w:type="dxa"/>
            <w:vAlign w:val="bottom"/>
            <w:gridSpan w:val="2"/>
            <w:vMerge w:val="restart"/>
          </w:tcPr>
          <w:p>
            <w:pPr>
              <w:jc w:val="right"/>
              <w:ind w:right="53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vMerge w:val="restart"/>
          </w:tcPr>
          <w:p>
            <w:pPr>
              <w:jc w:val="right"/>
              <w:ind w:right="591"/>
              <w:spacing w:after="0"/>
              <w:rPr>
                <w:sz w:val="20"/>
                <w:szCs w:val="20"/>
                <w:color w:val="auto"/>
              </w:rPr>
            </w:pPr>
            <w:r>
              <w:rPr>
                <w:rFonts w:ascii="Arial" w:cs="Arial" w:eastAsia="Arial" w:hAnsi="Arial"/>
                <w:sz w:val="14"/>
                <w:szCs w:val="14"/>
                <w:b w:val="1"/>
                <w:bCs w:val="1"/>
                <w:color w:val="auto"/>
              </w:rPr>
              <w:t>2024</w:t>
            </w:r>
          </w:p>
        </w:tc>
        <w:tc>
          <w:tcPr>
            <w:tcW w:w="14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14,445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14,850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48,896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Passengers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2,227,368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2,324,550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Average base fare per passenger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98.63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Ancillary revenue per passenger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70.32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fare per passenger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168.95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RPMs (thousands)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2,972,410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3,047,163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ASMs (thousands)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3,591,755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3,568,818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00"/>
              <w:spacing w:after="0"/>
              <w:rPr>
                <w:sz w:val="20"/>
                <w:szCs w:val="20"/>
                <w:color w:val="auto"/>
              </w:rPr>
            </w:pPr>
            <w:r>
              <w:rPr>
                <w:rFonts w:ascii="Arial" w:cs="Arial" w:eastAsia="Arial" w:hAnsi="Arial"/>
                <w:sz w:val="18"/>
                <w:szCs w:val="18"/>
                <w:color w:val="auto"/>
              </w:rPr>
              <w:t>TRASM (cents)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11.18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94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Passenger load factor</w:t>
            </w:r>
          </w:p>
        </w:tc>
        <w:tc>
          <w:tcPr>
            <w:tcW w:w="4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82.8 %</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85.4 %</w:t>
            </w:r>
          </w:p>
        </w:tc>
        <w:tc>
          <w:tcPr>
            <w:tcW w:w="1460" w:type="dxa"/>
            <w:vAlign w:val="bottom"/>
            <w:gridSpan w:val="2"/>
            <w:vMerge w:val="restart"/>
            <w:shd w:val="clear" w:color="auto" w:fill="CCEEFF"/>
          </w:tcPr>
          <w:p>
            <w:pPr>
              <w:jc w:val="right"/>
              <w:ind w:right="99"/>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7"/>
        </w:trPr>
        <w:tc>
          <w:tcPr>
            <w:tcW w:w="594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6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00"/>
              <w:spacing w:after="0"/>
              <w:rPr>
                <w:sz w:val="20"/>
                <w:szCs w:val="20"/>
                <w:color w:val="auto"/>
              </w:rPr>
            </w:pPr>
            <w:r>
              <w:rPr>
                <w:rFonts w:ascii="Arial" w:cs="Arial" w:eastAsia="Arial" w:hAnsi="Arial"/>
                <w:sz w:val="18"/>
                <w:szCs w:val="18"/>
                <w:color w:val="auto"/>
              </w:rPr>
              <w:t>Departures</w:t>
            </w:r>
          </w:p>
        </w:tc>
        <w:tc>
          <w:tcPr>
            <w:tcW w:w="42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4,829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Block hours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9,989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300"/>
              <w:spacing w:after="0"/>
              <w:rPr>
                <w:sz w:val="20"/>
                <w:szCs w:val="20"/>
                <w:color w:val="auto"/>
              </w:rPr>
            </w:pPr>
            <w:r>
              <w:rPr>
                <w:rFonts w:ascii="Arial" w:cs="Arial" w:eastAsia="Arial" w:hAnsi="Arial"/>
                <w:sz w:val="18"/>
                <w:szCs w:val="18"/>
                <w:color w:val="auto"/>
              </w:rPr>
              <w:t>Charter revenue per block hour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9,842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(1) Percentage point difference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year-over-year results benefited from healthy demand for Scheduled Service, which was slightly offset by reduced capacity in the second quarter of 2025 as we focused our operations on growth in the Cargo business. This resulted in a 3% decrease in departures, which was offset by a 4% increase in total fare per passenger. Ancillary revenues were negatively impacted by the 4% year-over-year decrease in passengers.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also benefited from the $10,642, or 11%, increase in Charter revenue during the six months ended June 30, 2025, as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compared to the six months ended June 30, 2024. This increase was the result of a 9% increase in block hours and a 1% increase in Charter revenue per block hour. The year-over-year increase in block hours was due to an increase in flying by large program customers and ad hoc flying. The improvement in Charter revenue per block hour was primarily driven by rate increases, partially offset by customer mix and lower fuel recovery revenue due to the year-over-year decrease in fuel cost per gallon.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$13,565, or 27%, to $62,960 for the six months ended June 30, 2025,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The increase was primarily due to additional aircraft and contractual rate increases. During the six months ended June 30, 2025, the Company received seven additional cargo aircraft under the A&amp;R ATSA, of which three aircraft were in-service by the end of the second quarter.</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increased $1,344, or 5%, to $26,754 for the six months ended June 30, 2025, as compared to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June 30, 2024. The increase was driven by end of lease compensation revenue recognized during the six months ended June 30, 2025, due to the return of one Owned Aircraft Held for Operating Lease that was previously leased to an unaffiliated airline. For more information, see </w:t>
      </w:r>
      <w:r>
        <w:rPr>
          <w:rFonts w:ascii="Arial" w:cs="Arial" w:eastAsia="Arial" w:hAnsi="Arial"/>
          <w:sz w:val="18"/>
          <w:szCs w:val="18"/>
          <w:u w:val="single" w:color="auto"/>
          <w:color w:val="0000FF"/>
        </w:rPr>
        <w:t>Note 4</w:t>
      </w:r>
      <w:r>
        <w:rPr>
          <w:rFonts w:ascii="Arial" w:cs="Arial" w:eastAsia="Arial" w:hAnsi="Arial"/>
          <w:sz w:val="18"/>
          <w:szCs w:val="18"/>
          <w:color w:val="0000FF"/>
        </w:rPr>
        <w:t xml:space="preserve"> </w:t>
      </w:r>
      <w:r>
        <w:rPr>
          <w:rFonts w:ascii="Arial" w:cs="Arial" w:eastAsia="Arial" w:hAnsi="Arial"/>
          <w:sz w:val="18"/>
          <w:szCs w:val="18"/>
          <w:color w:val="000000"/>
        </w:rPr>
        <w:t>of the Condensed Consolidated Financial Statements included in Part I, Item 1 of this report.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1820" w:type="dxa"/>
            <w:vAlign w:val="bottom"/>
            <w:gridSpan w:val="2"/>
            <w:vMerge w:val="restart"/>
          </w:tcPr>
          <w:p>
            <w:pPr>
              <w:jc w:val="right"/>
              <w:ind w:right="7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6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45,540</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decreased 13% year-over-year due to a 13% decrease in the average fuel cost per gallon. This was partially offset by a 1% increase in consumption as a result of our operational growth.</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$20,805, or 13%, to $182,402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as compared to the six months ended June 30, 2024. The year-over-year increase in Salaries, Wages, and Benefits was impacted by a 7% increase in employee headcount to support the increase in total system block hours as a result of operational growth, contractual rate increases for our pilots, and contractual pay increases as a result of new collective bargaining agreements.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$2,956, or 9%, to $37,112 for the six months ended June 30, 2025,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The year-over-year increase in Maintenance expense was primarily driven by growth in our fleet and operations and higher rates for service. These increases were partially offset by a year-over-year decrease in the number of routine, time-based heavy maintenance events.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$675, or 4%, to $18,396 for the six months ended June 30,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six months ended June 30, 2024. The year-over-year decrease was primarily driven by lower booking and credit card transaction fees due to the shift in capacity growth from Scheduled Service to the Cargo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$2,336, or 5%, to $49,776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as compared to the six months ended June 30, 2024. The increase was primarily due to the impact of a change in the composition of our aircraft fleet that resulted in an increased number of owned aircraft and aircraft under finance leases, as well as growth in our spare parts program. For the six months ended June 30, 2025 and 2024, there were an average of 51 and 50 aircraft that were owned or under finance leases, respectively.</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$2,238, or 11%, to $ 22,760, for the six months ended June 30, 2025,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six months ended June 30, 2024. This year-over-year increase was the result of rate increases due to market pressures.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$3,352, or 12%, to $31,804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as compared to the six months ended June 30, 2024. This year-over-year increase was driven by rate increases at airports due to market pressures, primarily at MSP.</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Special Items, net. </w:t>
      </w:r>
      <w:r>
        <w:rPr>
          <w:rFonts w:ascii="Arial" w:cs="Arial" w:eastAsia="Arial" w:hAnsi="Arial"/>
          <w:sz w:val="18"/>
          <w:szCs w:val="18"/>
          <w:color w:val="auto"/>
        </w:rPr>
        <w:t>Special Items, net consisted of $1,848 of ratification bonuses for the new five-year collective bargaining agreement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eligible flight attendants during the period, as well as the related payroll tax expense. For more information,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1 of this report.</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increased $3,916, or 7%, to $58,509 for the six months ended June 30, 2025,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2024. The increase was primarily the result of an increase in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$740, or 17%, to $3,508 for the six months ended June 30, 2025,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The decrease was primarily due to the reduction in the Company's average investment balance year-over-year.</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decreased $3,352, or 15%, to $18,837 for the six months ended June 30, 2025,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June 30, 2024. The decrease was due to year-over-year decreases in debt balances, as well as the partial refinancing of the Term Loan Credit Facility in December 2024 which resulted in a lower interest rate. For more information on the Company's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1 of this report.</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Other, net</w:t>
      </w:r>
      <w:r>
        <w:rPr>
          <w:rFonts w:ascii="Arial" w:cs="Arial" w:eastAsia="Arial" w:hAnsi="Arial"/>
          <w:sz w:val="17"/>
          <w:szCs w:val="17"/>
          <w:color w:val="auto"/>
        </w:rPr>
        <w:t>. Other, net expense totaled $ 485 for the six months ended June 30, 2025, as a result of the Company incurring expenses of $481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 conjunction with the secondary public offering. Other, net for the six months ended June 30, 2024 was not material. For more information on the secondary public offering, see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of the Condensed Consolidated Financial Statements included in Part I, Item 1 of this report.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six months ended June 30, 2025 was 24.0% compared to 25.2%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June 30, 2024. The effective tax rate in both periods was impacted by permanent stock compensation items. For more information on the effective tax rate,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2025 and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rPr>
              <w:t>Three Months Ended June 30, 2025</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rPr>
              <w:t>Three Months Ended June 30, 2024</w:t>
            </w:r>
          </w:p>
        </w:tc>
        <w:tc>
          <w:tcPr>
            <w:tcW w:w="820" w:type="dxa"/>
            <w:vAlign w:val="bottom"/>
            <w:tcBorders>
              <w:bottom w:val="single" w:sz="8" w:color="auto"/>
            </w:tcBorders>
          </w:tcPr>
          <w:p>
            <w:pPr>
              <w:spacing w:after="0"/>
              <w:rPr>
                <w:sz w:val="17"/>
                <w:szCs w:val="17"/>
                <w:color w:val="auto"/>
              </w:rPr>
            </w:pPr>
          </w:p>
        </w:tc>
      </w:tr>
      <w:tr>
        <w:trPr>
          <w:trHeight w:val="223"/>
        </w:trPr>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6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Cargo</w:t>
            </w:r>
          </w:p>
        </w:tc>
        <w:tc>
          <w:tcPr>
            <w:tcW w:w="4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480" w:type="dxa"/>
            <w:vAlign w:val="bottom"/>
          </w:tcPr>
          <w:p>
            <w:pPr>
              <w:spacing w:after="0"/>
              <w:rPr>
                <w:sz w:val="19"/>
                <w:szCs w:val="19"/>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w w:val="95"/>
              </w:rPr>
              <w:t>Total</w:t>
            </w:r>
          </w:p>
        </w:tc>
      </w:tr>
      <w:tr>
        <w:trPr>
          <w:trHeight w:val="270"/>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228,818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34,803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263,621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228,934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254,381</w:t>
            </w:r>
          </w:p>
        </w:tc>
      </w:tr>
      <w:tr>
        <w:trPr>
          <w:trHeight w:val="250"/>
        </w:trPr>
        <w:tc>
          <w:tcPr>
            <w:tcW w:w="30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7"/>
        </w:trPr>
        <w:tc>
          <w:tcPr>
            <w:tcW w:w="306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50,536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62,180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62,188</w:t>
            </w:r>
          </w:p>
        </w:tc>
      </w:tr>
      <w:tr>
        <w:trPr>
          <w:trHeight w:val="23"/>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89,557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79,359</w:t>
            </w:r>
          </w:p>
        </w:tc>
      </w:tr>
      <w:tr>
        <w:trPr>
          <w:trHeight w:val="247"/>
        </w:trPr>
        <w:tc>
          <w:tcPr>
            <w:tcW w:w="306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13,438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18,250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13,853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17,339</w:t>
            </w:r>
          </w:p>
        </w:tc>
      </w:tr>
      <w:tr>
        <w:trPr>
          <w:trHeight w:val="23"/>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8,392</w:t>
            </w:r>
          </w:p>
        </w:tc>
      </w:tr>
      <w:tr>
        <w:trPr>
          <w:trHeight w:val="247"/>
        </w:trPr>
        <w:tc>
          <w:tcPr>
            <w:tcW w:w="3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24,972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23,631</w:t>
            </w:r>
          </w:p>
        </w:tc>
      </w:tr>
      <w:tr>
        <w:trPr>
          <w:trHeight w:val="23"/>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11,368</w:t>
            </w:r>
          </w:p>
        </w:tc>
      </w:tr>
      <w:tr>
        <w:trPr>
          <w:trHeight w:val="247"/>
        </w:trPr>
        <w:tc>
          <w:tcPr>
            <w:tcW w:w="306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14,971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13,575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13,723</w:t>
            </w:r>
          </w:p>
        </w:tc>
      </w:tr>
      <w:tr>
        <w:trPr>
          <w:trHeight w:val="23"/>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7"/>
        </w:trPr>
        <w:tc>
          <w:tcPr>
            <w:tcW w:w="306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29,670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26,016</w:t>
            </w:r>
          </w:p>
        </w:tc>
      </w:tr>
      <w:tr>
        <w:trPr>
          <w:trHeight w:val="23"/>
        </w:trPr>
        <w:tc>
          <w:tcPr>
            <w:tcW w:w="3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3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214,807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32,552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247,359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216,393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242,016</w:t>
            </w:r>
          </w:p>
        </w:tc>
      </w:tr>
      <w:tr>
        <w:trPr>
          <w:trHeight w:val="263"/>
        </w:trPr>
        <w:tc>
          <w:tcPr>
            <w:tcW w:w="30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14,011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16,262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12,365</w:t>
            </w:r>
          </w:p>
        </w:tc>
      </w:tr>
      <w:tr>
        <w:trPr>
          <w:trHeight w:val="46"/>
        </w:trPr>
        <w:tc>
          <w:tcPr>
            <w:tcW w:w="3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70"/>
        </w:trPr>
        <w:tc>
          <w:tcPr>
            <w:tcW w:w="30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Margin %</w:t>
            </w:r>
          </w:p>
        </w:tc>
        <w:tc>
          <w:tcPr>
            <w:tcW w:w="200" w:type="dxa"/>
            <w:vAlign w:val="bottom"/>
            <w:tcBorders>
              <w:top w:val="single" w:sz="8" w:color="CCEEFF"/>
              <w:bottom w:val="single" w:sz="8" w:color="auto"/>
            </w:tcBorders>
          </w:tcPr>
          <w:p>
            <w:pPr>
              <w:spacing w:after="0"/>
              <w:rPr>
                <w:sz w:val="23"/>
                <w:szCs w:val="23"/>
                <w:color w:val="auto"/>
              </w:rPr>
            </w:pP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top w:val="single" w:sz="8" w:color="CCEEFF"/>
            </w:tcBorders>
          </w:tcPr>
          <w:p>
            <w:pPr>
              <w:spacing w:after="0"/>
              <w:rPr>
                <w:sz w:val="23"/>
                <w:szCs w:val="23"/>
                <w:color w:val="auto"/>
              </w:rPr>
            </w:pPr>
          </w:p>
        </w:tc>
        <w:tc>
          <w:tcPr>
            <w:tcW w:w="480" w:type="dxa"/>
            <w:vAlign w:val="bottom"/>
            <w:tcBorders>
              <w:top w:val="single" w:sz="8" w:color="CCEEFF"/>
              <w:bottom w:val="single" w:sz="8" w:color="auto"/>
            </w:tcBorders>
          </w:tcPr>
          <w:p>
            <w:pPr>
              <w:spacing w:after="0"/>
              <w:rPr>
                <w:sz w:val="23"/>
                <w:szCs w:val="23"/>
                <w:color w:val="auto"/>
              </w:rPr>
            </w:pPr>
          </w:p>
        </w:tc>
        <w:tc>
          <w:tcPr>
            <w:tcW w:w="8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80" w:type="dxa"/>
            <w:vAlign w:val="bottom"/>
            <w:tcBorders>
              <w:top w:val="single" w:sz="8" w:color="CCEEFF"/>
            </w:tcBorders>
          </w:tcPr>
          <w:p>
            <w:pPr>
              <w:spacing w:after="0"/>
              <w:rPr>
                <w:sz w:val="23"/>
                <w:szCs w:val="23"/>
                <w:color w:val="auto"/>
              </w:rPr>
            </w:pPr>
          </w:p>
        </w:tc>
        <w:tc>
          <w:tcPr>
            <w:tcW w:w="220" w:type="dxa"/>
            <w:vAlign w:val="bottom"/>
            <w:tcBorders>
              <w:top w:val="single" w:sz="8" w:color="CCEEFF"/>
              <w:bottom w:val="single" w:sz="8" w:color="auto"/>
            </w:tcBorders>
          </w:tcPr>
          <w:p>
            <w:pPr>
              <w:spacing w:after="0"/>
              <w:rPr>
                <w:sz w:val="23"/>
                <w:szCs w:val="23"/>
                <w:color w:val="auto"/>
              </w:rPr>
            </w:pP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9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tcPr>
          <w:p>
            <w:pPr>
              <w:spacing w:after="0"/>
              <w:rPr>
                <w:sz w:val="23"/>
                <w:szCs w:val="23"/>
                <w:color w:val="auto"/>
              </w:rPr>
            </w:pPr>
          </w:p>
        </w:tc>
        <w:tc>
          <w:tcPr>
            <w:tcW w:w="480" w:type="dxa"/>
            <w:vAlign w:val="bottom"/>
            <w:tcBorders>
              <w:top w:val="single" w:sz="8" w:color="CCEEFF"/>
              <w:bottom w:val="single" w:sz="8" w:color="auto"/>
            </w:tcBorders>
          </w:tcPr>
          <w:p>
            <w:pPr>
              <w:spacing w:after="0"/>
              <w:rPr>
                <w:sz w:val="23"/>
                <w:szCs w:val="23"/>
                <w:color w:val="auto"/>
              </w:rPr>
            </w:pPr>
          </w:p>
        </w:tc>
        <w:tc>
          <w:tcPr>
            <w:tcW w:w="8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1"/>
        </w:trPr>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increased $ 1,470 to $14,011 for the three months ended June 30, 2025,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The Operating Margin Percentage for the three months ended June 30, 2025 increased by 0.6 percentage point, as compared to the three months ended June 30, 2024. Passenger revenue was materially consistent quarter-over-quarter due to reduced capacity as we focused our operations on growth in the Cargo business. The quarter-over-quarter increase in Passenger Operating Income and Operating Margin Percentage were primarily driven by a 15% decrease in the average fuel cost per gallon, partially offset by increased expenses as a result of operational growth, contractual rate increases for our pilots, contractual pay increases as a result of new collective bargaining agreements, and rate increases for Landing Fees and Airport Rent.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(Loss) changed by $2,427, to $ 2,251, for the three months ended June 30, 2025,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Operating Margin Percentage for the three months ended June 30, 2025 improved by 7.2 percentage points, as compared to the three months ended June 30, 2024. The changes in both Operating Income (Loss) and Operating Margin Percentage were primarily driven by contractual rate increases. Further, during the six months ended June 30, 2025, the Company received seven additional cargo aircraft under the A&amp;R ATSA, of which three aircraft were in-service by the end of the quarter. For more information on the components of Operating Income (Loss) for the Cargo segment, refer to the Results of Operations discussion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2025 and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2025</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2024</w:t>
            </w:r>
          </w:p>
        </w:tc>
        <w:tc>
          <w:tcPr>
            <w:tcW w:w="880" w:type="dxa"/>
            <w:vAlign w:val="bottom"/>
            <w:tcBorders>
              <w:bottom w:val="single" w:sz="8" w:color="auto"/>
            </w:tcBorders>
          </w:tcPr>
          <w:p>
            <w:pPr>
              <w:spacing w:after="0"/>
              <w:rPr>
                <w:sz w:val="17"/>
                <w:szCs w:val="17"/>
                <w:color w:val="auto"/>
              </w:rPr>
            </w:pPr>
          </w:p>
        </w:tc>
      </w:tr>
      <w:tr>
        <w:trPr>
          <w:trHeight w:val="223"/>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Cargo</w:t>
            </w:r>
          </w:p>
        </w:tc>
        <w:tc>
          <w:tcPr>
            <w:tcW w:w="4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Cargo</w:t>
            </w:r>
          </w:p>
        </w:tc>
        <w:tc>
          <w:tcPr>
            <w:tcW w:w="400" w:type="dxa"/>
            <w:vAlign w:val="bottom"/>
          </w:tcPr>
          <w:p>
            <w:pPr>
              <w:spacing w:after="0"/>
              <w:rPr>
                <w:sz w:val="19"/>
                <w:szCs w:val="19"/>
                <w:color w:val="auto"/>
              </w:rPr>
            </w:pPr>
          </w:p>
        </w:tc>
        <w:tc>
          <w:tcPr>
            <w:tcW w:w="8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7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527,310</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590,270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516,469</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49,395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565,864</w:t>
            </w:r>
          </w:p>
        </w:tc>
      </w:tr>
      <w:tr>
        <w:trPr>
          <w:trHeight w:val="250"/>
        </w:trPr>
        <w:tc>
          <w:tcPr>
            <w:tcW w:w="30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1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115,084</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115,155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132,484</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132,492</w:t>
            </w:r>
          </w:p>
        </w:tc>
      </w:tr>
      <w:tr>
        <w:trPr>
          <w:trHeight w:val="27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143,659</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38,743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182,402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128,096</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33,501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161,597</w:t>
            </w: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1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28,781</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8,331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37,112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27,257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34,156</w:t>
            </w:r>
          </w:p>
        </w:tc>
      </w:tr>
      <w:tr>
        <w:trPr>
          <w:trHeight w:val="27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18,396</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18,396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19,071</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19,071</w:t>
            </w: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49,766</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49,776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47,430</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47,440</w:t>
            </w:r>
          </w:p>
        </w:tc>
      </w:tr>
      <w:tr>
        <w:trPr>
          <w:trHeight w:val="27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22,760</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22,760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20,513</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20,522</w:t>
            </w: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18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31,485</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31,804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28,151</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28,452</w:t>
            </w:r>
          </w:p>
        </w:tc>
      </w:tr>
      <w:tr>
        <w:trPr>
          <w:trHeight w:val="27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1,848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46,800</w:t>
            </w:r>
          </w:p>
        </w:tc>
        <w:tc>
          <w:tcPr>
            <w:tcW w:w="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11,709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58,509</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44,395</w:t>
            </w:r>
          </w:p>
        </w:tc>
        <w:tc>
          <w:tcPr>
            <w:tcW w:w="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10,198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54,593</w:t>
            </w:r>
          </w:p>
        </w:tc>
      </w:tr>
      <w:tr>
        <w:trPr>
          <w:trHeight w:val="264"/>
        </w:trPr>
        <w:tc>
          <w:tcPr>
            <w:tcW w:w="3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458,579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517,762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447,397</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498,323</w:t>
            </w:r>
          </w:p>
        </w:tc>
      </w:tr>
      <w:tr>
        <w:trPr>
          <w:trHeight w:val="263"/>
        </w:trPr>
        <w:tc>
          <w:tcPr>
            <w:tcW w:w="30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68,731</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72,508</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69,072</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67,541</w:t>
            </w:r>
          </w:p>
        </w:tc>
      </w:tr>
      <w:tr>
        <w:trPr>
          <w:trHeight w:val="46"/>
        </w:trPr>
        <w:tc>
          <w:tcPr>
            <w:tcW w:w="30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70"/>
        </w:trPr>
        <w:tc>
          <w:tcPr>
            <w:tcW w:w="30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Margin %</w:t>
            </w:r>
          </w:p>
        </w:tc>
        <w:tc>
          <w:tcPr>
            <w:tcW w:w="18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40" w:type="dxa"/>
            <w:vAlign w:val="bottom"/>
            <w:tcBorders>
              <w:top w:val="single" w:sz="8" w:color="CCEEFF"/>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9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bottom w:val="single" w:sz="8" w:color="auto"/>
            </w:tcBorders>
          </w:tcPr>
          <w:p>
            <w:pPr>
              <w:spacing w:after="0"/>
              <w:rPr>
                <w:sz w:val="23"/>
                <w:szCs w:val="23"/>
                <w:color w:val="auto"/>
              </w:rPr>
            </w:pPr>
          </w:p>
        </w:tc>
        <w:tc>
          <w:tcPr>
            <w:tcW w:w="8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12.3 %</w:t>
            </w: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13.4 %</w:t>
            </w:r>
          </w:p>
        </w:tc>
        <w:tc>
          <w:tcPr>
            <w:tcW w:w="140" w:type="dxa"/>
            <w:vAlign w:val="bottom"/>
            <w:tcBorders>
              <w:top w:val="single" w:sz="8" w:color="CCEEFF"/>
            </w:tcBorders>
          </w:tcPr>
          <w:p>
            <w:pPr>
              <w:spacing w:after="0"/>
              <w:rPr>
                <w:sz w:val="23"/>
                <w:szCs w:val="23"/>
                <w:color w:val="auto"/>
              </w:rPr>
            </w:pPr>
          </w:p>
        </w:tc>
        <w:tc>
          <w:tcPr>
            <w:tcW w:w="280" w:type="dxa"/>
            <w:vAlign w:val="bottom"/>
            <w:tcBorders>
              <w:top w:val="single" w:sz="8" w:color="CCEEFF"/>
              <w:bottom w:val="single" w:sz="8" w:color="auto"/>
            </w:tcBorders>
          </w:tcPr>
          <w:p>
            <w:pPr>
              <w:spacing w:after="0"/>
              <w:rPr>
                <w:sz w:val="23"/>
                <w:szCs w:val="23"/>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bottom w:val="single" w:sz="8" w:color="auto"/>
            </w:tcBorders>
          </w:tcPr>
          <w:p>
            <w:pPr>
              <w:spacing w:after="0"/>
              <w:rPr>
                <w:sz w:val="23"/>
                <w:szCs w:val="23"/>
                <w:color w:val="auto"/>
              </w:rPr>
            </w:pPr>
          </w:p>
        </w:tc>
        <w:tc>
          <w:tcPr>
            <w:tcW w:w="8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11.9 %</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$341 to $68,731 for the six months ended June 30, 2025,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The Operating Margin Percentage for the six months ended June 30, 2025 decreased by 0.4 percentage point, as compared to the six months ended June 30, 2024. Passenger results for the six months ended June 30, 2025 were impacted by reduced capacity in the second quarter of 2025 as we focused our operations on growth in the Cargo business. The year-over-year decrease in Passenger Operating Income and Operating Margin Percentage were primarily driven by increased expenses as a result of operational growth, contractual rate increases for our pilots, contractual pay increases as a result of new collective bargaining agreements, rate increases for Ground Handling and Landing Fees and Airport Rent, and the ratification bonus paid to eligible flight attendants during the period; partially offset by a 13% decrease in the average fuel cost per gallon. These expense increases were partially offset by revenue growth, primarily driven by the Charter line of business.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(Loss) changed by $5,308, to $3,777, for the six months ended June 30, 2025, as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The Operating Margin Percentage for the six months ended June 30, 2025 improved by 9.1%, as compared to the six months ended June 30, 2024. The changes in both Operating Income (Loss) and Operating Margin Percentage were primarily driven by contractual rate increases. Further, during the six months ended June 30, 2025, the Company received seven additional cargo aircraft under the A&amp;R ATSA, of which three aircraft were in-service by the end of the quarter. For more information on the components of Operating Income (Loss) for the Cargo segment, refer to the Results of Operations discussion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30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24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263,621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254,381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590,270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565,864</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16,262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72,508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67,541</w:t>
            </w:r>
          </w:p>
        </w:tc>
      </w:tr>
      <w:tr>
        <w:trPr>
          <w:trHeight w:val="229"/>
        </w:trPr>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42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1,848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Expense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1,559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3,254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3,084</w:t>
            </w: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17,870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77,610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70,625</w:t>
            </w:r>
          </w:p>
        </w:tc>
      </w:tr>
      <w:tr>
        <w:trPr>
          <w:trHeight w:val="46"/>
        </w:trPr>
        <w:tc>
          <w:tcPr>
            <w:tcW w:w="42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9"/>
        </w:trPr>
        <w:tc>
          <w:tcPr>
            <w:tcW w:w="4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Income Margin</w:t>
            </w:r>
          </w:p>
        </w:tc>
        <w:tc>
          <w:tcPr>
            <w:tcW w:w="42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6.2 %</w:t>
            </w: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12.3 %</w:t>
            </w:r>
          </w:p>
        </w:tc>
        <w:tc>
          <w:tcPr>
            <w:tcW w:w="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11.9 %</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73" w:lineRule="exact"/>
        <w:rPr>
          <w:sz w:val="20"/>
          <w:szCs w:val="20"/>
          <w:color w:val="auto"/>
        </w:rPr>
      </w:pPr>
    </w:p>
    <w:p>
      <w:pPr>
        <w:ind w:left="580" w:hanging="554"/>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1"/>
                <w:szCs w:val="21"/>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43,112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37,125</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70"/>
        </w:trPr>
        <w:tc>
          <w:tcPr>
            <w:tcW w:w="4740" w:type="dxa"/>
            <w:vAlign w:val="bottom"/>
          </w:tcPr>
          <w:p>
            <w:pPr>
              <w:ind w:left="180"/>
              <w:spacing w:after="0"/>
              <w:rPr>
                <w:sz w:val="20"/>
                <w:szCs w:val="20"/>
                <w:color w:val="auto"/>
              </w:rPr>
            </w:pPr>
            <w:r>
              <w:rPr>
                <w:rFonts w:ascii="Arial" w:cs="Arial" w:eastAsia="Arial" w:hAnsi="Arial"/>
                <w:sz w:val="18"/>
                <w:szCs w:val="18"/>
                <w:color w:val="auto"/>
              </w:rPr>
              <w:t>Loss on Credit Facility</w:t>
            </w:r>
          </w:p>
        </w:tc>
        <w:tc>
          <w:tcPr>
            <w:tcW w:w="98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3"/>
                <w:szCs w:val="2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9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(2)</w:t>
            </w:r>
          </w:p>
        </w:tc>
        <w:tc>
          <w:tcPr>
            <w:tcW w:w="9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7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7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43,112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37,125</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50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5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0" w:type="dxa"/>
            <w:vAlign w:val="bottom"/>
          </w:tcPr>
          <w:p>
            <w:pPr>
              <w:spacing w:after="0"/>
              <w:rPr>
                <w:sz w:val="1"/>
                <w:szCs w:val="1"/>
                <w:color w:val="auto"/>
              </w:rPr>
            </w:pPr>
          </w:p>
        </w:tc>
      </w:tr>
      <w:tr>
        <w:trPr>
          <w:trHeight w:val="247"/>
        </w:trPr>
        <w:tc>
          <w:tcPr>
            <w:tcW w:w="50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12,517</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47,440</w:t>
            </w:r>
          </w:p>
        </w:tc>
        <w:tc>
          <w:tcPr>
            <w:tcW w:w="0" w:type="dxa"/>
            <w:vAlign w:val="bottom"/>
          </w:tcPr>
          <w:p>
            <w:pPr>
              <w:spacing w:after="0"/>
              <w:rPr>
                <w:sz w:val="1"/>
                <w:szCs w:val="1"/>
                <w:color w:val="auto"/>
              </w:rPr>
            </w:pP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118,107</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5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non-GAAP measure derived from CASM by excluding fuel costs, costs related to our cargo operations, depreciation and amortization recognized on certain assets that generate lease income, stock-based compensation, certain commissions and other costs of selling our vacation products from this measure as these costs are unrelated to our airline operations and improve comparability to our peers. Adjusted CASM is an important measure used by management and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The Company has entered into certain transactions where it serves as a lessor. As of June 30, 2025, we leased or subleased five aircraft.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1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240" w:type="dxa"/>
            <w:vAlign w:val="bottom"/>
            <w:tcBorders>
              <w:bottom w:val="single" w:sz="8" w:color="auto"/>
            </w:tcBorders>
          </w:tcPr>
          <w:p>
            <w:pPr>
              <w:spacing w:after="0"/>
              <w:rPr>
                <w:sz w:val="17"/>
                <w:szCs w:val="17"/>
                <w:color w:val="auto"/>
              </w:rPr>
            </w:pPr>
          </w:p>
        </w:tc>
      </w:tr>
      <w:tr>
        <w:trPr>
          <w:trHeight w:val="147"/>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2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2"/>
                <w:szCs w:val="12"/>
                <w:color w:val="auto"/>
              </w:rPr>
            </w:pPr>
          </w:p>
        </w:tc>
        <w:tc>
          <w:tcPr>
            <w:tcW w:w="162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Operating</w:t>
            </w:r>
          </w:p>
        </w:tc>
        <w:tc>
          <w:tcPr>
            <w:tcW w:w="1240" w:type="dxa"/>
            <w:vAlign w:val="bottom"/>
          </w:tcPr>
          <w:p>
            <w:pPr>
              <w:jc w:val="right"/>
              <w:ind w:right="374"/>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247,359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242,016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62,188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25,278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9"/>
              </w:rPr>
              <w:t xml:space="preserve">Leased Aircraft, Depreciation and Amortization Expense </w:t>
            </w:r>
            <w:r>
              <w:rPr>
                <w:rFonts w:ascii="Arial" w:cs="Arial" w:eastAsia="Arial" w:hAnsi="Arial"/>
                <w:sz w:val="23"/>
                <w:szCs w:val="23"/>
                <w:color w:val="auto"/>
                <w:w w:val="99"/>
                <w:vertAlign w:val="superscript"/>
              </w:rPr>
              <w:t>(2)</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8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161,356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150,657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7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1,933,871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2,011,921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1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240" w:type="dxa"/>
            <w:vAlign w:val="bottom"/>
            <w:tcBorders>
              <w:bottom w:val="single" w:sz="8" w:color="auto"/>
            </w:tcBorders>
          </w:tcPr>
          <w:p>
            <w:pPr>
              <w:spacing w:after="0"/>
              <w:rPr>
                <w:sz w:val="17"/>
                <w:szCs w:val="17"/>
                <w:color w:val="auto"/>
              </w:rPr>
            </w:pPr>
          </w:p>
        </w:tc>
      </w:tr>
      <w:tr>
        <w:trPr>
          <w:trHeight w:val="147"/>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2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2"/>
                <w:szCs w:val="12"/>
                <w:color w:val="auto"/>
              </w:rPr>
            </w:pPr>
          </w:p>
        </w:tc>
        <w:tc>
          <w:tcPr>
            <w:tcW w:w="162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Operating</w:t>
            </w:r>
          </w:p>
        </w:tc>
        <w:tc>
          <w:tcPr>
            <w:tcW w:w="1240" w:type="dxa"/>
            <w:vAlign w:val="bottom"/>
          </w:tcPr>
          <w:p>
            <w:pPr>
              <w:jc w:val="right"/>
              <w:ind w:right="374"/>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517,762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498,323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115,155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132,492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58,360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50,248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9"/>
              </w:rPr>
              <w:t xml:space="preserve">Leased Aircraft, Depreciation and Amortization Expense </w:t>
            </w:r>
            <w:r>
              <w:rPr>
                <w:rFonts w:ascii="Arial" w:cs="Arial" w:eastAsia="Arial" w:hAnsi="Arial"/>
                <w:sz w:val="23"/>
                <w:szCs w:val="23"/>
                <w:color w:val="auto"/>
                <w:w w:val="99"/>
                <w:vertAlign w:val="superscript"/>
              </w:rPr>
              <w:t>(2)</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8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307,386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7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4,304,626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4,223,807</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15"/>
        </w:trPr>
        <w:tc>
          <w:tcPr>
            <w:tcW w:w="48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41" w:lineRule="exact"/>
        <w:rPr>
          <w:sz w:val="20"/>
          <w:szCs w:val="20"/>
          <w:color w:val="auto"/>
        </w:rPr>
      </w:pPr>
    </w:p>
    <w:p>
      <w:pPr>
        <w:ind w:left="580" w:hanging="554"/>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sources of liquidity as of June 30, 2025 included our existing cash and cash equivalents of $36,964 and short-term investments of $101,337, our expected cash generated from operations, and the $ 75,000 of available funds under the Revolving Credit Facility. We invest cash and cash equivalents in highly liquid securities with strong credit ratings. We classify our investments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had restricted cash of $16,346 as of June 30, 2025, which generally consists of cash received as prepayment for chartered flights that is maintained in separate escrow accounts prior to the date of transportation in accordance with DOT regulations. The restrictions are released once the charter transportation is provided.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unrestricted cash and cash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our Liquidity and Capital Resources, see “Management’s Discussion and Analysis of Financial Condition and Results of Operations” in Part II, </w:t>
      </w:r>
      <w:hyperlink r:id="rId106">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2024 10-K.</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We do not maintain an aircraft order book; instead, we enter into aircraft transactions on an opportunistic basis based on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our prevailing level of liquidity and capital market availability. As a result, we are not locked into large future capital expenditures. We have historically financed aircraft through debt and finance leases. As of June 30, 2025, our fleet consisted of 69 Boeing 737-NG aircraft. This includes 45 aircraft in the passenger fleet, 19 cargo aircraft operated or received pursuant to the A&amp;R ATSA, and five aircraft currently on lease to unaffiliated airlines.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six months ended June 30, 2025, the Company received seven additional cargo aircraft under the A&amp;R ATSA, of which three aircraft were in-service by the end of the quarter. Subsequent to June 30, 2025, the Company received the eighth and final aircraft. As of the date of this filing, five aircraft were in-service. All eight additional aircraft are expected to be in-service by the end of the third quarter of 2025. For more information on our fleet,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Condensed Consolidated Financial Statements included in Part I, Item 1 of this report.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cash</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in advance for scheduled maintenance to act as collateral for the benefit of the lessors. Qualifying payments that are expected to be recovered from lessors are recorded as Lessor Maintenance Deposits on our Condensed Consolidated Balance Sheets. As of June 30, 2025, we had $60,717 of total Lessor Maintenance Deposits. All maintenance deposits as of June 30, 2025 are estimated to be recoverable either through reimbursable maintenance events or through application towards the purchase of the aircraft.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We use our Credit Facilities to provide liquidity for general corporate purposes and to finance the acquisition of aircraft. In</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2025, the Company executed a new $75,000 Revolving Credit Facility with a group of lenders. The new Revolving Credit Facility replaces the Company's previous $25,000 revolving credit facility. The Company pledged certain assets, including certain previously unencumbered aircraft, to support the ability to efficiently utilize the Revolving Credit Facility. As of June 30, 2025, the Company had $75,000 of financing available through the Revolving Credit Facility. The Company was in compliance with its covenants within the Revolving Credit Facility as of June 30, 2025.</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in order to purchase or refinance aircraft. The Company has not entered into any new debt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 during the six months ended June 30, 2025.</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1 of this report.</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During the six months ended June 30, 2025 and 2024, we made payments of $10,525 and $3,350 to the TRA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respectively. Payments will be made in future periods as Pre-IPO Tax Attributes are utilized. For more information on the TRA liability, see </w:t>
      </w:r>
      <w:r>
        <w:rPr>
          <w:rFonts w:ascii="Arial" w:cs="Arial" w:eastAsia="Arial" w:hAnsi="Arial"/>
          <w:sz w:val="18"/>
          <w:szCs w:val="18"/>
          <w:u w:val="single" w:color="auto"/>
          <w:color w:val="0000FF"/>
        </w:rPr>
        <w:t>Note 8</w:t>
      </w:r>
      <w:r>
        <w:rPr>
          <w:rFonts w:ascii="Arial" w:cs="Arial" w:eastAsia="Arial" w:hAnsi="Arial"/>
          <w:sz w:val="18"/>
          <w:szCs w:val="18"/>
          <w:color w:val="0000FF"/>
        </w:rPr>
        <w:t xml:space="preserve"> </w:t>
      </w:r>
      <w:r>
        <w:rPr>
          <w:rFonts w:ascii="Arial" w:cs="Arial" w:eastAsia="Arial" w:hAnsi="Arial"/>
          <w:sz w:val="18"/>
          <w:szCs w:val="18"/>
          <w:color w:val="000000"/>
        </w:rPr>
        <w:t>of the Condensed Consolidated Financial Statements included in Part I, Item 1 of this report.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June 30, 2025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2024</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r>
      <w:tr>
        <w:trPr>
          <w:trHeight w:val="247"/>
        </w:trPr>
        <w:tc>
          <w:tcPr>
            <w:tcW w:w="47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2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94,644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97,636</w:t>
            </w:r>
          </w:p>
        </w:tc>
      </w:tr>
      <w:tr>
        <w:trPr>
          <w:trHeight w:val="2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2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24,743</w:t>
            </w:r>
          </w:p>
        </w:tc>
      </w:tr>
      <w:tr>
        <w:trPr>
          <w:trHeight w:val="263"/>
        </w:trPr>
        <w:tc>
          <w:tcPr>
            <w:tcW w:w="470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25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206,608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205,598</w:t>
            </w:r>
          </w:p>
        </w:tc>
      </w:tr>
      <w:tr>
        <w:trPr>
          <w:trHeight w:val="46"/>
        </w:trPr>
        <w:tc>
          <w:tcPr>
            <w:tcW w:w="4700" w:type="dxa"/>
            <w:vAlign w:val="bottom"/>
            <w:tcBorders>
              <w:bottom w:val="single" w:sz="8" w:color="CCEEFF"/>
            </w:tcBorders>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23"/>
        </w:trPr>
        <w:tc>
          <w:tcPr>
            <w:tcW w:w="4700" w:type="dxa"/>
            <w:vAlign w:val="bottom"/>
            <w:tcBorders>
              <w:top w:val="single" w:sz="8" w:color="CCEEFF"/>
              <w:bottom w:val="single" w:sz="8" w:color="CCEEFF"/>
            </w:tcBorders>
          </w:tcPr>
          <w:p>
            <w:pPr>
              <w:spacing w:after="0"/>
              <w:rPr>
                <w:sz w:val="19"/>
                <w:szCs w:val="19"/>
                <w:color w:val="auto"/>
              </w:rPr>
            </w:pPr>
          </w:p>
        </w:tc>
        <w:tc>
          <w:tcPr>
            <w:tcW w:w="2500" w:type="dxa"/>
            <w:vAlign w:val="bottom"/>
            <w:tcBorders>
              <w:top w:val="single" w:sz="8" w:color="CCEEFF"/>
              <w:bottom w:val="single" w:sz="8" w:color="CCEEFF"/>
            </w:tcBorders>
          </w:tcPr>
          <w:p>
            <w:pPr>
              <w:spacing w:after="0"/>
              <w:rPr>
                <w:sz w:val="19"/>
                <w:szCs w:val="19"/>
                <w:color w:val="auto"/>
              </w:rPr>
            </w:pPr>
          </w:p>
        </w:tc>
        <w:tc>
          <w:tcPr>
            <w:tcW w:w="320" w:type="dxa"/>
            <w:vAlign w:val="bottom"/>
            <w:tcBorders>
              <w:top w:val="single" w:sz="8" w:color="CCEEFF"/>
              <w:bottom w:val="single" w:sz="8" w:color="auto"/>
            </w:tcBorders>
          </w:tcPr>
          <w:p>
            <w:pPr>
              <w:spacing w:after="0"/>
              <w:rPr>
                <w:sz w:val="19"/>
                <w:szCs w:val="19"/>
                <w:color w:val="auto"/>
              </w:rPr>
            </w:pPr>
          </w:p>
        </w:tc>
        <w:tc>
          <w:tcPr>
            <w:tcW w:w="1660" w:type="dxa"/>
            <w:vAlign w:val="bottom"/>
            <w:tcBorders>
              <w:top w:val="single" w:sz="8" w:color="CCEEFF"/>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June 30, 2025</w:t>
            </w:r>
          </w:p>
        </w:tc>
        <w:tc>
          <w:tcPr>
            <w:tcW w:w="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1740" w:type="dxa"/>
            <w:vAlign w:val="bottom"/>
            <w:tcBorders>
              <w:top w:val="single" w:sz="8" w:color="CCEEFF"/>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2024</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2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282,067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327,122</w:t>
            </w:r>
          </w:p>
        </w:tc>
      </w:tr>
      <w:tr>
        <w:trPr>
          <w:trHeight w:val="247"/>
        </w:trPr>
        <w:tc>
          <w:tcPr>
            <w:tcW w:w="47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261,335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271,262</w:t>
            </w:r>
          </w:p>
        </w:tc>
      </w:tr>
      <w:tr>
        <w:trPr>
          <w:trHeight w:val="2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20,650</w:t>
            </w:r>
          </w:p>
        </w:tc>
      </w:tr>
      <w:tr>
        <w:trPr>
          <w:trHeight w:val="241"/>
        </w:trPr>
        <w:tc>
          <w:tcPr>
            <w:tcW w:w="470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2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562,442</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619,034</w:t>
            </w:r>
          </w:p>
        </w:tc>
      </w:tr>
      <w:tr>
        <w:trPr>
          <w:trHeight w:val="23"/>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613,045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570,373</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25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1,175,487</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1,189,407</w:t>
            </w:r>
          </w:p>
        </w:tc>
      </w:tr>
      <w:tr>
        <w:trPr>
          <w:trHeight w:val="46"/>
        </w:trPr>
        <w:tc>
          <w:tcPr>
            <w:tcW w:w="4700" w:type="dxa"/>
            <w:vAlign w:val="bottom"/>
            <w:tcBorders>
              <w:bottom w:val="single" w:sz="8" w:color="CCEEFF"/>
            </w:tcBorders>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47"/>
        </w:trPr>
        <w:tc>
          <w:tcPr>
            <w:tcW w:w="4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Debt-to-Capital</w:t>
            </w:r>
          </w:p>
        </w:tc>
        <w:tc>
          <w:tcPr>
            <w:tcW w:w="25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0.48</w:t>
            </w: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0.52</w:t>
            </w:r>
          </w:p>
        </w:tc>
      </w:tr>
      <w:tr>
        <w:trPr>
          <w:trHeight w:val="931"/>
        </w:trPr>
        <w:tc>
          <w:tcPr>
            <w:tcW w:w="4700" w:type="dxa"/>
            <w:vAlign w:val="bottom"/>
          </w:tcPr>
          <w:p>
            <w:pPr>
              <w:spacing w:after="0"/>
              <w:rPr>
                <w:sz w:val="24"/>
                <w:szCs w:val="24"/>
                <w:color w:val="auto"/>
              </w:rPr>
            </w:pPr>
          </w:p>
        </w:tc>
        <w:tc>
          <w:tcPr>
            <w:tcW w:w="2500" w:type="dxa"/>
            <w:vAlign w:val="bottom"/>
          </w:tcPr>
          <w:p>
            <w:pPr>
              <w:jc w:val="right"/>
              <w:ind w:right="133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1"/>
        </w:trPr>
        <w:tc>
          <w:tcPr>
            <w:tcW w:w="47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jc w:val="right"/>
              <w:ind w:right="772"/>
              <w:spacing w:after="0"/>
              <w:rPr>
                <w:sz w:val="20"/>
                <w:szCs w:val="20"/>
                <w:color w:val="auto"/>
              </w:rPr>
            </w:pPr>
            <w:r>
              <w:rPr>
                <w:rFonts w:ascii="Arial" w:cs="Arial" w:eastAsia="Arial" w:hAnsi="Arial"/>
                <w:sz w:val="14"/>
                <w:szCs w:val="14"/>
                <w:b w:val="1"/>
                <w:bCs w:val="1"/>
                <w:color w:val="auto"/>
              </w:rPr>
              <w:t>%</w:t>
            </w:r>
          </w:p>
        </w:tc>
      </w:tr>
      <w:tr>
        <w:trPr>
          <w:trHeight w:val="202"/>
        </w:trPr>
        <w:tc>
          <w:tcPr>
            <w:tcW w:w="57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Change</w:t>
            </w:r>
          </w:p>
        </w:tc>
      </w:tr>
      <w:tr>
        <w:trPr>
          <w:trHeight w:val="26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38,872</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74"/>
        </w:trPr>
        <w:tc>
          <w:tcPr>
            <w:tcW w:w="574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(21,204)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(38,231)</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(28,034)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(31,610)</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30,979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64,500</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1"/>
        </w:trPr>
        <w:tc>
          <w:tcPr>
            <w:tcW w:w="5740" w:type="dxa"/>
            <w:vAlign w:val="bottom"/>
          </w:tcPr>
          <w:p>
            <w:pPr>
              <w:ind w:left="20"/>
              <w:spacing w:after="0"/>
              <w:rPr>
                <w:sz w:val="20"/>
                <w:szCs w:val="20"/>
                <w:color w:val="auto"/>
              </w:rPr>
            </w:pPr>
            <w:r>
              <w:rPr>
                <w:rFonts w:ascii="Arial" w:cs="Arial" w:eastAsia="Arial" w:hAnsi="Arial"/>
                <w:sz w:val="18"/>
                <w:szCs w:val="18"/>
                <w:color w:val="auto"/>
              </w:rPr>
              <w:t>Total Investing Activities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8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3"/>
        </w:trPr>
        <w:tc>
          <w:tcPr>
            <w:tcW w:w="5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75"/>
        </w:trPr>
        <w:tc>
          <w:tcPr>
            <w:tcW w:w="57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r>
      <w:tr>
        <w:trPr>
          <w:trHeight w:val="247"/>
        </w:trPr>
        <w:tc>
          <w:tcPr>
            <w:tcW w:w="5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Repurchases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(11,493)</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Proceeds from Borrowing</w:t>
            </w:r>
          </w:p>
        </w:tc>
        <w:tc>
          <w:tcPr>
            <w:tcW w:w="10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(20,870)</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Repayment of Borrowings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(45,628)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(46,767)</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Receivable Agreement Payment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(10,525)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3"/>
        </w:trPr>
        <w:tc>
          <w:tcPr>
            <w:tcW w:w="5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(75,402)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(72,037)</w:t>
            </w:r>
          </w:p>
        </w:tc>
        <w:tc>
          <w:tcPr>
            <w:tcW w:w="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5740" w:type="dxa"/>
            <w:vAlign w:val="bottom"/>
          </w:tcPr>
          <w:p>
            <w:pPr>
              <w:ind w:left="20"/>
              <w:spacing w:after="0"/>
              <w:rPr>
                <w:sz w:val="20"/>
                <w:szCs w:val="20"/>
                <w:color w:val="auto"/>
              </w:rPr>
            </w:pPr>
            <w:r>
              <w:rPr>
                <w:rFonts w:ascii="Arial" w:cs="Arial" w:eastAsia="Arial" w:hAnsi="Arial"/>
                <w:sz w:val="18"/>
                <w:szCs w:val="18"/>
                <w:color w:val="auto"/>
              </w:rPr>
              <w:t>Net Decrease in Cash</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(47,161)</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(29,643)</w:t>
            </w:r>
          </w:p>
        </w:tc>
        <w:tc>
          <w:tcPr>
            <w:tcW w:w="80" w:type="dxa"/>
            <w:vAlign w:val="bottom"/>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59 %</w:t>
            </w:r>
          </w:p>
        </w:tc>
      </w:tr>
      <w:tr>
        <w:trPr>
          <w:trHeight w:val="21"/>
        </w:trPr>
        <w:tc>
          <w:tcPr>
            <w:tcW w:w="5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"Cash" consists of Cash, Cash Equivalents and Restricted Cash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activities in the six months ended June 30, 2025 provided $36,252, as compared to $38,872 during the six months ended June 30, 2024. During the six months ended June 30, 2025, our Net Income was $43,112, as compared to $37,125 during the six months ended June 30,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Most tickets can be purchased no more than 12 months in advance, therefore any revenue associated with tickets sold for future travel will be recognized within that timeframe. For the six months ended June 30, 2025, $151,101 of revenue recognized in Passenger revenue was included in the $160,686 of Air Traffic Liabilities as of December 31, 2024. Air Traffic Liabilities were $106,599 as of June 30, 2025 as a result of decreased Scheduled Service capacity as we focused our operations on growth in the Cargo business.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Aircraft Fuel. </w:t>
      </w:r>
      <w:r>
        <w:rPr>
          <w:rFonts w:ascii="Arial" w:cs="Arial" w:eastAsia="Arial" w:hAnsi="Arial"/>
          <w:sz w:val="18"/>
          <w:szCs w:val="18"/>
          <w:color w:val="auto"/>
        </w:rPr>
        <w:t>Aircraft Fuel expense represented approximately 22% and 27% of our total operating expense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2025 and 2024, respectively. The market price for jet fuel is volatile, which can impact the comparability of our periodic cash flows from operations. Fuel cost per gallon decreased by 13% year-over-year. Fuel consumption increased by 1% during the six months ended June 30, 2025, compared to the prior year as a result of the increase in fleet size and total operations. We expect continued volatility in Aircraft Fuel prices per gallon due to market conditions and global geopolitical events.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$21,204 and $38,231 for the six months ended June 30, 2025 and 2024,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expenditures during the six months ended June 30, 2025 included the acquisition of one engine, spare parts, and other items not individually material. Our capital expenditures during the six months ended June 30, 2024 included the acquisition of one aircraft and other items not individually material.</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The Company's net investment activity resulted in cash inflows of $2,945 during the six months ended June 30, 2025,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cash inflows of $32,890 during the six months ended June 30, 2024. The year-over-year change is a result of a reduction in the Company's average investment balance year-over-year in order to support general corporate purposes and debt repayments.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At our discretion, we obtain debt financing in order to purchase or refinance aircraft. The Company has not entered into any new debt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financing arrangements during the periods presented above. For more information on our debt financings and future repayment schedules,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1 of this report.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$9,926 and $20,870 for the six months ended June 30, 2025 and 2024,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the six months ended June 30, 2024, the Company purchased an aircraft previously classified as a finance lease. The resulting cash outflows of $9,670 were recorded as payments for finance lease obligations. As of June 30, 2025 and 2024, the Company had 13 and 15 aircraft finance leases, respectively.</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six months ended June 30, 2025, the Company repurchased 630,914 shares of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 $ 15.85 per share. During the six months ended June 30, 2024, the Company repurchased 755,284 shares of its Common Stock at $15.22 per share. For more information on the stock repurchase program,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Condensed Consolidated Financial Statements included in Part I, Item 1 of this report.</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TRA Payment. </w:t>
      </w:r>
      <w:r>
        <w:rPr>
          <w:rFonts w:ascii="Arial" w:cs="Arial" w:eastAsia="Arial" w:hAnsi="Arial"/>
          <w:sz w:val="18"/>
          <w:szCs w:val="18"/>
          <w:color w:val="auto"/>
        </w:rPr>
        <w:t>During the six months ended June 30, 2025 and 2024, the Company made payments of $10,525 and $3,350 to the TRA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holders, respectively. For more information on the payment of the TRA,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1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on the nature of the Company's Off Balance Sheet Arrangements, see “Management’s Discussion and Analysis of Financial Condition and Results of Operations” in Part II, </w:t>
      </w:r>
      <w:hyperlink r:id="rId106">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2024 10-K. There have been no material changes to the Company's Off Balance Sheet Arrangements as compared to the 2024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to our Condensed Consolidated Financial Statements included in Part I, Item 1 of this Quarterly Report on Form 10-Q for more information regarding commitments and contractual obligations.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six months ended June 30, 2025, there were no recently adopted accounting standards that had a material impact to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Financial Condition and Results of Operations” sections within Part II, </w:t>
      </w:r>
      <w:hyperlink r:id="rId106">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2024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the 2024 10-K.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We are subject to market risks in the ordinary course of our business. These risks include commodity price risk, specifically with respect to aircraft fuel, as well as interest rate risk. The adverse effects of changes in these markets could pose a potential loss. There have been no material changes in market risk from those disclosed within "Item 7A. Quantitative and Qualitative Disclosures About Market Risk" included in Part II, </w:t>
      </w:r>
      <w:hyperlink r:id="rId117">
        <w:r>
          <w:rPr>
            <w:rFonts w:ascii="Arial" w:cs="Arial" w:eastAsia="Arial" w:hAnsi="Arial"/>
            <w:sz w:val="18"/>
            <w:szCs w:val="18"/>
            <w:u w:val="single" w:color="auto"/>
            <w:color w:val="0000FF"/>
          </w:rPr>
          <w:t>Item 7A</w:t>
        </w:r>
      </w:hyperlink>
      <w:r>
        <w:rPr>
          <w:rFonts w:ascii="Arial" w:cs="Arial" w:eastAsia="Arial" w:hAnsi="Arial"/>
          <w:sz w:val="18"/>
          <w:szCs w:val="18"/>
          <w:color w:val="auto"/>
        </w:rPr>
        <w:t>, of our 2024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represent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Interim Chief Financial Officer, to allow timely decisions regarding required disclosure.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preparation of this Form 10-Q, pursuant to Rule 13a-15(b) of the Exchange Act, our management, with the participation of our Chief Executive Officer and Interim Chief Financial Officer, has evaluated the effectiveness of the design and operation of our disclosure controls and procedures (as defined in Rules 13a-15(e) and 15d-15(e) under the Exchange Act) as of June 30, 2025.</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evaluation of our disclosure controls and procedures as of June 30, 2025, our Chief Executive Officer and Interim Chief Financial Officer have concluded that our disclosure controls and procedures were effective as of June 30,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Rules 13a-15(f) and 15d-15(f) under the Exchange Act) that occurred during the quarter ended June 30, 2025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We have disclosed under the heading “</w:t>
      </w:r>
      <w:hyperlink r:id="rId66">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our 2024 10-K the risk factors which materially affect our business, financial condition or results of operations. There have been no material changes from the risk factors previously disclosed. You should carefully consider the risk factors set forth in our 2024 10-K.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the three months ended June 30, 2025, our directors and executive officers did not adopt, terminate, or modify any instructions or written plans for the sale or purchase of our securities that would be intended to satisfy the affirmative defense conditions of Rule 10b5-1(c).</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gridSpan w:val="8"/>
          </w:tcPr>
          <w:p>
            <w:pPr>
              <w:spacing w:after="0"/>
              <w:rPr>
                <w:sz w:val="20"/>
                <w:szCs w:val="20"/>
                <w:color w:val="auto"/>
              </w:rPr>
            </w:pPr>
            <w:r>
              <w:rPr>
                <w:rFonts w:ascii="Arial" w:cs="Arial" w:eastAsia="Arial" w:hAnsi="Arial"/>
                <w:sz w:val="18"/>
                <w:szCs w:val="18"/>
                <w:color w:val="0000FF"/>
              </w:rPr>
              <w:t>Certification by Sun Country's Chief Executive Officer with respect to Sun Country's Quarterly Report on Form 10-Q for the</w:t>
            </w:r>
          </w:p>
        </w:tc>
      </w:tr>
      <w:tr>
        <w:trPr>
          <w:trHeight w:val="156"/>
        </w:trPr>
        <w:tc>
          <w:tcPr>
            <w:tcW w:w="1140" w:type="dxa"/>
            <w:vAlign w:val="bottom"/>
          </w:tcPr>
          <w:p>
            <w:pPr>
              <w:spacing w:after="0"/>
              <w:rPr>
                <w:sz w:val="13"/>
                <w:szCs w:val="13"/>
                <w:color w:val="auto"/>
              </w:rPr>
            </w:pPr>
          </w:p>
        </w:tc>
        <w:tc>
          <w:tcPr>
            <w:tcW w:w="30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9"/>
              </w:rPr>
              <w:t>quarterly period ended June 30, 2025</w:t>
            </w:r>
          </w:p>
        </w:tc>
        <w:tc>
          <w:tcPr>
            <w:tcW w:w="674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gridSpan w:val="8"/>
          </w:tcPr>
          <w:p>
            <w:pPr>
              <w:spacing w:after="0"/>
              <w:rPr>
                <w:sz w:val="20"/>
                <w:szCs w:val="20"/>
                <w:color w:val="auto"/>
              </w:rPr>
            </w:pPr>
            <w:r>
              <w:rPr>
                <w:rFonts w:ascii="Arial" w:cs="Arial" w:eastAsia="Arial" w:hAnsi="Arial"/>
                <w:sz w:val="18"/>
                <w:szCs w:val="18"/>
                <w:color w:val="0000FF"/>
              </w:rPr>
              <w:t>Certification by Sun Country’s Interim Chief Financial Officer and Senior Vice President with respect to Sun Country's</w:t>
            </w:r>
          </w:p>
        </w:tc>
      </w:tr>
      <w:tr>
        <w:trPr>
          <w:trHeight w:val="156"/>
        </w:trPr>
        <w:tc>
          <w:tcPr>
            <w:tcW w:w="1140" w:type="dxa"/>
            <w:vAlign w:val="bottom"/>
          </w:tcPr>
          <w:p>
            <w:pPr>
              <w:spacing w:after="0"/>
              <w:rPr>
                <w:sz w:val="13"/>
                <w:szCs w:val="13"/>
                <w:color w:val="auto"/>
              </w:rPr>
            </w:pPr>
          </w:p>
        </w:tc>
        <w:tc>
          <w:tcPr>
            <w:tcW w:w="930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Quarterly Report on Form 10-Q for the quarterly period ended June 30, 2025</w:t>
            </w:r>
          </w:p>
        </w:tc>
        <w:tc>
          <w:tcPr>
            <w:tcW w:w="5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98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Certification pursuant to Section 1350 of Chapter 63 of Title 18 of the United States Code by Sun Country Airlines Holdings,</w:t>
            </w:r>
          </w:p>
        </w:tc>
        <w:tc>
          <w:tcPr>
            <w:tcW w:w="200" w:type="dxa"/>
            <w:vAlign w:val="bottom"/>
            <w:gridSpan w:val="2"/>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10020" w:type="dxa"/>
            <w:vAlign w:val="bottom"/>
            <w:gridSpan w:val="8"/>
          </w:tcPr>
          <w:p>
            <w:pPr>
              <w:spacing w:after="0" w:line="156" w:lineRule="exact"/>
              <w:rPr>
                <w:sz w:val="20"/>
                <w:szCs w:val="20"/>
                <w:color w:val="auto"/>
              </w:rPr>
            </w:pPr>
            <w:r>
              <w:rPr>
                <w:rFonts w:ascii="Arial" w:cs="Arial" w:eastAsia="Arial" w:hAnsi="Arial"/>
                <w:sz w:val="18"/>
                <w:szCs w:val="18"/>
                <w:color w:val="0000FF"/>
                <w:w w:val="99"/>
              </w:rPr>
              <w:t>Inc.’s Chief Executive Officer and Interim Chief Financial Officer with respect to Sun Country's Quarterly Report on Form 10-Q</w:t>
            </w:r>
          </w:p>
        </w:tc>
      </w:tr>
      <w:tr>
        <w:trPr>
          <w:trHeight w:val="169"/>
        </w:trPr>
        <w:tc>
          <w:tcPr>
            <w:tcW w:w="1140" w:type="dxa"/>
            <w:vAlign w:val="bottom"/>
          </w:tcPr>
          <w:p>
            <w:pPr>
              <w:spacing w:after="0"/>
              <w:rPr>
                <w:sz w:val="14"/>
                <w:szCs w:val="14"/>
                <w:color w:val="auto"/>
              </w:rPr>
            </w:pPr>
          </w:p>
        </w:tc>
        <w:tc>
          <w:tcPr>
            <w:tcW w:w="35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for the quarterly period ended June 30, 2025</w:t>
            </w:r>
          </w:p>
        </w:tc>
        <w:tc>
          <w:tcPr>
            <w:tcW w:w="64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14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94"/>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20" w:type="dxa"/>
            <w:vAlign w:val="bottom"/>
            <w:gridSpan w:val="8"/>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440" w:hanging="414"/>
        <w:spacing w:after="0"/>
        <w:tabs>
          <w:tab w:leader="none" w:pos="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40" w:hanging="414"/>
        <w:spacing w:after="0" w:line="285" w:lineRule="auto"/>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Certain portions of this exhibit have been redacted pursuant to Item 601(b)(10)(iv) of Regulation S-K. The Company agrees to furnish supplementally an unredacted copy of the exhibit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Sun Country Airlines Holdings, Inc.</w:t>
      </w:r>
    </w:p>
    <w:p>
      <w:pPr>
        <w:ind w:left="5140"/>
        <w:spacing w:after="0"/>
        <w:rPr>
          <w:sz w:val="20"/>
          <w:szCs w:val="20"/>
          <w:color w:val="auto"/>
        </w:rPr>
      </w:pPr>
      <w:r>
        <w:rPr>
          <w:rFonts w:ascii="Arial" w:cs="Arial" w:eastAsia="Arial" w:hAnsi="Arial"/>
          <w:sz w:val="18"/>
          <w:szCs w:val="18"/>
          <w:color w:val="auto"/>
        </w:rPr>
        <w:t>(Registrant)</w:t>
      </w:r>
    </w:p>
    <w:p>
      <w:pPr>
        <w:spacing w:after="0" w:line="23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17780</wp:posOffset>
            </wp:positionV>
            <wp:extent cx="38830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William Trousdale</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Interim Chief Financial Officer and Senior Vice President</w:t>
      </w:r>
    </w:p>
    <w:p>
      <w:pPr>
        <w:ind w:left="5140"/>
        <w:spacing w:after="0"/>
        <w:rPr>
          <w:sz w:val="20"/>
          <w:szCs w:val="20"/>
          <w:color w:val="auto"/>
        </w:rPr>
      </w:pPr>
      <w:r>
        <w:rPr>
          <w:rFonts w:ascii="Arial" w:cs="Arial" w:eastAsia="Arial" w:hAnsi="Arial"/>
          <w:sz w:val="18"/>
          <w:szCs w:val="18"/>
          <w:color w:val="auto"/>
        </w:rPr>
        <w:t>(Principal Financial and Accounting 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2"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Jude Bricker, certify that:</w:t>
      </w:r>
    </w:p>
    <w:p>
      <w:pPr>
        <w:spacing w:after="0" w:line="225" w:lineRule="exact"/>
        <w:rPr>
          <w:sz w:val="20"/>
          <w:szCs w:val="20"/>
          <w:color w:val="auto"/>
        </w:rPr>
      </w:pPr>
    </w:p>
    <w:p>
      <w:pPr>
        <w:ind w:left="660" w:right="5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six month period ended June 30, 2025;</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2025</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INTERIM CHIEF FINANCIAL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Trousdale, certify that:</w:t>
      </w:r>
    </w:p>
    <w:p>
      <w:pPr>
        <w:spacing w:after="0" w:line="225" w:lineRule="exact"/>
        <w:rPr>
          <w:sz w:val="20"/>
          <w:szCs w:val="20"/>
          <w:color w:val="auto"/>
        </w:rPr>
      </w:pPr>
    </w:p>
    <w:p>
      <w:pPr>
        <w:ind w:left="660" w:right="5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six month period ended June 30, 2025;</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2025</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/s/ 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14605</wp:posOffset>
            </wp:positionV>
            <wp:extent cx="45948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William Trousdale</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Interim Chief Financial Officer and Senior Vice President</w:t>
      </w:r>
    </w:p>
    <w:p>
      <w:pPr>
        <w:sectPr>
          <w:pgSz w:w="11900" w:h="16838" w:orient="portrait"/>
          <w:cols w:equalWidth="0" w:num="1">
            <w:col w:w="11240"/>
          </w:cols>
          <w:pgMar w:left="320" w:top="114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2025</w:t>
      </w:r>
    </w:p>
    <w:p>
      <w:pPr>
        <w:spacing w:after="0" w:line="22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June 30, 2025 (the "Report").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Interim Chief Financial Officer and Senior Vice President, respectively, of Sun Country, hereby certifies that, as of the end of the period covered by the Report:</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Sun Country.</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William Trousdale</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Interim Chief Financial Officer and Senior Vice President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1."/>
      <w:numFmt w:val="decimal"/>
      <w:start w:val="12"/>
    </w:lvl>
  </w:abstractNum>
  <w:abstractNum w:abstractNumId="15">
    <w:nsid w:val="333AB105"/>
    <w:multiLevelType w:val="hybridMultilevel"/>
    <w:lvl w:ilvl="0">
      <w:lvlJc w:val="left"/>
      <w:lvlText w:val="%1."/>
      <w:numFmt w:val="decimal"/>
      <w:start w:val="13"/>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31" Type="http://schemas.openxmlformats.org/officeDocument/2006/relationships/hyperlink" Target="https://www.sec.gov/ix?doc=/Archives/edgar/data/1743907/000174390725000005/sncy-20241231.htm#if920b000135448cdb334f8440d73925a_118" TargetMode="External"/><Relationship Id="rId43" Type="http://schemas.openxmlformats.org/officeDocument/2006/relationships/hyperlink" Target="https://www.sec.gov/ix?doc=/Archives/edgar/data/1743907/000174390725000005/sncy-20241231.htm#if920b000135448cdb334f8440d73925a_136" TargetMode="External"/><Relationship Id="rId60" Type="http://schemas.openxmlformats.org/officeDocument/2006/relationships/hyperlink" Target="https://www.sec.gov/ix?doc=/Archives/edgar/data/1743907/000174390725000005/sncy-20241231.htm#if920b000135448cdb334f8440d73925a_166" TargetMode="External"/><Relationship Id="rId65" Type="http://schemas.openxmlformats.org/officeDocument/2006/relationships/hyperlink" Target="https://www.sec.gov/ix?doc=/Archives/edgar/data/1743907/000174390725000005/sncy-20241231.htm#if920b000135448cdb334f8440d73925a_52" TargetMode="External"/><Relationship Id="rId66" Type="http://schemas.openxmlformats.org/officeDocument/2006/relationships/hyperlink" Target="https://www.sec.gov/ix?doc=/Archives/edgar/data/1743907/000174390725000005/sncy-20241231.htm#if920b000135448cdb334f8440d73925a_25" TargetMode="External"/><Relationship Id="rId67" Type="http://schemas.openxmlformats.org/officeDocument/2006/relationships/hyperlink" Target="https://www.sec.gov/ix?doc=/Archives/edgar/data/1743907/000174390725000005/sncy-20241231.htm#if920b000135448cdb334f8440d73925a_22" TargetMode="External"/><Relationship Id="rId106" Type="http://schemas.openxmlformats.org/officeDocument/2006/relationships/hyperlink" Target="https://www.sec.gov/ix?doc=/Archives/edgar/data/0001743907/000174390725000005/sncy-20241231.htm#if920b000135448cdb334f8440d73925a_52" TargetMode="External"/><Relationship Id="rId117" Type="http://schemas.openxmlformats.org/officeDocument/2006/relationships/hyperlink" Target="https://www.sec.gov/ix?doc=/Archives/edgar/data/1743907/000174390725000005/sncy-20241231.htm#if920b000135448cdb334f8440d73925a_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2025-08-01T10:16:09Z</dcterms:created>
  <dcterms:modified xsi:type="dcterms:W3CDTF">2025-08-01T10:16:09Z</dcterms:modified>
</cp:coreProperties>
</file>