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November 1, 2021, Sun Country Airlines Holdings, Inc. issued a press release announcing its financial results for the fiscal quarter ended September 30, 2021. A copy of the press release is attached hereto as Exhibit 99.1 and incorporated by reference herein.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280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1, 2021</w:t>
              </w:r>
            </w:hyperlink>
          </w:p>
        </w:tc>
        <w:tc>
          <w:tcPr>
            <w:tcW w:w="7300" w:type="dxa"/>
            <w:vAlign w:val="bottom"/>
            <w:tcBorders>
              <w:top w:val="single" w:sz="8" w:color="auto"/>
            </w:tcBorders>
          </w:tcPr>
          <w:p>
            <w:pPr>
              <w:spacing w:after="0"/>
              <w:rPr>
                <w:sz w:val="14"/>
                <w:szCs w:val="14"/>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0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Administrative Officer, General Counsel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173355</wp:posOffset>
            </wp:positionV>
            <wp:extent cx="2254250"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Sun Country Airlines Reports Third Quarter 2021 Results</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Q3 2021 GAAP EPS of $0.23 and operating income of $22 million</w:t>
      </w:r>
    </w:p>
    <w:p>
      <w:pPr>
        <w:jc w:val="center"/>
        <w:spacing w:after="0"/>
        <w:rPr>
          <w:sz w:val="20"/>
          <w:szCs w:val="20"/>
          <w:color w:val="auto"/>
        </w:rPr>
      </w:pPr>
      <w:r>
        <w:rPr>
          <w:rFonts w:ascii="Arial" w:cs="Arial" w:eastAsia="Arial" w:hAnsi="Arial"/>
          <w:sz w:val="18"/>
          <w:szCs w:val="18"/>
          <w:b w:val="1"/>
          <w:bCs w:val="1"/>
          <w:color w:val="auto"/>
        </w:rPr>
        <w:t>Q3 2021 Adjusted EPS of $0.23</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and adjusted operating income of $23 million </w:t>
      </w:r>
      <w:r>
        <w:rPr>
          <w:rFonts w:ascii="Arial" w:cs="Arial" w:eastAsia="Arial" w:hAnsi="Arial"/>
          <w:sz w:val="29"/>
          <w:szCs w:val="29"/>
          <w:b w:val="1"/>
          <w:bCs w:val="1"/>
          <w:color w:val="auto"/>
          <w:vertAlign w:val="superscript"/>
        </w:rPr>
        <w:t>(1)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MINNEAPOLIS. November 1, 2021. Sun Country Airlines Holdings, Inc. (“Sun Country Airlines”, “Sun Country”, the “Company”) (</w:t>
      </w:r>
      <w:r>
        <w:rPr>
          <w:rFonts w:ascii="Arial" w:cs="Arial" w:eastAsia="Arial" w:hAnsi="Arial"/>
          <w:sz w:val="18"/>
          <w:szCs w:val="18"/>
          <w:color w:val="0000FF"/>
        </w:rPr>
        <w:t>NASDAQ:</w:t>
      </w:r>
    </w:p>
    <w:p>
      <w:pPr>
        <w:spacing w:after="0"/>
        <w:rPr>
          <w:sz w:val="20"/>
          <w:szCs w:val="20"/>
          <w:color w:val="auto"/>
        </w:rPr>
      </w:pPr>
      <w:r>
        <w:rPr>
          <w:rFonts w:ascii="Arial" w:cs="Arial" w:eastAsia="Arial" w:hAnsi="Arial"/>
          <w:sz w:val="18"/>
          <w:szCs w:val="18"/>
          <w:color w:val="0000FF"/>
        </w:rPr>
        <w:t>SNCY</w:t>
      </w:r>
      <w:r>
        <w:rPr>
          <w:rFonts w:ascii="Arial" w:cs="Arial" w:eastAsia="Arial" w:hAnsi="Arial"/>
          <w:sz w:val="18"/>
          <w:szCs w:val="18"/>
          <w:color w:val="000000"/>
        </w:rPr>
        <w:t>) today reported financial results for its third quarter ended September 30, 2021.</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0A0A0A"/>
        </w:rPr>
        <w:t>“We had a great third quarter,” said Jude Bricker, Chief Executive Officer of Sun Country. “We posted our highest adjusted operating margin, adjusted pre-tax margin and adjusted net income since the first quarter of 2019. As a reminder, the third quarter is historically not our strongest quarter of the year. Total quarterly revenue in Q3 2021 was higher than in Q3 2019, the first quarter this has occurred since the start of the pandemic. This and our continued focus on cost control in the quarter produced earnings of $0.23, the highest since the start of the pandemic, and our third consecutive quarter of positive adjusted operating margins.”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r>
              <w:rPr>
                <w:rFonts w:ascii="Arial" w:cs="Arial" w:eastAsia="Arial" w:hAnsi="Arial"/>
                <w:sz w:val="18"/>
                <w:szCs w:val="18"/>
                <w:b w:val="1"/>
                <w:bCs w:val="1"/>
                <w:color w:val="auto"/>
              </w:rPr>
              <w:t>Overview of Third Quarter</w:t>
            </w:r>
          </w:p>
        </w:tc>
        <w:tc>
          <w:tcPr>
            <w:tcW w:w="580" w:type="dxa"/>
            <w:vAlign w:val="bottom"/>
          </w:tcPr>
          <w:p>
            <w:pPr>
              <w:spacing w:after="0"/>
              <w:rPr>
                <w:sz w:val="20"/>
                <w:szCs w:val="20"/>
                <w:color w:val="auto"/>
              </w:rPr>
            </w:pPr>
          </w:p>
        </w:tc>
        <w:tc>
          <w:tcPr>
            <w:tcW w:w="2460" w:type="dxa"/>
            <w:vAlign w:val="bottom"/>
            <w:gridSpan w:val="3"/>
            <w:vMerge w:val="restart"/>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hree Months Ended</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rPr>
              <w:t>Sep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0A0A0A"/>
              </w:rPr>
              <w:t>2021</w:t>
            </w:r>
          </w:p>
        </w:tc>
        <w:tc>
          <w:tcPr>
            <w:tcW w:w="460" w:type="dxa"/>
            <w:vAlign w:val="bottom"/>
          </w:tcPr>
          <w:p>
            <w:pPr>
              <w:spacing w:after="0"/>
              <w:rPr>
                <w:sz w:val="19"/>
                <w:szCs w:val="19"/>
                <w:color w:val="auto"/>
              </w:rPr>
            </w:pPr>
          </w:p>
        </w:tc>
        <w:tc>
          <w:tcPr>
            <w:tcW w:w="1020" w:type="dxa"/>
            <w:vAlign w:val="bottom"/>
          </w:tcPr>
          <w:p>
            <w:pPr>
              <w:jc w:val="right"/>
              <w:ind w:right="451"/>
              <w:spacing w:after="0"/>
              <w:rPr>
                <w:sz w:val="20"/>
                <w:szCs w:val="20"/>
                <w:color w:val="auto"/>
              </w:rPr>
            </w:pPr>
            <w:r>
              <w:rPr>
                <w:rFonts w:ascii="Arial" w:cs="Arial" w:eastAsia="Arial" w:hAnsi="Arial"/>
                <w:sz w:val="18"/>
                <w:szCs w:val="18"/>
                <w:b w:val="1"/>
                <w:bCs w:val="1"/>
                <w:color w:val="0A0A0A"/>
              </w:rPr>
              <w:t>2020</w:t>
            </w: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622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580" w:type="dxa"/>
            <w:vAlign w:val="bottom"/>
            <w:tcBorders>
              <w:top w:val="single" w:sz="8" w:color="auto"/>
            </w:tcBorders>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w:t>
            </w:r>
          </w:p>
        </w:tc>
        <w:tc>
          <w:tcPr>
            <w:tcW w:w="98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173.7</w:t>
            </w:r>
          </w:p>
        </w:tc>
        <w:tc>
          <w:tcPr>
            <w:tcW w:w="460" w:type="dxa"/>
            <w:vAlign w:val="bottom"/>
            <w:tcBorders>
              <w:top w:val="single" w:sz="8" w:color="auto"/>
            </w:tcBorders>
            <w:shd w:val="clear" w:color="auto" w:fill="C6F4F9"/>
          </w:tcPr>
          <w:p>
            <w:pPr>
              <w:jc w:val="right"/>
              <w:ind w:right="130"/>
              <w:spacing w:after="0" w:line="196" w:lineRule="exact"/>
              <w:rPr>
                <w:sz w:val="20"/>
                <w:szCs w:val="20"/>
                <w:color w:val="auto"/>
              </w:rPr>
            </w:pPr>
            <w:r>
              <w:rPr>
                <w:rFonts w:ascii="Arial" w:cs="Arial" w:eastAsia="Arial" w:hAnsi="Arial"/>
                <w:sz w:val="18"/>
                <w:szCs w:val="18"/>
                <w:color w:val="0A0A0A"/>
              </w:rPr>
              <w:t>$</w:t>
            </w:r>
          </w:p>
        </w:tc>
        <w:tc>
          <w:tcPr>
            <w:tcW w:w="1020" w:type="dxa"/>
            <w:vAlign w:val="bottom"/>
            <w:tcBorders>
              <w:top w:val="single" w:sz="8" w:color="auto"/>
            </w:tcBorders>
            <w:shd w:val="clear" w:color="auto" w:fill="C6F4F9"/>
          </w:tcPr>
          <w:p>
            <w:pPr>
              <w:jc w:val="right"/>
              <w:ind w:right="151"/>
              <w:spacing w:after="0" w:line="196" w:lineRule="exact"/>
              <w:rPr>
                <w:sz w:val="20"/>
                <w:szCs w:val="20"/>
                <w:color w:val="auto"/>
              </w:rPr>
            </w:pPr>
            <w:r>
              <w:rPr>
                <w:rFonts w:ascii="Arial" w:cs="Arial" w:eastAsia="Arial" w:hAnsi="Arial"/>
                <w:sz w:val="18"/>
                <w:szCs w:val="18"/>
                <w:color w:val="0A0A0A"/>
              </w:rPr>
              <w:t>78.0</w:t>
            </w:r>
          </w:p>
        </w:tc>
        <w:tc>
          <w:tcPr>
            <w:tcW w:w="1200" w:type="dxa"/>
            <w:vAlign w:val="bottom"/>
            <w:tcBorders>
              <w:top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122.7</w:t>
            </w:r>
          </w:p>
        </w:tc>
        <w:tc>
          <w:tcPr>
            <w:tcW w:w="78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5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22.0</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8.8</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149.5</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before income tax</w:t>
            </w:r>
          </w:p>
        </w:tc>
        <w:tc>
          <w:tcPr>
            <w:tcW w:w="580" w:type="dxa"/>
            <w:vAlign w:val="bottom"/>
            <w:shd w:val="clear" w:color="auto" w:fill="C6F4F9"/>
          </w:tcPr>
          <w:p>
            <w:pPr>
              <w:spacing w:after="0"/>
              <w:rPr>
                <w:sz w:val="17"/>
                <w:szCs w:val="17"/>
                <w:color w:val="auto"/>
              </w:rPr>
            </w:pPr>
          </w:p>
        </w:tc>
        <w:tc>
          <w:tcPr>
            <w:tcW w:w="9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16.2</w:t>
            </w:r>
          </w:p>
        </w:tc>
        <w:tc>
          <w:tcPr>
            <w:tcW w:w="46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3.9</w:t>
            </w: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320.8</w:t>
            </w:r>
          </w:p>
        </w:tc>
        <w:tc>
          <w:tcPr>
            <w:tcW w:w="78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0A0A0A"/>
              </w:rPr>
              <w:t>Net income</w:t>
            </w:r>
          </w:p>
        </w:tc>
        <w:tc>
          <w:tcPr>
            <w:tcW w:w="5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13.9</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2.9</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375.0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per share</w:t>
            </w:r>
          </w:p>
        </w:tc>
        <w:tc>
          <w:tcPr>
            <w:tcW w:w="5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9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0.23</w:t>
            </w:r>
          </w:p>
        </w:tc>
        <w:tc>
          <w:tcPr>
            <w:tcW w:w="4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0.06</w:t>
            </w: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283.3</w:t>
            </w:r>
          </w:p>
        </w:tc>
        <w:tc>
          <w:tcPr>
            <w:tcW w:w="78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580" w:type="dxa"/>
            <w:vAlign w:val="bottom"/>
          </w:tcPr>
          <w:p>
            <w:pPr>
              <w:spacing w:after="0"/>
              <w:rPr>
                <w:sz w:val="18"/>
                <w:szCs w:val="18"/>
                <w:color w:val="auto"/>
              </w:rPr>
            </w:pPr>
          </w:p>
        </w:tc>
        <w:tc>
          <w:tcPr>
            <w:tcW w:w="2460" w:type="dxa"/>
            <w:vAlign w:val="bottom"/>
            <w:gridSpan w:val="3"/>
            <w:vMerge w:val="restart"/>
          </w:tcPr>
          <w:p>
            <w:pPr>
              <w:jc w:val="center"/>
              <w:ind w:right="311"/>
              <w:spacing w:after="0"/>
              <w:rPr>
                <w:sz w:val="20"/>
                <w:szCs w:val="20"/>
                <w:color w:val="auto"/>
              </w:rPr>
            </w:pPr>
            <w:r>
              <w:rPr>
                <w:rFonts w:ascii="Arial" w:cs="Arial" w:eastAsia="Arial" w:hAnsi="Arial"/>
                <w:sz w:val="18"/>
                <w:szCs w:val="18"/>
                <w:b w:val="1"/>
                <w:bCs w:val="1"/>
                <w:color w:val="auto"/>
                <w:w w:val="99"/>
              </w:rPr>
              <w:t>Three Months Ended</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rPr>
              <w:t>Sep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0A0A0A"/>
              </w:rPr>
              <w:t>2021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0A0A0A"/>
              </w:rPr>
              <w:t>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A0A0A"/>
              </w:rPr>
              <w:t>% Change</w:t>
            </w:r>
          </w:p>
        </w:tc>
        <w:tc>
          <w:tcPr>
            <w:tcW w:w="78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2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5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0A0A0A"/>
              </w:rPr>
              <w:t>$</w:t>
            </w:r>
          </w:p>
        </w:tc>
        <w:tc>
          <w:tcPr>
            <w:tcW w:w="98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22.9</w:t>
            </w:r>
          </w:p>
        </w:tc>
        <w:tc>
          <w:tcPr>
            <w:tcW w:w="46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21.6)</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2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5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0A0A0A"/>
              </w:rPr>
              <w:t>16.7</w:t>
            </w:r>
          </w:p>
        </w:tc>
        <w:tc>
          <w:tcPr>
            <w:tcW w:w="4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(26.6)</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2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580" w:type="dxa"/>
            <w:vAlign w:val="bottom"/>
            <w:shd w:val="clear" w:color="auto" w:fill="C6F4F9"/>
          </w:tcPr>
          <w:p>
            <w:pPr>
              <w:spacing w:after="0"/>
              <w:rPr>
                <w:sz w:val="21"/>
                <w:szCs w:val="21"/>
                <w:color w:val="auto"/>
              </w:rPr>
            </w:pPr>
          </w:p>
        </w:tc>
        <w:tc>
          <w:tcPr>
            <w:tcW w:w="98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14.0</w:t>
            </w:r>
          </w:p>
        </w:tc>
        <w:tc>
          <w:tcPr>
            <w:tcW w:w="46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(20.5)</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622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580" w:type="dxa"/>
            <w:vAlign w:val="bottom"/>
          </w:tcPr>
          <w:p>
            <w:pPr>
              <w:jc w:val="right"/>
              <w:ind w:right="70"/>
              <w:spacing w:after="0"/>
              <w:rPr>
                <w:sz w:val="20"/>
                <w:szCs w:val="20"/>
                <w:color w:val="auto"/>
              </w:rPr>
            </w:pPr>
            <w:r>
              <w:rPr>
                <w:rFonts w:ascii="Arial" w:cs="Arial" w:eastAsia="Arial" w:hAnsi="Arial"/>
                <w:sz w:val="18"/>
                <w:szCs w:val="18"/>
                <w:color w:val="0A0A0A"/>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0A0A0A"/>
              </w:rPr>
              <w:t>0.23</w:t>
            </w:r>
          </w:p>
        </w:tc>
        <w:tc>
          <w:tcPr>
            <w:tcW w:w="46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0.42)</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2"/>
        </w:trPr>
        <w:tc>
          <w:tcPr>
            <w:tcW w:w="6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60" w:type="dxa"/>
            <w:vAlign w:val="bottom"/>
            <w:gridSpan w:val="3"/>
          </w:tcPr>
          <w:p>
            <w:pPr>
              <w:jc w:val="center"/>
              <w:ind w:right="291"/>
              <w:spacing w:after="0"/>
              <w:rPr>
                <w:sz w:val="20"/>
                <w:szCs w:val="20"/>
                <w:color w:val="auto"/>
              </w:rPr>
            </w:pPr>
            <w:r>
              <w:rPr>
                <w:rFonts w:ascii="Arial" w:cs="Arial" w:eastAsia="Arial" w:hAnsi="Arial"/>
                <w:sz w:val="18"/>
                <w:szCs w:val="18"/>
                <w:b w:val="1"/>
                <w:bCs w:val="1"/>
                <w:color w:val="auto"/>
                <w:w w:val="99"/>
              </w:rPr>
              <w:t>Nine Months Ended</w:t>
            </w: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rPr>
              <w:t>Sep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0A0A0A"/>
              </w:rPr>
              <w:t>2021</w:t>
            </w:r>
          </w:p>
        </w:tc>
        <w:tc>
          <w:tcPr>
            <w:tcW w:w="460" w:type="dxa"/>
            <w:vAlign w:val="bottom"/>
          </w:tcPr>
          <w:p>
            <w:pPr>
              <w:spacing w:after="0"/>
              <w:rPr>
                <w:sz w:val="19"/>
                <w:szCs w:val="19"/>
                <w:color w:val="auto"/>
              </w:rPr>
            </w:pPr>
          </w:p>
        </w:tc>
        <w:tc>
          <w:tcPr>
            <w:tcW w:w="1020" w:type="dxa"/>
            <w:vAlign w:val="bottom"/>
          </w:tcPr>
          <w:p>
            <w:pPr>
              <w:jc w:val="right"/>
              <w:ind w:right="451"/>
              <w:spacing w:after="0"/>
              <w:rPr>
                <w:sz w:val="20"/>
                <w:szCs w:val="20"/>
                <w:color w:val="auto"/>
              </w:rPr>
            </w:pPr>
            <w:r>
              <w:rPr>
                <w:rFonts w:ascii="Arial" w:cs="Arial" w:eastAsia="Arial" w:hAnsi="Arial"/>
                <w:sz w:val="18"/>
                <w:szCs w:val="18"/>
                <w:b w:val="1"/>
                <w:bCs w:val="1"/>
                <w:color w:val="0A0A0A"/>
              </w:rPr>
              <w:t>2020</w:t>
            </w: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622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580" w:type="dxa"/>
            <w:vAlign w:val="bottom"/>
            <w:tcBorders>
              <w:top w:val="single" w:sz="8" w:color="auto"/>
            </w:tcBorders>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w:t>
            </w:r>
          </w:p>
        </w:tc>
        <w:tc>
          <w:tcPr>
            <w:tcW w:w="98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450.5</w:t>
            </w:r>
          </w:p>
        </w:tc>
        <w:tc>
          <w:tcPr>
            <w:tcW w:w="460" w:type="dxa"/>
            <w:vAlign w:val="bottom"/>
            <w:tcBorders>
              <w:top w:val="single" w:sz="8" w:color="auto"/>
            </w:tcBorders>
            <w:shd w:val="clear" w:color="auto" w:fill="C6F4F9"/>
          </w:tcPr>
          <w:p>
            <w:pPr>
              <w:jc w:val="right"/>
              <w:ind w:right="130"/>
              <w:spacing w:after="0" w:line="196" w:lineRule="exact"/>
              <w:rPr>
                <w:sz w:val="20"/>
                <w:szCs w:val="20"/>
                <w:color w:val="auto"/>
              </w:rPr>
            </w:pPr>
            <w:r>
              <w:rPr>
                <w:rFonts w:ascii="Arial" w:cs="Arial" w:eastAsia="Arial" w:hAnsi="Arial"/>
                <w:sz w:val="18"/>
                <w:szCs w:val="18"/>
                <w:color w:val="0A0A0A"/>
              </w:rPr>
              <w:t>$</w:t>
            </w:r>
          </w:p>
        </w:tc>
        <w:tc>
          <w:tcPr>
            <w:tcW w:w="1020" w:type="dxa"/>
            <w:vAlign w:val="bottom"/>
            <w:tcBorders>
              <w:top w:val="single" w:sz="8" w:color="auto"/>
            </w:tcBorders>
            <w:shd w:val="clear" w:color="auto" w:fill="C6F4F9"/>
          </w:tcPr>
          <w:p>
            <w:pPr>
              <w:jc w:val="right"/>
              <w:ind w:right="151"/>
              <w:spacing w:after="0" w:line="196" w:lineRule="exact"/>
              <w:rPr>
                <w:sz w:val="20"/>
                <w:szCs w:val="20"/>
                <w:color w:val="auto"/>
              </w:rPr>
            </w:pPr>
            <w:r>
              <w:rPr>
                <w:rFonts w:ascii="Arial" w:cs="Arial" w:eastAsia="Arial" w:hAnsi="Arial"/>
                <w:sz w:val="18"/>
                <w:szCs w:val="18"/>
                <w:color w:val="0A0A0A"/>
              </w:rPr>
              <w:t>293.7</w:t>
            </w:r>
          </w:p>
        </w:tc>
        <w:tc>
          <w:tcPr>
            <w:tcW w:w="1200" w:type="dxa"/>
            <w:vAlign w:val="bottom"/>
            <w:tcBorders>
              <w:top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53.4</w:t>
            </w:r>
          </w:p>
        </w:tc>
        <w:tc>
          <w:tcPr>
            <w:tcW w:w="78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5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96.2</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21.8</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340.9</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before income tax</w:t>
            </w:r>
          </w:p>
        </w:tc>
        <w:tc>
          <w:tcPr>
            <w:tcW w:w="580" w:type="dxa"/>
            <w:vAlign w:val="bottom"/>
            <w:shd w:val="clear" w:color="auto" w:fill="C6F4F9"/>
          </w:tcPr>
          <w:p>
            <w:pPr>
              <w:spacing w:after="0"/>
              <w:rPr>
                <w:sz w:val="17"/>
                <w:szCs w:val="17"/>
                <w:color w:val="auto"/>
              </w:rPr>
            </w:pPr>
          </w:p>
        </w:tc>
        <w:tc>
          <w:tcPr>
            <w:tcW w:w="9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95.2</w:t>
            </w:r>
          </w:p>
        </w:tc>
        <w:tc>
          <w:tcPr>
            <w:tcW w:w="46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5.6</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0A0A0A"/>
              </w:rPr>
              <w:t>Net income</w:t>
            </w:r>
          </w:p>
        </w:tc>
        <w:tc>
          <w:tcPr>
            <w:tcW w:w="58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78.1</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4.1</w:t>
            </w:r>
          </w:p>
        </w:tc>
        <w:tc>
          <w:tcPr>
            <w:tcW w:w="1980" w:type="dxa"/>
            <w:vAlign w:val="bottom"/>
            <w:gridSpan w:val="2"/>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per share</w:t>
            </w:r>
          </w:p>
        </w:tc>
        <w:tc>
          <w:tcPr>
            <w:tcW w:w="5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9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1.33</w:t>
            </w:r>
          </w:p>
        </w:tc>
        <w:tc>
          <w:tcPr>
            <w:tcW w:w="4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0.09</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2"/>
        </w:trPr>
        <w:tc>
          <w:tcPr>
            <w:tcW w:w="6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gridSpan w:val="3"/>
          </w:tcPr>
          <w:p>
            <w:pPr>
              <w:jc w:val="center"/>
              <w:ind w:right="291"/>
              <w:spacing w:after="0"/>
              <w:rPr>
                <w:sz w:val="20"/>
                <w:szCs w:val="20"/>
                <w:color w:val="auto"/>
              </w:rPr>
            </w:pPr>
            <w:r>
              <w:rPr>
                <w:rFonts w:ascii="Arial" w:cs="Arial" w:eastAsia="Arial" w:hAnsi="Arial"/>
                <w:sz w:val="18"/>
                <w:szCs w:val="18"/>
                <w:b w:val="1"/>
                <w:bCs w:val="1"/>
                <w:color w:val="auto"/>
                <w:w w:val="99"/>
              </w:rPr>
              <w:t>Nine Months Ended</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rPr>
              <w:t>Sep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0A0A0A"/>
              </w:rPr>
              <w:t>2021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0A0A0A"/>
              </w:rPr>
              <w:t>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A0A0A"/>
              </w:rPr>
              <w:t>% Change</w:t>
            </w:r>
          </w:p>
        </w:tc>
        <w:tc>
          <w:tcPr>
            <w:tcW w:w="78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2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5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0A0A0A"/>
              </w:rPr>
              <w:t>$</w:t>
            </w:r>
          </w:p>
        </w:tc>
        <w:tc>
          <w:tcPr>
            <w:tcW w:w="98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35.6</w:t>
            </w:r>
          </w:p>
        </w:tc>
        <w:tc>
          <w:tcPr>
            <w:tcW w:w="46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36.8)</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2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5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0A0A0A"/>
              </w:rPr>
              <w:t>17.4</w:t>
            </w:r>
          </w:p>
        </w:tc>
        <w:tc>
          <w:tcPr>
            <w:tcW w:w="4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(52.7)</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2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580" w:type="dxa"/>
            <w:vAlign w:val="bottom"/>
            <w:shd w:val="clear" w:color="auto" w:fill="C6F4F9"/>
          </w:tcPr>
          <w:p>
            <w:pPr>
              <w:spacing w:after="0"/>
              <w:rPr>
                <w:sz w:val="21"/>
                <w:szCs w:val="21"/>
                <w:color w:val="auto"/>
              </w:rPr>
            </w:pPr>
          </w:p>
        </w:tc>
        <w:tc>
          <w:tcPr>
            <w:tcW w:w="98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13.6</w:t>
            </w:r>
          </w:p>
        </w:tc>
        <w:tc>
          <w:tcPr>
            <w:tcW w:w="46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(40.7)</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622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580" w:type="dxa"/>
            <w:vAlign w:val="bottom"/>
          </w:tcPr>
          <w:p>
            <w:pPr>
              <w:jc w:val="right"/>
              <w:ind w:right="70"/>
              <w:spacing w:after="0"/>
              <w:rPr>
                <w:sz w:val="20"/>
                <w:szCs w:val="20"/>
                <w:color w:val="auto"/>
              </w:rPr>
            </w:pPr>
            <w:r>
              <w:rPr>
                <w:rFonts w:ascii="Arial" w:cs="Arial" w:eastAsia="Arial" w:hAnsi="Arial"/>
                <w:sz w:val="18"/>
                <w:szCs w:val="18"/>
                <w:color w:val="0A0A0A"/>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0A0A0A"/>
              </w:rPr>
              <w:t>0.23</w:t>
            </w:r>
          </w:p>
        </w:tc>
        <w:tc>
          <w:tcPr>
            <w:tcW w:w="46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0.84)</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596"/>
        </w:trPr>
        <w:tc>
          <w:tcPr>
            <w:tcW w:w="622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1</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6640195</wp:posOffset>
            </wp:positionH>
            <wp:positionV relativeFrom="paragraph">
              <wp:posOffset>-4996815</wp:posOffset>
            </wp:positionV>
            <wp:extent cx="49720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53149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-4337050</wp:posOffset>
            </wp:positionV>
            <wp:extent cx="4972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-4079875</wp:posOffset>
            </wp:positionV>
            <wp:extent cx="4972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-3822700</wp:posOffset>
            </wp:positionV>
            <wp:extent cx="49720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55753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-3110865</wp:posOffset>
            </wp:positionV>
            <wp:extent cx="49720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1543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-2673985</wp:posOffset>
            </wp:positionV>
            <wp:extent cx="49720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 cy="53149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-2013585</wp:posOffset>
            </wp:positionV>
            <wp:extent cx="4972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-1756410</wp:posOffset>
            </wp:positionV>
            <wp:extent cx="4972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-1499235</wp:posOffset>
            </wp:positionV>
            <wp:extent cx="497205" cy="55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205" cy="55689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-788035</wp:posOffset>
            </wp:positionV>
            <wp:extent cx="49720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205" cy="15430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0A0A0A"/>
        </w:rPr>
        <w:t>For the quarter ended September 30, 2021, Sun Country reported net income of $14 million and income before income tax of $16 million, on $174 million of revenue. Adjusting to remove stock compensation expense and special items, adjusted income before income tax for the</w:t>
      </w:r>
    </w:p>
    <w:p>
      <w:pPr>
        <w:spacing w:after="0" w:line="2" w:lineRule="exact"/>
        <w:rPr>
          <w:sz w:val="20"/>
          <w:szCs w:val="20"/>
          <w:color w:val="auto"/>
        </w:rPr>
      </w:pPr>
    </w:p>
    <w:p>
      <w:pPr>
        <w:ind w:right="600"/>
        <w:spacing w:after="0" w:line="225" w:lineRule="auto"/>
        <w:rPr>
          <w:sz w:val="20"/>
          <w:szCs w:val="20"/>
          <w:color w:val="auto"/>
        </w:rPr>
      </w:pPr>
      <w:r>
        <w:rPr>
          <w:rFonts w:ascii="Arial" w:cs="Arial" w:eastAsia="Arial" w:hAnsi="Arial"/>
          <w:sz w:val="18"/>
          <w:szCs w:val="18"/>
          <w:color w:val="0A0A0A"/>
        </w:rPr>
        <w:t>quarter was $17 million</w:t>
      </w:r>
      <w:r>
        <w:rPr>
          <w:rFonts w:ascii="Arial" w:cs="Arial" w:eastAsia="Arial" w:hAnsi="Arial"/>
          <w:sz w:val="29"/>
          <w:szCs w:val="29"/>
          <w:color w:val="0A0A0A"/>
          <w:vertAlign w:val="superscript"/>
        </w:rPr>
        <w:t>(1)</w:t>
      </w:r>
      <w:r>
        <w:rPr>
          <w:rFonts w:ascii="Arial" w:cs="Arial" w:eastAsia="Arial" w:hAnsi="Arial"/>
          <w:sz w:val="18"/>
          <w:szCs w:val="18"/>
          <w:color w:val="0A0A0A"/>
        </w:rPr>
        <w:t>. GAAP operating income during the quarter was $22 million, producing an operating margin of 12.7%, while adjusted operating income was $23 million</w:t>
      </w:r>
      <w:r>
        <w:rPr>
          <w:rFonts w:ascii="Arial" w:cs="Arial" w:eastAsia="Arial" w:hAnsi="Arial"/>
          <w:sz w:val="29"/>
          <w:szCs w:val="29"/>
          <w:color w:val="0A0A0A"/>
          <w:vertAlign w:val="superscript"/>
        </w:rPr>
        <w:t>(1)</w:t>
      </w:r>
      <w:r>
        <w:rPr>
          <w:rFonts w:ascii="Arial" w:cs="Arial" w:eastAsia="Arial" w:hAnsi="Arial"/>
          <w:sz w:val="18"/>
          <w:szCs w:val="18"/>
          <w:color w:val="0A0A0A"/>
        </w:rPr>
        <w:t>, resulting in an adjusted operating income margin of 13.2%</w:t>
      </w:r>
      <w:r>
        <w:rPr>
          <w:rFonts w:ascii="Arial" w:cs="Arial" w:eastAsia="Arial" w:hAnsi="Arial"/>
          <w:sz w:val="29"/>
          <w:szCs w:val="29"/>
          <w:color w:val="0A0A0A"/>
          <w:vertAlign w:val="superscript"/>
        </w:rPr>
        <w:t>(1)</w:t>
      </w:r>
      <w:r>
        <w:rPr>
          <w:rFonts w:ascii="Arial" w:cs="Arial" w:eastAsia="Arial" w:hAnsi="Arial"/>
          <w:sz w:val="18"/>
          <w:szCs w:val="18"/>
          <w:color w:val="0A0A0A"/>
        </w:rPr>
        <w:t>.</w:t>
      </w:r>
    </w:p>
    <w:p>
      <w:pPr>
        <w:spacing w:after="0" w:line="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0A0A0A"/>
        </w:rPr>
        <w:t>“We have now put together four consecutive quarters of above 15% adjusted EBITDAR margins with a 24% margin for the third quarter,” said Dave Davis, President and Chief Financial Officer of Sun Country. “We are achieving these strong financial results despite still being in the recovery phase of the pandemic. Although total available seat miles are still 16% below what they were in the third quarter 2019, our total revenue per ASM (TRASM), which excludes cargo revenue, was positive versus 2019 for each month in this quarter. In addition, both our average base fare per passenger and ancillary revenue per passenger were higher than 2019 for the third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20" w:lineRule="exact"/>
        <w:rPr>
          <w:sz w:val="20"/>
          <w:szCs w:val="20"/>
          <w:color w:val="auto"/>
        </w:rPr>
      </w:pPr>
    </w:p>
    <w:p>
      <w:pPr>
        <w:ind w:left="660" w:right="22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Secured delivery of two additional aircraft, one of which began flying in August, the other is expected to begin flying in early 2022. These aircraft are the fourth and fifth aircraft acquired this year which equals the aircraft procurement target set at the beginning of 2021. The Company continues to actively evaluate aircraft to fund future growth plans.</w:t>
      </w:r>
    </w:p>
    <w:p>
      <w:pPr>
        <w:spacing w:after="0" w:line="2"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a new five-year agreement with Major League Soccer to provide comprehensive charter service for all 27 MLS teams</w:t>
      </w:r>
    </w:p>
    <w:p>
      <w:pPr>
        <w:spacing w:after="0" w:line="9" w:lineRule="exact"/>
        <w:rPr>
          <w:rFonts w:ascii="Arial" w:cs="Arial" w:eastAsia="Arial" w:hAnsi="Arial"/>
          <w:sz w:val="18"/>
          <w:szCs w:val="18"/>
          <w:color w:val="0A0A0A"/>
        </w:rPr>
      </w:pPr>
    </w:p>
    <w:p>
      <w:pPr>
        <w:ind w:left="660" w:right="1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Extended schedule through Labor Day 2022 with seven new nonstop destinations from Minneapolis, MN broadening the network to over 70 airports from the Twin Cities which represents a 40% increase from 2019</w:t>
      </w:r>
    </w:p>
    <w:p>
      <w:pPr>
        <w:spacing w:after="0" w:line="1" w:lineRule="exact"/>
        <w:rPr>
          <w:rFonts w:ascii="Arial" w:cs="Arial" w:eastAsia="Arial" w:hAnsi="Arial"/>
          <w:sz w:val="18"/>
          <w:szCs w:val="18"/>
          <w:color w:val="0A0A0A"/>
        </w:rPr>
      </w:pPr>
    </w:p>
    <w:p>
      <w:pPr>
        <w:ind w:left="660" w:right="42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Through a partnership with Landline, announced Sun Country Door-to-Door, a new private home pickup service that brings local customers from their house to Minneapolis-Saint Paul International Airport</w:t>
      </w:r>
    </w:p>
    <w:p>
      <w:pPr>
        <w:spacing w:after="0" w:line="1"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Partnered with Caribou Coffee, Fulton Brewing and Dot’s Pretzels to upgrade inflight menu</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0A0A0A"/>
        </w:rPr>
        <w:t>The Company continues to grow sensibly through the recovery. Total available seat miles (“ASM”) increased versus the second quarter of 2021 by 7% but are still 16% lower than the third quarter of 2019 due to the unpredictability of the demand environment. Charter block hours also increased versus the second quarter of 2021 by 5%, with the bulk of the charter flying occurring in our ad hoc segment. Cargo block hours grew 4% versus the second quarter 2021. Comparisons to the third quarter 2020 are not meaningful due to the impact of COVID-19.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0A0A0A"/>
        </w:rPr>
        <w:t xml:space="preserve">For the third quarter of 2021, the Company reported total revenue of $174 million which was $24 million, or 16%, higher than the $149 million recorded in the second quarter of 2021, and 1% above the third quarter of 2019. </w:t>
      </w:r>
      <w:r>
        <w:rPr>
          <w:rFonts w:ascii="Arial" w:cs="Arial" w:eastAsia="Arial" w:hAnsi="Arial"/>
          <w:sz w:val="18"/>
          <w:szCs w:val="18"/>
          <w:color w:val="000000"/>
        </w:rPr>
        <w:t>The Company’s scheduled revenue per scheduled ASM</w:t>
      </w:r>
      <w:r>
        <w:rPr>
          <w:rFonts w:ascii="Arial" w:cs="Arial" w:eastAsia="Arial" w:hAnsi="Arial"/>
          <w:sz w:val="18"/>
          <w:szCs w:val="18"/>
          <w:color w:val="0A0A0A"/>
        </w:rPr>
        <w:t xml:space="preserve"> </w:t>
      </w:r>
      <w:r>
        <w:rPr>
          <w:rFonts w:ascii="Arial" w:cs="Arial" w:eastAsia="Arial" w:hAnsi="Arial"/>
          <w:sz w:val="18"/>
          <w:szCs w:val="18"/>
          <w:color w:val="000000"/>
        </w:rPr>
        <w:t>(PRASM) of 6.2 cents in the third quarter of 2021 increased 11% from the second quarter 2021, while scheduled ASMs grew 8% during the same period. Ancillary revenue has remained strong throughout the pandemic. Ancillary revenue per passenger of $42.91 was 33% higher than the third quarter of 2019 and grew 3% versus the second quarter of 2021.</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third quarter of 2021, the Company’s charter service revenue was $34 million, an increase of 17% versus $29 million in the second quarter of 2021. Charter revenue was down 26% versus the third quarter of 2019 as the Casino business is still below 2019 levels and military charter unit revenues are depressed due to other airlines redeploying large aircraft into the charter segment that are normally flying international markets.</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 In the third quarter of 2021, cargo revenue was $24 million, a 10% increase versus the second quarter of 2021. Flying under the ATSA began in May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0A0A0A"/>
        </w:rPr>
        <w:t>For the third quarter of 2021, total GAAP operating expenses decreased 6% versus the third quarter of 2019, while total block hours increased 13% versus the same period. Adjusted CASM is a non-GAAP measure derived from CASM by excluding fuel costs, Special Items described above, non-cash management stock compensation expense, costs arising from its cargo operations (starting in 2020 when the Company launched cargo operations), certain commissions, and other costs of selling its vacations product from this measure. In the third quarter of 2021, Adjusted CASM was 6.35</w:t>
      </w:r>
      <w:r>
        <w:rPr>
          <w:rFonts w:ascii="Arial" w:cs="Arial" w:eastAsia="Arial" w:hAnsi="Arial"/>
          <w:sz w:val="29"/>
          <w:szCs w:val="29"/>
          <w:color w:val="0A0A0A"/>
          <w:vertAlign w:val="superscript"/>
        </w:rPr>
        <w:t>(2)</w:t>
      </w:r>
      <w:r>
        <w:rPr>
          <w:rFonts w:ascii="Arial" w:cs="Arial" w:eastAsia="Arial" w:hAnsi="Arial"/>
          <w:sz w:val="18"/>
          <w:szCs w:val="18"/>
          <w:color w:val="0A0A0A"/>
        </w:rPr>
        <w:t xml:space="preserve"> cents.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0" w:lineRule="exact"/>
        <w:rPr>
          <w:sz w:val="20"/>
          <w:szCs w:val="20"/>
          <w:color w:val="auto"/>
        </w:rPr>
      </w:pPr>
    </w:p>
    <w:p>
      <w:pPr>
        <w:ind w:right="300"/>
        <w:spacing w:after="0" w:line="212" w:lineRule="auto"/>
        <w:rPr>
          <w:sz w:val="20"/>
          <w:szCs w:val="20"/>
          <w:color w:val="auto"/>
        </w:rPr>
      </w:pPr>
      <w:r>
        <w:rPr>
          <w:rFonts w:ascii="Arial" w:cs="Arial" w:eastAsia="Arial" w:hAnsi="Arial"/>
          <w:sz w:val="18"/>
          <w:szCs w:val="18"/>
          <w:color w:val="0A0A0A"/>
        </w:rPr>
        <w:t>The Company’s net debt</w:t>
      </w:r>
      <w:r>
        <w:rPr>
          <w:rFonts w:ascii="Arial" w:cs="Arial" w:eastAsia="Arial" w:hAnsi="Arial"/>
          <w:sz w:val="29"/>
          <w:szCs w:val="29"/>
          <w:color w:val="0A0A0A"/>
          <w:vertAlign w:val="superscript"/>
        </w:rPr>
        <w:t>(3)</w:t>
      </w:r>
      <w:r>
        <w:rPr>
          <w:rFonts w:ascii="Arial" w:cs="Arial" w:eastAsia="Arial" w:hAnsi="Arial"/>
          <w:sz w:val="18"/>
          <w:szCs w:val="18"/>
          <w:color w:val="0A0A0A"/>
        </w:rPr>
        <w:t xml:space="preserve"> for the third quarter was $267 million. Total liquidity at the end of the third quarter was $300 million. The use of cash during the quarter was driven by the purchase of two aircraft. Total debt during the quarter increased due to the addition of an incremental aircraft using a finance lease structure.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0A0A0A"/>
        </w:rPr>
        <w:t>The Company currently operates 35 aircraft in passenger service, an increase of two since June 30. It has acquired five aircraft this year as planned and is actively pursuing other used aircraft transactions. It continues to operate 12 freighter aircraft in its cargo operation.</w:t>
      </w:r>
    </w:p>
    <w:p>
      <w:pPr>
        <w:spacing w:after="0" w:line="291"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r>
              <w:rPr>
                <w:rFonts w:ascii="Arial" w:cs="Arial" w:eastAsia="Arial" w:hAnsi="Arial"/>
                <w:sz w:val="18"/>
                <w:szCs w:val="18"/>
                <w:b w:val="1"/>
                <w:bCs w:val="1"/>
                <w:color w:val="0A0A0A"/>
              </w:rPr>
              <w:t>Guidance for Fourth Quarter 2021</w:t>
            </w:r>
          </w:p>
        </w:tc>
        <w:tc>
          <w:tcPr>
            <w:tcW w:w="2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0A0A0A"/>
                <w:w w:val="98"/>
              </w:rPr>
              <w:t>Q4 2021</w:t>
            </w:r>
          </w:p>
        </w:tc>
        <w:tc>
          <w:tcPr>
            <w:tcW w:w="4040" w:type="dxa"/>
            <w:vAlign w:val="bottom"/>
            <w:gridSpan w:val="2"/>
            <w:vMerge w:val="restart"/>
          </w:tcPr>
          <w:p>
            <w:pPr>
              <w:jc w:val="center"/>
              <w:ind w:right="1800"/>
              <w:spacing w:after="0"/>
              <w:rPr>
                <w:sz w:val="20"/>
                <w:szCs w:val="20"/>
                <w:color w:val="auto"/>
              </w:rPr>
            </w:pPr>
            <w:r>
              <w:rPr>
                <w:rFonts w:ascii="Arial" w:cs="Arial" w:eastAsia="Arial" w:hAnsi="Arial"/>
                <w:sz w:val="18"/>
                <w:szCs w:val="18"/>
                <w:b w:val="1"/>
                <w:bCs w:val="1"/>
                <w:color w:val="0A0A0A"/>
                <w:w w:val="99"/>
              </w:rPr>
              <w:t>H/(L) vs Q4 2019</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4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Total revenue - millions</w:t>
            </w:r>
          </w:p>
        </w:tc>
        <w:tc>
          <w:tcPr>
            <w:tcW w:w="2480" w:type="dxa"/>
            <w:vAlign w:val="bottom"/>
            <w:tcBorders>
              <w:top w:val="single" w:sz="8" w:color="auto"/>
            </w:tcBorders>
            <w:shd w:val="clear" w:color="auto" w:fill="C6F4F9"/>
          </w:tcPr>
          <w:p>
            <w:pPr>
              <w:jc w:val="center"/>
              <w:spacing w:after="0" w:line="196" w:lineRule="exact"/>
              <w:rPr>
                <w:sz w:val="20"/>
                <w:szCs w:val="20"/>
                <w:color w:val="auto"/>
              </w:rPr>
            </w:pPr>
            <w:r>
              <w:rPr>
                <w:rFonts w:ascii="Arial" w:cs="Arial" w:eastAsia="Arial" w:hAnsi="Arial"/>
                <w:sz w:val="18"/>
                <w:szCs w:val="18"/>
                <w:color w:val="0A0A0A"/>
                <w:w w:val="98"/>
              </w:rPr>
              <w:t>$164 to $169</w:t>
            </w:r>
          </w:p>
        </w:tc>
        <w:tc>
          <w:tcPr>
            <w:tcW w:w="100" w:type="dxa"/>
            <w:vAlign w:val="bottom"/>
            <w:tcBorders>
              <w:top w:val="single" w:sz="8" w:color="C6F4F9"/>
            </w:tcBorders>
            <w:shd w:val="clear" w:color="auto" w:fill="C6F4F9"/>
          </w:tcPr>
          <w:p>
            <w:pPr>
              <w:spacing w:after="0"/>
              <w:rPr>
                <w:sz w:val="17"/>
                <w:szCs w:val="17"/>
                <w:color w:val="auto"/>
              </w:rPr>
            </w:pPr>
          </w:p>
        </w:tc>
        <w:tc>
          <w:tcPr>
            <w:tcW w:w="2240" w:type="dxa"/>
            <w:vAlign w:val="bottom"/>
            <w:tcBorders>
              <w:top w:val="single" w:sz="8" w:color="auto"/>
            </w:tcBorders>
            <w:shd w:val="clear" w:color="auto" w:fill="C6F4F9"/>
          </w:tcPr>
          <w:p>
            <w:pPr>
              <w:jc w:val="center"/>
              <w:spacing w:after="0" w:line="196" w:lineRule="exact"/>
              <w:rPr>
                <w:sz w:val="20"/>
                <w:szCs w:val="20"/>
                <w:color w:val="auto"/>
              </w:rPr>
            </w:pPr>
            <w:r>
              <w:rPr>
                <w:rFonts w:ascii="Arial" w:cs="Arial" w:eastAsia="Arial" w:hAnsi="Arial"/>
                <w:sz w:val="18"/>
                <w:szCs w:val="18"/>
                <w:color w:val="0A0A0A"/>
                <w:w w:val="98"/>
              </w:rPr>
              <w:t>0% to 3%</w:t>
            </w:r>
          </w:p>
        </w:tc>
        <w:tc>
          <w:tcPr>
            <w:tcW w:w="180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0A0A0A"/>
              </w:rPr>
              <w:t>Economic fuel cost per gallon</w:t>
            </w:r>
          </w:p>
        </w:tc>
        <w:tc>
          <w:tcPr>
            <w:tcW w:w="2480" w:type="dxa"/>
            <w:vAlign w:val="bottom"/>
          </w:tcPr>
          <w:p>
            <w:pPr>
              <w:jc w:val="center"/>
              <w:spacing w:after="0"/>
              <w:rPr>
                <w:sz w:val="20"/>
                <w:szCs w:val="20"/>
                <w:color w:val="auto"/>
              </w:rPr>
            </w:pPr>
            <w:r>
              <w:rPr>
                <w:rFonts w:ascii="Arial" w:cs="Arial" w:eastAsia="Arial" w:hAnsi="Arial"/>
                <w:sz w:val="18"/>
                <w:szCs w:val="18"/>
                <w:color w:val="0A0A0A"/>
              </w:rPr>
              <w:t>$2.55</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0A0A0A"/>
                <w:w w:val="99"/>
              </w:rPr>
              <w:t>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6F4F9"/>
          </w:tcPr>
          <w:p>
            <w:pPr>
              <w:spacing w:after="0"/>
              <w:rPr>
                <w:sz w:val="20"/>
                <w:szCs w:val="20"/>
                <w:color w:val="auto"/>
              </w:rPr>
            </w:pPr>
            <w:r>
              <w:rPr>
                <w:rFonts w:ascii="Arial" w:cs="Arial" w:eastAsia="Arial" w:hAnsi="Arial"/>
                <w:sz w:val="18"/>
                <w:szCs w:val="18"/>
                <w:color w:val="0A0A0A"/>
              </w:rPr>
              <w:t>Operating income margin - percentage</w:t>
            </w:r>
          </w:p>
        </w:tc>
        <w:tc>
          <w:tcPr>
            <w:tcW w:w="2480" w:type="dxa"/>
            <w:vAlign w:val="bottom"/>
            <w:shd w:val="clear" w:color="auto" w:fill="C6F4F9"/>
          </w:tcPr>
          <w:p>
            <w:pPr>
              <w:jc w:val="center"/>
              <w:spacing w:after="0"/>
              <w:rPr>
                <w:sz w:val="20"/>
                <w:szCs w:val="20"/>
                <w:color w:val="auto"/>
              </w:rPr>
            </w:pPr>
            <w:r>
              <w:rPr>
                <w:rFonts w:ascii="Arial" w:cs="Arial" w:eastAsia="Arial" w:hAnsi="Arial"/>
                <w:sz w:val="18"/>
                <w:szCs w:val="18"/>
                <w:color w:val="0A0A0A"/>
                <w:w w:val="99"/>
              </w:rPr>
              <w:t>1.5% - 5.5%</w:t>
            </w:r>
          </w:p>
        </w:tc>
        <w:tc>
          <w:tcPr>
            <w:tcW w:w="100" w:type="dxa"/>
            <w:vAlign w:val="bottom"/>
            <w:shd w:val="clear" w:color="auto" w:fill="C6F4F9"/>
          </w:tcPr>
          <w:p>
            <w:pPr>
              <w:spacing w:after="0"/>
              <w:rPr>
                <w:sz w:val="18"/>
                <w:szCs w:val="18"/>
                <w:color w:val="auto"/>
              </w:rPr>
            </w:pPr>
          </w:p>
        </w:tc>
        <w:tc>
          <w:tcPr>
            <w:tcW w:w="4040" w:type="dxa"/>
            <w:vAlign w:val="bottom"/>
            <w:gridSpan w:val="2"/>
            <w:shd w:val="clear" w:color="auto" w:fill="C6F4F9"/>
          </w:tcPr>
          <w:p>
            <w:pPr>
              <w:jc w:val="center"/>
              <w:ind w:right="1800"/>
              <w:spacing w:after="0"/>
              <w:rPr>
                <w:sz w:val="20"/>
                <w:szCs w:val="20"/>
                <w:color w:val="auto"/>
              </w:rPr>
            </w:pPr>
            <w:r>
              <w:rPr>
                <w:rFonts w:ascii="Arial" w:cs="Arial" w:eastAsia="Arial" w:hAnsi="Arial"/>
                <w:sz w:val="18"/>
                <w:szCs w:val="18"/>
                <w:color w:val="0A0A0A"/>
                <w:w w:val="98"/>
              </w:rPr>
              <w:t>(6)pp to (2)pp</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0A0A0A"/>
              </w:rPr>
              <w:t>Effective tax rate</w:t>
            </w:r>
          </w:p>
        </w:tc>
        <w:tc>
          <w:tcPr>
            <w:tcW w:w="2480" w:type="dxa"/>
            <w:vAlign w:val="bottom"/>
          </w:tcPr>
          <w:p>
            <w:pPr>
              <w:jc w:val="center"/>
              <w:spacing w:after="0"/>
              <w:rPr>
                <w:sz w:val="20"/>
                <w:szCs w:val="20"/>
                <w:color w:val="auto"/>
              </w:rPr>
            </w:pPr>
            <w:r>
              <w:rPr>
                <w:rFonts w:ascii="Arial" w:cs="Arial" w:eastAsia="Arial" w:hAnsi="Arial"/>
                <w:sz w:val="18"/>
                <w:szCs w:val="18"/>
                <w:color w:val="0A0A0A"/>
                <w:w w:val="99"/>
              </w:rPr>
              <w:t>23%</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6F4F9"/>
          </w:tcPr>
          <w:p>
            <w:pPr>
              <w:spacing w:after="0"/>
              <w:rPr>
                <w:sz w:val="20"/>
                <w:szCs w:val="20"/>
                <w:color w:val="auto"/>
              </w:rPr>
            </w:pPr>
            <w:r>
              <w:rPr>
                <w:rFonts w:ascii="Arial" w:cs="Arial" w:eastAsia="Arial" w:hAnsi="Arial"/>
                <w:sz w:val="18"/>
                <w:szCs w:val="18"/>
                <w:color w:val="0A0A0A"/>
              </w:rPr>
              <w:t>Total system ASMs - millions</w:t>
            </w:r>
          </w:p>
        </w:tc>
        <w:tc>
          <w:tcPr>
            <w:tcW w:w="2580" w:type="dxa"/>
            <w:vAlign w:val="bottom"/>
            <w:gridSpan w:val="2"/>
            <w:shd w:val="clear" w:color="auto" w:fill="C6F4F9"/>
          </w:tcPr>
          <w:p>
            <w:pPr>
              <w:jc w:val="center"/>
              <w:ind w:right="80"/>
              <w:spacing w:after="0"/>
              <w:rPr>
                <w:sz w:val="20"/>
                <w:szCs w:val="20"/>
                <w:color w:val="auto"/>
              </w:rPr>
            </w:pPr>
            <w:r>
              <w:rPr>
                <w:rFonts w:ascii="Arial" w:cs="Arial" w:eastAsia="Arial" w:hAnsi="Arial"/>
                <w:sz w:val="18"/>
                <w:szCs w:val="18"/>
                <w:color w:val="0A0A0A"/>
                <w:w w:val="99"/>
              </w:rPr>
              <w:t>1,475 to 1,525</w:t>
            </w:r>
          </w:p>
        </w:tc>
        <w:tc>
          <w:tcPr>
            <w:tcW w:w="4040" w:type="dxa"/>
            <w:vAlign w:val="bottom"/>
            <w:gridSpan w:val="2"/>
            <w:shd w:val="clear" w:color="auto" w:fill="C6F4F9"/>
          </w:tcPr>
          <w:p>
            <w:pPr>
              <w:jc w:val="center"/>
              <w:ind w:right="1800"/>
              <w:spacing w:after="0"/>
              <w:rPr>
                <w:sz w:val="20"/>
                <w:szCs w:val="20"/>
                <w:color w:val="auto"/>
              </w:rPr>
            </w:pPr>
            <w:r>
              <w:rPr>
                <w:rFonts w:ascii="Arial" w:cs="Arial" w:eastAsia="Arial" w:hAnsi="Arial"/>
                <w:sz w:val="18"/>
                <w:szCs w:val="18"/>
                <w:color w:val="0A0A0A"/>
              </w:rPr>
              <w:t>(11%) to (8%)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-685165</wp:posOffset>
            </wp:positionV>
            <wp:extent cx="11398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982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-410845</wp:posOffset>
            </wp:positionV>
            <wp:extent cx="11398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-136525</wp:posOffset>
            </wp:positionV>
            <wp:extent cx="11398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0A0A0A"/>
        </w:rPr>
        <w:t xml:space="preserve">Sun Country Airlines will host a conference call to discuss its third quarter 2021 results at 8:30 a.m. Eastern Time on Tuesday, November 2, 2021. A live broadcast of the conference call will be available via the investor relations section of Sun Country Airlines’ website at </w:t>
      </w:r>
      <w:r>
        <w:rPr>
          <w:rFonts w:ascii="Arial" w:cs="Arial" w:eastAsia="Arial" w:hAnsi="Arial"/>
          <w:sz w:val="18"/>
          <w:szCs w:val="18"/>
          <w:u w:val="single" w:color="auto"/>
          <w:color w:val="0000FF"/>
        </w:rPr>
        <w:t>https://ir.suncountry.com/news-events/events-and-presentations</w:t>
      </w:r>
      <w:r>
        <w:rPr>
          <w:rFonts w:ascii="Arial" w:cs="Arial" w:eastAsia="Arial" w:hAnsi="Arial"/>
          <w:sz w:val="18"/>
          <w:szCs w:val="18"/>
          <w:color w:val="000000"/>
        </w:rPr>
        <w:t>. The online replay will be available on the same website approximately one</w:t>
      </w:r>
      <w:r>
        <w:rPr>
          <w:rFonts w:ascii="Arial" w:cs="Arial" w:eastAsia="Arial" w:hAnsi="Arial"/>
          <w:sz w:val="18"/>
          <w:szCs w:val="18"/>
          <w:color w:val="0000FF"/>
        </w:rPr>
        <w:t xml:space="preserve"> </w:t>
      </w:r>
      <w:r>
        <w:rPr>
          <w:rFonts w:ascii="Arial" w:cs="Arial" w:eastAsia="Arial" w:hAnsi="Arial"/>
          <w:sz w:val="18"/>
          <w:szCs w:val="18"/>
          <w:color w:val="000000"/>
        </w:rPr>
        <w:t>hour after the call. The conference call can also be listened to live by dialing 1 (833) 458-0947 (U.S. toll free) or 1 (914) 987-7750 (U.S. toll).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22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0A0A0A"/>
        </w:rPr>
        <w:t>1 – See additional details in the tables below in the section titled “</w:t>
      </w:r>
      <w:r>
        <w:rPr>
          <w:rFonts w:ascii="Arial" w:cs="Arial" w:eastAsia="Arial" w:hAnsi="Arial"/>
          <w:sz w:val="18"/>
          <w:szCs w:val="18"/>
          <w:color w:val="000000"/>
        </w:rPr>
        <w:t>Adjusted Operating Income, Adjusted Operating Income Margin, Adjusted</w:t>
      </w:r>
      <w:r>
        <w:rPr>
          <w:rFonts w:ascii="Arial" w:cs="Arial" w:eastAsia="Arial" w:hAnsi="Arial"/>
          <w:sz w:val="18"/>
          <w:szCs w:val="18"/>
          <w:color w:val="0A0A0A"/>
        </w:rPr>
        <w:t xml:space="preserve"> </w:t>
      </w:r>
      <w:r>
        <w:rPr>
          <w:rFonts w:ascii="Arial" w:cs="Arial" w:eastAsia="Arial" w:hAnsi="Arial"/>
          <w:sz w:val="18"/>
          <w:szCs w:val="18"/>
          <w:color w:val="000000"/>
        </w:rPr>
        <w:t>Income Before Income Tax, Adjusted Pre-tax Margin, Adjusted Net Income, Adjusted EBITDAR and Adjusted EBITDAR Margin”</w:t>
      </w:r>
    </w:p>
    <w:p>
      <w:pPr>
        <w:spacing w:after="0" w:line="236" w:lineRule="auto"/>
        <w:rPr>
          <w:sz w:val="20"/>
          <w:szCs w:val="20"/>
          <w:color w:val="auto"/>
        </w:rPr>
      </w:pPr>
      <w:r>
        <w:rPr>
          <w:rFonts w:ascii="Arial" w:cs="Arial" w:eastAsia="Arial" w:hAnsi="Arial"/>
          <w:sz w:val="18"/>
          <w:szCs w:val="18"/>
          <w:color w:val="0A0A0A"/>
        </w:rPr>
        <w:t>2 – See additional details in table below titled “R</w:t>
      </w:r>
      <w:r>
        <w:rPr>
          <w:rFonts w:ascii="Arial" w:cs="Arial" w:eastAsia="Arial" w:hAnsi="Arial"/>
          <w:sz w:val="18"/>
          <w:szCs w:val="18"/>
          <w:color w:val="000000"/>
        </w:rPr>
        <w:t>econciliation of Adjusted CASM to CASM”</w:t>
      </w:r>
    </w:p>
    <w:p>
      <w:pPr>
        <w:ind w:right="660"/>
        <w:spacing w:after="0" w:line="246" w:lineRule="auto"/>
        <w:rPr>
          <w:sz w:val="20"/>
          <w:szCs w:val="20"/>
          <w:color w:val="auto"/>
        </w:rPr>
      </w:pPr>
      <w:r>
        <w:rPr>
          <w:rFonts w:ascii="Arial" w:cs="Arial" w:eastAsia="Arial" w:hAnsi="Arial"/>
          <w:sz w:val="18"/>
          <w:szCs w:val="18"/>
          <w:color w:val="auto"/>
        </w:rPr>
        <w:t>3 – Net debt = current portion of long-term debt + long-term debt + finance lease obligations + operating lease obligations – cash and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mediarelations@suncountry.com</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0" w:lineRule="exact"/>
        <w:rPr>
          <w:sz w:val="20"/>
          <w:szCs w:val="20"/>
          <w:color w:val="auto"/>
        </w:rPr>
      </w:pPr>
    </w:p>
    <w:p>
      <w:pPr>
        <w:spacing w:after="0" w:line="234" w:lineRule="auto"/>
        <w:rPr>
          <w:sz w:val="20"/>
          <w:szCs w:val="20"/>
          <w:color w:val="auto"/>
        </w:rPr>
      </w:pPr>
      <w:r>
        <w:rPr>
          <w:rFonts w:ascii="Arial" w:cs="Arial" w:eastAsia="Arial" w:hAnsi="Arial"/>
          <w:sz w:val="18"/>
          <w:szCs w:val="18"/>
          <w:color w:val="0A0A0A"/>
        </w:rPr>
        <w:t>This report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report,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7"/>
          <w:szCs w:val="17"/>
          <w:color w:val="0A0A0A"/>
        </w:rPr>
        <w:t>These forward-looking statements reflect our views with respect to future events as of the date of this report and are based on assumptions and subject to risks and uncertainties. Given these uncertainties, you should not place undue reliance on these forward-looking statements. These forward-looking statements represent our estimates and assumptions only as of the date of this report and, except as required by law, we undertake no obligation to update or review publicly any forward-looking statements, whether as a result of new information, future events or otherwise after the date of this report. We anticipate that subsequent events and developments will cause our views to change. You should read this report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Prospectus included in its registration statement on Form S-1, Quarterly Report on Form 10-Q, and Current Reports on Form 8-K.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0A0A0A"/>
              </w:rPr>
              <w:t>Three Months Ended Sep 30,</w:t>
            </w:r>
          </w:p>
        </w:tc>
        <w:tc>
          <w:tcPr>
            <w:tcW w:w="1300" w:type="dxa"/>
            <w:vAlign w:val="bottom"/>
          </w:tcPr>
          <w:p>
            <w:pPr>
              <w:spacing w:after="0"/>
              <w:rPr>
                <w:sz w:val="17"/>
                <w:szCs w:val="17"/>
                <w:color w:val="auto"/>
              </w:rPr>
            </w:pPr>
          </w:p>
        </w:tc>
      </w:tr>
      <w:tr>
        <w:trPr>
          <w:trHeight w:val="225"/>
        </w:trPr>
        <w:tc>
          <w:tcPr>
            <w:tcW w:w="45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0A0A0A"/>
              </w:rPr>
              <w:t>2021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0A0A0A"/>
              </w:rPr>
              <w:t>2020</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Scheduled Service</w:t>
            </w:r>
          </w:p>
        </w:tc>
        <w:tc>
          <w:tcPr>
            <w:tcW w:w="2560" w:type="dxa"/>
            <w:vAlign w:val="bottom"/>
            <w:gridSpan w:val="2"/>
            <w:shd w:val="clear" w:color="auto" w:fill="C6F4F9"/>
          </w:tcPr>
          <w:p>
            <w:pPr>
              <w:jc w:val="right"/>
              <w:ind w:right="40"/>
              <w:spacing w:after="0" w:line="202" w:lineRule="exact"/>
              <w:rPr>
                <w:sz w:val="20"/>
                <w:szCs w:val="20"/>
                <w:color w:val="auto"/>
              </w:rPr>
            </w:pPr>
            <w:r>
              <w:rPr>
                <w:rFonts w:ascii="Arial" w:cs="Arial" w:eastAsia="Arial" w:hAnsi="Arial"/>
                <w:sz w:val="18"/>
                <w:szCs w:val="18"/>
                <w:color w:val="0A0A0A"/>
              </w:rPr>
              <w:t>$</w:t>
            </w: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80,212</w:t>
            </w:r>
          </w:p>
        </w:tc>
        <w:tc>
          <w:tcPr>
            <w:tcW w:w="360" w:type="dxa"/>
            <w:vAlign w:val="bottom"/>
            <w:shd w:val="clear" w:color="auto" w:fill="C6F4F9"/>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26,954</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197.6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Charter Service</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33,809</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23,264</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45.3</w:t>
            </w:r>
          </w:p>
        </w:tc>
      </w:tr>
      <w:tr>
        <w:trPr>
          <w:trHeight w:val="216"/>
        </w:trPr>
        <w:tc>
          <w:tcPr>
            <w:tcW w:w="4560" w:type="dxa"/>
            <w:vAlign w:val="bottom"/>
            <w:shd w:val="clear" w:color="auto" w:fill="C6F4F9"/>
          </w:tcPr>
          <w:p>
            <w:pPr>
              <w:spacing w:after="0"/>
              <w:rPr>
                <w:sz w:val="20"/>
                <w:szCs w:val="20"/>
                <w:color w:val="auto"/>
              </w:rPr>
            </w:pPr>
            <w:r>
              <w:rPr>
                <w:rFonts w:ascii="Arial" w:cs="Arial" w:eastAsia="Arial" w:hAnsi="Arial"/>
                <w:sz w:val="18"/>
                <w:szCs w:val="18"/>
                <w:color w:val="0A0A0A"/>
              </w:rPr>
              <w:t>Ancillary</w:t>
            </w:r>
          </w:p>
        </w:tc>
        <w:tc>
          <w:tcPr>
            <w:tcW w:w="2300" w:type="dxa"/>
            <w:vAlign w:val="bottom"/>
            <w:shd w:val="clear" w:color="auto" w:fill="C6F4F9"/>
          </w:tcPr>
          <w:p>
            <w:pPr>
              <w:spacing w:after="0"/>
              <w:rPr>
                <w:sz w:val="18"/>
                <w:szCs w:val="18"/>
                <w:color w:val="auto"/>
              </w:rPr>
            </w:pPr>
          </w:p>
        </w:tc>
        <w:tc>
          <w:tcPr>
            <w:tcW w:w="26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33,697</w:t>
            </w:r>
          </w:p>
        </w:tc>
        <w:tc>
          <w:tcPr>
            <w:tcW w:w="360" w:type="dxa"/>
            <w:vAlign w:val="bottom"/>
            <w:tcBorders>
              <w:bottom w:val="single" w:sz="8" w:color="auto"/>
            </w:tcBorders>
            <w:shd w:val="clear" w:color="auto" w:fill="C6F4F9"/>
          </w:tcPr>
          <w:p>
            <w:pPr>
              <w:spacing w:after="0"/>
              <w:rPr>
                <w:sz w:val="18"/>
                <w:szCs w:val="18"/>
                <w:color w:val="auto"/>
              </w:rPr>
            </w:pPr>
          </w:p>
        </w:tc>
        <w:tc>
          <w:tcPr>
            <w:tcW w:w="1260" w:type="dxa"/>
            <w:vAlign w:val="bottom"/>
            <w:tcBorders>
              <w:bottom w:val="single" w:sz="8" w:color="auto"/>
            </w:tcBorders>
            <w:shd w:val="clear" w:color="auto" w:fill="C6F4F9"/>
          </w:tcPr>
          <w:p>
            <w:pPr>
              <w:jc w:val="right"/>
              <w:ind w:right="170"/>
              <w:spacing w:after="0"/>
              <w:rPr>
                <w:sz w:val="20"/>
                <w:szCs w:val="20"/>
                <w:color w:val="auto"/>
              </w:rPr>
            </w:pPr>
            <w:r>
              <w:rPr>
                <w:rFonts w:ascii="Arial" w:cs="Arial" w:eastAsia="Arial" w:hAnsi="Arial"/>
                <w:sz w:val="18"/>
                <w:szCs w:val="18"/>
                <w:color w:val="0A0A0A"/>
              </w:rPr>
              <w:t>12,254</w:t>
            </w:r>
          </w:p>
        </w:tc>
        <w:tc>
          <w:tcPr>
            <w:tcW w:w="13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175.0</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0A0A0A"/>
              </w:rPr>
              <w:t>Passenger</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0A0A0A"/>
              </w:rPr>
              <w:t>147,718</w:t>
            </w:r>
          </w:p>
        </w:tc>
        <w:tc>
          <w:tcPr>
            <w:tcW w:w="360" w:type="dxa"/>
            <w:vAlign w:val="bottom"/>
          </w:tcPr>
          <w:p>
            <w:pPr>
              <w:spacing w:after="0"/>
              <w:rPr>
                <w:sz w:val="17"/>
                <w:szCs w:val="17"/>
                <w:color w:val="auto"/>
              </w:rPr>
            </w:pPr>
          </w:p>
        </w:tc>
        <w:tc>
          <w:tcPr>
            <w:tcW w:w="1260" w:type="dxa"/>
            <w:vAlign w:val="bottom"/>
          </w:tcPr>
          <w:p>
            <w:pPr>
              <w:jc w:val="right"/>
              <w:ind w:right="170"/>
              <w:spacing w:after="0" w:line="196" w:lineRule="exact"/>
              <w:rPr>
                <w:sz w:val="20"/>
                <w:szCs w:val="20"/>
                <w:color w:val="auto"/>
              </w:rPr>
            </w:pPr>
            <w:r>
              <w:rPr>
                <w:rFonts w:ascii="Arial" w:cs="Arial" w:eastAsia="Arial" w:hAnsi="Arial"/>
                <w:sz w:val="18"/>
                <w:szCs w:val="18"/>
                <w:color w:val="0A0A0A"/>
              </w:rPr>
              <w:t>62,472</w:t>
            </w:r>
          </w:p>
        </w:tc>
        <w:tc>
          <w:tcPr>
            <w:tcW w:w="1300" w:type="dxa"/>
            <w:vAlign w:val="bottom"/>
          </w:tcPr>
          <w:p>
            <w:pPr>
              <w:jc w:val="right"/>
              <w:ind w:right="10"/>
              <w:spacing w:after="0" w:line="196" w:lineRule="exact"/>
              <w:rPr>
                <w:sz w:val="20"/>
                <w:szCs w:val="20"/>
                <w:color w:val="auto"/>
              </w:rPr>
            </w:pPr>
            <w:r>
              <w:rPr>
                <w:rFonts w:ascii="Arial" w:cs="Arial" w:eastAsia="Arial" w:hAnsi="Arial"/>
                <w:sz w:val="18"/>
                <w:szCs w:val="18"/>
                <w:color w:val="0A0A0A"/>
              </w:rPr>
              <w:t>136.5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24,400</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14,272</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71.0</w:t>
            </w: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2300" w:type="dxa"/>
            <w:vAlign w:val="bottom"/>
            <w:tcBorders>
              <w:bottom w:val="single" w:sz="8" w:color="C6F4F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1,545</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1,229</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25.7</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2300" w:type="dxa"/>
            <w:vAlign w:val="bottom"/>
            <w:shd w:val="clear" w:color="auto" w:fill="C6F4F9"/>
          </w:tcPr>
          <w:p>
            <w:pPr>
              <w:spacing w:after="0"/>
              <w:rPr>
                <w:sz w:val="17"/>
                <w:szCs w:val="17"/>
                <w:color w:val="auto"/>
              </w:rPr>
            </w:pPr>
          </w:p>
        </w:tc>
        <w:tc>
          <w:tcPr>
            <w:tcW w:w="26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173,663</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77,973</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122.7</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Expenses:</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36,647</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13,139</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178.9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43,424</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36,348</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19.5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3,925</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6,410</w:t>
            </w:r>
          </w:p>
        </w:tc>
        <w:tc>
          <w:tcPr>
            <w:tcW w:w="13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(38.8)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9,660</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6,338</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52.4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5,470</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2,921</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87.3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14,029</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12,929</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8.5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7,873</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4,880</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61.3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12,069</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8,596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40.4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(65)</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(32,852)</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2300" w:type="dxa"/>
            <w:vAlign w:val="bottom"/>
            <w:tcBorders>
              <w:bottom w:val="single" w:sz="8" w:color="C6F4F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18,629</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10,447</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78.3</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Expenses</w:t>
            </w:r>
          </w:p>
        </w:tc>
        <w:tc>
          <w:tcPr>
            <w:tcW w:w="2300" w:type="dxa"/>
            <w:vAlign w:val="bottom"/>
            <w:shd w:val="clear" w:color="auto" w:fill="C6F4F9"/>
          </w:tcPr>
          <w:p>
            <w:pPr>
              <w:spacing w:after="0"/>
              <w:rPr>
                <w:sz w:val="17"/>
                <w:szCs w:val="17"/>
                <w:color w:val="auto"/>
              </w:rPr>
            </w:pPr>
          </w:p>
        </w:tc>
        <w:tc>
          <w:tcPr>
            <w:tcW w:w="26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151,661</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69,156</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119.3</w:t>
            </w:r>
          </w:p>
        </w:tc>
      </w:tr>
      <w:tr>
        <w:trPr>
          <w:trHeight w:val="196"/>
        </w:trPr>
        <w:tc>
          <w:tcPr>
            <w:tcW w:w="456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Operating Income</w:t>
            </w:r>
          </w:p>
        </w:tc>
        <w:tc>
          <w:tcPr>
            <w:tcW w:w="2300" w:type="dxa"/>
            <w:vAlign w:val="bottom"/>
            <w:tcBorders>
              <w:bottom w:val="single" w:sz="8" w:color="C6F4F9"/>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22,002</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0A0A0A"/>
              </w:rPr>
              <w:t>8,817</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149.5</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Non-operating Income/(Expense):</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spacing w:after="0"/>
              <w:rPr>
                <w:sz w:val="17"/>
                <w:szCs w:val="17"/>
                <w:color w:val="auto"/>
              </w:rPr>
            </w:pPr>
          </w:p>
        </w:tc>
        <w:tc>
          <w:tcPr>
            <w:tcW w:w="130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Interest Income</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28</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26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7.7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Expense</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(6,286)</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(5,157)</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21.9</w:t>
            </w: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net</w:t>
            </w:r>
          </w:p>
        </w:tc>
        <w:tc>
          <w:tcPr>
            <w:tcW w:w="2300" w:type="dxa"/>
            <w:vAlign w:val="bottom"/>
            <w:tcBorders>
              <w:bottom w:val="single" w:sz="8" w:color="C6F4F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456</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164</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178.0</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(5,802)</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0A0A0A"/>
              </w:rPr>
              <w:t>(4,967)</w:t>
            </w:r>
          </w:p>
        </w:tc>
        <w:tc>
          <w:tcPr>
            <w:tcW w:w="13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16.8</w:t>
            </w: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Income before Income Tax</w:t>
            </w:r>
          </w:p>
        </w:tc>
        <w:tc>
          <w:tcPr>
            <w:tcW w:w="2300" w:type="dxa"/>
            <w:vAlign w:val="bottom"/>
            <w:tcBorders>
              <w:bottom w:val="single" w:sz="8" w:color="C6F4F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16,200</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3,850</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320.8</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Tax Expense</w:t>
            </w:r>
          </w:p>
        </w:tc>
        <w:tc>
          <w:tcPr>
            <w:tcW w:w="2300" w:type="dxa"/>
            <w:vAlign w:val="bottom"/>
            <w:shd w:val="clear" w:color="auto" w:fill="C6F4F9"/>
          </w:tcPr>
          <w:p>
            <w:pPr>
              <w:spacing w:after="0"/>
              <w:rPr>
                <w:sz w:val="17"/>
                <w:szCs w:val="17"/>
                <w:color w:val="auto"/>
              </w:rPr>
            </w:pPr>
          </w:p>
        </w:tc>
        <w:tc>
          <w:tcPr>
            <w:tcW w:w="26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2,297</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923</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148.9</w:t>
            </w:r>
          </w:p>
        </w:tc>
      </w:tr>
      <w:tr>
        <w:trPr>
          <w:trHeight w:val="250"/>
        </w:trPr>
        <w:tc>
          <w:tcPr>
            <w:tcW w:w="4560" w:type="dxa"/>
            <w:vAlign w:val="bottom"/>
          </w:tcPr>
          <w:p>
            <w:pPr>
              <w:spacing w:after="0" w:line="197" w:lineRule="exact"/>
              <w:rPr>
                <w:sz w:val="20"/>
                <w:szCs w:val="20"/>
                <w:color w:val="auto"/>
              </w:rPr>
            </w:pPr>
            <w:r>
              <w:rPr>
                <w:rFonts w:ascii="Arial" w:cs="Arial" w:eastAsia="Arial" w:hAnsi="Arial"/>
                <w:sz w:val="18"/>
                <w:szCs w:val="18"/>
                <w:color w:val="0A0A0A"/>
              </w:rPr>
              <w:t>Net Income</w:t>
            </w:r>
          </w:p>
        </w:tc>
        <w:tc>
          <w:tcPr>
            <w:tcW w:w="2560" w:type="dxa"/>
            <w:vAlign w:val="bottom"/>
            <w:gridSpan w:val="2"/>
          </w:tcPr>
          <w:p>
            <w:pPr>
              <w:jc w:val="right"/>
              <w:ind w:right="40"/>
              <w:spacing w:after="0"/>
              <w:rPr>
                <w:sz w:val="20"/>
                <w:szCs w:val="20"/>
                <w:color w:val="auto"/>
              </w:rPr>
            </w:pPr>
            <w:r>
              <w:rPr>
                <w:rFonts w:ascii="Arial" w:cs="Arial" w:eastAsia="Arial" w:hAnsi="Arial"/>
                <w:sz w:val="18"/>
                <w:szCs w:val="18"/>
                <w:color w:val="0A0A0A"/>
              </w:rPr>
              <w:t>$</w:t>
            </w:r>
          </w:p>
        </w:tc>
        <w:tc>
          <w:tcPr>
            <w:tcW w:w="1200" w:type="dxa"/>
            <w:vAlign w:val="bottom"/>
          </w:tcPr>
          <w:p>
            <w:pPr>
              <w:jc w:val="right"/>
              <w:spacing w:after="0"/>
              <w:rPr>
                <w:sz w:val="20"/>
                <w:szCs w:val="20"/>
                <w:color w:val="auto"/>
              </w:rPr>
            </w:pPr>
            <w:r>
              <w:rPr>
                <w:rFonts w:ascii="Arial" w:cs="Arial" w:eastAsia="Arial" w:hAnsi="Arial"/>
                <w:sz w:val="18"/>
                <w:szCs w:val="18"/>
                <w:color w:val="0A0A0A"/>
              </w:rPr>
              <w:t>13,903</w:t>
            </w:r>
          </w:p>
        </w:tc>
        <w:tc>
          <w:tcPr>
            <w:tcW w:w="360" w:type="dxa"/>
            <w:vAlign w:val="bottom"/>
          </w:tcPr>
          <w:p>
            <w:pPr>
              <w:jc w:val="right"/>
              <w:ind w:right="34"/>
              <w:spacing w:after="0"/>
              <w:rPr>
                <w:sz w:val="20"/>
                <w:szCs w:val="20"/>
                <w:color w:val="auto"/>
              </w:rPr>
            </w:pPr>
            <w:r>
              <w:rPr>
                <w:rFonts w:ascii="Arial" w:cs="Arial" w:eastAsia="Arial" w:hAnsi="Arial"/>
                <w:sz w:val="18"/>
                <w:szCs w:val="18"/>
                <w:color w:val="0A0A0A"/>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0A0A0A"/>
              </w:rPr>
              <w:t>2,927</w:t>
            </w:r>
          </w:p>
        </w:tc>
        <w:tc>
          <w:tcPr>
            <w:tcW w:w="1300" w:type="dxa"/>
            <w:vAlign w:val="bottom"/>
          </w:tcPr>
          <w:p>
            <w:pPr>
              <w:jc w:val="right"/>
              <w:ind w:right="10"/>
              <w:spacing w:after="0"/>
              <w:rPr>
                <w:sz w:val="20"/>
                <w:szCs w:val="20"/>
                <w:color w:val="auto"/>
              </w:rPr>
            </w:pPr>
            <w:r>
              <w:rPr>
                <w:rFonts w:ascii="Arial" w:cs="Arial" w:eastAsia="Arial" w:hAnsi="Arial"/>
                <w:sz w:val="18"/>
                <w:szCs w:val="18"/>
                <w:color w:val="0A0A0A"/>
              </w:rPr>
              <w:t>375.0</w:t>
            </w:r>
          </w:p>
        </w:tc>
      </w:tr>
      <w:tr>
        <w:trPr>
          <w:trHeight w:val="183"/>
        </w:trPr>
        <w:tc>
          <w:tcPr>
            <w:tcW w:w="456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0A0A0A"/>
              </w:rPr>
              <w:t>Net Income per share to common stockholders:</w:t>
            </w:r>
          </w:p>
        </w:tc>
        <w:tc>
          <w:tcPr>
            <w:tcW w:w="2300" w:type="dxa"/>
            <w:vAlign w:val="bottom"/>
            <w:tcBorders>
              <w:top w:val="single" w:sz="8" w:color="C6F4F9"/>
            </w:tcBorders>
            <w:shd w:val="clear" w:color="auto" w:fill="C6F4F9"/>
          </w:tcPr>
          <w:p>
            <w:pPr>
              <w:spacing w:after="0"/>
              <w:rPr>
                <w:sz w:val="15"/>
                <w:szCs w:val="15"/>
                <w:color w:val="auto"/>
              </w:rPr>
            </w:pPr>
          </w:p>
        </w:tc>
        <w:tc>
          <w:tcPr>
            <w:tcW w:w="260" w:type="dxa"/>
            <w:vAlign w:val="bottom"/>
            <w:tcBorders>
              <w:top w:val="single" w:sz="8" w:color="auto"/>
            </w:tcBorders>
            <w:shd w:val="clear" w:color="auto" w:fill="C6F4F9"/>
          </w:tcPr>
          <w:p>
            <w:pPr>
              <w:spacing w:after="0"/>
              <w:rPr>
                <w:sz w:val="15"/>
                <w:szCs w:val="15"/>
                <w:color w:val="auto"/>
              </w:rPr>
            </w:pPr>
          </w:p>
        </w:tc>
        <w:tc>
          <w:tcPr>
            <w:tcW w:w="1200" w:type="dxa"/>
            <w:vAlign w:val="bottom"/>
            <w:tcBorders>
              <w:top w:val="single" w:sz="8" w:color="auto"/>
            </w:tcBorders>
            <w:shd w:val="clear" w:color="auto" w:fill="C6F4F9"/>
          </w:tcPr>
          <w:p>
            <w:pPr>
              <w:spacing w:after="0"/>
              <w:rPr>
                <w:sz w:val="15"/>
                <w:szCs w:val="15"/>
                <w:color w:val="auto"/>
              </w:rPr>
            </w:pPr>
          </w:p>
        </w:tc>
        <w:tc>
          <w:tcPr>
            <w:tcW w:w="360" w:type="dxa"/>
            <w:vAlign w:val="bottom"/>
            <w:tcBorders>
              <w:top w:val="single" w:sz="8" w:color="auto"/>
            </w:tcBorders>
            <w:shd w:val="clear" w:color="auto" w:fill="C6F4F9"/>
          </w:tcPr>
          <w:p>
            <w:pPr>
              <w:spacing w:after="0"/>
              <w:rPr>
                <w:sz w:val="15"/>
                <w:szCs w:val="15"/>
                <w:color w:val="auto"/>
              </w:rPr>
            </w:pPr>
          </w:p>
        </w:tc>
        <w:tc>
          <w:tcPr>
            <w:tcW w:w="1260" w:type="dxa"/>
            <w:vAlign w:val="bottom"/>
            <w:tcBorders>
              <w:top w:val="single" w:sz="8" w:color="auto"/>
            </w:tcBorders>
            <w:shd w:val="clear" w:color="auto" w:fill="C6F4F9"/>
          </w:tcPr>
          <w:p>
            <w:pPr>
              <w:spacing w:after="0"/>
              <w:rPr>
                <w:sz w:val="15"/>
                <w:szCs w:val="15"/>
                <w:color w:val="auto"/>
              </w:rPr>
            </w:pPr>
          </w:p>
        </w:tc>
        <w:tc>
          <w:tcPr>
            <w:tcW w:w="1300" w:type="dxa"/>
            <w:vAlign w:val="bottom"/>
            <w:tcBorders>
              <w:top w:val="single" w:sz="8" w:color="auto"/>
            </w:tcBorders>
            <w:shd w:val="clear" w:color="auto" w:fill="C6F4F9"/>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2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0A0A0A"/>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0.24</w:t>
            </w:r>
          </w:p>
        </w:tc>
        <w:tc>
          <w:tcPr>
            <w:tcW w:w="360" w:type="dxa"/>
            <w:vAlign w:val="bottom"/>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0.06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300.0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2560" w:type="dxa"/>
            <w:vAlign w:val="bottom"/>
            <w:gridSpan w:val="2"/>
            <w:shd w:val="clear" w:color="auto" w:fill="C6F4F9"/>
          </w:tcPr>
          <w:p>
            <w:pPr>
              <w:jc w:val="right"/>
              <w:ind w:right="40"/>
              <w:spacing w:after="0" w:line="202" w:lineRule="exact"/>
              <w:rPr>
                <w:sz w:val="20"/>
                <w:szCs w:val="20"/>
                <w:color w:val="auto"/>
              </w:rPr>
            </w:pPr>
            <w:r>
              <w:rPr>
                <w:rFonts w:ascii="Arial" w:cs="Arial" w:eastAsia="Arial" w:hAnsi="Arial"/>
                <w:sz w:val="18"/>
                <w:szCs w:val="18"/>
                <w:color w:val="0A0A0A"/>
              </w:rPr>
              <w:t>$</w:t>
            </w: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0.23</w:t>
            </w:r>
          </w:p>
        </w:tc>
        <w:tc>
          <w:tcPr>
            <w:tcW w:w="360" w:type="dxa"/>
            <w:vAlign w:val="bottom"/>
            <w:shd w:val="clear" w:color="auto" w:fill="C6F4F9"/>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0.06</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283.3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230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57,355,104</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46,805,950</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22.5</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0A0A0A"/>
              </w:rPr>
              <w:t>Diluted</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A0A0A"/>
              </w:rPr>
              <w:t>61,712,378</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0A0A0A"/>
              </w:rPr>
              <w:t>48,350,943</w:t>
            </w:r>
          </w:p>
        </w:tc>
        <w:tc>
          <w:tcPr>
            <w:tcW w:w="1300" w:type="dxa"/>
            <w:vAlign w:val="bottom"/>
          </w:tcPr>
          <w:p>
            <w:pPr>
              <w:jc w:val="right"/>
              <w:ind w:right="10"/>
              <w:spacing w:after="0"/>
              <w:rPr>
                <w:sz w:val="20"/>
                <w:szCs w:val="20"/>
                <w:color w:val="auto"/>
              </w:rPr>
            </w:pPr>
            <w:r>
              <w:rPr>
                <w:rFonts w:ascii="Arial" w:cs="Arial" w:eastAsia="Arial" w:hAnsi="Arial"/>
                <w:sz w:val="18"/>
                <w:szCs w:val="18"/>
                <w:color w:val="0A0A0A"/>
              </w:rPr>
              <w:t>27.6</w:t>
            </w:r>
          </w:p>
        </w:tc>
      </w:tr>
      <w:tr>
        <w:trPr>
          <w:trHeight w:val="722"/>
        </w:trPr>
        <w:tc>
          <w:tcPr>
            <w:tcW w:w="4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8"/>
                <w:szCs w:val="18"/>
                <w:color w:val="auto"/>
              </w:rPr>
              <w:t>Page 6</w:t>
            </w:r>
          </w:p>
        </w:tc>
        <w:tc>
          <w:tcPr>
            <w:tcW w:w="1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0A0A0A"/>
              </w:rPr>
              <w:t>Nine Months Ended Sep 30,</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0A0A0A"/>
              </w:rPr>
              <w:t>Operating Revenues:</w:t>
            </w:r>
          </w:p>
        </w:tc>
        <w:tc>
          <w:tcPr>
            <w:tcW w:w="2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0A0A0A"/>
              </w:rPr>
              <w:t>2021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0A0A0A"/>
              </w:rPr>
              <w:t>2020</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Scheduled Service</w:t>
            </w:r>
          </w:p>
        </w:tc>
        <w:tc>
          <w:tcPr>
            <w:tcW w:w="258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w:t>
            </w: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201,905</w:t>
            </w:r>
          </w:p>
        </w:tc>
        <w:tc>
          <w:tcPr>
            <w:tcW w:w="360" w:type="dxa"/>
            <w:vAlign w:val="bottom"/>
            <w:shd w:val="clear" w:color="auto" w:fill="C6F4F9"/>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159,063</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26.9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Charter Service</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88,511</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60,983</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45.1</w:t>
            </w:r>
          </w:p>
        </w:tc>
        <w:tc>
          <w:tcPr>
            <w:tcW w:w="0" w:type="dxa"/>
            <w:vAlign w:val="bottom"/>
          </w:tcPr>
          <w:p>
            <w:pPr>
              <w:spacing w:after="0"/>
              <w:rPr>
                <w:sz w:val="1"/>
                <w:szCs w:val="1"/>
                <w:color w:val="auto"/>
              </w:rPr>
            </w:pPr>
          </w:p>
        </w:tc>
      </w:tr>
      <w:tr>
        <w:trPr>
          <w:trHeight w:val="216"/>
        </w:trPr>
        <w:tc>
          <w:tcPr>
            <w:tcW w:w="4560" w:type="dxa"/>
            <w:vAlign w:val="bottom"/>
            <w:shd w:val="clear" w:color="auto" w:fill="C6F4F9"/>
          </w:tcPr>
          <w:p>
            <w:pPr>
              <w:spacing w:after="0"/>
              <w:rPr>
                <w:sz w:val="20"/>
                <w:szCs w:val="20"/>
                <w:color w:val="auto"/>
              </w:rPr>
            </w:pPr>
            <w:r>
              <w:rPr>
                <w:rFonts w:ascii="Arial" w:cs="Arial" w:eastAsia="Arial" w:hAnsi="Arial"/>
                <w:sz w:val="18"/>
                <w:szCs w:val="18"/>
                <w:color w:val="0A0A0A"/>
              </w:rPr>
              <w:t>Ancillary</w:t>
            </w:r>
          </w:p>
        </w:tc>
        <w:tc>
          <w:tcPr>
            <w:tcW w:w="230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86,626</w:t>
            </w:r>
          </w:p>
        </w:tc>
        <w:tc>
          <w:tcPr>
            <w:tcW w:w="360" w:type="dxa"/>
            <w:vAlign w:val="bottom"/>
            <w:tcBorders>
              <w:bottom w:val="single" w:sz="8" w:color="auto"/>
            </w:tcBorders>
            <w:shd w:val="clear" w:color="auto" w:fill="C6F4F9"/>
          </w:tcPr>
          <w:p>
            <w:pPr>
              <w:spacing w:after="0"/>
              <w:rPr>
                <w:sz w:val="18"/>
                <w:szCs w:val="18"/>
                <w:color w:val="auto"/>
              </w:rPr>
            </w:pPr>
          </w:p>
        </w:tc>
        <w:tc>
          <w:tcPr>
            <w:tcW w:w="1260" w:type="dxa"/>
            <w:vAlign w:val="bottom"/>
            <w:tcBorders>
              <w:bottom w:val="single" w:sz="8" w:color="auto"/>
            </w:tcBorders>
            <w:shd w:val="clear" w:color="auto" w:fill="C6F4F9"/>
          </w:tcPr>
          <w:p>
            <w:pPr>
              <w:jc w:val="right"/>
              <w:ind w:right="170"/>
              <w:spacing w:after="0"/>
              <w:rPr>
                <w:sz w:val="20"/>
                <w:szCs w:val="20"/>
                <w:color w:val="auto"/>
              </w:rPr>
            </w:pPr>
            <w:r>
              <w:rPr>
                <w:rFonts w:ascii="Arial" w:cs="Arial" w:eastAsia="Arial" w:hAnsi="Arial"/>
                <w:sz w:val="18"/>
                <w:szCs w:val="18"/>
                <w:color w:val="0A0A0A"/>
              </w:rPr>
              <w:t>52,253</w:t>
            </w:r>
          </w:p>
        </w:tc>
        <w:tc>
          <w:tcPr>
            <w:tcW w:w="13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65.8</w:t>
            </w: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0A0A0A"/>
              </w:rPr>
              <w:t>Passenger</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0A0A0A"/>
              </w:rPr>
              <w:t>377,042</w:t>
            </w:r>
          </w:p>
        </w:tc>
        <w:tc>
          <w:tcPr>
            <w:tcW w:w="360" w:type="dxa"/>
            <w:vAlign w:val="bottom"/>
          </w:tcPr>
          <w:p>
            <w:pPr>
              <w:spacing w:after="0"/>
              <w:rPr>
                <w:sz w:val="17"/>
                <w:szCs w:val="17"/>
                <w:color w:val="auto"/>
              </w:rPr>
            </w:pPr>
          </w:p>
        </w:tc>
        <w:tc>
          <w:tcPr>
            <w:tcW w:w="1260" w:type="dxa"/>
            <w:vAlign w:val="bottom"/>
          </w:tcPr>
          <w:p>
            <w:pPr>
              <w:jc w:val="right"/>
              <w:ind w:right="170"/>
              <w:spacing w:after="0" w:line="196" w:lineRule="exact"/>
              <w:rPr>
                <w:sz w:val="20"/>
                <w:szCs w:val="20"/>
                <w:color w:val="auto"/>
              </w:rPr>
            </w:pPr>
            <w:r>
              <w:rPr>
                <w:rFonts w:ascii="Arial" w:cs="Arial" w:eastAsia="Arial" w:hAnsi="Arial"/>
                <w:sz w:val="18"/>
                <w:szCs w:val="18"/>
                <w:color w:val="0A0A0A"/>
              </w:rPr>
              <w:t>272,299</w:t>
            </w:r>
          </w:p>
        </w:tc>
        <w:tc>
          <w:tcPr>
            <w:tcW w:w="1300" w:type="dxa"/>
            <w:vAlign w:val="bottom"/>
          </w:tcPr>
          <w:p>
            <w:pPr>
              <w:jc w:val="right"/>
              <w:ind w:right="10"/>
              <w:spacing w:after="0" w:line="196" w:lineRule="exact"/>
              <w:rPr>
                <w:sz w:val="20"/>
                <w:szCs w:val="20"/>
                <w:color w:val="auto"/>
              </w:rPr>
            </w:pPr>
            <w:r>
              <w:rPr>
                <w:rFonts w:ascii="Arial" w:cs="Arial" w:eastAsia="Arial" w:hAnsi="Arial"/>
                <w:sz w:val="18"/>
                <w:szCs w:val="18"/>
                <w:color w:val="0A0A0A"/>
              </w:rPr>
              <w:t>38.5</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68,084</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17,491</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289.3</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230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5,338</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3,889</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37.3</w:t>
            </w:r>
          </w:p>
        </w:tc>
        <w:tc>
          <w:tcPr>
            <w:tcW w:w="0" w:type="dxa"/>
            <w:vAlign w:val="bottom"/>
          </w:tcPr>
          <w:p>
            <w:pPr>
              <w:spacing w:after="0"/>
              <w:rPr>
                <w:sz w:val="1"/>
                <w:szCs w:val="1"/>
                <w:color w:val="auto"/>
              </w:rPr>
            </w:pP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230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18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450,464</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293,679</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53.4</w:t>
            </w: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Expenses:</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90,631</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69,377</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30.6</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129,815</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106,923</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21.4</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13,339</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23,376</w:t>
            </w:r>
          </w:p>
        </w:tc>
        <w:tc>
          <w:tcPr>
            <w:tcW w:w="13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(42.9)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30,170</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15,242</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97.9</w:t>
            </w:r>
          </w:p>
        </w:tc>
        <w:tc>
          <w:tcPr>
            <w:tcW w:w="0" w:type="dxa"/>
            <w:vAlign w:val="bottom"/>
          </w:tcPr>
          <w:p>
            <w:pPr>
              <w:spacing w:after="0"/>
              <w:rPr>
                <w:sz w:val="1"/>
                <w:szCs w:val="1"/>
                <w:color w:val="auto"/>
              </w:rPr>
            </w:pPr>
          </w:p>
        </w:tc>
      </w:tr>
      <w:tr>
        <w:trPr>
          <w:trHeight w:val="202"/>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16,402</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13,123</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25.0</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40,103</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35,631</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12.6</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19,654</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15,786</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24.5</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29,606</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22,377</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32.3</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(65,456)</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(64,333)</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1.7</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230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50,026</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34,363</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45.6</w:t>
            </w:r>
          </w:p>
        </w:tc>
        <w:tc>
          <w:tcPr>
            <w:tcW w:w="0" w:type="dxa"/>
            <w:vAlign w:val="bottom"/>
          </w:tcPr>
          <w:p>
            <w:pPr>
              <w:spacing w:after="0"/>
              <w:rPr>
                <w:sz w:val="1"/>
                <w:szCs w:val="1"/>
                <w:color w:val="auto"/>
              </w:rPr>
            </w:pP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Expenses</w:t>
            </w:r>
          </w:p>
        </w:tc>
        <w:tc>
          <w:tcPr>
            <w:tcW w:w="230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18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354,290</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271,865</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30.3</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Operating Income</w:t>
            </w:r>
          </w:p>
        </w:tc>
        <w:tc>
          <w:tcPr>
            <w:tcW w:w="230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96,174</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0A0A0A"/>
              </w:rPr>
              <w:t>21,814</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340.9</w:t>
            </w:r>
          </w:p>
        </w:tc>
        <w:tc>
          <w:tcPr>
            <w:tcW w:w="0" w:type="dxa"/>
            <w:vAlign w:val="bottom"/>
          </w:tcPr>
          <w:p>
            <w:pPr>
              <w:spacing w:after="0"/>
              <w:rPr>
                <w:sz w:val="1"/>
                <w:szCs w:val="1"/>
                <w:color w:val="auto"/>
              </w:rPr>
            </w:pP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Non-operating Income/(Expense):</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spacing w:after="0"/>
              <w:rPr>
                <w:sz w:val="17"/>
                <w:szCs w:val="17"/>
                <w:color w:val="auto"/>
              </w:rPr>
            </w:pPr>
          </w:p>
        </w:tc>
        <w:tc>
          <w:tcPr>
            <w:tcW w:w="130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Interest Income</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52</w:t>
            </w:r>
          </w:p>
        </w:tc>
        <w:tc>
          <w:tcPr>
            <w:tcW w:w="36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340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0A0A0A"/>
              </w:rPr>
              <w:t>(84.7)</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Expense</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(19,487)</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(16,215)</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20.2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net</w:t>
            </w:r>
          </w:p>
        </w:tc>
        <w:tc>
          <w:tcPr>
            <w:tcW w:w="230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18,505</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0A0A0A"/>
              </w:rPr>
              <w:t>(331)</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(930)</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0A0A0A"/>
              </w:rPr>
              <w:t>(16,206)</w:t>
            </w:r>
          </w:p>
        </w:tc>
        <w:tc>
          <w:tcPr>
            <w:tcW w:w="13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(94.3)</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Income before Income Tax</w:t>
            </w:r>
          </w:p>
        </w:tc>
        <w:tc>
          <w:tcPr>
            <w:tcW w:w="230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95,244</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0A0A0A"/>
              </w:rPr>
              <w:t>5,608</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Tax Expense</w:t>
            </w:r>
          </w:p>
        </w:tc>
        <w:tc>
          <w:tcPr>
            <w:tcW w:w="230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18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17,172</w:t>
            </w:r>
          </w:p>
        </w:tc>
        <w:tc>
          <w:tcPr>
            <w:tcW w:w="360" w:type="dxa"/>
            <w:vAlign w:val="bottom"/>
            <w:tcBorders>
              <w:bottom w:val="single" w:sz="8" w:color="auto"/>
            </w:tcBorders>
            <w:shd w:val="clear" w:color="auto" w:fill="C6F4F9"/>
          </w:tcPr>
          <w:p>
            <w:pPr>
              <w:spacing w:after="0"/>
              <w:rPr>
                <w:sz w:val="17"/>
                <w:szCs w:val="17"/>
                <w:color w:val="auto"/>
              </w:rPr>
            </w:pPr>
          </w:p>
        </w:tc>
        <w:tc>
          <w:tcPr>
            <w:tcW w:w="1260" w:type="dxa"/>
            <w:vAlign w:val="bottom"/>
            <w:tcBorders>
              <w:bottom w:val="single" w:sz="8" w:color="auto"/>
            </w:tcBorders>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1,470</w:t>
            </w:r>
          </w:p>
        </w:tc>
        <w:tc>
          <w:tcPr>
            <w:tcW w:w="13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50"/>
        </w:trPr>
        <w:tc>
          <w:tcPr>
            <w:tcW w:w="4560" w:type="dxa"/>
            <w:vAlign w:val="bottom"/>
          </w:tcPr>
          <w:p>
            <w:pPr>
              <w:spacing w:after="0" w:line="197" w:lineRule="exact"/>
              <w:rPr>
                <w:sz w:val="20"/>
                <w:szCs w:val="20"/>
                <w:color w:val="auto"/>
              </w:rPr>
            </w:pPr>
            <w:r>
              <w:rPr>
                <w:rFonts w:ascii="Arial" w:cs="Arial" w:eastAsia="Arial" w:hAnsi="Arial"/>
                <w:sz w:val="18"/>
                <w:szCs w:val="18"/>
                <w:color w:val="0A0A0A"/>
              </w:rPr>
              <w:t>Net Income</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0A0A0A"/>
              </w:rPr>
              <w:t>$</w:t>
            </w:r>
          </w:p>
        </w:tc>
        <w:tc>
          <w:tcPr>
            <w:tcW w:w="1180" w:type="dxa"/>
            <w:vAlign w:val="bottom"/>
          </w:tcPr>
          <w:p>
            <w:pPr>
              <w:jc w:val="right"/>
              <w:spacing w:after="0"/>
              <w:rPr>
                <w:sz w:val="20"/>
                <w:szCs w:val="20"/>
                <w:color w:val="auto"/>
              </w:rPr>
            </w:pPr>
            <w:r>
              <w:rPr>
                <w:rFonts w:ascii="Arial" w:cs="Arial" w:eastAsia="Arial" w:hAnsi="Arial"/>
                <w:sz w:val="18"/>
                <w:szCs w:val="18"/>
                <w:color w:val="0A0A0A"/>
              </w:rPr>
              <w:t>78,072</w:t>
            </w:r>
          </w:p>
        </w:tc>
        <w:tc>
          <w:tcPr>
            <w:tcW w:w="360" w:type="dxa"/>
            <w:vAlign w:val="bottom"/>
          </w:tcPr>
          <w:p>
            <w:pPr>
              <w:jc w:val="right"/>
              <w:ind w:right="34"/>
              <w:spacing w:after="0"/>
              <w:rPr>
                <w:sz w:val="20"/>
                <w:szCs w:val="20"/>
                <w:color w:val="auto"/>
              </w:rPr>
            </w:pPr>
            <w:r>
              <w:rPr>
                <w:rFonts w:ascii="Arial" w:cs="Arial" w:eastAsia="Arial" w:hAnsi="Arial"/>
                <w:sz w:val="18"/>
                <w:szCs w:val="18"/>
                <w:color w:val="0A0A0A"/>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0A0A0A"/>
              </w:rPr>
              <w:t>4,138</w:t>
            </w:r>
          </w:p>
        </w:tc>
        <w:tc>
          <w:tcPr>
            <w:tcW w:w="1300" w:type="dxa"/>
            <w:vAlign w:val="bottom"/>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183"/>
        </w:trPr>
        <w:tc>
          <w:tcPr>
            <w:tcW w:w="456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0A0A0A"/>
              </w:rPr>
              <w:t>Net Income per share to common stockholders:</w:t>
            </w:r>
          </w:p>
        </w:tc>
        <w:tc>
          <w:tcPr>
            <w:tcW w:w="2300" w:type="dxa"/>
            <w:vAlign w:val="bottom"/>
            <w:tcBorders>
              <w:top w:val="single" w:sz="8" w:color="C6F4F9"/>
            </w:tcBorders>
            <w:shd w:val="clear" w:color="auto" w:fill="C6F4F9"/>
          </w:tcPr>
          <w:p>
            <w:pPr>
              <w:spacing w:after="0"/>
              <w:rPr>
                <w:sz w:val="15"/>
                <w:szCs w:val="15"/>
                <w:color w:val="auto"/>
              </w:rPr>
            </w:pPr>
          </w:p>
        </w:tc>
        <w:tc>
          <w:tcPr>
            <w:tcW w:w="280" w:type="dxa"/>
            <w:vAlign w:val="bottom"/>
            <w:tcBorders>
              <w:top w:val="single" w:sz="8" w:color="auto"/>
            </w:tcBorders>
            <w:shd w:val="clear" w:color="auto" w:fill="C6F4F9"/>
          </w:tcPr>
          <w:p>
            <w:pPr>
              <w:spacing w:after="0"/>
              <w:rPr>
                <w:sz w:val="15"/>
                <w:szCs w:val="15"/>
                <w:color w:val="auto"/>
              </w:rPr>
            </w:pPr>
          </w:p>
        </w:tc>
        <w:tc>
          <w:tcPr>
            <w:tcW w:w="1180" w:type="dxa"/>
            <w:vAlign w:val="bottom"/>
            <w:tcBorders>
              <w:top w:val="single" w:sz="8" w:color="auto"/>
            </w:tcBorders>
            <w:shd w:val="clear" w:color="auto" w:fill="C6F4F9"/>
          </w:tcPr>
          <w:p>
            <w:pPr>
              <w:spacing w:after="0"/>
              <w:rPr>
                <w:sz w:val="15"/>
                <w:szCs w:val="15"/>
                <w:color w:val="auto"/>
              </w:rPr>
            </w:pPr>
          </w:p>
        </w:tc>
        <w:tc>
          <w:tcPr>
            <w:tcW w:w="360" w:type="dxa"/>
            <w:vAlign w:val="bottom"/>
            <w:tcBorders>
              <w:top w:val="single" w:sz="8" w:color="auto"/>
            </w:tcBorders>
            <w:shd w:val="clear" w:color="auto" w:fill="C6F4F9"/>
          </w:tcPr>
          <w:p>
            <w:pPr>
              <w:spacing w:after="0"/>
              <w:rPr>
                <w:sz w:val="15"/>
                <w:szCs w:val="15"/>
                <w:color w:val="auto"/>
              </w:rPr>
            </w:pPr>
          </w:p>
        </w:tc>
        <w:tc>
          <w:tcPr>
            <w:tcW w:w="1260" w:type="dxa"/>
            <w:vAlign w:val="bottom"/>
            <w:tcBorders>
              <w:top w:val="single" w:sz="8" w:color="auto"/>
            </w:tcBorders>
            <w:shd w:val="clear" w:color="auto" w:fill="C6F4F9"/>
          </w:tcPr>
          <w:p>
            <w:pPr>
              <w:spacing w:after="0"/>
              <w:rPr>
                <w:sz w:val="15"/>
                <w:szCs w:val="15"/>
                <w:color w:val="auto"/>
              </w:rPr>
            </w:pPr>
          </w:p>
        </w:tc>
        <w:tc>
          <w:tcPr>
            <w:tcW w:w="1300" w:type="dxa"/>
            <w:vAlign w:val="bottom"/>
            <w:tcBorders>
              <w:top w:val="single" w:sz="8" w:color="auto"/>
            </w:tcBorders>
            <w:shd w:val="clear" w:color="auto" w:fill="C6F4F9"/>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2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1.44</w:t>
            </w:r>
          </w:p>
        </w:tc>
        <w:tc>
          <w:tcPr>
            <w:tcW w:w="360" w:type="dxa"/>
            <w:vAlign w:val="bottom"/>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0.09</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258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w:t>
            </w: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1.33</w:t>
            </w:r>
          </w:p>
        </w:tc>
        <w:tc>
          <w:tcPr>
            <w:tcW w:w="360" w:type="dxa"/>
            <w:vAlign w:val="bottom"/>
            <w:shd w:val="clear" w:color="auto" w:fill="C6F4F9"/>
          </w:tcPr>
          <w:p>
            <w:pPr>
              <w:jc w:val="right"/>
              <w:ind w:right="34"/>
              <w:spacing w:after="0" w:line="202" w:lineRule="exact"/>
              <w:rPr>
                <w:sz w:val="20"/>
                <w:szCs w:val="20"/>
                <w:color w:val="auto"/>
              </w:rPr>
            </w:pPr>
            <w:r>
              <w:rPr>
                <w:rFonts w:ascii="Arial" w:cs="Arial" w:eastAsia="Arial" w:hAnsi="Arial"/>
                <w:sz w:val="18"/>
                <w:szCs w:val="18"/>
                <w:color w:val="0A0A0A"/>
              </w:rPr>
              <w:t>$</w:t>
            </w: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0.09</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23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54,368,231</w:t>
            </w:r>
          </w:p>
        </w:tc>
        <w:tc>
          <w:tcPr>
            <w:tcW w:w="36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46,805,950</w:t>
            </w:r>
          </w:p>
        </w:tc>
        <w:tc>
          <w:tcPr>
            <w:tcW w:w="13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16.2</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0A0A0A"/>
              </w:rPr>
              <w:t>Diluted</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A0A0A"/>
              </w:rPr>
              <w:t>58,699,991</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0A0A0A"/>
              </w:rPr>
              <w:t>48,350,943</w:t>
            </w:r>
          </w:p>
        </w:tc>
        <w:tc>
          <w:tcPr>
            <w:tcW w:w="1300" w:type="dxa"/>
            <w:vAlign w:val="bottom"/>
          </w:tcPr>
          <w:p>
            <w:pPr>
              <w:jc w:val="right"/>
              <w:ind w:right="10"/>
              <w:spacing w:after="0"/>
              <w:rPr>
                <w:sz w:val="20"/>
                <w:szCs w:val="20"/>
                <w:color w:val="auto"/>
              </w:rPr>
            </w:pPr>
            <w:r>
              <w:rPr>
                <w:rFonts w:ascii="Arial" w:cs="Arial" w:eastAsia="Arial" w:hAnsi="Arial"/>
                <w:sz w:val="18"/>
                <w:szCs w:val="18"/>
                <w:color w:val="0A0A0A"/>
              </w:rPr>
              <w:t>21.4</w:t>
            </w:r>
          </w:p>
        </w:tc>
        <w:tc>
          <w:tcPr>
            <w:tcW w:w="0" w:type="dxa"/>
            <w:vAlign w:val="bottom"/>
          </w:tcPr>
          <w:p>
            <w:pPr>
              <w:spacing w:after="0"/>
              <w:rPr>
                <w:sz w:val="1"/>
                <w:szCs w:val="1"/>
                <w:color w:val="auto"/>
              </w:rPr>
            </w:pPr>
          </w:p>
        </w:tc>
      </w:tr>
      <w:tr>
        <w:trPr>
          <w:trHeight w:val="722"/>
        </w:trPr>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right"/>
              <w:ind w:right="1220"/>
              <w:spacing w:after="0"/>
              <w:rPr>
                <w:sz w:val="20"/>
                <w:szCs w:val="20"/>
                <w:color w:val="auto"/>
              </w:rPr>
            </w:pPr>
            <w:r>
              <w:rPr>
                <w:rFonts w:ascii="Arial" w:cs="Arial" w:eastAsia="Arial" w:hAnsi="Arial"/>
                <w:sz w:val="18"/>
                <w:szCs w:val="18"/>
                <w:color w:val="auto"/>
              </w:rPr>
              <w:t>Page 7</w:t>
            </w:r>
          </w:p>
        </w:tc>
        <w:tc>
          <w:tcPr>
            <w:tcW w:w="1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b w:val="1"/>
                <w:bCs w:val="1"/>
                <w:color w:val="auto"/>
              </w:rPr>
              <w:t>Key Operating Statistics</w:t>
            </w:r>
          </w:p>
        </w:tc>
        <w:tc>
          <w:tcPr>
            <w:tcW w:w="2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9880" w:type="dxa"/>
            <w:vAlign w:val="bottom"/>
            <w:gridSpan w:val="5"/>
          </w:tcPr>
          <w:p>
            <w:pPr>
              <w:spacing w:after="0"/>
              <w:rPr>
                <w:sz w:val="20"/>
                <w:szCs w:val="20"/>
                <w:color w:val="auto"/>
              </w:rPr>
            </w:pPr>
            <w:r>
              <w:rPr>
                <w:rFonts w:ascii="Arial" w:cs="Arial" w:eastAsia="Arial" w:hAnsi="Arial"/>
                <w:sz w:val="18"/>
                <w:szCs w:val="18"/>
                <w:color w:val="auto"/>
              </w:rPr>
              <w:t>The following table presents key operating statistics and metrics for the three months ended September 30, 2021.</w:t>
            </w:r>
          </w:p>
        </w:tc>
        <w:tc>
          <w:tcPr>
            <w:tcW w:w="1360" w:type="dxa"/>
            <w:vAlign w:val="bottom"/>
          </w:tcPr>
          <w:p>
            <w:pPr>
              <w:spacing w:after="0"/>
              <w:rPr>
                <w:sz w:val="24"/>
                <w:szCs w:val="24"/>
                <w:color w:val="auto"/>
              </w:rPr>
            </w:pPr>
          </w:p>
        </w:tc>
      </w:tr>
      <w:tr>
        <w:trPr>
          <w:trHeight w:val="369"/>
        </w:trPr>
        <w:tc>
          <w:tcPr>
            <w:tcW w:w="4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8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rPr>
              <w:t>Three Months Ended Sep 30,</w:t>
            </w:r>
          </w:p>
        </w:tc>
        <w:tc>
          <w:tcPr>
            <w:tcW w:w="1360" w:type="dxa"/>
            <w:vAlign w:val="bottom"/>
          </w:tcPr>
          <w:p>
            <w:pPr>
              <w:spacing w:after="0"/>
              <w:rPr>
                <w:sz w:val="24"/>
                <w:szCs w:val="24"/>
                <w:color w:val="auto"/>
              </w:rPr>
            </w:pPr>
          </w:p>
        </w:tc>
      </w:tr>
      <w:tr>
        <w:trPr>
          <w:trHeight w:val="225"/>
        </w:trPr>
        <w:tc>
          <w:tcPr>
            <w:tcW w:w="45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1,011,936</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418,223</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142.0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1,296,555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763,362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69.8</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Load factor</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78.0%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auto"/>
              </w:rPr>
              <w:t>54.8%</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23.2 pts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Revenue passengers carried</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785,348</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337,887</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5,533</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3,364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64.5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17,313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9,998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revenue per ASM (PRASM) - cents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6.19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3.53</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75.2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2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102.14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79.77</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224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42.91</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36.27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18.3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13,475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7,403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1,798</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1,324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3,835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2,920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31.3</w:t>
            </w: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244,393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205,594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2,760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2,098</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31.5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2,912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1,818</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8,533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5,168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65.1</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passenger aircraft</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31.0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1,549,432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974,584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59.0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10,299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6,549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29,842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18,191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64.0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7.0</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stage length – miles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1,155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1,116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Total revenue per ASM (TRASM) - cents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9.63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6.54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Cost per ASM (CASM) - cents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9.79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7.10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37.9</w:t>
            </w: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Adjusted CASM - cents</w:t>
            </w:r>
          </w:p>
        </w:tc>
        <w:tc>
          <w:tcPr>
            <w:tcW w:w="224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7.63</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16,321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9,558</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70.8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2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1.40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Employees at end of period</w:t>
            </w:r>
          </w:p>
        </w:tc>
        <w:tc>
          <w:tcPr>
            <w:tcW w:w="224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2,014</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1,632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23.4</w:t>
            </w:r>
          </w:p>
        </w:tc>
      </w:tr>
      <w:tr>
        <w:trPr>
          <w:trHeight w:val="736"/>
        </w:trPr>
        <w:tc>
          <w:tcPr>
            <w:tcW w:w="4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Page 8</w:t>
            </w: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nine months ended September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60" w:type="dxa"/>
            <w:vAlign w:val="bottom"/>
            <w:gridSpan w:val="3"/>
          </w:tcPr>
          <w:p>
            <w:pPr>
              <w:jc w:val="right"/>
              <w:ind w:right="471"/>
              <w:spacing w:after="0"/>
              <w:rPr>
                <w:sz w:val="20"/>
                <w:szCs w:val="20"/>
                <w:color w:val="auto"/>
              </w:rPr>
            </w:pPr>
            <w:r>
              <w:rPr>
                <w:rFonts w:ascii="Arial" w:cs="Arial" w:eastAsia="Arial" w:hAnsi="Arial"/>
                <w:sz w:val="18"/>
                <w:szCs w:val="18"/>
                <w:b w:val="1"/>
                <w:bCs w:val="1"/>
                <w:color w:val="auto"/>
              </w:rPr>
              <w:t>Nine Months Ended Sep 30,</w:t>
            </w:r>
          </w:p>
        </w:tc>
        <w:tc>
          <w:tcPr>
            <w:tcW w:w="1360" w:type="dxa"/>
            <w:vAlign w:val="bottom"/>
          </w:tcPr>
          <w:p>
            <w:pPr>
              <w:spacing w:after="0"/>
              <w:rPr>
                <w:sz w:val="17"/>
                <w:szCs w:val="17"/>
                <w:color w:val="auto"/>
              </w:rPr>
            </w:pPr>
          </w:p>
        </w:tc>
      </w:tr>
      <w:tr>
        <w:trPr>
          <w:trHeight w:val="225"/>
        </w:trPr>
        <w:tc>
          <w:tcPr>
            <w:tcW w:w="4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2,705,969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1,721,227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57.2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3,653,335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2,589,606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41.1</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Load factor</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74.1%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auto"/>
              </w:rPr>
              <w:t>66.5%</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7.6 pts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Revenue passengers carried</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2,038,399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1,273,747</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14,777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10,546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48,420</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34,416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revenue per ASM (PRASM) - cents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5.53</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6.14</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2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99.05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124.88</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22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42.50</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41.02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37,299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26,182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5,036</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3,480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10,822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7,853</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37.8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693,837</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540,284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7,739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5,744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34.7</w:t>
            </w: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8,229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2,231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268.8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24,973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6,244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passenger aircraft</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31.7</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31.4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4,368,972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3,149,189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38.7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28,196</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16,396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84,648</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48,882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stage length – miles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1,199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1,207</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Total revenue per ASM (TRASM) - cents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8.75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8.77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Cost per ASM (CASM) - cents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8.11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8.63</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Adjusted CASM - cents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6.29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7.75</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45,269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32,120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40.9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2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1.62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Employees at end of period</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2,014</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1,632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23.4</w:t>
            </w:r>
          </w:p>
        </w:tc>
      </w:tr>
      <w:tr>
        <w:trPr>
          <w:trHeight w:val="736"/>
        </w:trPr>
        <w:tc>
          <w:tcPr>
            <w:tcW w:w="4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Page 9</w:t>
            </w: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BALANCE SHEET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7000"/>
        <w:spacing w:after="0"/>
        <w:tabs>
          <w:tab w:leader="none" w:pos="8500" w:val="left"/>
          <w:tab w:leader="none" w:pos="9780" w:val="left"/>
        </w:tabs>
        <w:rPr>
          <w:sz w:val="20"/>
          <w:szCs w:val="20"/>
          <w:color w:val="auto"/>
        </w:rPr>
      </w:pPr>
      <w:r>
        <w:rPr>
          <w:rFonts w:ascii="Arial" w:cs="Arial" w:eastAsia="Arial" w:hAnsi="Arial"/>
          <w:sz w:val="18"/>
          <w:szCs w:val="18"/>
          <w:b w:val="1"/>
          <w:bCs w:val="1"/>
          <w:color w:val="auto"/>
        </w:rPr>
        <w:t>9/30/2021</w:t>
      </w:r>
      <w:r>
        <w:rPr>
          <w:sz w:val="20"/>
          <w:szCs w:val="20"/>
          <w:color w:val="auto"/>
        </w:rPr>
        <w:tab/>
      </w:r>
      <w:r>
        <w:rPr>
          <w:rFonts w:ascii="Arial" w:cs="Arial" w:eastAsia="Arial" w:hAnsi="Arial"/>
          <w:sz w:val="18"/>
          <w:szCs w:val="18"/>
          <w:b w:val="1"/>
          <w:bCs w:val="1"/>
          <w:color w:val="auto"/>
        </w:rPr>
        <w:t>12/31/2020</w:t>
      </w:r>
      <w:r>
        <w:rPr>
          <w:sz w:val="20"/>
          <w:szCs w:val="20"/>
          <w:color w:val="auto"/>
        </w:rPr>
        <w:tab/>
      </w:r>
      <w:r>
        <w:rPr>
          <w:rFonts w:ascii="Arial" w:cs="Arial" w:eastAsia="Arial" w:hAnsi="Arial"/>
          <w:sz w:val="17"/>
          <w:szCs w:val="17"/>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0A0A0A"/>
        </w:rPr>
        <w:t>Cash and cash equivalents</w:t>
      </w:r>
    </w:p>
    <w:p>
      <w:pPr>
        <w:spacing w:after="0"/>
        <w:rPr>
          <w:sz w:val="20"/>
          <w:szCs w:val="20"/>
          <w:color w:val="auto"/>
        </w:rPr>
      </w:pPr>
      <w:r>
        <w:rPr>
          <w:rFonts w:ascii="Arial" w:cs="Arial" w:eastAsia="Arial" w:hAnsi="Arial"/>
          <w:sz w:val="18"/>
          <w:szCs w:val="18"/>
          <w:color w:val="0A0A0A"/>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0A0A0A"/>
        </w:rPr>
        <w:t>Total current assets</w:t>
      </w:r>
    </w:p>
    <w:p>
      <w:pPr>
        <w:spacing w:after="0" w:line="234" w:lineRule="auto"/>
        <w:rPr>
          <w:sz w:val="20"/>
          <w:szCs w:val="20"/>
          <w:color w:val="auto"/>
        </w:rPr>
      </w:pPr>
      <w:r>
        <w:rPr>
          <w:rFonts w:ascii="Arial" w:cs="Arial" w:eastAsia="Arial" w:hAnsi="Arial"/>
          <w:sz w:val="18"/>
          <w:szCs w:val="18"/>
          <w:color w:val="0A0A0A"/>
        </w:rPr>
        <w:t>Total property &amp;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A0A0A"/>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A0A0A"/>
        </w:rPr>
        <w:t>Total assets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0A0A0A"/>
        </w:rPr>
        <w:t>Air traffic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0A0A0A"/>
        </w:rPr>
        <w:t>Current finance lease obligations</w:t>
      </w:r>
    </w:p>
    <w:p>
      <w:pPr>
        <w:spacing w:after="0" w:line="235" w:lineRule="auto"/>
        <w:rPr>
          <w:sz w:val="20"/>
          <w:szCs w:val="20"/>
          <w:color w:val="auto"/>
        </w:rPr>
      </w:pPr>
      <w:r>
        <w:rPr>
          <w:rFonts w:ascii="Arial" w:cs="Arial" w:eastAsia="Arial" w:hAnsi="Arial"/>
          <w:sz w:val="18"/>
          <w:szCs w:val="18"/>
          <w:color w:val="0A0A0A"/>
        </w:rPr>
        <w:t>Current operating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Current maturities of long-term debt</w:t>
      </w:r>
    </w:p>
    <w:p>
      <w:pPr>
        <w:spacing w:after="0"/>
        <w:rPr>
          <w:sz w:val="20"/>
          <w:szCs w:val="20"/>
          <w:color w:val="auto"/>
        </w:rPr>
      </w:pPr>
      <w:r>
        <w:rPr>
          <w:rFonts w:ascii="Arial" w:cs="Arial" w:eastAsia="Arial" w:hAnsi="Arial"/>
          <w:sz w:val="18"/>
          <w:szCs w:val="18"/>
          <w:color w:val="0A0A0A"/>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0A0A0A"/>
        </w:rPr>
        <w:t>Total current liabilities</w:t>
      </w:r>
    </w:p>
    <w:p>
      <w:pPr>
        <w:spacing w:after="0" w:line="234" w:lineRule="auto"/>
        <w:rPr>
          <w:sz w:val="20"/>
          <w:szCs w:val="20"/>
          <w:color w:val="auto"/>
        </w:rPr>
      </w:pPr>
      <w:r>
        <w:rPr>
          <w:rFonts w:ascii="Arial" w:cs="Arial" w:eastAsia="Arial" w:hAnsi="Arial"/>
          <w:sz w:val="18"/>
          <w:szCs w:val="18"/>
          <w:color w:val="0A0A0A"/>
        </w:rPr>
        <w:t>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Operating lease obligations</w:t>
      </w:r>
    </w:p>
    <w:p>
      <w:pPr>
        <w:spacing w:after="0" w:line="235" w:lineRule="auto"/>
        <w:rPr>
          <w:sz w:val="20"/>
          <w:szCs w:val="20"/>
          <w:color w:val="auto"/>
        </w:rPr>
      </w:pPr>
      <w:r>
        <w:rPr>
          <w:rFonts w:ascii="Arial" w:cs="Arial" w:eastAsia="Arial" w:hAnsi="Arial"/>
          <w:sz w:val="18"/>
          <w:szCs w:val="18"/>
          <w:color w:val="0A0A0A"/>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Income tax receivable agreement</w:t>
      </w:r>
    </w:p>
    <w:p>
      <w:pPr>
        <w:spacing w:after="0"/>
        <w:rPr>
          <w:sz w:val="20"/>
          <w:szCs w:val="20"/>
          <w:color w:val="auto"/>
        </w:rPr>
      </w:pPr>
      <w:r>
        <w:rPr>
          <w:rFonts w:ascii="Arial" w:cs="Arial" w:eastAsia="Arial" w:hAnsi="Arial"/>
          <w:sz w:val="18"/>
          <w:szCs w:val="18"/>
          <w:color w:val="0A0A0A"/>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A0A0A"/>
        </w:rPr>
        <w:t>Total liabilities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CASH FLOW</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rPr>
          <w:sz w:val="20"/>
          <w:szCs w:val="20"/>
          <w:color w:val="auto"/>
        </w:rPr>
      </w:pPr>
      <w:r>
        <w:rPr>
          <w:rFonts w:ascii="Arial" w:cs="Arial" w:eastAsia="Arial" w:hAnsi="Arial"/>
          <w:sz w:val="17"/>
          <w:szCs w:val="17"/>
          <w:b w:val="1"/>
          <w:bCs w:val="1"/>
          <w:color w:val="auto"/>
        </w:rPr>
        <w:t>(Unaudited - amounts may not recalculate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275.3</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62.0</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343.9</w:t>
            </w:r>
          </w:p>
        </w:tc>
      </w:tr>
      <w:tr>
        <w:trPr>
          <w:trHeight w:val="203"/>
        </w:trPr>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71.1</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64.7</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9.9</w:t>
            </w:r>
          </w:p>
        </w:tc>
      </w:tr>
      <w:tr>
        <w:trPr>
          <w:trHeight w:val="195"/>
        </w:trPr>
        <w:tc>
          <w:tcPr>
            <w:tcW w:w="56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346.4</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126.7</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173.3</w:t>
            </w:r>
          </w:p>
        </w:tc>
      </w:tr>
      <w:tr>
        <w:trPr>
          <w:trHeight w:val="216"/>
        </w:trPr>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561.0</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414.5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03"/>
        </w:trPr>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434.8</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512.0</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w:t>
            </w:r>
          </w:p>
        </w:tc>
      </w:tr>
      <w:tr>
        <w:trPr>
          <w:trHeight w:val="195"/>
        </w:trPr>
        <w:tc>
          <w:tcPr>
            <w:tcW w:w="56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1,342.3</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1,053.3</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27.4</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105.0</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101.1</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34.5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r>
      <w:tr>
        <w:trPr>
          <w:trHeight w:val="216"/>
        </w:trPr>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03"/>
        </w:trPr>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89.6</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80.6</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11.2</w:t>
            </w:r>
          </w:p>
        </w:tc>
      </w:tr>
      <w:tr>
        <w:trPr>
          <w:trHeight w:val="195"/>
        </w:trPr>
        <w:tc>
          <w:tcPr>
            <w:tcW w:w="56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241.6</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253.7</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164.9</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95.7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72.3</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63.1</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112.7</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r>
      <w:tr>
        <w:trPr>
          <w:trHeight w:val="203"/>
        </w:trPr>
        <w:tc>
          <w:tcPr>
            <w:tcW w:w="56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267.0</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256.3</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216"/>
        </w:trPr>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03"/>
        </w:trPr>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27.4</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50.9</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w:t>
            </w:r>
          </w:p>
        </w:tc>
      </w:tr>
      <w:tr>
        <w:trPr>
          <w:trHeight w:val="195"/>
        </w:trPr>
        <w:tc>
          <w:tcPr>
            <w:tcW w:w="56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859.4</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769.5</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w:t>
            </w:r>
          </w:p>
        </w:tc>
      </w:tr>
      <w:tr>
        <w:trPr>
          <w:trHeight w:val="217"/>
        </w:trPr>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482.9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283.8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70.1</w:t>
            </w:r>
          </w:p>
        </w:tc>
      </w:tr>
    </w:tbl>
    <w:p>
      <w:pPr>
        <w:spacing w:after="0" w:line="796" w:lineRule="exact"/>
        <w:rPr>
          <w:sz w:val="20"/>
          <w:szCs w:val="20"/>
          <w:color w:val="auto"/>
        </w:rPr>
      </w:pPr>
    </w:p>
    <w:p>
      <w:pPr>
        <w:sectPr>
          <w:pgSz w:w="11900" w:h="16838" w:orient="portrait"/>
          <w:cols w:equalWidth="0" w:num="2">
            <w:col w:w="5800" w:space="720"/>
            <w:col w:w="4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65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right"/>
              <w:ind w:right="290"/>
              <w:spacing w:after="0" w:line="173" w:lineRule="exact"/>
              <w:rPr>
                <w:sz w:val="20"/>
                <w:szCs w:val="20"/>
                <w:color w:val="auto"/>
              </w:rPr>
            </w:pPr>
            <w:r>
              <w:rPr>
                <w:rFonts w:ascii="Arial" w:cs="Arial" w:eastAsia="Arial" w:hAnsi="Arial"/>
                <w:sz w:val="18"/>
                <w:szCs w:val="18"/>
                <w:b w:val="1"/>
                <w:bCs w:val="1"/>
                <w:color w:val="auto"/>
              </w:rPr>
              <w:t>Nine Months Ended Sep 30,</w:t>
            </w:r>
          </w:p>
        </w:tc>
        <w:tc>
          <w:tcPr>
            <w:tcW w:w="1520" w:type="dxa"/>
            <w:vAlign w:val="bottom"/>
            <w:tcBorders>
              <w:top w:val="single" w:sz="8" w:color="auto"/>
            </w:tcBorders>
          </w:tcPr>
          <w:p>
            <w:pPr>
              <w:spacing w:after="0"/>
              <w:rPr>
                <w:sz w:val="15"/>
                <w:szCs w:val="15"/>
                <w:color w:val="auto"/>
              </w:rPr>
            </w:pPr>
          </w:p>
        </w:tc>
      </w:tr>
      <w:tr>
        <w:trPr>
          <w:trHeight w:val="225"/>
        </w:trPr>
        <w:tc>
          <w:tcPr>
            <w:tcW w:w="6520" w:type="dxa"/>
            <w:vAlign w:val="bottom"/>
            <w:tcBorders>
              <w:bottom w:val="single" w:sz="8" w:color="C6F4F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652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provided by operating activities</w:t>
            </w:r>
          </w:p>
        </w:tc>
        <w:tc>
          <w:tcPr>
            <w:tcW w:w="3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109.4</w:t>
            </w:r>
          </w:p>
        </w:tc>
        <w:tc>
          <w:tcPr>
            <w:tcW w:w="400" w:type="dxa"/>
            <w:vAlign w:val="bottom"/>
            <w:shd w:val="clear" w:color="auto" w:fill="C6F4F9"/>
          </w:tcPr>
          <w:p>
            <w:pPr>
              <w:jc w:val="right"/>
              <w:ind w:right="136"/>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3.6</w:t>
            </w:r>
          </w:p>
        </w:tc>
        <w:tc>
          <w:tcPr>
            <w:tcW w:w="15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0A0A0A"/>
              </w:rPr>
              <w:t>Purchases of property &amp; equipment</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(111.1)</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r>
      <w:tr>
        <w:trPr>
          <w:trHeight w:val="216"/>
        </w:trPr>
        <w:tc>
          <w:tcPr>
            <w:tcW w:w="652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340" w:type="dxa"/>
            <w:vAlign w:val="bottom"/>
            <w:tcBorders>
              <w:bottom w:val="single" w:sz="8" w:color="auto"/>
            </w:tcBorders>
            <w:shd w:val="clear" w:color="auto" w:fill="C6F4F9"/>
          </w:tcPr>
          <w:p>
            <w:pPr>
              <w:spacing w:after="0"/>
              <w:rPr>
                <w:sz w:val="18"/>
                <w:szCs w:val="18"/>
                <w:color w:val="auto"/>
              </w:rPr>
            </w:pPr>
          </w:p>
        </w:tc>
        <w:tc>
          <w:tcPr>
            <w:tcW w:w="13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auto"/>
            </w:tcBorders>
            <w:shd w:val="clear" w:color="auto" w:fill="C6F4F9"/>
          </w:tcPr>
          <w:p>
            <w:pPr>
              <w:spacing w:after="0"/>
              <w:rPr>
                <w:sz w:val="18"/>
                <w:szCs w:val="18"/>
                <w:color w:val="auto"/>
              </w:rPr>
            </w:pPr>
          </w:p>
        </w:tc>
        <w:tc>
          <w:tcPr>
            <w:tcW w:w="116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NM</w:t>
            </w: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used in investing activities</w:t>
            </w:r>
          </w:p>
        </w:tc>
        <w:tc>
          <w:tcPr>
            <w:tcW w:w="3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(111.4)</w:t>
            </w:r>
          </w:p>
        </w:tc>
        <w:tc>
          <w:tcPr>
            <w:tcW w:w="4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(94.2)</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18.3</w:t>
            </w: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received from stock offering</w:t>
            </w:r>
          </w:p>
        </w:tc>
        <w:tc>
          <w:tcPr>
            <w:tcW w:w="34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235.9</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0.0</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0A0A0A"/>
              </w:rPr>
              <w:t>Proceeds from borrowing</w:t>
            </w:r>
          </w:p>
        </w:tc>
        <w:tc>
          <w:tcPr>
            <w:tcW w:w="340" w:type="dxa"/>
            <w:vAlign w:val="bottom"/>
          </w:tcPr>
          <w:p>
            <w:pPr>
              <w:spacing w:after="0"/>
              <w:rPr>
                <w:sz w:val="17"/>
                <w:szCs w:val="17"/>
                <w:color w:val="auto"/>
              </w:rPr>
            </w:pP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80.5</w:t>
            </w:r>
          </w:p>
        </w:tc>
        <w:tc>
          <w:tcPr>
            <w:tcW w:w="40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Repayment of finance lease obligations</w:t>
            </w:r>
          </w:p>
        </w:tc>
        <w:tc>
          <w:tcPr>
            <w:tcW w:w="340" w:type="dxa"/>
            <w:vAlign w:val="bottom"/>
            <w:shd w:val="clear" w:color="auto" w:fill="C6F4F9"/>
          </w:tcPr>
          <w:p>
            <w:pPr>
              <w:spacing w:after="0"/>
              <w:rPr>
                <w:sz w:val="17"/>
                <w:szCs w:val="17"/>
                <w:color w:val="auto"/>
              </w:rPr>
            </w:pPr>
          </w:p>
        </w:tc>
        <w:tc>
          <w:tcPr>
            <w:tcW w:w="13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(9.1)</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(84.7)</w:t>
            </w:r>
          </w:p>
        </w:tc>
        <w:tc>
          <w:tcPr>
            <w:tcW w:w="15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(89.3)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0A0A0A"/>
              </w:rPr>
              <w:t>Repayment of borrowings</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36.2</w:t>
            </w:r>
          </w:p>
        </w:tc>
      </w:tr>
      <w:tr>
        <w:trPr>
          <w:trHeight w:val="216"/>
        </w:trPr>
        <w:tc>
          <w:tcPr>
            <w:tcW w:w="652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340" w:type="dxa"/>
            <w:vAlign w:val="bottom"/>
            <w:tcBorders>
              <w:bottom w:val="single" w:sz="8" w:color="auto"/>
            </w:tcBorders>
            <w:shd w:val="clear" w:color="auto" w:fill="C6F4F9"/>
          </w:tcPr>
          <w:p>
            <w:pPr>
              <w:spacing w:after="0"/>
              <w:rPr>
                <w:sz w:val="18"/>
                <w:szCs w:val="18"/>
                <w:color w:val="auto"/>
              </w:rPr>
            </w:pPr>
          </w:p>
        </w:tc>
        <w:tc>
          <w:tcPr>
            <w:tcW w:w="13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(8.9)</w:t>
            </w:r>
          </w:p>
        </w:tc>
        <w:tc>
          <w:tcPr>
            <w:tcW w:w="400" w:type="dxa"/>
            <w:vAlign w:val="bottom"/>
            <w:tcBorders>
              <w:bottom w:val="single" w:sz="8" w:color="auto"/>
            </w:tcBorders>
            <w:shd w:val="clear" w:color="auto" w:fill="C6F4F9"/>
          </w:tcPr>
          <w:p>
            <w:pPr>
              <w:spacing w:after="0"/>
              <w:rPr>
                <w:sz w:val="18"/>
                <w:szCs w:val="18"/>
                <w:color w:val="auto"/>
              </w:rPr>
            </w:pPr>
          </w:p>
        </w:tc>
        <w:tc>
          <w:tcPr>
            <w:tcW w:w="11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169.7</w:t>
            </w: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provided by financing activities</w:t>
            </w:r>
          </w:p>
        </w:tc>
        <w:tc>
          <w:tcPr>
            <w:tcW w:w="340" w:type="dxa"/>
            <w:vAlign w:val="bottom"/>
          </w:tcPr>
          <w:p>
            <w:pPr>
              <w:spacing w:after="0"/>
              <w:rPr>
                <w:sz w:val="17"/>
                <w:szCs w:val="17"/>
                <w:color w:val="auto"/>
              </w:rPr>
            </w:pPr>
          </w:p>
        </w:tc>
        <w:tc>
          <w:tcPr>
            <w:tcW w:w="1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222.7</w:t>
            </w:r>
          </w:p>
        </w:tc>
        <w:tc>
          <w:tcPr>
            <w:tcW w:w="400" w:type="dxa"/>
            <w:vAlign w:val="bottom"/>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76.7</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190.4</w:t>
            </w:r>
          </w:p>
        </w:tc>
      </w:tr>
      <w:tr>
        <w:trPr>
          <w:trHeight w:val="202"/>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Change in cash</w:t>
            </w:r>
          </w:p>
        </w:tc>
        <w:tc>
          <w:tcPr>
            <w:tcW w:w="34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220.7</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(13.9)</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0A0A0A"/>
              </w:rPr>
              <w:t>Cash and equivalents and restricted cash – beginning of the period</w:t>
            </w:r>
          </w:p>
        </w:tc>
        <w:tc>
          <w:tcPr>
            <w:tcW w:w="340" w:type="dxa"/>
            <w:vAlign w:val="bottom"/>
          </w:tcPr>
          <w:p>
            <w:pPr>
              <w:spacing w:after="0"/>
              <w:rPr>
                <w:sz w:val="17"/>
                <w:szCs w:val="17"/>
                <w:color w:val="auto"/>
              </w:rPr>
            </w:pP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70.4</w:t>
            </w:r>
          </w:p>
        </w:tc>
        <w:tc>
          <w:tcPr>
            <w:tcW w:w="40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64.5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w:t>
            </w:r>
          </w:p>
        </w:tc>
      </w:tr>
      <w:tr>
        <w:trPr>
          <w:trHeight w:val="203"/>
        </w:trPr>
        <w:tc>
          <w:tcPr>
            <w:tcW w:w="652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and equivalents and restricted cash – end of the period</w:t>
            </w:r>
          </w:p>
        </w:tc>
        <w:tc>
          <w:tcPr>
            <w:tcW w:w="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291.0</w:t>
            </w:r>
          </w:p>
        </w:tc>
        <w:tc>
          <w:tcPr>
            <w:tcW w:w="400" w:type="dxa"/>
            <w:vAlign w:val="bottom"/>
            <w:shd w:val="clear" w:color="auto" w:fill="C6F4F9"/>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50.5</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476.2</w:t>
            </w:r>
          </w:p>
        </w:tc>
      </w:tr>
      <w:tr>
        <w:trPr>
          <w:trHeight w:val="534"/>
        </w:trPr>
        <w:tc>
          <w:tcPr>
            <w:tcW w:w="6520" w:type="dxa"/>
            <w:vAlign w:val="bottom"/>
            <w:tcBorders>
              <w:bottom w:val="single" w:sz="8" w:color="auto"/>
            </w:tcBorders>
          </w:tcPr>
          <w:p>
            <w:pPr>
              <w:ind w:left="5300"/>
              <w:spacing w:after="0"/>
              <w:rPr>
                <w:sz w:val="20"/>
                <w:szCs w:val="20"/>
                <w:color w:val="auto"/>
              </w:rPr>
            </w:pPr>
            <w:r>
              <w:rPr>
                <w:rFonts w:ascii="Arial" w:cs="Arial" w:eastAsia="Arial" w:hAnsi="Arial"/>
                <w:sz w:val="18"/>
                <w:szCs w:val="18"/>
                <w:color w:val="auto"/>
              </w:rPr>
              <w:t>Page 10</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Special Items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tables lists the items that are included as Special Items, net.</w:t>
            </w:r>
          </w:p>
        </w:tc>
        <w:tc>
          <w:tcPr>
            <w:tcW w:w="262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Three Months Ended Sep 30,</w:t>
            </w:r>
          </w:p>
        </w:tc>
        <w:tc>
          <w:tcPr>
            <w:tcW w:w="5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760" w:type="dxa"/>
            <w:vAlign w:val="bottom"/>
          </w:tcPr>
          <w:p>
            <w:pPr>
              <w:spacing w:after="0"/>
              <w:rPr>
                <w:sz w:val="13"/>
                <w:szCs w:val="13"/>
                <w:color w:val="auto"/>
              </w:rPr>
            </w:pPr>
          </w:p>
        </w:tc>
        <w:tc>
          <w:tcPr>
            <w:tcW w:w="262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6F4F9"/>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6F4F9"/>
          </w:tcPr>
          <w:p>
            <w:pPr>
              <w:spacing w:after="0" w:line="223"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5"/>
                <w:szCs w:val="25"/>
                <w:color w:val="auto"/>
                <w:vertAlign w:val="superscript"/>
              </w:rPr>
              <w:t>(1)</w:t>
            </w:r>
          </w:p>
        </w:tc>
        <w:tc>
          <w:tcPr>
            <w:tcW w:w="11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6F4F9"/>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(30.8)</w:t>
            </w:r>
          </w:p>
        </w:tc>
        <w:tc>
          <w:tcPr>
            <w:tcW w:w="1340" w:type="dxa"/>
            <w:vAlign w:val="bottom"/>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6F4F9"/>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6F4F9"/>
          </w:tcPr>
          <w:p>
            <w:pPr>
              <w:spacing w:after="0"/>
              <w:rPr>
                <w:sz w:val="18"/>
                <w:szCs w:val="18"/>
                <w:color w:val="auto"/>
              </w:rPr>
            </w:pPr>
          </w:p>
        </w:tc>
        <w:tc>
          <w:tcPr>
            <w:tcW w:w="50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6F4F9"/>
          </w:tcPr>
          <w:p>
            <w:pPr>
              <w:spacing w:after="0"/>
              <w:rPr>
                <w:sz w:val="18"/>
                <w:szCs w:val="18"/>
                <w:color w:val="auto"/>
              </w:rPr>
            </w:pPr>
          </w:p>
        </w:tc>
        <w:tc>
          <w:tcPr>
            <w:tcW w:w="1860" w:type="dxa"/>
            <w:vAlign w:val="bottom"/>
            <w:gridSpan w:val="2"/>
            <w:shd w:val="clear" w:color="auto" w:fill="C6F4F9"/>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Pr>
          <w:p>
            <w:pPr>
              <w:spacing w:after="0" w:line="197" w:lineRule="exact"/>
              <w:rPr>
                <w:sz w:val="20"/>
                <w:szCs w:val="20"/>
                <w:color w:val="auto"/>
              </w:rPr>
            </w:pPr>
            <w:r>
              <w:rPr>
                <w:rFonts w:ascii="Arial" w:cs="Arial" w:eastAsia="Arial" w:hAnsi="Arial"/>
                <w:sz w:val="18"/>
                <w:szCs w:val="18"/>
                <w:color w:val="auto"/>
              </w:rPr>
              <w:t>Total special items, net</w:t>
            </w:r>
          </w:p>
        </w:tc>
        <w:tc>
          <w:tcPr>
            <w:tcW w:w="11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-873760</wp:posOffset>
            </wp:positionV>
            <wp:extent cx="84836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360" cy="41148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-307975</wp:posOffset>
            </wp:positionV>
            <wp:extent cx="8483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360" cy="137160"/>
                    </a:xfrm>
                    <a:prstGeom prst="rect">
                      <a:avLst/>
                    </a:prstGeom>
                    <a:noFill/>
                  </pic:spPr>
                </pic:pic>
              </a:graphicData>
            </a:graphic>
          </wp:anchor>
        </w:drawing>
      </w:r>
    </w:p>
    <w:p>
      <w:pPr>
        <w:spacing w:after="0" w:line="182" w:lineRule="exact"/>
        <w:rPr>
          <w:sz w:val="20"/>
          <w:szCs w:val="20"/>
          <w:color w:val="auto"/>
        </w:rPr>
      </w:pPr>
    </w:p>
    <w:p>
      <w:pPr>
        <w:jc w:val="both"/>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During the first half of 2021, </w:t>
      </w:r>
      <w:r>
        <w:rPr>
          <w:rFonts w:ascii="Arial" w:cs="Arial" w:eastAsia="Arial" w:hAnsi="Arial"/>
          <w:sz w:val="18"/>
          <w:szCs w:val="18"/>
          <w:color w:val="212529"/>
        </w:rPr>
        <w:t>the Treasury awarded the Company</w:t>
      </w:r>
      <w:r>
        <w:rPr>
          <w:rFonts w:ascii="Arial" w:cs="Arial" w:eastAsia="Arial" w:hAnsi="Arial"/>
          <w:sz w:val="18"/>
          <w:szCs w:val="18"/>
          <w:color w:val="auto"/>
        </w:rPr>
        <w:t xml:space="preserve"> a grant of $37.0 under PSP2</w:t>
      </w:r>
      <w:r>
        <w:rPr>
          <w:rFonts w:ascii="Arial" w:cs="Arial" w:eastAsia="Arial" w:hAnsi="Arial"/>
          <w:sz w:val="18"/>
          <w:szCs w:val="18"/>
          <w:color w:val="212529"/>
        </w:rPr>
        <w:t>.</w:t>
      </w:r>
      <w:r>
        <w:rPr>
          <w:rFonts w:ascii="Arial" w:cs="Arial" w:eastAsia="Arial" w:hAnsi="Arial"/>
          <w:sz w:val="18"/>
          <w:szCs w:val="18"/>
          <w:color w:val="auto"/>
        </w:rPr>
        <w:t xml:space="preserve"> Further, during the first half of 2021, the Company received a grant of $34.5 under PSP3. </w:t>
      </w:r>
      <w:r>
        <w:rPr>
          <w:rFonts w:ascii="Arial" w:cs="Arial" w:eastAsia="Arial" w:hAnsi="Arial"/>
          <w:sz w:val="18"/>
          <w:szCs w:val="18"/>
          <w:color w:val="212529"/>
        </w:rPr>
        <w:t>The grant amount</w:t>
      </w:r>
      <w:r>
        <w:rPr>
          <w:rFonts w:ascii="Arial" w:cs="Arial" w:eastAsia="Arial" w:hAnsi="Arial"/>
          <w:sz w:val="18"/>
          <w:szCs w:val="18"/>
          <w:color w:val="auto"/>
        </w:rPr>
        <w:t xml:space="preserve"> recognized under the CARES Act Payroll Support Program for the nine months ended September 30, 2020 was $62.3, of which $31.5 was recognized in the second quarter and $30.8 was recognized in the third quarter</w:t>
      </w:r>
    </w:p>
    <w:p>
      <w:pPr>
        <w:spacing w:after="0" w:line="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Relates to a credit recognized under the CARES Act Employee Retention credit which is a refundable tax credit against certain employee taxes. </w:t>
      </w:r>
      <w:r>
        <w:rPr>
          <w:rFonts w:ascii="Arial" w:cs="Arial" w:eastAsia="Arial" w:hAnsi="Arial"/>
          <w:sz w:val="18"/>
          <w:szCs w:val="18"/>
          <w:color w:val="212529"/>
        </w:rPr>
        <w:t>The $0.1 shown in the third quarter of 2021 relates to a true-up of the second quarter 2021 credit.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8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 Sep 30,</w:t>
            </w:r>
          </w:p>
        </w:tc>
      </w:tr>
      <w:tr>
        <w:trPr>
          <w:trHeight w:val="225"/>
        </w:trPr>
        <w:tc>
          <w:tcPr>
            <w:tcW w:w="6760" w:type="dxa"/>
            <w:vAlign w:val="bottom"/>
            <w:tcBorders>
              <w:bottom w:val="single" w:sz="8" w:color="C6F4F9"/>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r>
      <w:tr>
        <w:trPr>
          <w:trHeight w:val="223"/>
        </w:trPr>
        <w:tc>
          <w:tcPr>
            <w:tcW w:w="6760" w:type="dxa"/>
            <w:vAlign w:val="bottom"/>
            <w:shd w:val="clear" w:color="auto" w:fill="C6F4F9"/>
          </w:tcPr>
          <w:p>
            <w:pPr>
              <w:spacing w:after="0" w:line="223"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5"/>
                <w:szCs w:val="25"/>
                <w:color w:val="auto"/>
                <w:vertAlign w:val="superscript"/>
              </w:rPr>
              <w:t>(1)</w:t>
            </w:r>
          </w:p>
        </w:tc>
        <w:tc>
          <w:tcPr>
            <w:tcW w:w="1060" w:type="dxa"/>
            <w:vAlign w:val="bottom"/>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(71.6)</w:t>
            </w:r>
          </w:p>
        </w:tc>
        <w:tc>
          <w:tcPr>
            <w:tcW w:w="4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(62.3)</w:t>
            </w:r>
          </w:p>
        </w:tc>
        <w:tc>
          <w:tcPr>
            <w:tcW w:w="1340" w:type="dxa"/>
            <w:vAlign w:val="bottom"/>
            <w:shd w:val="clear" w:color="auto" w:fill="C6F4F9"/>
          </w:tcPr>
          <w:p>
            <w:pPr>
              <w:spacing w:after="0"/>
              <w:rPr>
                <w:sz w:val="19"/>
                <w:szCs w:val="19"/>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21"/>
                <w:szCs w:val="21"/>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Aircraft purchase impacts </w:t>
            </w:r>
            <w:r>
              <w:rPr>
                <w:rFonts w:ascii="Arial" w:cs="Arial" w:eastAsia="Arial" w:hAnsi="Arial"/>
                <w:sz w:val="28"/>
                <w:szCs w:val="28"/>
                <w:color w:val="auto"/>
                <w:vertAlign w:val="superscript"/>
              </w:rPr>
              <w:t>(3)</w:t>
            </w:r>
          </w:p>
        </w:tc>
        <w:tc>
          <w:tcPr>
            <w:tcW w:w="1060" w:type="dxa"/>
            <w:vAlign w:val="bottom"/>
            <w:shd w:val="clear" w:color="auto" w:fill="C6F4F9"/>
          </w:tcPr>
          <w:p>
            <w:pPr>
              <w:spacing w:after="0"/>
              <w:rPr>
                <w:sz w:val="21"/>
                <w:szCs w:val="21"/>
                <w:color w:val="auto"/>
              </w:rPr>
            </w:pPr>
          </w:p>
        </w:tc>
        <w:tc>
          <w:tcPr>
            <w:tcW w:w="5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6F4F9"/>
          </w:tcPr>
          <w:p>
            <w:pPr>
              <w:spacing w:after="0"/>
              <w:rPr>
                <w:sz w:val="21"/>
                <w:szCs w:val="21"/>
                <w:color w:val="auto"/>
              </w:rPr>
            </w:pPr>
          </w:p>
        </w:tc>
        <w:tc>
          <w:tcPr>
            <w:tcW w:w="246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0"/>
        </w:trPr>
        <w:tc>
          <w:tcPr>
            <w:tcW w:w="6760" w:type="dxa"/>
            <w:vAlign w:val="bottom"/>
            <w:tcBorders>
              <w:top w:val="single" w:sz="8" w:color="C6F4F9"/>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Total special items, net</w:t>
            </w:r>
          </w:p>
        </w:tc>
        <w:tc>
          <w:tcPr>
            <w:tcW w:w="1060" w:type="dxa"/>
            <w:vAlign w:val="bottom"/>
            <w:tcBorders>
              <w:top w:val="single" w:sz="8" w:color="auto"/>
              <w:bottom w:val="single" w:sz="8" w:color="auto"/>
            </w:tcBorders>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97"/>
              </w:rPr>
              <w:t>(65.5)</w:t>
            </w:r>
          </w:p>
        </w:tc>
        <w:tc>
          <w:tcPr>
            <w:tcW w:w="400" w:type="dxa"/>
            <w:vAlign w:val="bottom"/>
            <w:tcBorders>
              <w:top w:val="single" w:sz="8" w:color="auto"/>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(64.3)</w:t>
            </w:r>
          </w:p>
        </w:tc>
        <w:tc>
          <w:tcPr>
            <w:tcW w:w="1340" w:type="dxa"/>
            <w:vAlign w:val="bottom"/>
            <w:tcBorders>
              <w:top w:val="single" w:sz="8" w:color="C6F4F9"/>
              <w:bottom w:val="single" w:sz="8" w:color="C6F4F9"/>
            </w:tcBorders>
            <w:shd w:val="clear" w:color="auto" w:fill="C6F4F9"/>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-1028065</wp:posOffset>
            </wp:positionV>
            <wp:extent cx="84836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41148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-462280</wp:posOffset>
            </wp:positionV>
            <wp:extent cx="84836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84836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360" cy="154305"/>
                    </a:xfrm>
                    <a:prstGeom prst="rect">
                      <a:avLst/>
                    </a:prstGeom>
                    <a:noFill/>
                  </pic:spPr>
                </pic:pic>
              </a:graphicData>
            </a:graphic>
          </wp:anchor>
        </w:drawing>
      </w:r>
    </w:p>
    <w:p>
      <w:pPr>
        <w:spacing w:after="0" w:line="182" w:lineRule="exact"/>
        <w:rPr>
          <w:sz w:val="20"/>
          <w:szCs w:val="20"/>
          <w:color w:val="auto"/>
        </w:rPr>
      </w:pPr>
    </w:p>
    <w:p>
      <w:pPr>
        <w:jc w:val="both"/>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first half of 2021, </w:t>
      </w:r>
      <w:r>
        <w:rPr>
          <w:rFonts w:ascii="Arial" w:cs="Arial" w:eastAsia="Arial" w:hAnsi="Arial"/>
          <w:sz w:val="18"/>
          <w:szCs w:val="18"/>
          <w:color w:val="212529"/>
        </w:rPr>
        <w:t>the Treasury awarded the Company</w:t>
      </w:r>
      <w:r>
        <w:rPr>
          <w:rFonts w:ascii="Arial" w:cs="Arial" w:eastAsia="Arial" w:hAnsi="Arial"/>
          <w:sz w:val="18"/>
          <w:szCs w:val="18"/>
          <w:color w:val="auto"/>
        </w:rPr>
        <w:t xml:space="preserve"> a grant of $37.0 under PSP2</w:t>
      </w:r>
      <w:r>
        <w:rPr>
          <w:rFonts w:ascii="Arial" w:cs="Arial" w:eastAsia="Arial" w:hAnsi="Arial"/>
          <w:sz w:val="18"/>
          <w:szCs w:val="18"/>
          <w:color w:val="212529"/>
        </w:rPr>
        <w:t>.</w:t>
      </w:r>
      <w:r>
        <w:rPr>
          <w:rFonts w:ascii="Arial" w:cs="Arial" w:eastAsia="Arial" w:hAnsi="Arial"/>
          <w:sz w:val="18"/>
          <w:szCs w:val="18"/>
          <w:color w:val="auto"/>
        </w:rPr>
        <w:t xml:space="preserve"> Further, during the first half of 2021, the Company received a grant of $34.5 under PSP3. </w:t>
      </w:r>
      <w:r>
        <w:rPr>
          <w:rFonts w:ascii="Arial" w:cs="Arial" w:eastAsia="Arial" w:hAnsi="Arial"/>
          <w:sz w:val="18"/>
          <w:szCs w:val="18"/>
          <w:color w:val="212529"/>
        </w:rPr>
        <w:t>The grant amount</w:t>
      </w:r>
      <w:r>
        <w:rPr>
          <w:rFonts w:ascii="Arial" w:cs="Arial" w:eastAsia="Arial" w:hAnsi="Arial"/>
          <w:sz w:val="18"/>
          <w:szCs w:val="18"/>
          <w:color w:val="auto"/>
        </w:rPr>
        <w:t xml:space="preserve"> recognized under the CARES Act Payroll Support Program for the nine months ended September 30, 2020 was $62.3, of which $31.5 was recognized in the second quarter and $30.8 was recognized in the third quarter</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Relates to a credit recognized under the CARES Act Employee Retention credit which is a refundable tax credit against certain employee taxes. </w:t>
      </w:r>
      <w:r>
        <w:rPr>
          <w:rFonts w:ascii="Arial" w:cs="Arial" w:eastAsia="Arial" w:hAnsi="Arial"/>
          <w:sz w:val="18"/>
          <w:szCs w:val="18"/>
          <w:color w:val="212529"/>
        </w:rPr>
        <w:t>The $0.1 shown in the third quarter of 2021 relates to a true-up of the second quarter 2021 credit.</w:t>
      </w:r>
    </w:p>
    <w:p>
      <w:pPr>
        <w:spacing w:after="0" w:line="1"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12529"/>
        </w:rPr>
        <w:t xml:space="preserve">Five aircraft were purchased in March 2021 that were previously under operating leases. One additional aircraft was purchased in April 2021 that was previously under an operating lease. </w:t>
      </w:r>
      <w:r>
        <w:rPr>
          <w:rFonts w:ascii="Arial" w:cs="Arial" w:eastAsia="Arial" w:hAnsi="Arial"/>
          <w:sz w:val="18"/>
          <w:szCs w:val="18"/>
          <w:color w:val="000000"/>
        </w:rPr>
        <w:t>Aircraft lease buy-out expense represents the net costs incurred to</w:t>
      </w:r>
      <w:r>
        <w:rPr>
          <w:rFonts w:ascii="Arial" w:cs="Arial" w:eastAsia="Arial" w:hAnsi="Arial"/>
          <w:sz w:val="18"/>
          <w:szCs w:val="18"/>
          <w:color w:val="212529"/>
        </w:rPr>
        <w:t xml:space="preserve"> </w:t>
      </w:r>
      <w:r>
        <w:rPr>
          <w:rFonts w:ascii="Arial" w:cs="Arial" w:eastAsia="Arial" w:hAnsi="Arial"/>
          <w:sz w:val="18"/>
          <w:szCs w:val="18"/>
          <w:color w:val="000000"/>
        </w:rPr>
        <w:t>terminate the leases on those six aircraft. This includes the associated lease termination costs, write-off of previously capitalized maintenance deposits, and the write-off of over-market liabilities</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EBITDAR and Adjusted EBITDAR Margin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and Adjusted EBITDAR Margin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and Adjusted EBITDAR Margin may be recurring in nature and should not be disregarded in evaluation of our earnings performance, Adjusted EBITDAR and Adjusted EBITDAR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and Adjusted EBITDAR Margin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2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EBITDAR and Adjusted EBITDAR Margin have limitations as analytical tools. Some of the limitations applicable to these measures include: Adjusted Operating Income, Adjusted Operating Income Margin, Adjusted Income Before Income Tax, Adjusted Pre-tax Margin, Adjusted Net Income, Adjusted EBITDAR and Adjusted EBITDAR Margin do not reflect the impact of certain cash charges resulting from matters we consider not to be indicative of our ongoing operations; Adjusted EBITDAR and Adjusted EBITDAR Margin does not reflect our cash expenditures, or future requirements, for capital expenditures or contractual commitments; Adjusted EBITDAR and Adjusted EBITDAR Margin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and Adjusted EBITDAR Margin does not reflect any cash requirements for such replacements; and other companies in our industry may calculate Adjusted Operating Income, Adjusted Operating Income Margin, Adjusted Income Before Income Tax, Adjusted Pre-tax Margin, Adjusted Net Income, Adjusted EBITDAR and Adjusted EBITDAR Margin differently than we do, limiting each measure’s usefulness as a comparative measure. Because of these limitations, Adjusted Operating Income, Adjusted Operating Income Margin, Adjusted Income Before Income Tax, Adjusted Pre-tax Margin, Adjusted Net Income, Adjusted EBITDAR and Adjusted EBITDAR Margin should not be considered in isolation or as a substitute for performance measures calculated in accordance with GAAP.</w:t>
      </w:r>
    </w:p>
    <w:p>
      <w:pPr>
        <w:spacing w:after="0" w:line="200" w:lineRule="exact"/>
        <w:rPr>
          <w:sz w:val="20"/>
          <w:szCs w:val="20"/>
          <w:color w:val="auto"/>
        </w:rPr>
      </w:pPr>
    </w:p>
    <w:p>
      <w:pPr>
        <w:spacing w:after="0" w:line="31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derivations of Adjusted Operating Income, Adjusted Operating Income Margin, Adjusted Income Before Income Tax, Adjusted Pre-tax Margin, Adjusted Net Income, Adjusted EBITDAR and Adjusted EBITDAR Margin are not determined in accordance with GAAP, such measures are susceptible to varying calculations and not all companies calculate the measures in the same manner. As a result, derivations of net income, including Adjusted Operating Income, Adjusted Operating Income Margin, Adjusted Income Before Income Tax, Adjusted Pre-tax Margin, Adjusted Net Income, Adjusted EBITDAR and Adjusted EBITDAR Margin, as presented may not be directly comparable to similarly titled measures presented by other companies. For the foregoing reasons, each of Adjusted Operating Income, Adjusted Operating Income Margin, Adjusted Income Before Income Tax, Adjusted Pre-tax Margin, Adjusted Net Income, Adjusted EBITDAR and Adjusted EBITDAR Margin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540"/>
        <w:spacing w:after="0" w:line="255"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6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 30,</w:t>
            </w:r>
          </w:p>
        </w:tc>
      </w:tr>
      <w:tr>
        <w:trPr>
          <w:trHeight w:val="225"/>
        </w:trPr>
        <w:tc>
          <w:tcPr>
            <w:tcW w:w="6640" w:type="dxa"/>
            <w:vAlign w:val="bottom"/>
            <w:tcBorders>
              <w:bottom w:val="single" w:sz="8" w:color="C6F4F9"/>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420" w:type="dxa"/>
            <w:vAlign w:val="bottom"/>
            <w:shd w:val="clear" w:color="auto" w:fill="C6F4F9"/>
          </w:tcPr>
          <w:p>
            <w:pPr>
              <w:ind w:left="1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173.7</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78.0</w:t>
            </w:r>
          </w:p>
        </w:tc>
        <w:tc>
          <w:tcPr>
            <w:tcW w:w="132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22.0</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8.8</w:t>
            </w:r>
          </w:p>
        </w:tc>
        <w:tc>
          <w:tcPr>
            <w:tcW w:w="1320" w:type="dxa"/>
            <w:vAlign w:val="bottom"/>
          </w:tcPr>
          <w:p>
            <w:pPr>
              <w:spacing w:after="0"/>
              <w:rPr>
                <w:sz w:val="17"/>
                <w:szCs w:val="17"/>
                <w:color w:val="auto"/>
              </w:rPr>
            </w:pP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420" w:type="dxa"/>
            <w:vAlign w:val="bottom"/>
            <w:shd w:val="clear" w:color="auto" w:fill="C6F4F9"/>
          </w:tcPr>
          <w:p>
            <w:pPr>
              <w:spacing w:after="0"/>
              <w:rPr>
                <w:sz w:val="21"/>
                <w:szCs w:val="21"/>
                <w:color w:val="auto"/>
              </w:rPr>
            </w:pPr>
          </w:p>
        </w:tc>
        <w:tc>
          <w:tcPr>
            <w:tcW w:w="124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(32.9)</w:t>
            </w:r>
          </w:p>
        </w:tc>
        <w:tc>
          <w:tcPr>
            <w:tcW w:w="1320" w:type="dxa"/>
            <w:vAlign w:val="bottom"/>
            <w:shd w:val="clear" w:color="auto" w:fill="C6F4F9"/>
          </w:tcPr>
          <w:p>
            <w:pPr>
              <w:spacing w:after="0"/>
              <w:rPr>
                <w:sz w:val="21"/>
                <w:szCs w:val="2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4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0.5</w:t>
            </w:r>
          </w:p>
        </w:tc>
        <w:tc>
          <w:tcPr>
            <w:tcW w:w="1320" w:type="dxa"/>
            <w:vAlign w:val="bottom"/>
          </w:tcPr>
          <w:p>
            <w:pPr>
              <w:spacing w:after="0"/>
              <w:rPr>
                <w:sz w:val="17"/>
                <w:szCs w:val="17"/>
                <w:color w:val="auto"/>
              </w:rPr>
            </w:pPr>
          </w:p>
        </w:tc>
      </w:tr>
      <w:tr>
        <w:trPr>
          <w:trHeight w:val="257"/>
        </w:trPr>
        <w:tc>
          <w:tcPr>
            <w:tcW w:w="664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 xml:space="preserve">Voluntary leave expense </w:t>
            </w:r>
            <w:r>
              <w:rPr>
                <w:rFonts w:ascii="Arial" w:cs="Arial" w:eastAsia="Arial" w:hAnsi="Arial"/>
                <w:sz w:val="29"/>
                <w:szCs w:val="29"/>
                <w:color w:val="auto"/>
                <w:vertAlign w:val="superscript"/>
              </w:rPr>
              <w:t>(2)</w:t>
            </w:r>
          </w:p>
        </w:tc>
        <w:tc>
          <w:tcPr>
            <w:tcW w:w="420" w:type="dxa"/>
            <w:vAlign w:val="bottom"/>
            <w:tcBorders>
              <w:bottom w:val="single" w:sz="8" w:color="auto"/>
            </w:tcBorders>
            <w:shd w:val="clear" w:color="auto" w:fill="C6F4F9"/>
          </w:tcPr>
          <w:p>
            <w:pPr>
              <w:spacing w:after="0"/>
              <w:rPr>
                <w:sz w:val="22"/>
                <w:szCs w:val="22"/>
                <w:color w:val="auto"/>
              </w:rPr>
            </w:pPr>
          </w:p>
        </w:tc>
        <w:tc>
          <w:tcPr>
            <w:tcW w:w="1240" w:type="dxa"/>
            <w:vAlign w:val="bottom"/>
            <w:tcBorders>
              <w:bottom w:val="single" w:sz="8" w:color="auto"/>
            </w:tcBorders>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6F4F9"/>
          </w:tcPr>
          <w:p>
            <w:pPr>
              <w:spacing w:after="0"/>
              <w:rPr>
                <w:sz w:val="22"/>
                <w:szCs w:val="22"/>
                <w:color w:val="auto"/>
              </w:rPr>
            </w:pPr>
          </w:p>
        </w:tc>
        <w:tc>
          <w:tcPr>
            <w:tcW w:w="1220" w:type="dxa"/>
            <w:vAlign w:val="bottom"/>
            <w:tcBorders>
              <w:bottom w:val="single" w:sz="8" w:color="auto"/>
            </w:tcBorders>
            <w:shd w:val="clear" w:color="auto" w:fill="C6F4F9"/>
          </w:tcPr>
          <w:p>
            <w:pPr>
              <w:jc w:val="right"/>
              <w:ind w:right="150"/>
              <w:spacing w:after="0"/>
              <w:rPr>
                <w:sz w:val="20"/>
                <w:szCs w:val="20"/>
                <w:color w:val="auto"/>
              </w:rPr>
            </w:pPr>
            <w:r>
              <w:rPr>
                <w:rFonts w:ascii="Arial" w:cs="Arial" w:eastAsia="Arial" w:hAnsi="Arial"/>
                <w:sz w:val="18"/>
                <w:szCs w:val="18"/>
                <w:color w:val="auto"/>
              </w:rPr>
              <w:t>1.9</w:t>
            </w:r>
          </w:p>
        </w:tc>
        <w:tc>
          <w:tcPr>
            <w:tcW w:w="1320" w:type="dxa"/>
            <w:vAlign w:val="bottom"/>
            <w:shd w:val="clear" w:color="auto" w:fill="C6F4F9"/>
          </w:tcPr>
          <w:p>
            <w:pPr>
              <w:spacing w:after="0"/>
              <w:rPr>
                <w:sz w:val="22"/>
                <w:szCs w:val="22"/>
                <w:color w:val="auto"/>
              </w:rPr>
            </w:pPr>
          </w:p>
        </w:tc>
      </w:tr>
      <w:tr>
        <w:trPr>
          <w:trHeight w:val="249"/>
        </w:trPr>
        <w:tc>
          <w:tcPr>
            <w:tcW w:w="66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operating income (loss)</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(21.6)</w:t>
            </w:r>
          </w:p>
        </w:tc>
        <w:tc>
          <w:tcPr>
            <w:tcW w:w="1320" w:type="dxa"/>
            <w:vAlign w:val="bottom"/>
            <w:tcBorders>
              <w:bottom w:val="single" w:sz="8" w:color="C6F4F9"/>
            </w:tcBorders>
          </w:tcPr>
          <w:p>
            <w:pPr>
              <w:spacing w:after="0"/>
              <w:rPr>
                <w:sz w:val="21"/>
                <w:szCs w:val="21"/>
                <w:color w:val="auto"/>
              </w:rPr>
            </w:pPr>
          </w:p>
        </w:tc>
      </w:tr>
      <w:tr>
        <w:trPr>
          <w:trHeight w:val="183"/>
        </w:trPr>
        <w:tc>
          <w:tcPr>
            <w:tcW w:w="664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Operating income margin</w:t>
            </w:r>
          </w:p>
        </w:tc>
        <w:tc>
          <w:tcPr>
            <w:tcW w:w="420" w:type="dxa"/>
            <w:vAlign w:val="bottom"/>
            <w:shd w:val="clear" w:color="auto" w:fill="C6F4F9"/>
          </w:tcPr>
          <w:p>
            <w:pPr>
              <w:spacing w:after="0"/>
              <w:rPr>
                <w:sz w:val="15"/>
                <w:szCs w:val="15"/>
                <w:color w:val="auto"/>
              </w:rPr>
            </w:pPr>
          </w:p>
        </w:tc>
        <w:tc>
          <w:tcPr>
            <w:tcW w:w="124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12.7%</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11.3%</w:t>
            </w:r>
          </w:p>
        </w:tc>
        <w:tc>
          <w:tcPr>
            <w:tcW w:w="1320" w:type="dxa"/>
            <w:vAlign w:val="bottom"/>
            <w:shd w:val="clear" w:color="auto" w:fill="C6F4F9"/>
          </w:tcPr>
          <w:p>
            <w:pPr>
              <w:spacing w:after="0"/>
              <w:rPr>
                <w:sz w:val="15"/>
                <w:szCs w:val="15"/>
                <w:color w:val="auto"/>
              </w:rPr>
            </w:pP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Adjusted operating income (loss) margin</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1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-1405890</wp:posOffset>
            </wp:positionV>
            <wp:extent cx="840105"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40105" cy="39433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-882650</wp:posOffset>
            </wp:positionV>
            <wp:extent cx="84010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-600075</wp:posOffset>
            </wp:positionV>
            <wp:extent cx="84010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40105"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-282575</wp:posOffset>
            </wp:positionV>
            <wp:extent cx="84010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40105" cy="145415"/>
                    </a:xfrm>
                    <a:prstGeom prst="rect">
                      <a:avLst/>
                    </a:prstGeom>
                    <a:noFill/>
                  </pic:spPr>
                </pic:pic>
              </a:graphicData>
            </a:graphic>
          </wp:anchor>
        </w:drawing>
      </w:r>
    </w:p>
    <w:p>
      <w:pPr>
        <w:spacing w:after="0" w:line="1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jc w:val="both"/>
        <w:ind w:left="660" w:right="4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7" w:lineRule="exact"/>
        <w:rPr>
          <w:sz w:val="20"/>
          <w:szCs w:val="20"/>
          <w:color w:val="auto"/>
        </w:rPr>
      </w:pPr>
    </w:p>
    <w:p>
      <w:pPr>
        <w:ind w:right="4540"/>
        <w:spacing w:after="0" w:line="255"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 Sep 30,</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6F4F9"/>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3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450.5</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293.7</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96.2</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21.8</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3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(65.5)</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(64.3)</w:t>
            </w:r>
          </w:p>
        </w:tc>
        <w:tc>
          <w:tcPr>
            <w:tcW w:w="132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3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Voluntary leave expense </w:t>
            </w:r>
            <w:r>
              <w:rPr>
                <w:rFonts w:ascii="Arial" w:cs="Arial" w:eastAsia="Arial" w:hAnsi="Arial"/>
                <w:sz w:val="29"/>
                <w:szCs w:val="29"/>
                <w:color w:val="auto"/>
                <w:vertAlign w:val="superscript"/>
              </w:rPr>
              <w:t>(3)</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132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Adjusted operating income (loss)</w:t>
            </w:r>
          </w:p>
        </w:tc>
        <w:tc>
          <w:tcPr>
            <w:tcW w:w="36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35.6</w:t>
            </w:r>
          </w:p>
        </w:tc>
        <w:tc>
          <w:tcPr>
            <w:tcW w:w="400" w:type="dxa"/>
            <w:vAlign w:val="bottom"/>
            <w:tcBorders>
              <w:bottom w:val="single" w:sz="8" w:color="auto"/>
            </w:tcBorders>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6F4F9"/>
          </w:tcPr>
          <w:p>
            <w:pPr>
              <w:jc w:val="right"/>
              <w:ind w:right="90"/>
              <w:spacing w:after="0"/>
              <w:rPr>
                <w:sz w:val="20"/>
                <w:szCs w:val="20"/>
                <w:color w:val="auto"/>
              </w:rPr>
            </w:pPr>
            <w:r>
              <w:rPr>
                <w:rFonts w:ascii="Arial" w:cs="Arial" w:eastAsia="Arial" w:hAnsi="Arial"/>
                <w:sz w:val="18"/>
                <w:szCs w:val="18"/>
                <w:color w:val="auto"/>
              </w:rPr>
              <w:t>(36.8)</w:t>
            </w:r>
          </w:p>
        </w:tc>
        <w:tc>
          <w:tcPr>
            <w:tcW w:w="1320" w:type="dxa"/>
            <w:vAlign w:val="bottom"/>
            <w:tcBorders>
              <w:bottom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Operating income margin</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21.3%</w:t>
            </w:r>
          </w:p>
        </w:tc>
        <w:tc>
          <w:tcPr>
            <w:tcW w:w="4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7.4%</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operating income (loss) margin</w:t>
            </w:r>
          </w:p>
        </w:tc>
        <w:tc>
          <w:tcPr>
            <w:tcW w:w="360" w:type="dxa"/>
            <w:vAlign w:val="bottom"/>
            <w:shd w:val="clear" w:color="auto" w:fill="C6F4F9"/>
          </w:tcPr>
          <w:p>
            <w:pPr>
              <w:spacing w:after="0"/>
              <w:rPr>
                <w:sz w:val="17"/>
                <w:szCs w:val="17"/>
                <w:color w:val="auto"/>
              </w:rPr>
            </w:pPr>
          </w:p>
        </w:tc>
        <w:tc>
          <w:tcPr>
            <w:tcW w:w="13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7.9%</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(12.5%)</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-1550670</wp:posOffset>
            </wp:positionV>
            <wp:extent cx="840105"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40105" cy="39433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-745490</wp:posOffset>
            </wp:positionV>
            <wp:extent cx="84010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-427990</wp:posOffset>
            </wp:positionV>
            <wp:extent cx="84010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-128270</wp:posOffset>
            </wp:positionV>
            <wp:extent cx="8401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0105"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520"/>
        <w:spacing w:after="0" w:line="255" w:lineRule="auto"/>
        <w:rPr>
          <w:sz w:val="20"/>
          <w:szCs w:val="20"/>
          <w:color w:val="auto"/>
        </w:rPr>
      </w:pPr>
      <w:r>
        <w:rPr>
          <w:rFonts w:ascii="Arial" w:cs="Arial" w:eastAsia="Arial" w:hAnsi="Arial"/>
          <w:sz w:val="18"/>
          <w:szCs w:val="18"/>
          <w:b w:val="1"/>
          <w:bCs w:val="1"/>
          <w:color w:val="auto"/>
        </w:rPr>
        <w:t>Reconciliation of Adjusted Income Before Income Tax to GAAP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before income tax to GAAP income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6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Sep 30,</w:t>
            </w:r>
          </w:p>
        </w:tc>
      </w:tr>
      <w:tr>
        <w:trPr>
          <w:trHeight w:val="225"/>
        </w:trPr>
        <w:tc>
          <w:tcPr>
            <w:tcW w:w="6640" w:type="dxa"/>
            <w:vAlign w:val="bottom"/>
            <w:tcBorders>
              <w:bottom w:val="single" w:sz="8" w:color="C6F4F9"/>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080" w:type="dxa"/>
            <w:vAlign w:val="bottom"/>
            <w:shd w:val="clear" w:color="auto" w:fill="C6F4F9"/>
          </w:tcPr>
          <w:p>
            <w:pPr>
              <w:jc w:val="right"/>
              <w:ind w:right="77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w w:val="96"/>
              </w:rPr>
              <w:t>13.9</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2.9</w:t>
            </w:r>
          </w:p>
        </w:tc>
        <w:tc>
          <w:tcPr>
            <w:tcW w:w="1320" w:type="dxa"/>
            <w:vAlign w:val="bottom"/>
            <w:shd w:val="clear" w:color="auto" w:fill="C6F4F9"/>
          </w:tcPr>
          <w:p>
            <w:pPr>
              <w:spacing w:after="0"/>
              <w:rPr>
                <w:sz w:val="17"/>
                <w:szCs w:val="17"/>
                <w:color w:val="auto"/>
              </w:rPr>
            </w:pPr>
          </w:p>
        </w:tc>
      </w:tr>
      <w:tr>
        <w:trPr>
          <w:trHeight w:val="216"/>
        </w:trPr>
        <w:tc>
          <w:tcPr>
            <w:tcW w:w="66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6F4F9"/>
            </w:tcBorders>
          </w:tcPr>
          <w:p>
            <w:pPr>
              <w:spacing w:after="0"/>
              <w:rPr>
                <w:sz w:val="18"/>
                <w:szCs w:val="18"/>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before income tax, as reported</w:t>
            </w:r>
          </w:p>
        </w:tc>
        <w:tc>
          <w:tcPr>
            <w:tcW w:w="1080" w:type="dxa"/>
            <w:vAlign w:val="bottom"/>
            <w:shd w:val="clear" w:color="auto" w:fill="C6F4F9"/>
          </w:tcPr>
          <w:p>
            <w:pPr>
              <w:spacing w:after="0"/>
              <w:rPr>
                <w:sz w:val="17"/>
                <w:szCs w:val="17"/>
                <w:color w:val="auto"/>
              </w:rPr>
            </w:pPr>
          </w:p>
        </w:tc>
        <w:tc>
          <w:tcPr>
            <w:tcW w:w="58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w w:val="96"/>
              </w:rPr>
              <w:t>16.2</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3.9</w:t>
            </w:r>
          </w:p>
        </w:tc>
        <w:tc>
          <w:tcPr>
            <w:tcW w:w="132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10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320" w:type="dxa"/>
            <w:vAlign w:val="bottom"/>
          </w:tcPr>
          <w:p>
            <w:pPr>
              <w:spacing w:after="0"/>
              <w:rPr>
                <w:sz w:val="17"/>
                <w:szCs w:val="17"/>
                <w:color w:val="auto"/>
              </w:rPr>
            </w:pP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80" w:type="dxa"/>
            <w:vAlign w:val="bottom"/>
            <w:shd w:val="clear" w:color="auto" w:fill="C6F4F9"/>
          </w:tcPr>
          <w:p>
            <w:pPr>
              <w:spacing w:after="0"/>
              <w:rPr>
                <w:sz w:val="21"/>
                <w:szCs w:val="21"/>
                <w:color w:val="auto"/>
              </w:rPr>
            </w:pPr>
          </w:p>
        </w:tc>
        <w:tc>
          <w:tcPr>
            <w:tcW w:w="5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(32.9)</w:t>
            </w:r>
          </w:p>
        </w:tc>
        <w:tc>
          <w:tcPr>
            <w:tcW w:w="1320" w:type="dxa"/>
            <w:vAlign w:val="bottom"/>
            <w:shd w:val="clear" w:color="auto" w:fill="C6F4F9"/>
          </w:tcPr>
          <w:p>
            <w:pPr>
              <w:spacing w:after="0"/>
              <w:rPr>
                <w:sz w:val="21"/>
                <w:szCs w:val="2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7"/>
                <w:szCs w:val="17"/>
                <w:color w:val="auto"/>
              </w:rPr>
            </w:pPr>
          </w:p>
        </w:tc>
        <w:tc>
          <w:tcPr>
            <w:tcW w:w="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0.5</w:t>
            </w:r>
          </w:p>
        </w:tc>
        <w:tc>
          <w:tcPr>
            <w:tcW w:w="1320" w:type="dxa"/>
            <w:vAlign w:val="bottom"/>
          </w:tcPr>
          <w:p>
            <w:pPr>
              <w:spacing w:after="0"/>
              <w:rPr>
                <w:sz w:val="17"/>
                <w:szCs w:val="17"/>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080" w:type="dxa"/>
            <w:vAlign w:val="bottom"/>
            <w:shd w:val="clear" w:color="auto" w:fill="C6F4F9"/>
          </w:tcPr>
          <w:p>
            <w:pPr>
              <w:spacing w:after="0"/>
              <w:rPr>
                <w:sz w:val="17"/>
                <w:szCs w:val="17"/>
                <w:color w:val="auto"/>
              </w:rPr>
            </w:pPr>
          </w:p>
        </w:tc>
        <w:tc>
          <w:tcPr>
            <w:tcW w:w="58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2540" w:type="dxa"/>
            <w:vAlign w:val="bottom"/>
            <w:gridSpan w:val="2"/>
            <w:shd w:val="clear" w:color="auto" w:fill="C6F4F9"/>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080" w:type="dxa"/>
            <w:vAlign w:val="bottom"/>
          </w:tcPr>
          <w:p>
            <w:pPr>
              <w:spacing w:after="0"/>
              <w:rPr>
                <w:sz w:val="21"/>
                <w:szCs w:val="21"/>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80" w:type="dxa"/>
            <w:vAlign w:val="bottom"/>
            <w:shd w:val="clear" w:color="auto" w:fill="C6F4F9"/>
          </w:tcPr>
          <w:p>
            <w:pPr>
              <w:spacing w:after="0"/>
              <w:rPr>
                <w:sz w:val="21"/>
                <w:szCs w:val="21"/>
                <w:color w:val="auto"/>
              </w:rPr>
            </w:pPr>
          </w:p>
        </w:tc>
        <w:tc>
          <w:tcPr>
            <w:tcW w:w="5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080" w:type="dxa"/>
            <w:vAlign w:val="bottom"/>
          </w:tcPr>
          <w:p>
            <w:pPr>
              <w:spacing w:after="0"/>
              <w:rPr>
                <w:sz w:val="21"/>
                <w:szCs w:val="21"/>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320" w:type="dxa"/>
            <w:vAlign w:val="bottom"/>
          </w:tcPr>
          <w:p>
            <w:pPr>
              <w:spacing w:after="0"/>
              <w:rPr>
                <w:sz w:val="21"/>
                <w:szCs w:val="21"/>
                <w:color w:val="auto"/>
              </w:rPr>
            </w:pP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auto"/>
              </w:rPr>
              <w:t>Secondary offering related expense</w:t>
            </w:r>
          </w:p>
        </w:tc>
        <w:tc>
          <w:tcPr>
            <w:tcW w:w="1080" w:type="dxa"/>
            <w:vAlign w:val="bottom"/>
            <w:shd w:val="clear" w:color="auto" w:fill="C6F4F9"/>
          </w:tcPr>
          <w:p>
            <w:pPr>
              <w:spacing w:after="0"/>
              <w:rPr>
                <w:sz w:val="18"/>
                <w:szCs w:val="18"/>
                <w:color w:val="auto"/>
              </w:rPr>
            </w:pPr>
          </w:p>
        </w:tc>
        <w:tc>
          <w:tcPr>
            <w:tcW w:w="58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8"/>
                <w:szCs w:val="18"/>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9"/>
        </w:trPr>
        <w:tc>
          <w:tcPr>
            <w:tcW w:w="66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10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16.7</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(26.6)</w:t>
            </w:r>
          </w:p>
        </w:tc>
        <w:tc>
          <w:tcPr>
            <w:tcW w:w="1320" w:type="dxa"/>
            <w:vAlign w:val="bottom"/>
            <w:tcBorders>
              <w:bottom w:val="single" w:sz="8" w:color="C6F4F9"/>
            </w:tcBorders>
          </w:tcPr>
          <w:p>
            <w:pPr>
              <w:spacing w:after="0"/>
              <w:rPr>
                <w:sz w:val="21"/>
                <w:szCs w:val="21"/>
                <w:color w:val="auto"/>
              </w:rPr>
            </w:pPr>
          </w:p>
        </w:tc>
      </w:tr>
      <w:tr>
        <w:trPr>
          <w:trHeight w:val="183"/>
        </w:trPr>
        <w:tc>
          <w:tcPr>
            <w:tcW w:w="664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1080" w:type="dxa"/>
            <w:vAlign w:val="bottom"/>
            <w:shd w:val="clear" w:color="auto" w:fill="C6F4F9"/>
          </w:tcPr>
          <w:p>
            <w:pPr>
              <w:spacing w:after="0"/>
              <w:rPr>
                <w:sz w:val="15"/>
                <w:szCs w:val="15"/>
                <w:color w:val="auto"/>
              </w:rPr>
            </w:pPr>
          </w:p>
        </w:tc>
        <w:tc>
          <w:tcPr>
            <w:tcW w:w="58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9.6%</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(34.1%)</w:t>
            </w:r>
          </w:p>
        </w:tc>
        <w:tc>
          <w:tcPr>
            <w:tcW w:w="132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-2108200</wp:posOffset>
            </wp:positionV>
            <wp:extent cx="840105"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0105" cy="39433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-1576705</wp:posOffset>
            </wp:positionV>
            <wp:extent cx="8401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-1310640</wp:posOffset>
            </wp:positionV>
            <wp:extent cx="84010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-744855</wp:posOffset>
            </wp:positionV>
            <wp:extent cx="84010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-436245</wp:posOffset>
            </wp:positionV>
            <wp:extent cx="84010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-144780</wp:posOffset>
            </wp:positionV>
            <wp:extent cx="84010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40105" cy="14541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5085715</wp:posOffset>
            </wp:positionH>
            <wp:positionV relativeFrom="page">
              <wp:posOffset>509270</wp:posOffset>
            </wp:positionV>
            <wp:extent cx="2254250" cy="908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520"/>
        <w:spacing w:after="0" w:line="255" w:lineRule="auto"/>
        <w:rPr>
          <w:sz w:val="20"/>
          <w:szCs w:val="20"/>
          <w:color w:val="auto"/>
        </w:rPr>
      </w:pPr>
      <w:r>
        <w:rPr>
          <w:rFonts w:ascii="Arial" w:cs="Arial" w:eastAsia="Arial" w:hAnsi="Arial"/>
          <w:sz w:val="18"/>
          <w:szCs w:val="18"/>
          <w:b w:val="1"/>
          <w:bCs w:val="1"/>
          <w:color w:val="auto"/>
        </w:rPr>
        <w:t>Reconciliation of Adjusted Income Before Income Tax to GAAP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before income tax to GAAP income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 Sep 30,</w:t>
            </w:r>
          </w:p>
        </w:tc>
      </w:tr>
      <w:tr>
        <w:trPr>
          <w:trHeight w:val="225"/>
        </w:trPr>
        <w:tc>
          <w:tcPr>
            <w:tcW w:w="6640" w:type="dxa"/>
            <w:vAlign w:val="bottom"/>
            <w:tcBorders>
              <w:bottom w:val="single" w:sz="8" w:color="C6F4F9"/>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78.1</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4.1</w:t>
            </w:r>
          </w:p>
        </w:tc>
        <w:tc>
          <w:tcPr>
            <w:tcW w:w="1320" w:type="dxa"/>
            <w:vAlign w:val="bottom"/>
            <w:shd w:val="clear" w:color="auto" w:fill="C6F4F9"/>
          </w:tcPr>
          <w:p>
            <w:pPr>
              <w:spacing w:after="0"/>
              <w:rPr>
                <w:sz w:val="17"/>
                <w:szCs w:val="17"/>
                <w:color w:val="auto"/>
              </w:rPr>
            </w:pPr>
          </w:p>
        </w:tc>
      </w:tr>
      <w:tr>
        <w:trPr>
          <w:trHeight w:val="216"/>
        </w:trPr>
        <w:tc>
          <w:tcPr>
            <w:tcW w:w="66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C6F4F9"/>
            </w:tcBorders>
          </w:tcPr>
          <w:p>
            <w:pPr>
              <w:spacing w:after="0"/>
              <w:rPr>
                <w:sz w:val="18"/>
                <w:szCs w:val="18"/>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before income tax, as reported</w:t>
            </w:r>
          </w:p>
        </w:tc>
        <w:tc>
          <w:tcPr>
            <w:tcW w:w="36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95.2</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5.6</w:t>
            </w:r>
          </w:p>
        </w:tc>
        <w:tc>
          <w:tcPr>
            <w:tcW w:w="132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320" w:type="dxa"/>
            <w:vAlign w:val="bottom"/>
          </w:tcPr>
          <w:p>
            <w:pPr>
              <w:spacing w:after="0"/>
              <w:rPr>
                <w:sz w:val="17"/>
                <w:szCs w:val="17"/>
                <w:color w:val="auto"/>
              </w:rPr>
            </w:pP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3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(65.5)</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(64.3)</w:t>
            </w:r>
          </w:p>
        </w:tc>
        <w:tc>
          <w:tcPr>
            <w:tcW w:w="1320" w:type="dxa"/>
            <w:vAlign w:val="bottom"/>
            <w:shd w:val="clear" w:color="auto" w:fill="C6F4F9"/>
          </w:tcPr>
          <w:p>
            <w:pPr>
              <w:spacing w:after="0"/>
              <w:rPr>
                <w:sz w:val="21"/>
                <w:szCs w:val="2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w:t>
            </w:r>
          </w:p>
        </w:tc>
        <w:tc>
          <w:tcPr>
            <w:tcW w:w="1320" w:type="dxa"/>
            <w:vAlign w:val="bottom"/>
          </w:tcPr>
          <w:p>
            <w:pPr>
              <w:spacing w:after="0"/>
              <w:rPr>
                <w:sz w:val="17"/>
                <w:szCs w:val="17"/>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36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0.4</w:t>
            </w:r>
          </w:p>
        </w:tc>
        <w:tc>
          <w:tcPr>
            <w:tcW w:w="132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3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25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3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21"/>
                <w:szCs w:val="21"/>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36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0.4</w:t>
            </w:r>
          </w:p>
        </w:tc>
        <w:tc>
          <w:tcPr>
            <w:tcW w:w="400" w:type="dxa"/>
            <w:vAlign w:val="bottom"/>
            <w:shd w:val="clear" w:color="auto" w:fill="C6F4F9"/>
          </w:tcPr>
          <w:p>
            <w:pPr>
              <w:spacing w:after="0"/>
              <w:rPr>
                <w:sz w:val="17"/>
                <w:szCs w:val="17"/>
                <w:color w:val="auto"/>
              </w:rPr>
            </w:pPr>
          </w:p>
        </w:tc>
        <w:tc>
          <w:tcPr>
            <w:tcW w:w="2540" w:type="dxa"/>
            <w:vAlign w:val="bottom"/>
            <w:gridSpan w:val="2"/>
            <w:shd w:val="clear" w:color="auto" w:fill="C6F4F9"/>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36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320" w:type="dxa"/>
            <w:vAlign w:val="bottom"/>
          </w:tcPr>
          <w:p>
            <w:pPr>
              <w:spacing w:after="0"/>
              <w:rPr>
                <w:sz w:val="21"/>
                <w:szCs w:val="21"/>
                <w:color w:val="auto"/>
              </w:rPr>
            </w:pP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auto"/>
              </w:rPr>
              <w:t>Secondary offering related expense</w:t>
            </w:r>
          </w:p>
        </w:tc>
        <w:tc>
          <w:tcPr>
            <w:tcW w:w="360" w:type="dxa"/>
            <w:vAlign w:val="bottom"/>
            <w:shd w:val="clear" w:color="auto" w:fill="C6F4F9"/>
          </w:tcPr>
          <w:p>
            <w:pPr>
              <w:spacing w:after="0"/>
              <w:rPr>
                <w:sz w:val="18"/>
                <w:szCs w:val="18"/>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6F4F9"/>
          </w:tcPr>
          <w:p>
            <w:pPr>
              <w:spacing w:after="0"/>
              <w:rPr>
                <w:sz w:val="18"/>
                <w:szCs w:val="18"/>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(52.7)</w:t>
            </w:r>
          </w:p>
        </w:tc>
        <w:tc>
          <w:tcPr>
            <w:tcW w:w="1320" w:type="dxa"/>
            <w:vAlign w:val="bottom"/>
            <w:tcBorders>
              <w:bottom w:val="single" w:sz="8" w:color="C6F4F9"/>
            </w:tcBorders>
          </w:tcPr>
          <w:p>
            <w:pPr>
              <w:spacing w:after="0"/>
              <w:rPr>
                <w:sz w:val="21"/>
                <w:szCs w:val="21"/>
                <w:color w:val="auto"/>
              </w:rPr>
            </w:pPr>
          </w:p>
        </w:tc>
      </w:tr>
      <w:tr>
        <w:trPr>
          <w:trHeight w:val="183"/>
        </w:trPr>
        <w:tc>
          <w:tcPr>
            <w:tcW w:w="664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360" w:type="dxa"/>
            <w:vAlign w:val="bottom"/>
            <w:shd w:val="clear" w:color="auto" w:fill="C6F4F9"/>
          </w:tcPr>
          <w:p>
            <w:pPr>
              <w:spacing w:after="0"/>
              <w:rPr>
                <w:sz w:val="15"/>
                <w:szCs w:val="15"/>
                <w:color w:val="auto"/>
              </w:rPr>
            </w:pPr>
          </w:p>
        </w:tc>
        <w:tc>
          <w:tcPr>
            <w:tcW w:w="130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3.9%</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(17.9%)</w:t>
            </w:r>
          </w:p>
        </w:tc>
        <w:tc>
          <w:tcPr>
            <w:tcW w:w="132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-2365375</wp:posOffset>
            </wp:positionV>
            <wp:extent cx="84010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0105" cy="39433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-1833880</wp:posOffset>
            </wp:positionV>
            <wp:extent cx="84010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-1567815</wp:posOffset>
            </wp:positionV>
            <wp:extent cx="84010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-1285240</wp:posOffset>
            </wp:positionV>
            <wp:extent cx="8401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-719455</wp:posOffset>
            </wp:positionV>
            <wp:extent cx="8401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-436880</wp:posOffset>
            </wp:positionV>
            <wp:extent cx="84010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-145415</wp:posOffset>
            </wp:positionV>
            <wp:extent cx="84010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146050"/>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16</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Income and Adjusted Earnings per Share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net income and adjusted earnings per share to 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 Sep 30,</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6F4F9"/>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100" w:type="dxa"/>
            <w:vAlign w:val="bottom"/>
            <w:shd w:val="clear" w:color="auto" w:fill="C6F4F9"/>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13.9</w:t>
            </w:r>
          </w:p>
        </w:tc>
        <w:tc>
          <w:tcPr>
            <w:tcW w:w="4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2.9</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income per share – diluted</w:t>
            </w:r>
          </w:p>
        </w:tc>
        <w:tc>
          <w:tcPr>
            <w:tcW w:w="1100" w:type="dxa"/>
            <w:vAlign w:val="bottom"/>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0.23</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100" w:type="dxa"/>
            <w:vAlign w:val="bottom"/>
            <w:shd w:val="clear" w:color="auto" w:fill="C6F4F9"/>
          </w:tcPr>
          <w:p>
            <w:pPr>
              <w:spacing w:after="0"/>
              <w:rPr>
                <w:sz w:val="21"/>
                <w:szCs w:val="21"/>
                <w:color w:val="auto"/>
              </w:rPr>
            </w:pPr>
          </w:p>
        </w:tc>
        <w:tc>
          <w:tcPr>
            <w:tcW w:w="5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(32.9)</w:t>
            </w:r>
          </w:p>
        </w:tc>
        <w:tc>
          <w:tcPr>
            <w:tcW w:w="134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100" w:type="dxa"/>
            <w:vAlign w:val="bottom"/>
          </w:tcPr>
          <w:p>
            <w:pPr>
              <w:spacing w:after="0"/>
              <w:rPr>
                <w:sz w:val="17"/>
                <w:szCs w:val="17"/>
                <w:color w:val="auto"/>
              </w:rPr>
            </w:pP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100" w:type="dxa"/>
            <w:vAlign w:val="bottom"/>
            <w:shd w:val="clear" w:color="auto" w:fill="C6F4F9"/>
          </w:tcPr>
          <w:p>
            <w:pPr>
              <w:spacing w:after="0"/>
              <w:rPr>
                <w:sz w:val="17"/>
                <w:szCs w:val="17"/>
                <w:color w:val="auto"/>
              </w:rPr>
            </w:pPr>
          </w:p>
        </w:tc>
        <w:tc>
          <w:tcPr>
            <w:tcW w:w="5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10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4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100" w:type="dxa"/>
            <w:vAlign w:val="bottom"/>
            <w:shd w:val="clear" w:color="auto" w:fill="C6F4F9"/>
          </w:tcPr>
          <w:p>
            <w:pPr>
              <w:spacing w:after="0"/>
              <w:rPr>
                <w:sz w:val="21"/>
                <w:szCs w:val="21"/>
                <w:color w:val="auto"/>
              </w:rPr>
            </w:pPr>
          </w:p>
        </w:tc>
        <w:tc>
          <w:tcPr>
            <w:tcW w:w="5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6F4F9"/>
          </w:tcPr>
          <w:p>
            <w:pPr>
              <w:spacing w:after="0"/>
              <w:rPr>
                <w:sz w:val="21"/>
                <w:szCs w:val="21"/>
                <w:color w:val="auto"/>
              </w:rPr>
            </w:pPr>
          </w:p>
        </w:tc>
        <w:tc>
          <w:tcPr>
            <w:tcW w:w="246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10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Secondary offering costs</w:t>
            </w:r>
          </w:p>
        </w:tc>
        <w:tc>
          <w:tcPr>
            <w:tcW w:w="1100" w:type="dxa"/>
            <w:vAlign w:val="bottom"/>
            <w:shd w:val="clear" w:color="auto" w:fill="C6F4F9"/>
          </w:tcPr>
          <w:p>
            <w:pPr>
              <w:spacing w:after="0"/>
              <w:rPr>
                <w:sz w:val="17"/>
                <w:szCs w:val="17"/>
                <w:color w:val="auto"/>
              </w:rPr>
            </w:pPr>
          </w:p>
        </w:tc>
        <w:tc>
          <w:tcPr>
            <w:tcW w:w="52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(5)</w:t>
            </w:r>
          </w:p>
        </w:tc>
        <w:tc>
          <w:tcPr>
            <w:tcW w:w="1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34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Adjusted net income (loss)</w:t>
            </w:r>
          </w:p>
        </w:tc>
        <w:tc>
          <w:tcPr>
            <w:tcW w:w="1100" w:type="dxa"/>
            <w:vAlign w:val="bottom"/>
            <w:tcBorders>
              <w:bottom w:val="single" w:sz="8" w:color="auto"/>
            </w:tcBorders>
            <w:shd w:val="clear" w:color="auto" w:fill="C6F4F9"/>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14.0</w:t>
            </w:r>
          </w:p>
        </w:tc>
        <w:tc>
          <w:tcPr>
            <w:tcW w:w="40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(20.5)</w:t>
            </w:r>
          </w:p>
        </w:tc>
        <w:tc>
          <w:tcPr>
            <w:tcW w:w="1340" w:type="dxa"/>
            <w:vAlign w:val="bottom"/>
            <w:tcBorders>
              <w:bottom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Diluted share count</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ind w:right="50"/>
              <w:spacing w:after="0" w:line="183" w:lineRule="exact"/>
              <w:rPr>
                <w:sz w:val="20"/>
                <w:szCs w:val="20"/>
                <w:color w:val="auto"/>
              </w:rPr>
            </w:pPr>
            <w:r>
              <w:rPr>
                <w:rFonts w:ascii="Arial" w:cs="Arial" w:eastAsia="Arial" w:hAnsi="Arial"/>
                <w:sz w:val="18"/>
                <w:szCs w:val="18"/>
                <w:color w:val="0A0A0A"/>
              </w:rPr>
              <w:t>61.7</w:t>
            </w:r>
          </w:p>
        </w:tc>
        <w:tc>
          <w:tcPr>
            <w:tcW w:w="400" w:type="dxa"/>
            <w:vAlign w:val="bottom"/>
          </w:tcPr>
          <w:p>
            <w:pPr>
              <w:spacing w:after="0"/>
              <w:rPr>
                <w:sz w:val="15"/>
                <w:szCs w:val="15"/>
                <w:color w:val="auto"/>
              </w:rPr>
            </w:pP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0A0A0A"/>
              </w:rPr>
              <w:t>48.4</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net income (loss) per share - diluted</w:t>
            </w:r>
          </w:p>
        </w:tc>
        <w:tc>
          <w:tcPr>
            <w:tcW w:w="1100" w:type="dxa"/>
            <w:vAlign w:val="bottom"/>
            <w:shd w:val="clear" w:color="auto" w:fill="C6F4F9"/>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0.23</w:t>
            </w:r>
          </w:p>
        </w:tc>
        <w:tc>
          <w:tcPr>
            <w:tcW w:w="4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(0.42)</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-2117090</wp:posOffset>
            </wp:positionV>
            <wp:extent cx="848360"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8360" cy="39433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84836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84836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-1028065</wp:posOffset>
            </wp:positionV>
            <wp:extent cx="84836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-719455</wp:posOffset>
            </wp:positionV>
            <wp:extent cx="84836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-427990</wp:posOffset>
            </wp:positionV>
            <wp:extent cx="84836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84836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8360"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17</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Income and Adjusted Earnings per Share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net income and adjusted earnings per share to 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8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 Sep 30,</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6F4F9"/>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shd w:val="clear" w:color="auto" w:fill="C6F4F9"/>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78.1</w:t>
            </w:r>
          </w:p>
        </w:tc>
        <w:tc>
          <w:tcPr>
            <w:tcW w:w="4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4.1</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income per share – diluted</w:t>
            </w:r>
          </w:p>
        </w:tc>
        <w:tc>
          <w:tcPr>
            <w:tcW w:w="106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1.33</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60" w:type="dxa"/>
            <w:vAlign w:val="bottom"/>
            <w:shd w:val="clear" w:color="auto" w:fill="C6F4F9"/>
          </w:tcPr>
          <w:p>
            <w:pPr>
              <w:spacing w:after="0"/>
              <w:rPr>
                <w:sz w:val="21"/>
                <w:szCs w:val="21"/>
                <w:color w:val="auto"/>
              </w:rPr>
            </w:pP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(65.5)</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(64.3)</w:t>
            </w:r>
          </w:p>
        </w:tc>
        <w:tc>
          <w:tcPr>
            <w:tcW w:w="134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6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06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0.4</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106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24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060" w:type="dxa"/>
            <w:vAlign w:val="bottom"/>
            <w:shd w:val="clear" w:color="auto" w:fill="C6F4F9"/>
          </w:tcPr>
          <w:p>
            <w:pPr>
              <w:spacing w:after="0"/>
              <w:rPr>
                <w:sz w:val="21"/>
                <w:szCs w:val="21"/>
                <w:color w:val="auto"/>
              </w:rPr>
            </w:pPr>
          </w:p>
        </w:tc>
        <w:tc>
          <w:tcPr>
            <w:tcW w:w="5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46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(19.8)</w:t>
            </w:r>
          </w:p>
        </w:tc>
        <w:tc>
          <w:tcPr>
            <w:tcW w:w="400" w:type="dxa"/>
            <w:vAlign w:val="bottom"/>
          </w:tcPr>
          <w:p>
            <w:pPr>
              <w:spacing w:after="0"/>
              <w:rPr>
                <w:sz w:val="21"/>
                <w:szCs w:val="21"/>
                <w:color w:val="auto"/>
              </w:rPr>
            </w:pPr>
          </w:p>
        </w:tc>
        <w:tc>
          <w:tcPr>
            <w:tcW w:w="24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106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0.4</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0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Secondary offering costs</w:t>
            </w:r>
          </w:p>
        </w:tc>
        <w:tc>
          <w:tcPr>
            <w:tcW w:w="106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(5)</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34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Adjusted net income (loss)</w:t>
            </w:r>
          </w:p>
        </w:tc>
        <w:tc>
          <w:tcPr>
            <w:tcW w:w="1060" w:type="dxa"/>
            <w:vAlign w:val="bottom"/>
            <w:tcBorders>
              <w:bottom w:val="single" w:sz="8" w:color="auto"/>
            </w:tcBorders>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13.6</w:t>
            </w:r>
          </w:p>
        </w:tc>
        <w:tc>
          <w:tcPr>
            <w:tcW w:w="40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(40.7)</w:t>
            </w:r>
          </w:p>
        </w:tc>
        <w:tc>
          <w:tcPr>
            <w:tcW w:w="1340" w:type="dxa"/>
            <w:vAlign w:val="bottom"/>
            <w:tcBorders>
              <w:bottom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Diluted share count</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ind w:right="50"/>
              <w:spacing w:after="0" w:line="183" w:lineRule="exact"/>
              <w:rPr>
                <w:sz w:val="20"/>
                <w:szCs w:val="20"/>
                <w:color w:val="auto"/>
              </w:rPr>
            </w:pPr>
            <w:r>
              <w:rPr>
                <w:rFonts w:ascii="Arial" w:cs="Arial" w:eastAsia="Arial" w:hAnsi="Arial"/>
                <w:sz w:val="18"/>
                <w:szCs w:val="18"/>
                <w:color w:val="0A0A0A"/>
              </w:rPr>
              <w:t>58.7</w:t>
            </w:r>
          </w:p>
        </w:tc>
        <w:tc>
          <w:tcPr>
            <w:tcW w:w="400" w:type="dxa"/>
            <w:vAlign w:val="bottom"/>
          </w:tcPr>
          <w:p>
            <w:pPr>
              <w:spacing w:after="0"/>
              <w:rPr>
                <w:sz w:val="15"/>
                <w:szCs w:val="15"/>
                <w:color w:val="auto"/>
              </w:rPr>
            </w:pP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0A0A0A"/>
              </w:rPr>
              <w:t>48.4</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net income (loss) per share - diluted</w:t>
            </w:r>
          </w:p>
        </w:tc>
        <w:tc>
          <w:tcPr>
            <w:tcW w:w="1060" w:type="dxa"/>
            <w:vAlign w:val="bottom"/>
            <w:shd w:val="clear" w:color="auto" w:fill="C6F4F9"/>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0.23</w:t>
            </w:r>
          </w:p>
        </w:tc>
        <w:tc>
          <w:tcPr>
            <w:tcW w:w="4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(0.84)</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-2374265</wp:posOffset>
            </wp:positionV>
            <wp:extent cx="848360" cy="394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8360" cy="39433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-1851025</wp:posOffset>
            </wp:positionV>
            <wp:extent cx="84836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-1567815</wp:posOffset>
            </wp:positionV>
            <wp:extent cx="84836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84836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-1002665</wp:posOffset>
            </wp:positionV>
            <wp:extent cx="84836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-719455</wp:posOffset>
            </wp:positionV>
            <wp:extent cx="84836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-427990</wp:posOffset>
            </wp:positionV>
            <wp:extent cx="8483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84836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48360"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18</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6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Sep 30,</w:t>
            </w:r>
          </w:p>
        </w:tc>
      </w:tr>
      <w:tr>
        <w:trPr>
          <w:trHeight w:val="225"/>
        </w:trPr>
        <w:tc>
          <w:tcPr>
            <w:tcW w:w="6640" w:type="dxa"/>
            <w:vAlign w:val="bottom"/>
            <w:tcBorders>
              <w:bottom w:val="single" w:sz="8" w:color="C6F4F9"/>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1080" w:type="dxa"/>
            <w:vAlign w:val="bottom"/>
            <w:shd w:val="clear" w:color="auto" w:fill="C6F4F9"/>
          </w:tcPr>
          <w:p>
            <w:pPr>
              <w:jc w:val="right"/>
              <w:ind w:right="77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w w:val="96"/>
              </w:rPr>
              <w:t>13.9</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2.9</w:t>
            </w:r>
          </w:p>
        </w:tc>
        <w:tc>
          <w:tcPr>
            <w:tcW w:w="1320" w:type="dxa"/>
            <w:vAlign w:val="bottom"/>
            <w:shd w:val="clear" w:color="auto" w:fill="C6F4F9"/>
          </w:tcPr>
          <w:p>
            <w:pPr>
              <w:spacing w:after="0"/>
              <w:rPr>
                <w:sz w:val="17"/>
                <w:szCs w:val="17"/>
                <w:color w:val="auto"/>
              </w:rPr>
            </w:pPr>
          </w:p>
        </w:tc>
      </w:tr>
      <w:tr>
        <w:trPr>
          <w:trHeight w:val="243"/>
        </w:trPr>
        <w:tc>
          <w:tcPr>
            <w:tcW w:w="664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1320" w:type="dxa"/>
            <w:vAlign w:val="bottom"/>
          </w:tcPr>
          <w:p>
            <w:pPr>
              <w:spacing w:after="0"/>
              <w:rPr>
                <w:sz w:val="21"/>
                <w:szCs w:val="21"/>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080" w:type="dxa"/>
            <w:vAlign w:val="bottom"/>
            <w:shd w:val="clear" w:color="auto" w:fill="C6F4F9"/>
          </w:tcPr>
          <w:p>
            <w:pPr>
              <w:spacing w:after="0"/>
              <w:rPr>
                <w:sz w:val="17"/>
                <w:szCs w:val="17"/>
                <w:color w:val="auto"/>
              </w:rPr>
            </w:pPr>
          </w:p>
        </w:tc>
        <w:tc>
          <w:tcPr>
            <w:tcW w:w="58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2540" w:type="dxa"/>
            <w:vAlign w:val="bottom"/>
            <w:gridSpan w:val="2"/>
            <w:shd w:val="clear" w:color="auto" w:fill="C6F4F9"/>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7"/>
                <w:szCs w:val="17"/>
                <w:color w:val="auto"/>
              </w:rPr>
            </w:pPr>
          </w:p>
        </w:tc>
        <w:tc>
          <w:tcPr>
            <w:tcW w:w="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5.2</w:t>
            </w:r>
          </w:p>
        </w:tc>
        <w:tc>
          <w:tcPr>
            <w:tcW w:w="1320" w:type="dxa"/>
            <w:vAlign w:val="bottom"/>
          </w:tcPr>
          <w:p>
            <w:pPr>
              <w:spacing w:after="0"/>
              <w:rPr>
                <w:sz w:val="17"/>
                <w:szCs w:val="17"/>
                <w:color w:val="auto"/>
              </w:rPr>
            </w:pP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6F4F9"/>
          </w:tcPr>
          <w:p>
            <w:pPr>
              <w:spacing w:after="0"/>
              <w:rPr>
                <w:sz w:val="17"/>
                <w:szCs w:val="17"/>
                <w:color w:val="auto"/>
              </w:rPr>
            </w:pPr>
          </w:p>
        </w:tc>
        <w:tc>
          <w:tcPr>
            <w:tcW w:w="58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0.5</w:t>
            </w:r>
          </w:p>
        </w:tc>
        <w:tc>
          <w:tcPr>
            <w:tcW w:w="1320" w:type="dxa"/>
            <w:vAlign w:val="bottom"/>
            <w:shd w:val="clear" w:color="auto" w:fill="C6F4F9"/>
          </w:tcPr>
          <w:p>
            <w:pPr>
              <w:spacing w:after="0"/>
              <w:rPr>
                <w:sz w:val="17"/>
                <w:szCs w:val="17"/>
                <w:color w:val="auto"/>
              </w:rPr>
            </w:pPr>
          </w:p>
        </w:tc>
      </w:tr>
      <w:tr>
        <w:trPr>
          <w:trHeight w:val="270"/>
        </w:trPr>
        <w:tc>
          <w:tcPr>
            <w:tcW w:w="6640" w:type="dxa"/>
            <w:vAlign w:val="bottom"/>
          </w:tcPr>
          <w:p>
            <w:pPr>
              <w:spacing w:after="0" w:line="269"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p>
        </w:tc>
        <w:tc>
          <w:tcPr>
            <w:tcW w:w="1080" w:type="dxa"/>
            <w:vAlign w:val="bottom"/>
          </w:tcPr>
          <w:p>
            <w:pPr>
              <w:spacing w:after="0"/>
              <w:rPr>
                <w:sz w:val="23"/>
                <w:szCs w:val="23"/>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80" w:type="dxa"/>
            <w:vAlign w:val="bottom"/>
            <w:shd w:val="clear" w:color="auto" w:fill="C6F4F9"/>
          </w:tcPr>
          <w:p>
            <w:pPr>
              <w:spacing w:after="0"/>
              <w:rPr>
                <w:sz w:val="21"/>
                <w:szCs w:val="21"/>
                <w:color w:val="auto"/>
              </w:rPr>
            </w:pPr>
          </w:p>
        </w:tc>
        <w:tc>
          <w:tcPr>
            <w:tcW w:w="5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7"/>
                <w:szCs w:val="17"/>
                <w:color w:val="auto"/>
              </w:rPr>
            </w:pPr>
          </w:p>
        </w:tc>
        <w:tc>
          <w:tcPr>
            <w:tcW w:w="5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5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080" w:type="dxa"/>
            <w:vAlign w:val="bottom"/>
            <w:shd w:val="clear" w:color="auto" w:fill="C6F4F9"/>
          </w:tcPr>
          <w:p>
            <w:pPr>
              <w:spacing w:after="0"/>
              <w:rPr>
                <w:sz w:val="21"/>
                <w:szCs w:val="21"/>
                <w:color w:val="auto"/>
              </w:rPr>
            </w:pPr>
          </w:p>
        </w:tc>
        <w:tc>
          <w:tcPr>
            <w:tcW w:w="580" w:type="dxa"/>
            <w:vAlign w:val="bottom"/>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1.9</w:t>
            </w:r>
          </w:p>
        </w:tc>
        <w:tc>
          <w:tcPr>
            <w:tcW w:w="1320" w:type="dxa"/>
            <w:vAlign w:val="bottom"/>
            <w:shd w:val="clear" w:color="auto" w:fill="C6F4F9"/>
          </w:tcPr>
          <w:p>
            <w:pPr>
              <w:spacing w:after="0"/>
              <w:rPr>
                <w:sz w:val="21"/>
                <w:szCs w:val="2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7"/>
                <w:szCs w:val="17"/>
                <w:color w:val="auto"/>
              </w:rPr>
            </w:pPr>
          </w:p>
        </w:tc>
        <w:tc>
          <w:tcPr>
            <w:tcW w:w="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0.6</w:t>
            </w:r>
          </w:p>
        </w:tc>
        <w:tc>
          <w:tcPr>
            <w:tcW w:w="400" w:type="dxa"/>
            <w:vAlign w:val="bottom"/>
          </w:tcPr>
          <w:p>
            <w:pPr>
              <w:spacing w:after="0"/>
              <w:rPr>
                <w:sz w:val="17"/>
                <w:szCs w:val="17"/>
                <w:color w:val="auto"/>
              </w:rPr>
            </w:pPr>
          </w:p>
        </w:tc>
        <w:tc>
          <w:tcPr>
            <w:tcW w:w="25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6F4F9"/>
          </w:tcPr>
          <w:p>
            <w:pPr>
              <w:spacing w:after="0"/>
              <w:rPr>
                <w:sz w:val="17"/>
                <w:szCs w:val="17"/>
                <w:color w:val="auto"/>
              </w:rPr>
            </w:pPr>
          </w:p>
        </w:tc>
        <w:tc>
          <w:tcPr>
            <w:tcW w:w="58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2.3</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0.9</w:t>
            </w:r>
          </w:p>
        </w:tc>
        <w:tc>
          <w:tcPr>
            <w:tcW w:w="1320" w:type="dxa"/>
            <w:vAlign w:val="bottom"/>
            <w:shd w:val="clear" w:color="auto" w:fill="C6F4F9"/>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7"/>
                <w:szCs w:val="17"/>
                <w:color w:val="auto"/>
              </w:rPr>
            </w:pPr>
          </w:p>
        </w:tc>
        <w:tc>
          <w:tcPr>
            <w:tcW w:w="5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6"/>
              </w:rPr>
              <w:t>14.0</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12.9</w:t>
            </w:r>
          </w:p>
        </w:tc>
        <w:tc>
          <w:tcPr>
            <w:tcW w:w="1320" w:type="dxa"/>
            <w:vAlign w:val="bottom"/>
          </w:tcPr>
          <w:p>
            <w:pPr>
              <w:spacing w:after="0"/>
              <w:rPr>
                <w:sz w:val="17"/>
                <w:szCs w:val="17"/>
                <w:color w:val="auto"/>
              </w:rPr>
            </w:pP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auto"/>
              </w:rPr>
              <w:t>Aircraft rent</w:t>
            </w:r>
          </w:p>
        </w:tc>
        <w:tc>
          <w:tcPr>
            <w:tcW w:w="1080" w:type="dxa"/>
            <w:vAlign w:val="bottom"/>
            <w:tcBorders>
              <w:bottom w:val="single" w:sz="8" w:color="auto"/>
            </w:tcBorders>
            <w:shd w:val="clear" w:color="auto" w:fill="C6F4F9"/>
          </w:tcPr>
          <w:p>
            <w:pPr>
              <w:spacing w:after="0"/>
              <w:rPr>
                <w:sz w:val="18"/>
                <w:szCs w:val="18"/>
                <w:color w:val="auto"/>
              </w:rPr>
            </w:pPr>
          </w:p>
        </w:tc>
        <w:tc>
          <w:tcPr>
            <w:tcW w:w="58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150"/>
              <w:spacing w:after="0"/>
              <w:rPr>
                <w:sz w:val="20"/>
                <w:szCs w:val="20"/>
                <w:color w:val="auto"/>
              </w:rPr>
            </w:pPr>
            <w:r>
              <w:rPr>
                <w:rFonts w:ascii="Arial" w:cs="Arial" w:eastAsia="Arial" w:hAnsi="Arial"/>
                <w:sz w:val="18"/>
                <w:szCs w:val="18"/>
                <w:color w:val="auto"/>
              </w:rPr>
              <w:t>6.4</w:t>
            </w:r>
          </w:p>
        </w:tc>
        <w:tc>
          <w:tcPr>
            <w:tcW w:w="1320" w:type="dxa"/>
            <w:vAlign w:val="bottom"/>
            <w:shd w:val="clear" w:color="auto" w:fill="C6F4F9"/>
          </w:tcPr>
          <w:p>
            <w:pPr>
              <w:spacing w:after="0"/>
              <w:rPr>
                <w:sz w:val="18"/>
                <w:szCs w:val="18"/>
                <w:color w:val="auto"/>
              </w:rPr>
            </w:pPr>
          </w:p>
        </w:tc>
      </w:tr>
      <w:tr>
        <w:trPr>
          <w:trHeight w:val="250"/>
        </w:trPr>
        <w:tc>
          <w:tcPr>
            <w:tcW w:w="66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EBITDAR</w:t>
            </w:r>
          </w:p>
        </w:tc>
        <w:tc>
          <w:tcPr>
            <w:tcW w:w="10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40.9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C6F4F9"/>
            </w:tcBorders>
          </w:tcPr>
          <w:p>
            <w:pPr>
              <w:spacing w:after="0"/>
              <w:rPr>
                <w:sz w:val="21"/>
                <w:szCs w:val="21"/>
                <w:color w:val="auto"/>
              </w:rPr>
            </w:pPr>
          </w:p>
        </w:tc>
      </w:tr>
      <w:tr>
        <w:trPr>
          <w:trHeight w:val="183"/>
        </w:trPr>
        <w:tc>
          <w:tcPr>
            <w:tcW w:w="664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EBITDAR margin</w:t>
            </w:r>
          </w:p>
        </w:tc>
        <w:tc>
          <w:tcPr>
            <w:tcW w:w="1080" w:type="dxa"/>
            <w:vAlign w:val="bottom"/>
            <w:shd w:val="clear" w:color="auto" w:fill="C6F4F9"/>
          </w:tcPr>
          <w:p>
            <w:pPr>
              <w:spacing w:after="0"/>
              <w:rPr>
                <w:sz w:val="15"/>
                <w:szCs w:val="15"/>
                <w:color w:val="auto"/>
              </w:rPr>
            </w:pPr>
          </w:p>
        </w:tc>
        <w:tc>
          <w:tcPr>
            <w:tcW w:w="58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w w:val="97"/>
              </w:rPr>
              <w:t>23.5%</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(2.8%)</w:t>
            </w:r>
          </w:p>
        </w:tc>
        <w:tc>
          <w:tcPr>
            <w:tcW w:w="132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-2365375</wp:posOffset>
            </wp:positionV>
            <wp:extent cx="840105" cy="394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40105" cy="39433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-1816735</wp:posOffset>
            </wp:positionV>
            <wp:extent cx="8401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-1559560</wp:posOffset>
            </wp:positionV>
            <wp:extent cx="8401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-1259205</wp:posOffset>
            </wp:positionV>
            <wp:extent cx="84010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-976630</wp:posOffset>
            </wp:positionV>
            <wp:extent cx="84010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-693420</wp:posOffset>
            </wp:positionV>
            <wp:extent cx="8401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-436245</wp:posOffset>
            </wp:positionV>
            <wp:extent cx="84010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-145415</wp:posOffset>
            </wp:positionV>
            <wp:extent cx="84010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40105" cy="146050"/>
                    </a:xfrm>
                    <a:prstGeom prst="rect">
                      <a:avLst/>
                    </a:prstGeom>
                    <a:noFill/>
                  </pic:spPr>
                </pic:pic>
              </a:graphicData>
            </a:graphic>
          </wp:anchor>
        </w:drawing>
      </w:r>
    </w:p>
    <w:p>
      <w:pPr>
        <w:spacing w:after="0" w:line="19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19</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Net Income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 Sep 30,</w:t>
            </w:r>
          </w:p>
        </w:tc>
      </w:tr>
      <w:tr>
        <w:trPr>
          <w:trHeight w:val="225"/>
        </w:trPr>
        <w:tc>
          <w:tcPr>
            <w:tcW w:w="6700" w:type="dxa"/>
            <w:vAlign w:val="bottom"/>
            <w:tcBorders>
              <w:bottom w:val="single" w:sz="8" w:color="C6F4F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r>
      <w:tr>
        <w:trPr>
          <w:trHeight w:val="196"/>
        </w:trPr>
        <w:tc>
          <w:tcPr>
            <w:tcW w:w="67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78.1</w:t>
            </w:r>
          </w:p>
        </w:tc>
        <w:tc>
          <w:tcPr>
            <w:tcW w:w="36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4.1</w:t>
            </w:r>
          </w:p>
        </w:tc>
        <w:tc>
          <w:tcPr>
            <w:tcW w:w="1340" w:type="dxa"/>
            <w:vAlign w:val="bottom"/>
            <w:shd w:val="clear" w:color="auto" w:fill="C6F4F9"/>
          </w:tcPr>
          <w:p>
            <w:pPr>
              <w:spacing w:after="0"/>
              <w:rPr>
                <w:sz w:val="17"/>
                <w:szCs w:val="17"/>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3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340" w:type="dxa"/>
            <w:vAlign w:val="bottom"/>
          </w:tcPr>
          <w:p>
            <w:pPr>
              <w:spacing w:after="0"/>
              <w:rPr>
                <w:sz w:val="21"/>
                <w:szCs w:val="21"/>
                <w:color w:val="auto"/>
              </w:rPr>
            </w:pPr>
          </w:p>
        </w:tc>
      </w:tr>
      <w:tr>
        <w:trPr>
          <w:trHeight w:val="203"/>
        </w:trPr>
        <w:tc>
          <w:tcPr>
            <w:tcW w:w="67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3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1340" w:type="dxa"/>
            <w:vAlign w:val="bottom"/>
            <w:shd w:val="clear" w:color="auto" w:fill="C6F4F9"/>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19.5</w:t>
            </w:r>
          </w:p>
        </w:tc>
        <w:tc>
          <w:tcPr>
            <w:tcW w:w="36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16.2</w:t>
            </w:r>
          </w:p>
        </w:tc>
        <w:tc>
          <w:tcPr>
            <w:tcW w:w="1340" w:type="dxa"/>
            <w:vAlign w:val="bottom"/>
          </w:tcPr>
          <w:p>
            <w:pPr>
              <w:spacing w:after="0"/>
              <w:rPr>
                <w:sz w:val="17"/>
                <w:szCs w:val="17"/>
                <w:color w:val="auto"/>
              </w:rPr>
            </w:pPr>
          </w:p>
        </w:tc>
      </w:tr>
      <w:tr>
        <w:trPr>
          <w:trHeight w:val="203"/>
        </w:trPr>
        <w:tc>
          <w:tcPr>
            <w:tcW w:w="67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3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4.6</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1.3</w:t>
            </w:r>
          </w:p>
        </w:tc>
        <w:tc>
          <w:tcPr>
            <w:tcW w:w="1340" w:type="dxa"/>
            <w:vAlign w:val="bottom"/>
            <w:shd w:val="clear" w:color="auto" w:fill="C6F4F9"/>
          </w:tcPr>
          <w:p>
            <w:pPr>
              <w:spacing w:after="0"/>
              <w:rPr>
                <w:sz w:val="17"/>
                <w:szCs w:val="17"/>
                <w:color w:val="auto"/>
              </w:rPr>
            </w:pPr>
          </w:p>
        </w:tc>
      </w:tr>
      <w:tr>
        <w:trPr>
          <w:trHeight w:val="270"/>
        </w:trPr>
        <w:tc>
          <w:tcPr>
            <w:tcW w:w="6700" w:type="dxa"/>
            <w:vAlign w:val="bottom"/>
          </w:tcPr>
          <w:p>
            <w:pPr>
              <w:spacing w:after="0" w:line="269"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3"/>
                <w:szCs w:val="23"/>
                <w:color w:val="auto"/>
              </w:rPr>
            </w:pP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340" w:type="dxa"/>
            <w:vAlign w:val="bottom"/>
            <w:shd w:val="clear" w:color="auto" w:fill="C6F4F9"/>
          </w:tcPr>
          <w:p>
            <w:pPr>
              <w:spacing w:after="0"/>
              <w:rPr>
                <w:sz w:val="21"/>
                <w:szCs w:val="21"/>
                <w:color w:val="auto"/>
              </w:rPr>
            </w:pPr>
          </w:p>
        </w:tc>
        <w:tc>
          <w:tcPr>
            <w:tcW w:w="132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6F4F9"/>
          </w:tcPr>
          <w:p>
            <w:pPr>
              <w:spacing w:after="0"/>
              <w:rPr>
                <w:sz w:val="21"/>
                <w:szCs w:val="21"/>
                <w:color w:val="auto"/>
              </w:rPr>
            </w:pPr>
          </w:p>
        </w:tc>
        <w:tc>
          <w:tcPr>
            <w:tcW w:w="252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w:t>
            </w:r>
          </w:p>
        </w:tc>
        <w:tc>
          <w:tcPr>
            <w:tcW w:w="1340" w:type="dxa"/>
            <w:vAlign w:val="bottom"/>
          </w:tcPr>
          <w:p>
            <w:pPr>
              <w:spacing w:after="0"/>
              <w:rPr>
                <w:sz w:val="17"/>
                <w:szCs w:val="17"/>
                <w:color w:val="auto"/>
              </w:rPr>
            </w:pPr>
          </w:p>
        </w:tc>
      </w:tr>
      <w:tr>
        <w:trPr>
          <w:trHeight w:val="243"/>
        </w:trPr>
        <w:tc>
          <w:tcPr>
            <w:tcW w:w="67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340" w:type="dxa"/>
            <w:vAlign w:val="bottom"/>
            <w:shd w:val="clear" w:color="auto" w:fill="C6F4F9"/>
          </w:tcPr>
          <w:p>
            <w:pPr>
              <w:spacing w:after="0"/>
              <w:rPr>
                <w:sz w:val="21"/>
                <w:szCs w:val="21"/>
                <w:color w:val="auto"/>
              </w:rPr>
            </w:pPr>
          </w:p>
        </w:tc>
        <w:tc>
          <w:tcPr>
            <w:tcW w:w="1320" w:type="dxa"/>
            <w:vAlign w:val="bottom"/>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6F4F9"/>
          </w:tcPr>
          <w:p>
            <w:pPr>
              <w:spacing w:after="0"/>
              <w:rPr>
                <w:sz w:val="21"/>
                <w:szCs w:val="21"/>
                <w:color w:val="auto"/>
              </w:rPr>
            </w:pPr>
          </w:p>
        </w:tc>
        <w:tc>
          <w:tcPr>
            <w:tcW w:w="11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4.4</w:t>
            </w:r>
          </w:p>
        </w:tc>
        <w:tc>
          <w:tcPr>
            <w:tcW w:w="1340" w:type="dxa"/>
            <w:vAlign w:val="bottom"/>
            <w:shd w:val="clear" w:color="auto" w:fill="C6F4F9"/>
          </w:tcPr>
          <w:p>
            <w:pPr>
              <w:spacing w:after="0"/>
              <w:rPr>
                <w:sz w:val="21"/>
                <w:szCs w:val="2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Secondary offering costs</w:t>
            </w:r>
          </w:p>
        </w:tc>
        <w:tc>
          <w:tcPr>
            <w:tcW w:w="3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252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17.2</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340" w:type="dxa"/>
            <w:vAlign w:val="bottom"/>
            <w:shd w:val="clear" w:color="auto" w:fill="C6F4F9"/>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40.1</w:t>
            </w:r>
          </w:p>
        </w:tc>
        <w:tc>
          <w:tcPr>
            <w:tcW w:w="36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35.6</w:t>
            </w:r>
          </w:p>
        </w:tc>
        <w:tc>
          <w:tcPr>
            <w:tcW w:w="1340" w:type="dxa"/>
            <w:vAlign w:val="bottom"/>
          </w:tcPr>
          <w:p>
            <w:pPr>
              <w:spacing w:after="0"/>
              <w:rPr>
                <w:sz w:val="17"/>
                <w:szCs w:val="17"/>
                <w:color w:val="auto"/>
              </w:rPr>
            </w:pPr>
          </w:p>
        </w:tc>
      </w:tr>
      <w:tr>
        <w:trPr>
          <w:trHeight w:val="216"/>
        </w:trPr>
        <w:tc>
          <w:tcPr>
            <w:tcW w:w="6700" w:type="dxa"/>
            <w:vAlign w:val="bottom"/>
            <w:shd w:val="clear" w:color="auto" w:fill="C6F4F9"/>
          </w:tcPr>
          <w:p>
            <w:pPr>
              <w:spacing w:after="0"/>
              <w:rPr>
                <w:sz w:val="20"/>
                <w:szCs w:val="20"/>
                <w:color w:val="auto"/>
              </w:rPr>
            </w:pPr>
            <w:r>
              <w:rPr>
                <w:rFonts w:ascii="Arial" w:cs="Arial" w:eastAsia="Arial" w:hAnsi="Arial"/>
                <w:sz w:val="18"/>
                <w:szCs w:val="18"/>
                <w:color w:val="auto"/>
              </w:rPr>
              <w:t>Aircraft rent</w:t>
            </w:r>
          </w:p>
        </w:tc>
        <w:tc>
          <w:tcPr>
            <w:tcW w:w="340" w:type="dxa"/>
            <w:vAlign w:val="bottom"/>
            <w:tcBorders>
              <w:bottom w:val="single" w:sz="8" w:color="auto"/>
            </w:tcBorders>
            <w:shd w:val="clear" w:color="auto" w:fill="C6F4F9"/>
          </w:tcPr>
          <w:p>
            <w:pPr>
              <w:spacing w:after="0"/>
              <w:rPr>
                <w:sz w:val="18"/>
                <w:szCs w:val="18"/>
                <w:color w:val="auto"/>
              </w:rPr>
            </w:pPr>
          </w:p>
        </w:tc>
        <w:tc>
          <w:tcPr>
            <w:tcW w:w="132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13.3</w:t>
            </w:r>
          </w:p>
        </w:tc>
        <w:tc>
          <w:tcPr>
            <w:tcW w:w="36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23.4</w:t>
            </w:r>
          </w:p>
        </w:tc>
        <w:tc>
          <w:tcPr>
            <w:tcW w:w="1340" w:type="dxa"/>
            <w:vAlign w:val="bottom"/>
            <w:shd w:val="clear" w:color="auto" w:fill="C6F4F9"/>
          </w:tcPr>
          <w:p>
            <w:pPr>
              <w:spacing w:after="0"/>
              <w:rPr>
                <w:sz w:val="18"/>
                <w:szCs w:val="18"/>
                <w:color w:val="auto"/>
              </w:rPr>
            </w:pPr>
          </w:p>
        </w:tc>
      </w:tr>
      <w:tr>
        <w:trPr>
          <w:trHeight w:val="250"/>
        </w:trPr>
        <w:tc>
          <w:tcPr>
            <w:tcW w:w="670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EBITDAR</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22.2</w:t>
            </w:r>
          </w:p>
        </w:tc>
        <w:tc>
          <w:tcPr>
            <w:tcW w:w="1340" w:type="dxa"/>
            <w:vAlign w:val="bottom"/>
            <w:tcBorders>
              <w:bottom w:val="single" w:sz="8" w:color="C6F4F9"/>
            </w:tcBorders>
          </w:tcPr>
          <w:p>
            <w:pPr>
              <w:spacing w:after="0"/>
              <w:rPr>
                <w:sz w:val="21"/>
                <w:szCs w:val="21"/>
                <w:color w:val="auto"/>
              </w:rPr>
            </w:pPr>
          </w:p>
        </w:tc>
      </w:tr>
      <w:tr>
        <w:trPr>
          <w:trHeight w:val="183"/>
        </w:trPr>
        <w:tc>
          <w:tcPr>
            <w:tcW w:w="670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EBITDAR margin</w:t>
            </w:r>
          </w:p>
        </w:tc>
        <w:tc>
          <w:tcPr>
            <w:tcW w:w="340" w:type="dxa"/>
            <w:vAlign w:val="bottom"/>
            <w:shd w:val="clear" w:color="auto" w:fill="C6F4F9"/>
          </w:tcPr>
          <w:p>
            <w:pPr>
              <w:spacing w:after="0"/>
              <w:rPr>
                <w:sz w:val="15"/>
                <w:szCs w:val="15"/>
                <w:color w:val="auto"/>
              </w:rPr>
            </w:pPr>
          </w:p>
        </w:tc>
        <w:tc>
          <w:tcPr>
            <w:tcW w:w="13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19.8%</w:t>
            </w:r>
          </w:p>
        </w:tc>
        <w:tc>
          <w:tcPr>
            <w:tcW w:w="360" w:type="dxa"/>
            <w:vAlign w:val="bottom"/>
            <w:shd w:val="clear" w:color="auto" w:fill="C6F4F9"/>
          </w:tcPr>
          <w:p>
            <w:pPr>
              <w:spacing w:after="0"/>
              <w:rPr>
                <w:sz w:val="15"/>
                <w:szCs w:val="15"/>
                <w:color w:val="auto"/>
              </w:rPr>
            </w:pPr>
          </w:p>
        </w:tc>
        <w:tc>
          <w:tcPr>
            <w:tcW w:w="118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7.6%</w:t>
            </w:r>
          </w:p>
        </w:tc>
        <w:tc>
          <w:tcPr>
            <w:tcW w:w="134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-2365375</wp:posOffset>
            </wp:positionV>
            <wp:extent cx="848360" cy="394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8360" cy="39433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-1816735</wp:posOffset>
            </wp:positionV>
            <wp:extent cx="84836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-1559560</wp:posOffset>
            </wp:positionV>
            <wp:extent cx="84836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-1259205</wp:posOffset>
            </wp:positionV>
            <wp:extent cx="84836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-976630</wp:posOffset>
            </wp:positionV>
            <wp:extent cx="84836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-693420</wp:posOffset>
            </wp:positionV>
            <wp:extent cx="8483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-436245</wp:posOffset>
            </wp:positionV>
            <wp:extent cx="8483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48360" cy="1371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-144780</wp:posOffset>
            </wp:positionV>
            <wp:extent cx="84836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48360" cy="14541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20</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9"/>
              </w:rPr>
              <w:t>Three Months Ended Sep 30,</w:t>
            </w:r>
          </w:p>
        </w:tc>
        <w:tc>
          <w:tcPr>
            <w:tcW w:w="1120" w:type="dxa"/>
            <w:vAlign w:val="bottom"/>
          </w:tcPr>
          <w:p>
            <w:pPr>
              <w:spacing w:after="0"/>
              <w:rPr>
                <w:sz w:val="17"/>
                <w:szCs w:val="17"/>
                <w:color w:val="auto"/>
              </w:rPr>
            </w:pPr>
          </w:p>
        </w:tc>
      </w:tr>
      <w:tr>
        <w:trPr>
          <w:trHeight w:val="225"/>
        </w:trPr>
        <w:tc>
          <w:tcPr>
            <w:tcW w:w="5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r>
      <w:tr>
        <w:trPr>
          <w:trHeight w:val="173"/>
        </w:trPr>
        <w:tc>
          <w:tcPr>
            <w:tcW w:w="5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ind w:right="290"/>
              <w:spacing w:after="0" w:line="173" w:lineRule="exact"/>
              <w:rPr>
                <w:sz w:val="20"/>
                <w:szCs w:val="20"/>
                <w:color w:val="auto"/>
              </w:rPr>
            </w:pPr>
            <w:r>
              <w:rPr>
                <w:rFonts w:ascii="Arial" w:cs="Arial" w:eastAsia="Arial" w:hAnsi="Arial"/>
                <w:sz w:val="18"/>
                <w:szCs w:val="18"/>
                <w:b w:val="1"/>
                <w:bCs w:val="1"/>
                <w:color w:val="auto"/>
                <w:w w:val="98"/>
              </w:rPr>
              <w:t>Operating</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center"/>
              <w:ind w:right="370"/>
              <w:spacing w:after="0" w:line="173" w:lineRule="exact"/>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15"/>
                <w:szCs w:val="15"/>
                <w:color w:val="auto"/>
              </w:rPr>
            </w:pPr>
          </w:p>
        </w:tc>
      </w:tr>
      <w:tr>
        <w:trPr>
          <w:trHeight w:val="203"/>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290"/>
              <w:spacing w:after="0" w:line="202" w:lineRule="exact"/>
              <w:rPr>
                <w:sz w:val="20"/>
                <w:szCs w:val="20"/>
                <w:color w:val="auto"/>
              </w:rPr>
            </w:pPr>
            <w:r>
              <w:rPr>
                <w:rFonts w:ascii="Arial" w:cs="Arial" w:eastAsia="Arial" w:hAnsi="Arial"/>
                <w:sz w:val="18"/>
                <w:szCs w:val="18"/>
                <w:b w:val="1"/>
                <w:bCs w:val="1"/>
                <w:color w:val="auto"/>
              </w:rPr>
              <w:t>Expenses -</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Per ASM</w:t>
            </w:r>
          </w:p>
        </w:tc>
        <w:tc>
          <w:tcPr>
            <w:tcW w:w="220" w:type="dxa"/>
            <w:vAlign w:val="bottom"/>
          </w:tcPr>
          <w:p>
            <w:pPr>
              <w:spacing w:after="0"/>
              <w:rPr>
                <w:sz w:val="17"/>
                <w:szCs w:val="17"/>
                <w:color w:val="auto"/>
              </w:rPr>
            </w:pPr>
          </w:p>
        </w:tc>
        <w:tc>
          <w:tcPr>
            <w:tcW w:w="152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w w:val="98"/>
              </w:rPr>
              <w:t>Expenses -</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Per ASM</w:t>
            </w:r>
          </w:p>
        </w:tc>
      </w:tr>
      <w:tr>
        <w:trPr>
          <w:trHeight w:val="225"/>
        </w:trPr>
        <w:tc>
          <w:tcPr>
            <w:tcW w:w="5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mm</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(cents)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9"/>
              </w:rPr>
              <w:t>mm</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(cents)</w:t>
            </w:r>
          </w:p>
        </w:tc>
      </w:tr>
      <w:tr>
        <w:trPr>
          <w:trHeight w:val="196"/>
        </w:trPr>
        <w:tc>
          <w:tcPr>
            <w:tcW w:w="54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2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6F4F9"/>
          </w:tcPr>
          <w:p>
            <w:pPr>
              <w:jc w:val="right"/>
              <w:ind w:right="270"/>
              <w:spacing w:after="0" w:line="196" w:lineRule="exact"/>
              <w:rPr>
                <w:sz w:val="20"/>
                <w:szCs w:val="20"/>
                <w:color w:val="auto"/>
              </w:rPr>
            </w:pPr>
            <w:r>
              <w:rPr>
                <w:rFonts w:ascii="Arial" w:cs="Arial" w:eastAsia="Arial" w:hAnsi="Arial"/>
                <w:sz w:val="18"/>
                <w:szCs w:val="18"/>
                <w:color w:val="auto"/>
              </w:rPr>
              <w:t>151.7</w:t>
            </w:r>
          </w:p>
        </w:tc>
        <w:tc>
          <w:tcPr>
            <w:tcW w:w="124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9.79</w:t>
            </w:r>
          </w:p>
        </w:tc>
        <w:tc>
          <w:tcPr>
            <w:tcW w:w="2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6F4F9"/>
          </w:tcPr>
          <w:p>
            <w:pPr>
              <w:jc w:val="right"/>
              <w:ind w:right="350"/>
              <w:spacing w:after="0" w:line="196" w:lineRule="exact"/>
              <w:rPr>
                <w:sz w:val="20"/>
                <w:szCs w:val="20"/>
                <w:color w:val="auto"/>
              </w:rPr>
            </w:pPr>
            <w:r>
              <w:rPr>
                <w:rFonts w:ascii="Arial" w:cs="Arial" w:eastAsia="Arial" w:hAnsi="Arial"/>
                <w:sz w:val="18"/>
                <w:szCs w:val="18"/>
                <w:color w:val="auto"/>
              </w:rPr>
              <w:t>69.2</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7.10</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28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270"/>
              <w:spacing w:after="0" w:line="202" w:lineRule="exact"/>
              <w:rPr>
                <w:sz w:val="20"/>
                <w:szCs w:val="20"/>
                <w:color w:val="auto"/>
              </w:rPr>
            </w:pPr>
            <w:r>
              <w:rPr>
                <w:rFonts w:ascii="Arial" w:cs="Arial" w:eastAsia="Arial" w:hAnsi="Arial"/>
                <w:sz w:val="18"/>
                <w:szCs w:val="18"/>
                <w:color w:val="auto"/>
              </w:rPr>
              <w:t>36.6</w:t>
            </w:r>
          </w:p>
        </w:tc>
        <w:tc>
          <w:tcPr>
            <w:tcW w:w="124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2.37</w:t>
            </w:r>
          </w:p>
        </w:tc>
        <w:tc>
          <w:tcPr>
            <w:tcW w:w="220" w:type="dxa"/>
            <w:vAlign w:val="bottom"/>
            <w:shd w:val="clear" w:color="auto" w:fill="C6F4F9"/>
          </w:tcPr>
          <w:p>
            <w:pPr>
              <w:spacing w:after="0"/>
              <w:rPr>
                <w:sz w:val="17"/>
                <w:szCs w:val="17"/>
                <w:color w:val="auto"/>
              </w:rPr>
            </w:pPr>
          </w:p>
        </w:tc>
        <w:tc>
          <w:tcPr>
            <w:tcW w:w="152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13.1</w:t>
            </w: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1.35</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0.06</w:t>
            </w:r>
          </w:p>
        </w:tc>
        <w:tc>
          <w:tcPr>
            <w:tcW w:w="22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0.5</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0.05</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8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210"/>
              <w:spacing w:after="0"/>
              <w:rPr>
                <w:sz w:val="20"/>
                <w:szCs w:val="20"/>
                <w:color w:val="auto"/>
              </w:rPr>
            </w:pPr>
            <w:r>
              <w:rPr>
                <w:rFonts w:ascii="Arial" w:cs="Arial" w:eastAsia="Arial" w:hAnsi="Arial"/>
                <w:sz w:val="18"/>
                <w:szCs w:val="18"/>
                <w:color w:val="auto"/>
              </w:rPr>
              <w:t>(0.1)</w:t>
            </w:r>
          </w:p>
        </w:tc>
        <w:tc>
          <w:tcPr>
            <w:tcW w:w="12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6F4F9"/>
          </w:tcPr>
          <w:p>
            <w:pPr>
              <w:spacing w:after="0"/>
              <w:rPr>
                <w:sz w:val="21"/>
                <w:szCs w:val="21"/>
                <w:color w:val="auto"/>
              </w:rPr>
            </w:pPr>
          </w:p>
        </w:tc>
        <w:tc>
          <w:tcPr>
            <w:tcW w:w="1520" w:type="dxa"/>
            <w:vAlign w:val="bottom"/>
            <w:shd w:val="clear" w:color="auto" w:fill="C6F4F9"/>
          </w:tcPr>
          <w:p>
            <w:pPr>
              <w:jc w:val="right"/>
              <w:ind w:right="290"/>
              <w:spacing w:after="0"/>
              <w:rPr>
                <w:sz w:val="20"/>
                <w:szCs w:val="20"/>
                <w:color w:val="auto"/>
              </w:rPr>
            </w:pPr>
            <w:r>
              <w:rPr>
                <w:rFonts w:ascii="Arial" w:cs="Arial" w:eastAsia="Arial" w:hAnsi="Arial"/>
                <w:sz w:val="18"/>
                <w:szCs w:val="18"/>
                <w:color w:val="auto"/>
              </w:rPr>
              <w:t>(32.9)</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280" w:type="dxa"/>
            <w:vAlign w:val="bottom"/>
          </w:tcPr>
          <w:p>
            <w:pPr>
              <w:spacing w:after="0"/>
              <w:rPr>
                <w:sz w:val="21"/>
                <w:szCs w:val="21"/>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1"/>
                <w:szCs w:val="21"/>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28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6F4F9"/>
          </w:tcPr>
          <w:p>
            <w:pPr>
              <w:spacing w:after="0"/>
              <w:rPr>
                <w:sz w:val="21"/>
                <w:szCs w:val="21"/>
                <w:color w:val="auto"/>
              </w:rPr>
            </w:pPr>
          </w:p>
        </w:tc>
        <w:tc>
          <w:tcPr>
            <w:tcW w:w="1520" w:type="dxa"/>
            <w:vAlign w:val="bottom"/>
            <w:shd w:val="clear" w:color="auto" w:fill="C6F4F9"/>
          </w:tcPr>
          <w:p>
            <w:pPr>
              <w:jc w:val="right"/>
              <w:ind w:right="35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0.20</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280" w:type="dxa"/>
            <w:vAlign w:val="bottom"/>
          </w:tcPr>
          <w:p>
            <w:pPr>
              <w:spacing w:after="0"/>
              <w:rPr>
                <w:sz w:val="17"/>
                <w:szCs w:val="17"/>
                <w:color w:val="auto"/>
              </w:rPr>
            </w:pP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15.5</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5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12.0</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w:t>
            </w:r>
          </w:p>
        </w:tc>
      </w:tr>
      <w:tr>
        <w:trPr>
          <w:trHeight w:val="216"/>
        </w:trPr>
        <w:tc>
          <w:tcPr>
            <w:tcW w:w="5400" w:type="dxa"/>
            <w:vAlign w:val="bottom"/>
            <w:shd w:val="clear" w:color="auto" w:fill="C6F4F9"/>
          </w:tcPr>
          <w:p>
            <w:pPr>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shd w:val="clear" w:color="auto" w:fill="C6F4F9"/>
          </w:tcPr>
          <w:p>
            <w:pPr>
              <w:spacing w:after="0"/>
              <w:rPr>
                <w:sz w:val="18"/>
                <w:szCs w:val="18"/>
                <w:color w:val="auto"/>
              </w:rPr>
            </w:pPr>
          </w:p>
        </w:tc>
        <w:tc>
          <w:tcPr>
            <w:tcW w:w="1460" w:type="dxa"/>
            <w:vAlign w:val="bottom"/>
            <w:tcBorders>
              <w:bottom w:val="single" w:sz="8" w:color="auto"/>
            </w:tcBorders>
            <w:shd w:val="clear" w:color="auto" w:fill="C6F4F9"/>
          </w:tcPr>
          <w:p>
            <w:pPr>
              <w:jc w:val="right"/>
              <w:ind w:right="270"/>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auto"/>
            </w:tcBorders>
            <w:shd w:val="clear" w:color="auto" w:fill="C6F4F9"/>
          </w:tcPr>
          <w:p>
            <w:pPr>
              <w:spacing w:after="0"/>
              <w:rPr>
                <w:sz w:val="18"/>
                <w:szCs w:val="18"/>
                <w:color w:val="auto"/>
              </w:rPr>
            </w:pPr>
          </w:p>
        </w:tc>
        <w:tc>
          <w:tcPr>
            <w:tcW w:w="1520" w:type="dxa"/>
            <w:vAlign w:val="bottom"/>
            <w:tcBorders>
              <w:bottom w:val="single" w:sz="8" w:color="auto"/>
            </w:tcBorders>
            <w:shd w:val="clear" w:color="auto" w:fill="C6F4F9"/>
          </w:tcPr>
          <w:p>
            <w:pPr>
              <w:jc w:val="right"/>
              <w:ind w:right="35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0.01</w:t>
            </w:r>
          </w:p>
        </w:tc>
      </w:tr>
      <w:tr>
        <w:trPr>
          <w:trHeight w:val="250"/>
        </w:trPr>
        <w:tc>
          <w:tcPr>
            <w:tcW w:w="540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98.4</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74.4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r>
      <w:tr>
        <w:trPr>
          <w:trHeight w:val="183"/>
        </w:trPr>
        <w:tc>
          <w:tcPr>
            <w:tcW w:w="540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Available seat miles (ASMs) - mm</w:t>
            </w:r>
          </w:p>
        </w:tc>
        <w:tc>
          <w:tcPr>
            <w:tcW w:w="280" w:type="dxa"/>
            <w:vAlign w:val="bottom"/>
            <w:shd w:val="clear" w:color="auto" w:fill="C6F4F9"/>
          </w:tcPr>
          <w:p>
            <w:pPr>
              <w:spacing w:after="0"/>
              <w:rPr>
                <w:sz w:val="15"/>
                <w:szCs w:val="15"/>
                <w:color w:val="auto"/>
              </w:rPr>
            </w:pPr>
          </w:p>
        </w:tc>
        <w:tc>
          <w:tcPr>
            <w:tcW w:w="1460" w:type="dxa"/>
            <w:vAlign w:val="bottom"/>
            <w:shd w:val="clear" w:color="auto" w:fill="C6F4F9"/>
          </w:tcPr>
          <w:p>
            <w:pPr>
              <w:jc w:val="right"/>
              <w:ind w:right="270"/>
              <w:spacing w:after="0" w:line="183" w:lineRule="exact"/>
              <w:rPr>
                <w:sz w:val="20"/>
                <w:szCs w:val="20"/>
                <w:color w:val="auto"/>
              </w:rPr>
            </w:pPr>
            <w:r>
              <w:rPr>
                <w:rFonts w:ascii="Arial" w:cs="Arial" w:eastAsia="Arial" w:hAnsi="Arial"/>
                <w:sz w:val="18"/>
                <w:szCs w:val="18"/>
                <w:color w:val="auto"/>
              </w:rPr>
              <w:t>1,549.4</w:t>
            </w:r>
          </w:p>
        </w:tc>
        <w:tc>
          <w:tcPr>
            <w:tcW w:w="1240" w:type="dxa"/>
            <w:vAlign w:val="bottom"/>
            <w:shd w:val="clear" w:color="auto" w:fill="C6F4F9"/>
          </w:tcPr>
          <w:p>
            <w:pPr>
              <w:spacing w:after="0"/>
              <w:rPr>
                <w:sz w:val="15"/>
                <w:szCs w:val="15"/>
                <w:color w:val="auto"/>
              </w:rPr>
            </w:pPr>
          </w:p>
        </w:tc>
        <w:tc>
          <w:tcPr>
            <w:tcW w:w="220" w:type="dxa"/>
            <w:vAlign w:val="bottom"/>
            <w:shd w:val="clear" w:color="auto" w:fill="C6F4F9"/>
          </w:tcPr>
          <w:p>
            <w:pPr>
              <w:spacing w:after="0"/>
              <w:rPr>
                <w:sz w:val="15"/>
                <w:szCs w:val="15"/>
                <w:color w:val="auto"/>
              </w:rPr>
            </w:pPr>
          </w:p>
        </w:tc>
        <w:tc>
          <w:tcPr>
            <w:tcW w:w="1520" w:type="dxa"/>
            <w:vAlign w:val="bottom"/>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974.6</w:t>
            </w:r>
          </w:p>
        </w:tc>
        <w:tc>
          <w:tcPr>
            <w:tcW w:w="1120" w:type="dxa"/>
            <w:vAlign w:val="bottom"/>
            <w:shd w:val="clear" w:color="auto" w:fill="C6F4F9"/>
          </w:tcPr>
          <w:p>
            <w:pPr>
              <w:spacing w:after="0"/>
              <w:rPr>
                <w:sz w:val="15"/>
                <w:szCs w:val="15"/>
                <w:color w:val="auto"/>
              </w:rPr>
            </w:pPr>
          </w:p>
        </w:tc>
      </w:tr>
    </w:tbl>
    <w:p>
      <w:pPr>
        <w:spacing w:after="0" w:line="1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 Sep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370"/>
              <w:spacing w:after="0" w:line="173" w:lineRule="exact"/>
              <w:rPr>
                <w:sz w:val="20"/>
                <w:szCs w:val="20"/>
                <w:color w:val="auto"/>
              </w:rPr>
            </w:pPr>
            <w:r>
              <w:rPr>
                <w:rFonts w:ascii="Arial" w:cs="Arial" w:eastAsia="Arial" w:hAnsi="Arial"/>
                <w:sz w:val="18"/>
                <w:szCs w:val="18"/>
                <w:b w:val="1"/>
                <w:bCs w:val="1"/>
                <w:color w:val="auto"/>
                <w:w w:val="98"/>
              </w:rPr>
              <w:t>Operating</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ind w:right="430"/>
              <w:spacing w:after="0" w:line="173" w:lineRule="exact"/>
              <w:rPr>
                <w:sz w:val="20"/>
                <w:szCs w:val="20"/>
                <w:color w:val="auto"/>
              </w:rPr>
            </w:pPr>
            <w:r>
              <w:rPr>
                <w:rFonts w:ascii="Arial" w:cs="Arial" w:eastAsia="Arial" w:hAnsi="Arial"/>
                <w:sz w:val="18"/>
                <w:szCs w:val="18"/>
                <w:b w:val="1"/>
                <w:bCs w:val="1"/>
                <w:color w:val="auto"/>
              </w:rPr>
              <w:t>Operating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rPr>
              <w:t>Expenses -</w:t>
            </w:r>
          </w:p>
        </w:tc>
        <w:tc>
          <w:tcPr>
            <w:tcW w:w="12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Per ASM</w:t>
            </w:r>
          </w:p>
        </w:tc>
        <w:tc>
          <w:tcPr>
            <w:tcW w:w="200" w:type="dxa"/>
            <w:vAlign w:val="bottom"/>
          </w:tcPr>
          <w:p>
            <w:pPr>
              <w:spacing w:after="0"/>
              <w:rPr>
                <w:sz w:val="17"/>
                <w:szCs w:val="17"/>
                <w:color w:val="auto"/>
              </w:rPr>
            </w:pPr>
          </w:p>
        </w:tc>
        <w:tc>
          <w:tcPr>
            <w:tcW w:w="150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8"/>
              </w:rPr>
              <w:t>Expenses -</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Per ASM</w:t>
            </w:r>
          </w:p>
        </w:tc>
      </w:tr>
      <w:tr>
        <w:trPr>
          <w:trHeight w:val="225"/>
        </w:trPr>
        <w:tc>
          <w:tcPr>
            <w:tcW w:w="5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mm</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(cents)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mm</w:t>
            </w: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(cents)</w:t>
            </w:r>
          </w:p>
        </w:tc>
      </w:tr>
      <w:tr>
        <w:trPr>
          <w:trHeight w:val="196"/>
        </w:trPr>
        <w:tc>
          <w:tcPr>
            <w:tcW w:w="54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260" w:type="dxa"/>
            <w:vAlign w:val="bottom"/>
            <w:gridSpan w:val="2"/>
            <w:shd w:val="clear" w:color="auto" w:fill="C6F4F9"/>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6F4F9"/>
          </w:tcPr>
          <w:p>
            <w:pPr>
              <w:jc w:val="right"/>
              <w:ind w:right="250"/>
              <w:spacing w:after="0" w:line="196" w:lineRule="exact"/>
              <w:rPr>
                <w:sz w:val="20"/>
                <w:szCs w:val="20"/>
                <w:color w:val="auto"/>
              </w:rPr>
            </w:pPr>
            <w:r>
              <w:rPr>
                <w:rFonts w:ascii="Arial" w:cs="Arial" w:eastAsia="Arial" w:hAnsi="Arial"/>
                <w:sz w:val="18"/>
                <w:szCs w:val="18"/>
                <w:color w:val="auto"/>
              </w:rPr>
              <w:t>354.3</w:t>
            </w:r>
          </w:p>
        </w:tc>
        <w:tc>
          <w:tcPr>
            <w:tcW w:w="12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8.11</w:t>
            </w:r>
          </w:p>
        </w:tc>
        <w:tc>
          <w:tcPr>
            <w:tcW w:w="2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6F4F9"/>
          </w:tcPr>
          <w:p>
            <w:pPr>
              <w:jc w:val="right"/>
              <w:ind w:right="310"/>
              <w:spacing w:after="0" w:line="196" w:lineRule="exact"/>
              <w:rPr>
                <w:sz w:val="20"/>
                <w:szCs w:val="20"/>
                <w:color w:val="auto"/>
              </w:rPr>
            </w:pPr>
            <w:r>
              <w:rPr>
                <w:rFonts w:ascii="Arial" w:cs="Arial" w:eastAsia="Arial" w:hAnsi="Arial"/>
                <w:sz w:val="18"/>
                <w:szCs w:val="18"/>
                <w:color w:val="auto"/>
              </w:rPr>
              <w:t>271.9</w:t>
            </w:r>
          </w:p>
        </w:tc>
        <w:tc>
          <w:tcPr>
            <w:tcW w:w="1160" w:type="dxa"/>
            <w:vAlign w:val="bottom"/>
            <w:gridSpan w:val="2"/>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8.63</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12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250"/>
              <w:spacing w:after="0" w:line="202" w:lineRule="exact"/>
              <w:rPr>
                <w:sz w:val="20"/>
                <w:szCs w:val="20"/>
                <w:color w:val="auto"/>
              </w:rPr>
            </w:pPr>
            <w:r>
              <w:rPr>
                <w:rFonts w:ascii="Arial" w:cs="Arial" w:eastAsia="Arial" w:hAnsi="Arial"/>
                <w:sz w:val="18"/>
                <w:szCs w:val="18"/>
                <w:color w:val="auto"/>
              </w:rPr>
              <w:t>90.6</w:t>
            </w:r>
          </w:p>
        </w:tc>
        <w:tc>
          <w:tcPr>
            <w:tcW w:w="12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2.07</w:t>
            </w:r>
          </w:p>
        </w:tc>
        <w:tc>
          <w:tcPr>
            <w:tcW w:w="200" w:type="dxa"/>
            <w:vAlign w:val="bottom"/>
            <w:shd w:val="clear" w:color="auto" w:fill="C6F4F9"/>
          </w:tcPr>
          <w:p>
            <w:pPr>
              <w:spacing w:after="0"/>
              <w:rPr>
                <w:sz w:val="17"/>
                <w:szCs w:val="17"/>
                <w:color w:val="auto"/>
              </w:rPr>
            </w:pPr>
          </w:p>
        </w:tc>
        <w:tc>
          <w:tcPr>
            <w:tcW w:w="1500" w:type="dxa"/>
            <w:vAlign w:val="bottom"/>
            <w:shd w:val="clear" w:color="auto" w:fill="C6F4F9"/>
          </w:tcPr>
          <w:p>
            <w:pPr>
              <w:jc w:val="right"/>
              <w:ind w:right="310"/>
              <w:spacing w:after="0" w:line="202" w:lineRule="exact"/>
              <w:rPr>
                <w:sz w:val="20"/>
                <w:szCs w:val="20"/>
                <w:color w:val="auto"/>
              </w:rPr>
            </w:pPr>
            <w:r>
              <w:rPr>
                <w:rFonts w:ascii="Arial" w:cs="Arial" w:eastAsia="Arial" w:hAnsi="Arial"/>
                <w:sz w:val="18"/>
                <w:szCs w:val="18"/>
                <w:color w:val="auto"/>
              </w:rPr>
              <w:t>69.4</w:t>
            </w:r>
          </w:p>
        </w:tc>
        <w:tc>
          <w:tcPr>
            <w:tcW w:w="1160" w:type="dxa"/>
            <w:vAlign w:val="bottom"/>
            <w:gridSpan w:val="2"/>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2.21</w:t>
            </w:r>
          </w:p>
        </w:tc>
      </w:tr>
      <w:tr>
        <w:trPr>
          <w:trHeight w:val="202"/>
        </w:trPr>
        <w:tc>
          <w:tcPr>
            <w:tcW w:w="540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4.6</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0.11</w:t>
            </w:r>
          </w:p>
        </w:tc>
        <w:tc>
          <w:tcPr>
            <w:tcW w:w="200" w:type="dxa"/>
            <w:vAlign w:val="bottom"/>
          </w:tcPr>
          <w:p>
            <w:pPr>
              <w:spacing w:after="0"/>
              <w:rPr>
                <w:sz w:val="17"/>
                <w:szCs w:val="17"/>
                <w:color w:val="auto"/>
              </w:rPr>
            </w:pPr>
          </w:p>
        </w:tc>
        <w:tc>
          <w:tcPr>
            <w:tcW w:w="15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0.04</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20" w:type="dxa"/>
            <w:vAlign w:val="bottom"/>
            <w:shd w:val="clear" w:color="auto" w:fill="C6F4F9"/>
          </w:tcPr>
          <w:p>
            <w:pPr>
              <w:spacing w:after="0"/>
              <w:rPr>
                <w:sz w:val="21"/>
                <w:szCs w:val="21"/>
                <w:color w:val="auto"/>
              </w:rPr>
            </w:pPr>
          </w:p>
        </w:tc>
        <w:tc>
          <w:tcPr>
            <w:tcW w:w="14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190"/>
              <w:spacing w:after="0"/>
              <w:rPr>
                <w:sz w:val="20"/>
                <w:szCs w:val="20"/>
                <w:color w:val="auto"/>
              </w:rPr>
            </w:pPr>
            <w:r>
              <w:rPr>
                <w:rFonts w:ascii="Arial" w:cs="Arial" w:eastAsia="Arial" w:hAnsi="Arial"/>
                <w:sz w:val="18"/>
                <w:szCs w:val="18"/>
                <w:color w:val="auto"/>
              </w:rPr>
              <w:t>(65.5)</w:t>
            </w:r>
          </w:p>
        </w:tc>
        <w:tc>
          <w:tcPr>
            <w:tcW w:w="1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6F4F9"/>
          </w:tcPr>
          <w:p>
            <w:pPr>
              <w:spacing w:after="0"/>
              <w:rPr>
                <w:sz w:val="21"/>
                <w:szCs w:val="21"/>
                <w:color w:val="auto"/>
              </w:rPr>
            </w:pPr>
          </w:p>
        </w:tc>
        <w:tc>
          <w:tcPr>
            <w:tcW w:w="1500" w:type="dxa"/>
            <w:vAlign w:val="bottom"/>
            <w:shd w:val="clear" w:color="auto" w:fill="C6F4F9"/>
          </w:tcPr>
          <w:p>
            <w:pPr>
              <w:jc w:val="right"/>
              <w:ind w:right="250"/>
              <w:spacing w:after="0"/>
              <w:rPr>
                <w:sz w:val="20"/>
                <w:szCs w:val="20"/>
                <w:color w:val="auto"/>
              </w:rPr>
            </w:pPr>
            <w:r>
              <w:rPr>
                <w:rFonts w:ascii="Arial" w:cs="Arial" w:eastAsia="Arial" w:hAnsi="Arial"/>
                <w:sz w:val="18"/>
                <w:szCs w:val="18"/>
                <w:color w:val="auto"/>
              </w:rPr>
              <w:t>(64.3)</w:t>
            </w:r>
          </w:p>
        </w:tc>
        <w:tc>
          <w:tcPr>
            <w:tcW w:w="1160" w:type="dxa"/>
            <w:vAlign w:val="bottom"/>
            <w:gridSpan w:val="2"/>
            <w:shd w:val="clear" w:color="auto" w:fill="C6F4F9"/>
          </w:tcPr>
          <w:p>
            <w:pPr>
              <w:jc w:val="right"/>
              <w:ind w:right="40"/>
              <w:spacing w:after="0"/>
              <w:rPr>
                <w:sz w:val="20"/>
                <w:szCs w:val="20"/>
                <w:color w:val="auto"/>
              </w:rPr>
            </w:pPr>
            <w:r>
              <w:rPr>
                <w:rFonts w:ascii="Arial" w:cs="Arial" w:eastAsia="Arial" w:hAnsi="Arial"/>
                <w:sz w:val="18"/>
                <w:szCs w:val="18"/>
                <w:color w:val="auto"/>
              </w:rPr>
              <w:t>(2.04)</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120" w:type="dxa"/>
            <w:vAlign w:val="bottom"/>
            <w:shd w:val="clear" w:color="auto" w:fill="C6F4F9"/>
          </w:tcPr>
          <w:p>
            <w:pPr>
              <w:spacing w:after="0"/>
              <w:rPr>
                <w:sz w:val="21"/>
                <w:szCs w:val="21"/>
                <w:color w:val="auto"/>
              </w:rPr>
            </w:pPr>
          </w:p>
        </w:tc>
        <w:tc>
          <w:tcPr>
            <w:tcW w:w="14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6F4F9"/>
          </w:tcPr>
          <w:p>
            <w:pPr>
              <w:spacing w:after="0"/>
              <w:rPr>
                <w:sz w:val="21"/>
                <w:szCs w:val="21"/>
                <w:color w:val="auto"/>
              </w:rPr>
            </w:pPr>
          </w:p>
        </w:tc>
        <w:tc>
          <w:tcPr>
            <w:tcW w:w="1500" w:type="dxa"/>
            <w:vAlign w:val="bottom"/>
            <w:shd w:val="clear" w:color="auto" w:fill="C6F4F9"/>
          </w:tcPr>
          <w:p>
            <w:pPr>
              <w:jc w:val="right"/>
              <w:ind w:right="310"/>
              <w:spacing w:after="0"/>
              <w:rPr>
                <w:sz w:val="20"/>
                <w:szCs w:val="20"/>
                <w:color w:val="auto"/>
              </w:rPr>
            </w:pPr>
            <w:r>
              <w:rPr>
                <w:rFonts w:ascii="Arial" w:cs="Arial" w:eastAsia="Arial" w:hAnsi="Arial"/>
                <w:sz w:val="18"/>
                <w:szCs w:val="18"/>
                <w:color w:val="auto"/>
              </w:rPr>
              <w:t>4.4</w:t>
            </w:r>
          </w:p>
        </w:tc>
        <w:tc>
          <w:tcPr>
            <w:tcW w:w="116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0.14</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48.9</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15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16.5</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0.52</w:t>
            </w:r>
          </w:p>
        </w:tc>
      </w:tr>
      <w:tr>
        <w:trPr>
          <w:trHeight w:val="216"/>
        </w:trPr>
        <w:tc>
          <w:tcPr>
            <w:tcW w:w="5400" w:type="dxa"/>
            <w:vAlign w:val="bottom"/>
            <w:shd w:val="clear" w:color="auto" w:fill="C6F4F9"/>
          </w:tcPr>
          <w:p>
            <w:pPr>
              <w:spacing w:after="0"/>
              <w:rPr>
                <w:sz w:val="20"/>
                <w:szCs w:val="20"/>
                <w:color w:val="auto"/>
              </w:rPr>
            </w:pPr>
            <w:r>
              <w:rPr>
                <w:rFonts w:ascii="Arial" w:cs="Arial" w:eastAsia="Arial" w:hAnsi="Arial"/>
                <w:sz w:val="18"/>
                <w:szCs w:val="18"/>
                <w:color w:val="auto"/>
              </w:rPr>
              <w:t>Sun Country Vacations</w:t>
            </w:r>
          </w:p>
        </w:tc>
        <w:tc>
          <w:tcPr>
            <w:tcW w:w="120" w:type="dxa"/>
            <w:vAlign w:val="bottom"/>
            <w:tcBorders>
              <w:bottom w:val="single" w:sz="8" w:color="auto"/>
            </w:tcBorders>
            <w:shd w:val="clear" w:color="auto" w:fill="C6F4F9"/>
          </w:tcPr>
          <w:p>
            <w:pPr>
              <w:spacing w:after="0"/>
              <w:rPr>
                <w:sz w:val="18"/>
                <w:szCs w:val="18"/>
                <w:color w:val="auto"/>
              </w:rPr>
            </w:pPr>
          </w:p>
        </w:tc>
        <w:tc>
          <w:tcPr>
            <w:tcW w:w="140" w:type="dxa"/>
            <w:vAlign w:val="bottom"/>
            <w:tcBorders>
              <w:bottom w:val="single" w:sz="8" w:color="auto"/>
            </w:tcBorders>
            <w:shd w:val="clear" w:color="auto" w:fill="C6F4F9"/>
          </w:tcPr>
          <w:p>
            <w:pPr>
              <w:spacing w:after="0"/>
              <w:rPr>
                <w:sz w:val="18"/>
                <w:szCs w:val="18"/>
                <w:color w:val="auto"/>
              </w:rPr>
            </w:pPr>
          </w:p>
        </w:tc>
        <w:tc>
          <w:tcPr>
            <w:tcW w:w="1460" w:type="dxa"/>
            <w:vAlign w:val="bottom"/>
            <w:tcBorders>
              <w:bottom w:val="single" w:sz="8" w:color="auto"/>
            </w:tcBorders>
            <w:shd w:val="clear" w:color="auto" w:fill="C6F4F9"/>
          </w:tcPr>
          <w:p>
            <w:pPr>
              <w:jc w:val="right"/>
              <w:ind w:right="250"/>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auto"/>
            </w:tcBorders>
            <w:shd w:val="clear" w:color="auto" w:fill="C6F4F9"/>
          </w:tcPr>
          <w:p>
            <w:pPr>
              <w:spacing w:after="0"/>
              <w:rPr>
                <w:sz w:val="18"/>
                <w:szCs w:val="18"/>
                <w:color w:val="auto"/>
              </w:rPr>
            </w:pPr>
          </w:p>
        </w:tc>
        <w:tc>
          <w:tcPr>
            <w:tcW w:w="1500" w:type="dxa"/>
            <w:vAlign w:val="bottom"/>
            <w:tcBorders>
              <w:bottom w:val="single" w:sz="8" w:color="auto"/>
            </w:tcBorders>
            <w:shd w:val="clear" w:color="auto" w:fill="C6F4F9"/>
          </w:tcPr>
          <w:p>
            <w:pPr>
              <w:jc w:val="right"/>
              <w:ind w:right="31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auto"/>
            </w:tcBorders>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0.01</w:t>
            </w:r>
          </w:p>
        </w:tc>
      </w:tr>
      <w:tr>
        <w:trPr>
          <w:trHeight w:val="249"/>
        </w:trPr>
        <w:tc>
          <w:tcPr>
            <w:tcW w:w="540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CASM</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274.7</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244.2</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183"/>
        </w:trPr>
        <w:tc>
          <w:tcPr>
            <w:tcW w:w="540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Available seat miles (ASMs) - mm</w:t>
            </w:r>
          </w:p>
        </w:tc>
        <w:tc>
          <w:tcPr>
            <w:tcW w:w="120" w:type="dxa"/>
            <w:vAlign w:val="bottom"/>
            <w:shd w:val="clear" w:color="auto" w:fill="C6F4F9"/>
          </w:tcPr>
          <w:p>
            <w:pPr>
              <w:spacing w:after="0"/>
              <w:rPr>
                <w:sz w:val="15"/>
                <w:szCs w:val="15"/>
                <w:color w:val="auto"/>
              </w:rPr>
            </w:pPr>
          </w:p>
        </w:tc>
        <w:tc>
          <w:tcPr>
            <w:tcW w:w="140" w:type="dxa"/>
            <w:vAlign w:val="bottom"/>
            <w:shd w:val="clear" w:color="auto" w:fill="C6F4F9"/>
          </w:tcPr>
          <w:p>
            <w:pPr>
              <w:spacing w:after="0"/>
              <w:rPr>
                <w:sz w:val="15"/>
                <w:szCs w:val="15"/>
                <w:color w:val="auto"/>
              </w:rPr>
            </w:pPr>
          </w:p>
        </w:tc>
        <w:tc>
          <w:tcPr>
            <w:tcW w:w="1460" w:type="dxa"/>
            <w:vAlign w:val="bottom"/>
            <w:shd w:val="clear" w:color="auto" w:fill="C6F4F9"/>
          </w:tcPr>
          <w:p>
            <w:pPr>
              <w:jc w:val="right"/>
              <w:ind w:right="250"/>
              <w:spacing w:after="0" w:line="183" w:lineRule="exact"/>
              <w:rPr>
                <w:sz w:val="20"/>
                <w:szCs w:val="20"/>
                <w:color w:val="auto"/>
              </w:rPr>
            </w:pPr>
            <w:r>
              <w:rPr>
                <w:rFonts w:ascii="Arial" w:cs="Arial" w:eastAsia="Arial" w:hAnsi="Arial"/>
                <w:sz w:val="18"/>
                <w:szCs w:val="18"/>
                <w:color w:val="auto"/>
              </w:rPr>
              <w:t>4,369.0</w:t>
            </w:r>
          </w:p>
        </w:tc>
        <w:tc>
          <w:tcPr>
            <w:tcW w:w="1260" w:type="dxa"/>
            <w:vAlign w:val="bottom"/>
            <w:shd w:val="clear" w:color="auto" w:fill="C6F4F9"/>
          </w:tcPr>
          <w:p>
            <w:pPr>
              <w:spacing w:after="0"/>
              <w:rPr>
                <w:sz w:val="15"/>
                <w:szCs w:val="15"/>
                <w:color w:val="auto"/>
              </w:rPr>
            </w:pPr>
          </w:p>
        </w:tc>
        <w:tc>
          <w:tcPr>
            <w:tcW w:w="200" w:type="dxa"/>
            <w:vAlign w:val="bottom"/>
            <w:shd w:val="clear" w:color="auto" w:fill="C6F4F9"/>
          </w:tcPr>
          <w:p>
            <w:pPr>
              <w:spacing w:after="0"/>
              <w:rPr>
                <w:sz w:val="15"/>
                <w:szCs w:val="15"/>
                <w:color w:val="auto"/>
              </w:rPr>
            </w:pPr>
          </w:p>
        </w:tc>
        <w:tc>
          <w:tcPr>
            <w:tcW w:w="1500" w:type="dxa"/>
            <w:vAlign w:val="bottom"/>
            <w:shd w:val="clear" w:color="auto" w:fill="C6F4F9"/>
          </w:tcPr>
          <w:p>
            <w:pPr>
              <w:jc w:val="right"/>
              <w:ind w:right="310"/>
              <w:spacing w:after="0" w:line="183" w:lineRule="exact"/>
              <w:rPr>
                <w:sz w:val="20"/>
                <w:szCs w:val="20"/>
                <w:color w:val="auto"/>
              </w:rPr>
            </w:pPr>
            <w:r>
              <w:rPr>
                <w:rFonts w:ascii="Arial" w:cs="Arial" w:eastAsia="Arial" w:hAnsi="Arial"/>
                <w:sz w:val="18"/>
                <w:szCs w:val="18"/>
                <w:color w:val="auto"/>
              </w:rPr>
              <w:t>3,149.2</w:t>
            </w:r>
          </w:p>
        </w:tc>
        <w:tc>
          <w:tcPr>
            <w:tcW w:w="1060" w:type="dxa"/>
            <w:vAlign w:val="bottom"/>
            <w:shd w:val="clear" w:color="auto" w:fill="C6F4F9"/>
          </w:tcPr>
          <w:p>
            <w:pPr>
              <w:spacing w:after="0"/>
              <w:rPr>
                <w:sz w:val="15"/>
                <w:szCs w:val="15"/>
                <w:color w:val="auto"/>
              </w:rPr>
            </w:pPr>
          </w:p>
        </w:tc>
        <w:tc>
          <w:tcPr>
            <w:tcW w:w="100" w:type="dxa"/>
            <w:vAlign w:val="bottom"/>
            <w:shd w:val="clear" w:color="auto" w:fill="C6F4F9"/>
          </w:tcPr>
          <w:p>
            <w:pPr>
              <w:spacing w:after="0"/>
              <w:rPr>
                <w:sz w:val="15"/>
                <w:szCs w:val="15"/>
                <w:color w:val="auto"/>
              </w:rPr>
            </w:pPr>
          </w:p>
        </w:tc>
      </w:tr>
    </w:tbl>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22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2021-11-01T15:14:37Z</dcterms:created>
  <dcterms:modified xsi:type="dcterms:W3CDTF">2021-11-01T15:14:37Z</dcterms:modified>
</cp:coreProperties>
</file>