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SCA Horus Holdings, LLC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9 WEST 57TH STREET, 43RD FLOOR</w:t>
            </w: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20" w:type="dxa"/>
            <w:vAlign w:val="bottom"/>
            <w:tcBorders>
              <w:bottom w:val="single" w:sz="8" w:color="0000EE"/>
            </w:tcBorders>
            <w:gridSpan w:val="2"/>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760" w:type="dxa"/>
            <w:vAlign w:val="bottom"/>
            <w:gridSpan w:val="3"/>
          </w:tcPr>
          <w:p>
            <w:pPr>
              <w:spacing w:after="0" w:line="226" w:lineRule="exact"/>
              <w:rPr>
                <w:sz w:val="20"/>
                <w:szCs w:val="20"/>
                <w:color w:val="auto"/>
              </w:rPr>
            </w:pPr>
            <w:r>
              <w:rPr>
                <w:rFonts w:ascii="Arial" w:cs="Arial" w:eastAsia="Arial" w:hAnsi="Arial"/>
                <w:sz w:val="18"/>
                <w:szCs w:val="18"/>
                <w:color w:val="0000FF"/>
              </w:rPr>
              <w:t xml:space="preserve">SNCY </w:t>
            </w:r>
            <w:r>
              <w:rPr>
                <w:rFonts w:ascii="Arial" w:cs="Arial" w:eastAsia="Arial" w:hAnsi="Arial"/>
                <w:sz w:val="21"/>
                <w:szCs w:val="21"/>
                <w:color w:val="000000"/>
              </w:rPr>
              <w:t>]</w:t>
            </w: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tcPr>
          <w:p>
            <w:pPr>
              <w:ind w:left="380"/>
              <w:spacing w:after="0" w:line="149" w:lineRule="exact"/>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200" w:type="dxa"/>
            <w:vAlign w:val="bottom"/>
            <w:gridSpan w:val="3"/>
          </w:tcPr>
          <w:p>
            <w:pPr>
              <w:ind w:left="80"/>
              <w:spacing w:after="0"/>
              <w:rPr>
                <w:sz w:val="20"/>
                <w:szCs w:val="20"/>
                <w:color w:val="auto"/>
              </w:rPr>
            </w:pPr>
            <w:r>
              <w:rPr>
                <w:rFonts w:ascii="Arial" w:cs="Arial" w:eastAsia="Arial" w:hAnsi="Arial"/>
                <w:sz w:val="18"/>
                <w:szCs w:val="18"/>
                <w:color w:val="0000FF"/>
              </w:rPr>
              <w:t>06/13/2023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020" w:type="dxa"/>
            <w:vAlign w:val="bottom"/>
            <w:tcBorders>
              <w:top w:val="single" w:sz="8" w:color="2C2C2C"/>
            </w:tcBorders>
            <w:gridSpan w:val="3"/>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1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w w:val="91"/>
              </w:rPr>
              <w:t>Common stock, par value $0.01 per</w:t>
            </w:r>
          </w:p>
        </w:tc>
        <w:tc>
          <w:tcPr>
            <w:tcW w:w="1480" w:type="dxa"/>
            <w:vAlign w:val="bottom"/>
            <w:gridSpan w:val="4"/>
            <w:vMerge w:val="restart"/>
          </w:tcPr>
          <w:p>
            <w:pPr>
              <w:ind w:left="440"/>
              <w:spacing w:after="0"/>
              <w:rPr>
                <w:sz w:val="20"/>
                <w:szCs w:val="20"/>
                <w:color w:val="auto"/>
              </w:rPr>
            </w:pPr>
            <w:r>
              <w:rPr>
                <w:rFonts w:ascii="Arial" w:cs="Arial" w:eastAsia="Arial" w:hAnsi="Arial"/>
                <w:sz w:val="18"/>
                <w:szCs w:val="18"/>
                <w:color w:val="0000FF"/>
              </w:rPr>
              <w:t>06/13/2023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0000FF"/>
                <w:w w:val="89"/>
              </w:rPr>
              <w:t>3,440,000</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1960" w:type="dxa"/>
            <w:vAlign w:val="bottom"/>
            <w:gridSpan w:val="5"/>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20.15   15,392,497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ind w:left="8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60" w:type="dxa"/>
            <w:vAlign w:val="bottom"/>
            <w:gridSpan w:val="15"/>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7"/>
          </w:tcPr>
          <w:p>
            <w:pPr>
              <w:spacing w:after="0"/>
              <w:rPr>
                <w:sz w:val="20"/>
                <w:szCs w:val="20"/>
                <w:color w:val="auto"/>
              </w:rPr>
            </w:pPr>
            <w:r>
              <w:rPr>
                <w:rFonts w:ascii="Arial" w:cs="Arial" w:eastAsia="Arial" w:hAnsi="Arial"/>
                <w:sz w:val="18"/>
                <w:szCs w:val="18"/>
                <w:color w:val="0000FF"/>
              </w:rPr>
              <w:t>9 WEST 57TH STREET, 43RD FLOOR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10019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AP VIII (SCA Stock AIV), LLC</w:t>
              </w:r>
            </w:hyperlink>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7"/>
          </w:tcPr>
          <w:p>
            <w:pPr>
              <w:spacing w:after="0"/>
              <w:rPr>
                <w:sz w:val="20"/>
                <w:szCs w:val="20"/>
                <w:color w:val="auto"/>
              </w:rPr>
            </w:pPr>
            <w:r>
              <w:rPr>
                <w:rFonts w:ascii="Arial" w:cs="Arial" w:eastAsia="Arial" w:hAnsi="Arial"/>
                <w:sz w:val="18"/>
                <w:szCs w:val="18"/>
                <w:color w:val="0000FF"/>
              </w:rPr>
              <w:t>9 WEST 57TH STREET, 43RD FLOOR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10019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-5213985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6"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Munfakh Antoine G</w:t>
        </w:r>
      </w:hyperlink>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600" w:type="dxa"/>
            <w:vAlign w:val="bottom"/>
            <w:tcBorders>
              <w:right w:val="single" w:sz="8" w:color="2C2C2C"/>
            </w:tcBorders>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Borders>
              <w:right w:val="single" w:sz="8" w:color="2C2C2C"/>
            </w:tcBorders>
            <w:gridSpan w:val="5"/>
          </w:tcPr>
          <w:p>
            <w:pPr>
              <w:spacing w:after="0"/>
              <w:rPr>
                <w:sz w:val="20"/>
                <w:szCs w:val="20"/>
                <w:color w:val="auto"/>
              </w:rPr>
            </w:pPr>
            <w:r>
              <w:rPr>
                <w:rFonts w:ascii="Arial" w:cs="Arial" w:eastAsia="Arial" w:hAnsi="Arial"/>
                <w:sz w:val="18"/>
                <w:szCs w:val="18"/>
                <w:color w:val="0000FF"/>
              </w:rPr>
              <w:t>9 WEST 57TH STREET, 43RD FLOOR</w:t>
            </w: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0" w:type="dxa"/>
            <w:vAlign w:val="bottom"/>
            <w:tcBorders>
              <w:right w:val="single" w:sz="8" w:color="2C2C2C"/>
            </w:tcBorders>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Borders>
              <w:right w:val="single" w:sz="8" w:color="2C2C2C"/>
            </w:tcBorders>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NY</w:t>
            </w:r>
          </w:p>
        </w:tc>
        <w:tc>
          <w:tcPr>
            <w:tcW w:w="1480" w:type="dxa"/>
            <w:vAlign w:val="bottom"/>
          </w:tcPr>
          <w:p>
            <w:pPr>
              <w:ind w:left="120"/>
              <w:spacing w:after="0"/>
              <w:rPr>
                <w:sz w:val="20"/>
                <w:szCs w:val="20"/>
                <w:color w:val="auto"/>
              </w:rPr>
            </w:pPr>
            <w:r>
              <w:rPr>
                <w:rFonts w:ascii="Arial" w:cs="Arial" w:eastAsia="Arial" w:hAnsi="Arial"/>
                <w:sz w:val="18"/>
                <w:szCs w:val="18"/>
                <w:color w:val="0000FF"/>
              </w:rPr>
              <w:t>10018</w:t>
            </w:r>
          </w:p>
        </w:tc>
        <w:tc>
          <w:tcPr>
            <w:tcW w:w="120" w:type="dxa"/>
            <w:vAlign w:val="bottom"/>
            <w:tcBorders>
              <w:right w:val="single" w:sz="8" w:color="2C2C2C"/>
            </w:tcBorders>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0" w:type="dxa"/>
            <w:vAlign w:val="bottom"/>
            <w:tcBorders>
              <w:right w:val="single" w:sz="8" w:color="2C2C2C"/>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Borders>
              <w:right w:val="single" w:sz="8" w:color="2C2C2C"/>
            </w:tcBorders>
            <w:gridSpan w:val="2"/>
          </w:tcPr>
          <w:p>
            <w:pPr>
              <w:ind w:left="120"/>
              <w:spacing w:after="0"/>
              <w:rPr>
                <w:sz w:val="20"/>
                <w:szCs w:val="20"/>
                <w:color w:val="auto"/>
              </w:rPr>
            </w:pPr>
            <w:r>
              <w:rPr>
                <w:rFonts w:ascii="Arial" w:cs="Arial" w:eastAsia="Arial" w:hAnsi="Arial"/>
                <w:sz w:val="14"/>
                <w:szCs w:val="14"/>
                <w:color w:val="auto"/>
              </w:rPr>
              <w:t>(Zip)</w:t>
            </w: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180" w:type="dxa"/>
            <w:vAlign w:val="bottom"/>
            <w:tcBorders>
              <w:bottom w:val="single" w:sz="8" w:color="2C2C2C"/>
            </w:tcBorders>
            <w:gridSpan w:val="2"/>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right w:val="single" w:sz="8" w:color="2C2C2C"/>
            </w:tcBorders>
          </w:tcPr>
          <w:p>
            <w:pPr>
              <w:spacing w:after="0"/>
              <w:rPr>
                <w:sz w:val="13"/>
                <w:szCs w:val="13"/>
                <w:color w:val="auto"/>
              </w:rPr>
            </w:pPr>
          </w:p>
        </w:tc>
      </w:tr>
      <w:tr>
        <w:trPr>
          <w:trHeight w:val="262"/>
        </w:trPr>
        <w:tc>
          <w:tcPr>
            <w:tcW w:w="20" w:type="dxa"/>
            <w:vAlign w:val="bottom"/>
          </w:tcPr>
          <w:p>
            <w:pPr>
              <w:spacing w:after="0"/>
              <w:rPr>
                <w:sz w:val="22"/>
                <w:szCs w:val="22"/>
                <w:color w:val="auto"/>
              </w:rPr>
            </w:pPr>
          </w:p>
        </w:tc>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20" w:type="dxa"/>
            <w:vAlign w:val="bottom"/>
            <w:tcBorders>
              <w:right w:val="single" w:sz="8" w:color="2C2C2C"/>
            </w:tcBorders>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Kearney Patrick Michael</w:t>
              </w:r>
            </w:hyperlink>
          </w:p>
        </w:tc>
        <w:tc>
          <w:tcPr>
            <w:tcW w:w="1480" w:type="dxa"/>
            <w:vAlign w:val="bottom"/>
          </w:tcPr>
          <w:p>
            <w:pPr>
              <w:spacing w:after="0"/>
              <w:rPr>
                <w:sz w:val="19"/>
                <w:szCs w:val="19"/>
                <w:color w:val="auto"/>
              </w:rPr>
            </w:pPr>
          </w:p>
        </w:tc>
        <w:tc>
          <w:tcPr>
            <w:tcW w:w="120" w:type="dxa"/>
            <w:vAlign w:val="bottom"/>
            <w:tcBorders>
              <w:right w:val="single" w:sz="8" w:color="2C2C2C"/>
            </w:tcBorders>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Borders>
              <w:right w:val="single" w:sz="8" w:color="2C2C2C"/>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600" w:type="dxa"/>
            <w:vAlign w:val="bottom"/>
            <w:tcBorders>
              <w:right w:val="single" w:sz="8" w:color="2C2C2C"/>
            </w:tcBorders>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tcBorders>
              <w:right w:val="single" w:sz="8" w:color="2C2C2C"/>
            </w:tcBorders>
            <w:gridSpan w:val="5"/>
          </w:tcPr>
          <w:p>
            <w:pPr>
              <w:spacing w:after="0"/>
              <w:rPr>
                <w:sz w:val="20"/>
                <w:szCs w:val="20"/>
                <w:color w:val="auto"/>
              </w:rPr>
            </w:pPr>
            <w:r>
              <w:rPr>
                <w:rFonts w:ascii="Arial" w:cs="Arial" w:eastAsia="Arial" w:hAnsi="Arial"/>
                <w:sz w:val="18"/>
                <w:szCs w:val="18"/>
                <w:color w:val="0000FF"/>
              </w:rPr>
              <w:t>9 WEST 57TH STREET, 43RD FLOOR</w:t>
            </w: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0" w:type="dxa"/>
            <w:vAlign w:val="bottom"/>
            <w:tcBorders>
              <w:right w:val="single" w:sz="8" w:color="2C2C2C"/>
            </w:tcBorders>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Borders>
              <w:right w:val="single" w:sz="8" w:color="2C2C2C"/>
            </w:tcBorders>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NY</w:t>
            </w:r>
          </w:p>
        </w:tc>
        <w:tc>
          <w:tcPr>
            <w:tcW w:w="1480" w:type="dxa"/>
            <w:vAlign w:val="bottom"/>
          </w:tcPr>
          <w:p>
            <w:pPr>
              <w:ind w:left="120"/>
              <w:spacing w:after="0"/>
              <w:rPr>
                <w:sz w:val="20"/>
                <w:szCs w:val="20"/>
                <w:color w:val="auto"/>
              </w:rPr>
            </w:pPr>
            <w:r>
              <w:rPr>
                <w:rFonts w:ascii="Arial" w:cs="Arial" w:eastAsia="Arial" w:hAnsi="Arial"/>
                <w:sz w:val="18"/>
                <w:szCs w:val="18"/>
                <w:color w:val="0000FF"/>
              </w:rPr>
              <w:t>10019</w:t>
            </w:r>
          </w:p>
        </w:tc>
        <w:tc>
          <w:tcPr>
            <w:tcW w:w="120" w:type="dxa"/>
            <w:vAlign w:val="bottom"/>
            <w:tcBorders>
              <w:right w:val="single" w:sz="8" w:color="2C2C2C"/>
            </w:tcBorders>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0" w:type="dxa"/>
            <w:vAlign w:val="bottom"/>
            <w:tcBorders>
              <w:right w:val="single" w:sz="8" w:color="2C2C2C"/>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Borders>
              <w:right w:val="single" w:sz="8" w:color="2C2C2C"/>
            </w:tcBorders>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right w:val="single" w:sz="8" w:color="2C2C2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42545" cy="2888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2545" cy="28886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-2449830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-2449830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-2012315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-2012315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-1694815</wp:posOffset>
            </wp:positionV>
            <wp:extent cx="34290" cy="1699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290" cy="169926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-1256665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-1256665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-733425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-733425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-295275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-295275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See Exhibit 99.1</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gridSpan w:val="3"/>
          </w:tcPr>
          <w:p>
            <w:pPr>
              <w:spacing w:after="0"/>
              <w:rPr>
                <w:sz w:val="20"/>
                <w:szCs w:val="20"/>
                <w:color w:val="auto"/>
              </w:rPr>
            </w:pPr>
            <w:r>
              <w:rPr>
                <w:rFonts w:ascii="Arial" w:cs="Arial" w:eastAsia="Arial" w:hAnsi="Arial"/>
                <w:sz w:val="18"/>
                <w:szCs w:val="18"/>
                <w:color w:val="0000FF"/>
                <w:w w:val="92"/>
              </w:rPr>
              <w:t>see signatures attached as</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06/15/2023</w:t>
            </w:r>
          </w:p>
        </w:tc>
        <w:tc>
          <w:tcPr>
            <w:tcW w:w="0" w:type="dxa"/>
            <w:vAlign w:val="bottom"/>
          </w:tcPr>
          <w:p>
            <w:pPr>
              <w:spacing w:after="0"/>
              <w:rPr>
                <w:sz w:val="1"/>
                <w:szCs w:val="1"/>
                <w:color w:val="auto"/>
              </w:rPr>
            </w:pPr>
          </w:p>
        </w:tc>
      </w:tr>
      <w:tr>
        <w:trPr>
          <w:trHeight w:val="88"/>
        </w:trPr>
        <w:tc>
          <w:tcPr>
            <w:tcW w:w="8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Exhibit 99.2</w:t>
            </w:r>
          </w:p>
        </w:tc>
        <w:tc>
          <w:tcPr>
            <w:tcW w:w="92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880" w:type="dxa"/>
            <w:vAlign w:val="bottom"/>
            <w:tcBorders>
              <w:top w:val="single" w:sz="8" w:color="auto"/>
              <w:bottom w:val="single" w:sz="8" w:color="auto"/>
            </w:tcBorders>
            <w:vMerge w:val="continue"/>
          </w:tcPr>
          <w:p>
            <w:pPr>
              <w:spacing w:after="0"/>
              <w:rPr>
                <w:sz w:val="7"/>
                <w:szCs w:val="7"/>
                <w:color w:val="auto"/>
              </w:rPr>
            </w:pPr>
          </w:p>
        </w:tc>
        <w:tc>
          <w:tcPr>
            <w:tcW w:w="92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250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60"/>
          </w:cols>
          <w:pgMar w:left="460" w:top="140" w:right="10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ind w:left="340" w:hanging="332"/>
        <w:spacing w:after="0" w:line="27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of common stock of Sun Country Airlines Holdings, Inc. (the “Issuer”) reported as beneficially owned are held of record by SCA Horus Holdings, LLC (the “Apollo Stockholder”).</w:t>
      </w:r>
    </w:p>
    <w:p>
      <w:pPr>
        <w:spacing w:after="0" w:line="169" w:lineRule="exact"/>
        <w:rPr>
          <w:rFonts w:ascii="Arial" w:cs="Arial" w:eastAsia="Arial" w:hAnsi="Arial"/>
          <w:sz w:val="18"/>
          <w:szCs w:val="18"/>
          <w:color w:val="auto"/>
        </w:rPr>
      </w:pPr>
    </w:p>
    <w:p>
      <w:pPr>
        <w:ind w:left="340" w:right="80"/>
        <w:spacing w:after="0" w:line="278" w:lineRule="auto"/>
        <w:rPr>
          <w:rFonts w:ascii="Arial" w:cs="Arial" w:eastAsia="Arial" w:hAnsi="Arial"/>
          <w:sz w:val="18"/>
          <w:szCs w:val="18"/>
          <w:color w:val="auto"/>
        </w:rPr>
      </w:pPr>
      <w:r>
        <w:rPr>
          <w:rFonts w:ascii="Arial" w:cs="Arial" w:eastAsia="Arial" w:hAnsi="Arial"/>
          <w:sz w:val="18"/>
          <w:szCs w:val="18"/>
          <w:color w:val="auto"/>
        </w:rPr>
        <w:t>AP VIII (SCA Stock AIV), LLC is the sole member of the Apollo Stockholder. Antoine Munfakh and Patrick Kearney are the directors of AP VIII (SCA Stock AIV), LLC.</w:t>
      </w:r>
    </w:p>
    <w:p>
      <w:pPr>
        <w:spacing w:after="0" w:line="169" w:lineRule="exact"/>
        <w:rPr>
          <w:rFonts w:ascii="Arial" w:cs="Arial" w:eastAsia="Arial" w:hAnsi="Arial"/>
          <w:sz w:val="18"/>
          <w:szCs w:val="18"/>
          <w:color w:val="auto"/>
        </w:rPr>
      </w:pPr>
    </w:p>
    <w:p>
      <w:pPr>
        <w:ind w:left="340" w:right="80"/>
        <w:spacing w:after="0" w:line="279" w:lineRule="auto"/>
        <w:rPr>
          <w:rFonts w:ascii="Arial" w:cs="Arial" w:eastAsia="Arial" w:hAnsi="Arial"/>
          <w:sz w:val="18"/>
          <w:szCs w:val="18"/>
          <w:color w:val="auto"/>
        </w:rPr>
      </w:pPr>
      <w:r>
        <w:rPr>
          <w:rFonts w:ascii="Arial" w:cs="Arial" w:eastAsia="Arial" w:hAnsi="Arial"/>
          <w:sz w:val="17"/>
          <w:szCs w:val="17"/>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72" w:lineRule="exact"/>
        <w:rPr>
          <w:rFonts w:ascii="Arial" w:cs="Arial" w:eastAsia="Arial" w:hAnsi="Arial"/>
          <w:sz w:val="18"/>
          <w:szCs w:val="18"/>
          <w:color w:val="auto"/>
        </w:rPr>
      </w:pPr>
    </w:p>
    <w:p>
      <w:pPr>
        <w:ind w:left="340" w:right="120"/>
        <w:spacing w:after="0" w:line="308" w:lineRule="auto"/>
        <w:rPr>
          <w:rFonts w:ascii="Arial" w:cs="Arial" w:eastAsia="Arial" w:hAnsi="Arial"/>
          <w:sz w:val="18"/>
          <w:szCs w:val="18"/>
          <w:color w:val="auto"/>
        </w:rPr>
      </w:pPr>
      <w:r>
        <w:rPr>
          <w:rFonts w:ascii="Arial" w:cs="Arial" w:eastAsia="Arial" w:hAnsi="Arial"/>
          <w:sz w:val="17"/>
          <w:szCs w:val="17"/>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962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962140" cy="8890"/>
                    </a:xfrm>
                    <a:prstGeom prst="rect">
                      <a:avLst/>
                    </a:prstGeom>
                    <a:noFill/>
                  </pic:spPr>
                </pic:pic>
              </a:graphicData>
            </a:graphic>
          </wp:anchor>
        </w:drawing>
      </w:r>
    </w:p>
    <w:p>
      <w:pPr>
        <w:sectPr>
          <w:pgSz w:w="11900" w:h="16838" w:orient="portrait"/>
          <w:cols w:equalWidth="0" w:num="1">
            <w:col w:w="10940"/>
          </w:cols>
          <w:pgMar w:left="460" w:top="355" w:right="49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This Statement on Form 4 is filed by: </w:t>
      </w:r>
      <w:r>
        <w:rPr>
          <w:rFonts w:ascii="Arial" w:cs="Arial" w:eastAsia="Arial" w:hAnsi="Arial"/>
          <w:sz w:val="18"/>
          <w:szCs w:val="18"/>
          <w:color w:val="auto"/>
        </w:rPr>
        <w:t>(i) SCA Horus Holdings, LLC, (ii) AP VIII (SCA Stock AIV), LLC, (iii) Antoine Munfakh, and (iv) Patrick</w:t>
      </w:r>
      <w:r>
        <w:rPr>
          <w:rFonts w:ascii="Arial" w:cs="Arial" w:eastAsia="Arial" w:hAnsi="Arial"/>
          <w:sz w:val="18"/>
          <w:szCs w:val="18"/>
          <w:b w:val="1"/>
          <w:bCs w:val="1"/>
          <w:color w:val="auto"/>
        </w:rPr>
        <w:t xml:space="preserve"> </w:t>
      </w:r>
      <w:r>
        <w:rPr>
          <w:rFonts w:ascii="Arial" w:cs="Arial" w:eastAsia="Arial" w:hAnsi="Arial"/>
          <w:sz w:val="18"/>
          <w:szCs w:val="18"/>
          <w:color w:val="auto"/>
        </w:rPr>
        <w:t>Kearney.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of Designated Filer: </w:t>
      </w:r>
      <w:r>
        <w:rPr>
          <w:rFonts w:ascii="Arial" w:cs="Arial" w:eastAsia="Arial" w:hAnsi="Arial"/>
          <w:sz w:val="18"/>
          <w:szCs w:val="18"/>
          <w:color w:val="auto"/>
        </w:rPr>
        <w:t>SCA Horus Holdings, LLC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of Event Requiring Statement: </w:t>
      </w:r>
      <w:r>
        <w:rPr>
          <w:rFonts w:ascii="Arial" w:cs="Arial" w:eastAsia="Arial" w:hAnsi="Arial"/>
          <w:sz w:val="18"/>
          <w:szCs w:val="18"/>
          <w:color w:val="auto"/>
        </w:rPr>
        <w:t>June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Name and Ticker or Trading Symbol: </w:t>
      </w:r>
      <w:r>
        <w:rPr>
          <w:rFonts w:ascii="Arial" w:cs="Arial" w:eastAsia="Arial" w:hAnsi="Arial"/>
          <w:sz w:val="18"/>
          <w:szCs w:val="18"/>
          <w:color w:val="auto"/>
        </w:rPr>
        <w:t>Sun Country Airlines Holdings, Inc. [SNCY]</w:t>
      </w:r>
    </w:p>
    <w:p>
      <w:pPr>
        <w:spacing w:after="0" w:line="23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SCA HORUS HOLDINGS, LLC</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AP VIII (SCA Stock AIV), LLC,</w:t>
      </w:r>
    </w:p>
    <w:p>
      <w:pPr>
        <w:spacing w:after="0" w:line="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general partner</w:t>
      </w:r>
    </w:p>
    <w:p>
      <w:pPr>
        <w:spacing w:after="0" w:line="280" w:lineRule="exact"/>
        <w:rPr>
          <w:sz w:val="20"/>
          <w:szCs w:val="20"/>
          <w:color w:val="auto"/>
        </w:rPr>
      </w:pPr>
    </w:p>
    <w:p>
      <w:pPr>
        <w:ind w:left="5820"/>
        <w:spacing w:after="0"/>
        <w:tabs>
          <w:tab w:leader="none" w:pos="6340" w:val="left"/>
        </w:tabs>
        <w:rPr>
          <w:sz w:val="20"/>
          <w:szCs w:val="20"/>
          <w:color w:val="auto"/>
        </w:rPr>
      </w:pPr>
      <w:r>
        <w:rPr>
          <w:rFonts w:ascii="Arial" w:cs="Arial" w:eastAsia="Arial" w:hAnsi="Arial"/>
          <w:sz w:val="18"/>
          <w:szCs w:val="18"/>
          <w:color w:val="auto"/>
        </w:rPr>
        <w:t>By:</w:t>
        <w:tab/>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15240</wp:posOffset>
            </wp:positionV>
            <wp:extent cx="2927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92735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James Elworth</w:t>
      </w:r>
    </w:p>
    <w:p>
      <w:pPr>
        <w:spacing w:after="0" w:line="36" w:lineRule="exact"/>
        <w:rPr>
          <w:sz w:val="20"/>
          <w:szCs w:val="20"/>
          <w:color w:val="auto"/>
        </w:rPr>
      </w:pPr>
    </w:p>
    <w:p>
      <w:pPr>
        <w:ind w:left="58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AP VIII (SCA Stock AIV), LLC</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15240</wp:posOffset>
            </wp:positionV>
            <wp:extent cx="3270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2708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James Elworth</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ANTOINE MUNFAKH</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15240</wp:posOffset>
            </wp:positionV>
            <wp:extent cx="3476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476625" cy="8890"/>
                    </a:xfrm>
                    <a:prstGeom prst="rect">
                      <a:avLst/>
                    </a:prstGeom>
                    <a:noFill/>
                  </pic:spPr>
                </pic:pic>
              </a:graphicData>
            </a:graphic>
          </wp:anchor>
        </w:drawing>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KEARNEY</w:t>
      </w:r>
    </w:p>
    <w:p>
      <w:pPr>
        <w:spacing w:after="0" w:line="2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15240</wp:posOffset>
            </wp:positionV>
            <wp:extent cx="3476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476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962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962140" cy="8890"/>
                    </a:xfrm>
                    <a:prstGeom prst="rect">
                      <a:avLst/>
                    </a:prstGeom>
                    <a:noFill/>
                  </pic:spPr>
                </pic:pic>
              </a:graphicData>
            </a:graphic>
          </wp:anchor>
        </w:drawing>
      </w:r>
    </w:p>
    <w:sectPr>
      <w:pgSz w:w="11900" w:h="16838" w:orient="portrait"/>
      <w:cols w:equalWidth="0" w:num="1">
        <w:col w:w="10660"/>
      </w:cols>
      <w:pgMar w:left="460" w:top="35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6" Type="http://schemas.openxmlformats.org/officeDocument/2006/relationships/hyperlink" Target="http://www.sec.gov/cgi-bin/browse-edgar?action=getcompany&amp;CIK=0001647500" TargetMode="External"/><Relationship Id="rId17"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2023-06-15T17:14:00Z</dcterms:created>
  <dcterms:modified xsi:type="dcterms:W3CDTF">2023-06-15T17:14:00Z</dcterms:modified>
</cp:coreProperties>
</file>