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866683105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866683105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International Investors</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5740" w:type="dxa"/>
            <w:vAlign w:val="bottom"/>
          </w:tcPr>
          <w:p>
            <w:pPr>
              <w:jc w:val="right"/>
              <w:ind w:right="519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8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40" w:type="dxa"/>
            <w:vAlign w:val="bottom"/>
          </w:tcPr>
          <w:p>
            <w:pPr>
              <w:jc w:val="right"/>
              <w:ind w:right="5192"/>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40" w:type="dxa"/>
            <w:vAlign w:val="bottom"/>
            <w:vMerge w:val="restart"/>
          </w:tcPr>
          <w:p>
            <w:pPr>
              <w:jc w:val="right"/>
              <w:ind w:right="519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80" w:type="dxa"/>
            <w:vAlign w:val="bottom"/>
            <w:vMerge w:val="continue"/>
          </w:tcPr>
          <w:p>
            <w:pPr>
              <w:spacing w:after="0"/>
              <w:rPr>
                <w:sz w:val="21"/>
                <w:szCs w:val="21"/>
                <w:color w:val="auto"/>
              </w:rPr>
            </w:pPr>
          </w:p>
        </w:tc>
        <w:tc>
          <w:tcPr>
            <w:tcW w:w="5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40" w:type="dxa"/>
            <w:vAlign w:val="bottom"/>
            <w:vMerge w:val="restart"/>
          </w:tcPr>
          <w:p>
            <w:pPr>
              <w:jc w:val="right"/>
              <w:ind w:right="519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80" w:type="dxa"/>
            <w:vAlign w:val="bottom"/>
            <w:vMerge w:val="continue"/>
          </w:tcPr>
          <w:p>
            <w:pPr>
              <w:spacing w:after="0"/>
              <w:rPr>
                <w:sz w:val="24"/>
                <w:szCs w:val="24"/>
                <w:color w:val="auto"/>
              </w:rPr>
            </w:pPr>
          </w:p>
        </w:tc>
        <w:tc>
          <w:tcPr>
            <w:tcW w:w="5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0.0%</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5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2460" w:hanging="1547"/>
        <w:spacing w:after="0"/>
        <w:tabs>
          <w:tab w:leader="none" w:pos="24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24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Sun Country Airlines Holdings, Inc.</w:t>
      </w:r>
    </w:p>
    <w:p>
      <w:pPr>
        <w:spacing w:after="0" w:line="97" w:lineRule="exact"/>
        <w:rPr>
          <w:rFonts w:ascii="Times New Roman" w:cs="Times New Roman" w:eastAsia="Times New Roman" w:hAnsi="Times New Roman"/>
          <w:sz w:val="22"/>
          <w:szCs w:val="22"/>
          <w:b w:val="1"/>
          <w:bCs w:val="1"/>
          <w:color w:val="auto"/>
        </w:rPr>
      </w:pPr>
    </w:p>
    <w:p>
      <w:pPr>
        <w:ind w:left="2460" w:hanging="1547"/>
        <w:spacing w:after="0"/>
        <w:tabs>
          <w:tab w:leader="none" w:pos="24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2460" w:right="5940" w:hanging="1547"/>
        <w:spacing w:after="0" w:line="286" w:lineRule="auto"/>
        <w:tabs>
          <w:tab w:leader="none" w:pos="2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International Investors</w:t>
      </w:r>
    </w:p>
    <w:p>
      <w:pPr>
        <w:spacing w:after="0" w:line="45" w:lineRule="exact"/>
        <w:rPr>
          <w:rFonts w:ascii="Times New Roman" w:cs="Times New Roman" w:eastAsia="Times New Roman" w:hAnsi="Times New Roman"/>
          <w:sz w:val="21"/>
          <w:szCs w:val="21"/>
          <w:b w:val="1"/>
          <w:bCs w:val="1"/>
          <w:color w:val="auto"/>
        </w:rPr>
      </w:pPr>
    </w:p>
    <w:p>
      <w:pPr>
        <w:ind w:left="2460" w:right="3180" w:hanging="1547"/>
        <w:spacing w:after="0" w:line="286" w:lineRule="auto"/>
        <w:tabs>
          <w:tab w:leader="none" w:pos="2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2460" w:right="7520" w:hanging="1547"/>
        <w:spacing w:after="0" w:line="286" w:lineRule="auto"/>
        <w:tabs>
          <w:tab w:leader="none" w:pos="2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2460" w:right="6180" w:hanging="1547"/>
        <w:spacing w:after="0" w:line="262" w:lineRule="auto"/>
        <w:tabs>
          <w:tab w:leader="none" w:pos="24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2460" w:right="7100" w:hanging="1547"/>
        <w:spacing w:after="0" w:line="286" w:lineRule="auto"/>
        <w:tabs>
          <w:tab w:leader="none" w:pos="2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866683105</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40"/>
          </w:cols>
          <w:pgMar w:left="400" w:top="419" w:right="459" w:bottom="0" w:gutter="0" w:footer="0" w:header="0"/>
        </w:sectPr>
      </w:pPr>
    </w:p>
    <w:p>
      <w:pPr>
        <w:spacing w:after="0" w:line="129"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1"/>
          <w:szCs w:val="21"/>
          <w:color w:val="auto"/>
        </w:rPr>
        <w:t>(e)</w:t>
      </w:r>
      <w:r>
        <w:rPr>
          <w:sz w:val="20"/>
          <w:szCs w:val="20"/>
          <w:color w:val="auto"/>
        </w:rPr>
        <w:tab/>
      </w:r>
      <w:r>
        <w:rPr>
          <w:rFonts w:ascii="Times New Roman" w:cs="Times New Roman" w:eastAsia="Times New Roman" w:hAnsi="Times New Roman"/>
          <w:sz w:val="21"/>
          <w:szCs w:val="21"/>
          <w:color w:val="auto"/>
        </w:rPr>
        <w:t>[X]</w:t>
      </w:r>
    </w:p>
    <w:p>
      <w:pPr>
        <w:spacing w:after="0" w:line="258"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90"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Insurance Company as defined in Section 3(a)(19) of the Act (15 U.S.C. 78c).</w:t>
      </w:r>
    </w:p>
    <w:p>
      <w:pPr>
        <w:spacing w:after="0" w:line="13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An employee benefit plan or endowment fund in accordance with Rule 240.13d-1(b)(1)(ii)(F);</w:t>
      </w:r>
    </w:p>
    <w:p>
      <w:pPr>
        <w:spacing w:after="0" w:line="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 parent holding company or control person in accordance with Rule 240.13d-1(b)(1)(ii)(G);</w:t>
      </w:r>
    </w:p>
    <w:p>
      <w:pPr>
        <w:spacing w:after="0" w:line="77"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3(c)(14) of the Investment Company Act of 1940 (15 U.S.C.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80a-3);</w:t>
      </w:r>
    </w:p>
    <w:p>
      <w:pPr>
        <w:spacing w:after="0" w:line="101" w:lineRule="exact"/>
        <w:rPr>
          <w:sz w:val="20"/>
          <w:szCs w:val="20"/>
          <w:color w:val="auto"/>
        </w:rPr>
      </w:pPr>
    </w:p>
    <w:p>
      <w:pPr>
        <w:sectPr>
          <w:pgSz w:w="11900" w:h="16838" w:orient="portrait"/>
          <w:cols w:equalWidth="0" w:num="2">
            <w:col w:w="3500" w:space="720"/>
            <w:col w:w="6820"/>
          </w:cols>
          <w:pgMar w:left="400" w:top="419" w:right="459" w:bottom="0" w:gutter="0" w:footer="0" w:header="0"/>
          <w:type w:val="continuous"/>
        </w:sectPr>
      </w:pPr>
    </w:p>
    <w:p>
      <w:pPr>
        <w:ind w:left="920"/>
        <w:spacing w:after="0"/>
        <w:tabs>
          <w:tab w:leader="none" w:pos="2440" w:val="left"/>
          <w:tab w:leader="none" w:pos="42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r>
        <w:rPr>
          <w:sz w:val="20"/>
          <w:szCs w:val="20"/>
          <w:color w:val="auto"/>
        </w:rPr>
        <w:tab/>
      </w:r>
      <w:r>
        <w:rPr>
          <w:rFonts w:ascii="Times New Roman" w:cs="Times New Roman" w:eastAsia="Times New Roman" w:hAnsi="Times New Roman"/>
          <w:sz w:val="21"/>
          <w:szCs w:val="21"/>
          <w:color w:val="auto"/>
        </w:rPr>
        <w:t>Group, in accordance with Rule 240.13d-1(b)(1)(ii)(J).</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Amount Beneficially Owned:</w:t>
      </w:r>
    </w:p>
    <w:p>
      <w:pPr>
        <w:spacing w:after="0" w:line="12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0 **</w:t>
      </w:r>
    </w:p>
    <w:p>
      <w:pPr>
        <w:sectPr>
          <w:pgSz w:w="11900" w:h="16838" w:orient="portrait"/>
          <w:cols w:equalWidth="0" w:num="1">
            <w:col w:w="11040"/>
          </w:cols>
          <w:pgMar w:left="400" w:top="419" w:right="459" w:bottom="0" w:gutter="0" w:footer="0" w:header="0"/>
          <w:type w:val="continuous"/>
        </w:sectPr>
      </w:pPr>
    </w:p>
    <w:p>
      <w:pPr>
        <w:spacing w:after="0" w:line="125"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Percent of Class:</w:t>
      </w:r>
    </w:p>
    <w:p>
      <w:pPr>
        <w:spacing w:after="0" w:line="12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0.0%</w:t>
      </w:r>
    </w:p>
    <w:p>
      <w:pPr>
        <w:spacing w:after="0" w:line="125"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Number of shares as to which such person has:</w:t>
      </w:r>
    </w:p>
    <w:p>
      <w:pPr>
        <w:spacing w:after="0" w:line="125" w:lineRule="exact"/>
        <w:rPr>
          <w:sz w:val="20"/>
          <w:szCs w:val="20"/>
          <w:color w:val="auto"/>
        </w:rPr>
      </w:pPr>
    </w:p>
    <w:p>
      <w:pPr>
        <w:ind w:left="2460"/>
        <w:spacing w:after="0"/>
        <w:tabs>
          <w:tab w:leader="none" w:pos="42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sole power to vote or to direct the vote</w:t>
      </w:r>
    </w:p>
    <w:p>
      <w:pPr>
        <w:spacing w:after="0" w:line="125" w:lineRule="exact"/>
        <w:rPr>
          <w:sz w:val="20"/>
          <w:szCs w:val="20"/>
          <w:color w:val="auto"/>
        </w:rPr>
      </w:pPr>
    </w:p>
    <w:p>
      <w:pPr>
        <w:ind w:left="2460"/>
        <w:spacing w:after="0"/>
        <w:tabs>
          <w:tab w:leader="none" w:pos="420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2"/>
          <w:szCs w:val="22"/>
          <w:color w:val="auto"/>
        </w:rPr>
        <w:t>shared power to vote or to direct the vote</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sole power to dispose or to direct the disposition</w:t>
      </w:r>
    </w:p>
    <w:tbl>
      <w:tblPr>
        <w:tblLayout w:type="fixed"/>
        <w:tblInd w:w="2460" w:type="dxa"/>
        <w:tblCellMar>
          <w:top w:w="0" w:type="dxa"/>
          <w:left w:w="0" w:type="dxa"/>
          <w:bottom w:w="0" w:type="dxa"/>
          <w:right w:w="0" w:type="dxa"/>
        </w:tblCellMar>
      </w:tblP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41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of</w:t>
            </w:r>
          </w:p>
        </w:tc>
        <w:tc>
          <w:tcPr>
            <w:tcW w:w="0" w:type="dxa"/>
            <w:vAlign w:val="bottom"/>
          </w:tcPr>
          <w:p>
            <w:pPr>
              <w:spacing w:after="0"/>
              <w:rPr>
                <w:sz w:val="1"/>
                <w:szCs w:val="1"/>
                <w:color w:val="auto"/>
              </w:rPr>
            </w:pPr>
          </w:p>
        </w:tc>
      </w:tr>
      <w:tr>
        <w:trPr>
          <w:trHeight w:val="98"/>
        </w:trPr>
        <w:tc>
          <w:tcPr>
            <w:tcW w:w="1040" w:type="dxa"/>
            <w:vAlign w:val="bottom"/>
          </w:tcPr>
          <w:p>
            <w:pPr>
              <w:spacing w:after="0"/>
              <w:rPr>
                <w:sz w:val="8"/>
                <w:szCs w:val="8"/>
                <w:color w:val="auto"/>
              </w:rPr>
            </w:pPr>
          </w:p>
        </w:tc>
        <w:tc>
          <w:tcPr>
            <w:tcW w:w="4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(iv)</w:t>
            </w:r>
          </w:p>
        </w:tc>
        <w:tc>
          <w:tcPr>
            <w:tcW w:w="4120" w:type="dxa"/>
            <w:vAlign w:val="bottom"/>
          </w:tcPr>
          <w:p>
            <w:pPr>
              <w:ind w:left="720"/>
              <w:spacing w:after="0"/>
              <w:rPr>
                <w:sz w:val="20"/>
                <w:szCs w:val="20"/>
                <w:color w:val="auto"/>
              </w:rPr>
            </w:pPr>
            <w:r>
              <w:rPr>
                <w:rFonts w:ascii="Times New Roman" w:cs="Times New Roman" w:eastAsia="Times New Roman" w:hAnsi="Times New Roman"/>
                <w:sz w:val="22"/>
                <w:szCs w:val="22"/>
                <w:color w:val="auto"/>
                <w:w w:val="97"/>
              </w:rPr>
              <w:t>shared power to dispose or to direct the</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41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disposition of</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w:t>
      </w:r>
    </w:p>
    <w:p>
      <w:pPr>
        <w:spacing w:after="0" w:line="281" w:lineRule="exact"/>
        <w:rPr>
          <w:sz w:val="20"/>
          <w:szCs w:val="20"/>
          <w:color w:val="auto"/>
        </w:rPr>
      </w:pPr>
    </w:p>
    <w:p>
      <w:pPr>
        <w:sectPr>
          <w:pgSz w:w="11900" w:h="16838" w:orient="portrait"/>
          <w:cols w:equalWidth="0" w:num="2">
            <w:col w:w="8400" w:space="280"/>
            <w:col w:w="2360"/>
          </w:cols>
          <w:pgMar w:left="400" w:top="419" w:right="459" w:bottom="0" w:gutter="0" w:footer="0" w:header="0"/>
          <w:type w:val="continuous"/>
        </w:sectPr>
      </w:pPr>
    </w:p>
    <w:p>
      <w:pPr>
        <w:ind w:right="20"/>
        <w:spacing w:after="0" w:line="244" w:lineRule="auto"/>
        <w:rPr>
          <w:sz w:val="20"/>
          <w:szCs w:val="20"/>
          <w:color w:val="auto"/>
        </w:rPr>
      </w:pPr>
      <w:r>
        <w:rPr>
          <w:rFonts w:ascii="Times New Roman" w:cs="Times New Roman" w:eastAsia="Times New Roman" w:hAnsi="Times New Roman"/>
          <w:sz w:val="22"/>
          <w:szCs w:val="22"/>
          <w:color w:val="auto"/>
        </w:rPr>
        <w:t>**Capital International Investors ("CII")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w:t>
      </w:r>
    </w:p>
    <w:p>
      <w:pPr>
        <w:sectPr>
          <w:pgSz w:w="11900" w:h="16838" w:orient="portrait"/>
          <w:cols w:equalWidth="0" w:num="1">
            <w:col w:w="11040"/>
          </w:cols>
          <w:pgMar w:left="400" w:top="419" w:right="459" w:bottom="0" w:gutter="0" w:footer="0" w:header="0"/>
          <w:type w:val="continuous"/>
        </w:sectPr>
      </w:pPr>
    </w:p>
    <w:bookmarkStart w:id="3" w:name="page4"/>
    <w:bookmarkEnd w:id="3"/>
    <w:p>
      <w:pPr>
        <w:ind w:right="60"/>
        <w:spacing w:after="0"/>
        <w:rPr>
          <w:sz w:val="20"/>
          <w:szCs w:val="20"/>
          <w:color w:val="auto"/>
        </w:rPr>
      </w:pPr>
      <w:r>
        <w:rPr>
          <w:rFonts w:ascii="Times New Roman" w:cs="Times New Roman" w:eastAsia="Times New Roman" w:hAnsi="Times New Roman"/>
          <w:sz w:val="22"/>
          <w:szCs w:val="22"/>
          <w:color w:val="auto"/>
        </w:rPr>
        <w:t>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0 shares or 0.0% of the 52,807,083 shares believed to be outstanding.</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6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Jae Won Chung</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November 14,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Jae Won Chung</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Vice President and Associate Counsel, Fund Business Management Group, Capital Research and Management Company</w:t>
      </w:r>
    </w:p>
    <w:sectPr>
      <w:pgSz w:w="11900" w:h="16838" w:orient="portrait"/>
      <w:cols w:equalWidth="0" w:num="1">
        <w:col w:w="9500"/>
      </w:cols>
      <w:pgMar w:left="1440" w:top="405"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2]"/>
      <w:numFmt w:val="upperLetter"/>
      <w:start w:val="24"/>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2024-11-13T09:35:18Z</dcterms:created>
  <dcterms:modified xsi:type="dcterms:W3CDTF">2024-11-13T09:35:18Z</dcterms:modified>
</cp:coreProperties>
</file>