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11, 2025</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67"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8"/>
          <w:szCs w:val="18"/>
          <w:color w:val="auto"/>
        </w:rPr>
        <w:t>(State of</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20"/>
          </w:cols>
          <w:pgMar w:left="320" w:top="1440" w:right="359" w:bottom="1440" w:gutter="0" w:footer="0" w:header="0"/>
          <w:type w:val="continuous"/>
        </w:sectPr>
      </w:pPr>
    </w:p>
    <w:p>
      <w:pPr>
        <w:spacing w:after="0" w:line="15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29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67"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440" w:right="359" w:bottom="1440" w:gutter="0" w:footer="0" w:header="0"/>
          <w:type w:val="continuous"/>
        </w:sectPr>
      </w:pP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17 CFR Part 243 (Regulation FD), the Company is submitting information relating to its financial and operational outlook in an Investor Update. The Investor Update is furnished herein as Exhibit 99.1.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under this item shall not be deemed filed for purposes of Section 18 of the Securities Exchange Act of 1934, as amended (the Exchange Act), nor shall such information be deemed incorporated by reference in any filing under the Securities Act of 1933, as amended, except as shall be expressly set forth by specific reference in such a filing. This report will not be deemed an admission as to the materiality of any information required to be disclosed solely to satisfy the requirements of Regulation FD.</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3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Investor Update</w:t>
            </w:r>
          </w:p>
        </w:tc>
        <w:tc>
          <w:tcPr>
            <w:tcW w:w="8380" w:type="dxa"/>
            <w:vAlign w:val="bottom"/>
          </w:tcPr>
          <w:p>
            <w:pPr>
              <w:spacing w:after="0"/>
              <w:rPr>
                <w:sz w:val="17"/>
                <w:szCs w:val="17"/>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2025</w:t>
            </w:r>
          </w:p>
        </w:tc>
        <w:tc>
          <w:tcPr>
            <w:tcW w:w="794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280" w:type="dxa"/>
            <w:vAlign w:val="bottom"/>
          </w:tcPr>
          <w:p>
            <w:pPr>
              <w:spacing w:after="0"/>
              <w:rPr>
                <w:sz w:val="24"/>
                <w:szCs w:val="24"/>
                <w:color w:val="auto"/>
              </w:rPr>
            </w:pPr>
          </w:p>
        </w:tc>
        <w:tc>
          <w:tcPr>
            <w:tcW w:w="79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Investor Update - March 11, 2025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0A0A0A"/>
        </w:rPr>
        <w:t xml:space="preserve">This Investor Update provides information about recent developments and performance trends for </w:t>
      </w:r>
      <w:r>
        <w:rPr>
          <w:rFonts w:ascii="Arial" w:cs="Arial" w:eastAsia="Arial" w:hAnsi="Arial"/>
          <w:sz w:val="18"/>
          <w:szCs w:val="18"/>
          <w:color w:val="000000"/>
        </w:rPr>
        <w:t>Sun Country Airlines</w:t>
      </w:r>
      <w:r>
        <w:rPr>
          <w:rFonts w:ascii="Arial" w:cs="Arial" w:eastAsia="Arial" w:hAnsi="Arial"/>
          <w:sz w:val="18"/>
          <w:szCs w:val="18"/>
          <w:color w:val="0A0A0A"/>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Update - Guidance for First Quarter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jc w:val="center"/>
              <w:ind w:left="813"/>
              <w:spacing w:after="0"/>
              <w:rPr>
                <w:sz w:val="20"/>
                <w:szCs w:val="20"/>
                <w:color w:val="auto"/>
              </w:rPr>
            </w:pPr>
            <w:r>
              <w:rPr>
                <w:rFonts w:ascii="Arial" w:cs="Arial" w:eastAsia="Arial" w:hAnsi="Arial"/>
                <w:sz w:val="14"/>
                <w:szCs w:val="14"/>
                <w:b w:val="1"/>
                <w:bCs w:val="1"/>
                <w:color w:val="0A0A0A"/>
              </w:rPr>
              <w:t>Original Q1 2025 Guidance</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Updated Q1 2025 Guidance</w:t>
            </w:r>
          </w:p>
        </w:tc>
      </w:tr>
      <w:tr>
        <w:trPr>
          <w:trHeight w:val="224"/>
        </w:trPr>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380" w:type="dxa"/>
            <w:vAlign w:val="bottom"/>
            <w:shd w:val="clear" w:color="auto" w:fill="CCEEFF"/>
          </w:tcPr>
          <w:p>
            <w:pPr>
              <w:jc w:val="center"/>
              <w:ind w:left="813"/>
              <w:spacing w:after="0"/>
              <w:rPr>
                <w:sz w:val="20"/>
                <w:szCs w:val="20"/>
                <w:color w:val="auto"/>
              </w:rPr>
            </w:pPr>
            <w:r>
              <w:rPr>
                <w:rFonts w:ascii="Arial" w:cs="Arial" w:eastAsia="Arial" w:hAnsi="Arial"/>
                <w:sz w:val="18"/>
                <w:szCs w:val="18"/>
                <w:color w:val="0A0A0A"/>
                <w:w w:val="98"/>
              </w:rPr>
              <w:t>$330 to $340</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$325 to $330</w:t>
            </w:r>
          </w:p>
        </w:tc>
      </w:tr>
      <w:tr>
        <w:trPr>
          <w:trHeight w:val="230"/>
        </w:trPr>
        <w:tc>
          <w:tcPr>
            <w:tcW w:w="440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380" w:type="dxa"/>
            <w:vAlign w:val="bottom"/>
          </w:tcPr>
          <w:p>
            <w:pPr>
              <w:jc w:val="right"/>
              <w:ind w:right="933"/>
              <w:spacing w:after="0"/>
              <w:rPr>
                <w:sz w:val="20"/>
                <w:szCs w:val="20"/>
                <w:color w:val="auto"/>
              </w:rPr>
            </w:pPr>
            <w:r>
              <w:rPr>
                <w:rFonts w:ascii="Arial" w:cs="Arial" w:eastAsia="Arial" w:hAnsi="Arial"/>
                <w:sz w:val="18"/>
                <w:szCs w:val="18"/>
                <w:color w:val="0A0A0A"/>
              </w:rPr>
              <w:t>$2.76</w:t>
            </w:r>
          </w:p>
        </w:tc>
        <w:tc>
          <w:tcPr>
            <w:tcW w:w="3460" w:type="dxa"/>
            <w:vAlign w:val="bottom"/>
          </w:tcPr>
          <w:p>
            <w:pPr>
              <w:jc w:val="center"/>
              <w:spacing w:after="0"/>
              <w:rPr>
                <w:sz w:val="20"/>
                <w:szCs w:val="20"/>
                <w:color w:val="auto"/>
              </w:rPr>
            </w:pPr>
            <w:r>
              <w:rPr>
                <w:rFonts w:ascii="Arial" w:cs="Arial" w:eastAsia="Arial" w:hAnsi="Arial"/>
                <w:sz w:val="18"/>
                <w:szCs w:val="18"/>
                <w:color w:val="0A0A0A"/>
              </w:rPr>
              <w:t>$2.70</w:t>
            </w:r>
          </w:p>
        </w:tc>
      </w:tr>
      <w:tr>
        <w:trPr>
          <w:trHeight w:val="229"/>
        </w:trPr>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380" w:type="dxa"/>
            <w:vAlign w:val="bottom"/>
            <w:shd w:val="clear" w:color="auto" w:fill="CCEEFF"/>
          </w:tcPr>
          <w:p>
            <w:pPr>
              <w:jc w:val="center"/>
              <w:ind w:left="813"/>
              <w:spacing w:after="0"/>
              <w:rPr>
                <w:sz w:val="20"/>
                <w:szCs w:val="20"/>
                <w:color w:val="auto"/>
              </w:rPr>
            </w:pPr>
            <w:r>
              <w:rPr>
                <w:rFonts w:ascii="Arial" w:cs="Arial" w:eastAsia="Arial" w:hAnsi="Arial"/>
                <w:sz w:val="18"/>
                <w:szCs w:val="18"/>
                <w:color w:val="0A0A0A"/>
                <w:w w:val="98"/>
              </w:rPr>
              <w:t>17% to 21%</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Lower end of original guidance</w:t>
            </w:r>
          </w:p>
        </w:tc>
      </w:tr>
      <w:tr>
        <w:trPr>
          <w:trHeight w:val="229"/>
        </w:trPr>
        <w:tc>
          <w:tcPr>
            <w:tcW w:w="440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380" w:type="dxa"/>
            <w:vAlign w:val="bottom"/>
          </w:tcPr>
          <w:p>
            <w:pPr>
              <w:jc w:val="right"/>
              <w:ind w:right="973"/>
              <w:spacing w:after="0"/>
              <w:rPr>
                <w:sz w:val="20"/>
                <w:szCs w:val="20"/>
                <w:color w:val="auto"/>
              </w:rPr>
            </w:pPr>
            <w:r>
              <w:rPr>
                <w:rFonts w:ascii="Arial" w:cs="Arial" w:eastAsia="Arial" w:hAnsi="Arial"/>
                <w:sz w:val="18"/>
                <w:szCs w:val="18"/>
                <w:color w:val="0A0A0A"/>
              </w:rPr>
              <w:t>23%</w:t>
            </w:r>
          </w:p>
        </w:tc>
        <w:tc>
          <w:tcPr>
            <w:tcW w:w="3460" w:type="dxa"/>
            <w:vAlign w:val="bottom"/>
          </w:tcPr>
          <w:p>
            <w:pPr>
              <w:jc w:val="center"/>
              <w:spacing w:after="0"/>
              <w:rPr>
                <w:sz w:val="20"/>
                <w:szCs w:val="20"/>
                <w:color w:val="auto"/>
              </w:rPr>
            </w:pPr>
            <w:r>
              <w:rPr>
                <w:rFonts w:ascii="Arial" w:cs="Arial" w:eastAsia="Arial" w:hAnsi="Arial"/>
                <w:sz w:val="18"/>
                <w:szCs w:val="18"/>
                <w:color w:val="0A0A0A"/>
                <w:w w:val="99"/>
              </w:rPr>
              <w:t>Unchanged from original guidance</w:t>
            </w:r>
          </w:p>
        </w:tc>
      </w:tr>
      <w:tr>
        <w:trPr>
          <w:trHeight w:val="230"/>
        </w:trPr>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380" w:type="dxa"/>
            <w:vAlign w:val="bottom"/>
            <w:shd w:val="clear" w:color="auto" w:fill="CCEEFF"/>
          </w:tcPr>
          <w:p>
            <w:pPr>
              <w:jc w:val="center"/>
              <w:ind w:left="813"/>
              <w:spacing w:after="0"/>
              <w:rPr>
                <w:sz w:val="20"/>
                <w:szCs w:val="20"/>
                <w:color w:val="auto"/>
              </w:rPr>
            </w:pPr>
            <w:r>
              <w:rPr>
                <w:rFonts w:ascii="Arial" w:cs="Arial" w:eastAsia="Arial" w:hAnsi="Arial"/>
                <w:sz w:val="18"/>
                <w:szCs w:val="18"/>
                <w:color w:val="0A0A0A"/>
                <w:w w:val="98"/>
              </w:rPr>
              <w:t>41 to 42</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8"/>
              </w:rPr>
              <w:t>40.5 to 41.5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A0A0A"/>
        </w:rPr>
        <w:t>This Investor Update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Investor Update,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83"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Investor Update and are based on assumptions and subject to risks and uncertainties. Given these uncertainties, you should not place undue reliance on these forward-looking statements. These forward-looking statements represent our estimates and assumptions only as of the date of this Investor Update and, except as required by law, we undertake no obligation to update or review publicly any forward -looking statements, whether as a result of new information, future events or otherwise after the date of this Investor Update. We anticipate that subsequent events and developments will cause our views to change. You should read this Investor Update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2025-03-11T05:11:08Z</dcterms:created>
  <dcterms:modified xsi:type="dcterms:W3CDTF">2025-03-11T05:11:08Z</dcterms:modified>
</cp:coreProperties>
</file>