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16,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SUN COUNTRY AIRLINES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82-4092570</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222250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Minneapolis MN, 55450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(651) 681-3900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SCA Acquisition Holdings, LLC Equity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Sun Country Airlines Holdings, Inc. 2021 Omnibus Incentive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Levenhagen,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Minneapolis, MN 55450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(651) 681-3900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Brian M. Janson,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Paul, Weiss, Rifkind, Wharton &amp; Garrison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1285 Avenue of the Americas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740" w:firstLine="991"/>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12"/>
                <w:szCs w:val="12"/>
                <w:b w:val="1"/>
                <w:bCs w:val="1"/>
                <w:color w:val="auto"/>
                <w:w w:val="94"/>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5,893,704 shares</w:t>
            </w:r>
            <w:r>
              <w:rPr>
                <w:rFonts w:ascii="Arial" w:cs="Arial" w:eastAsia="Arial" w:hAnsi="Arial"/>
                <w:sz w:val="15"/>
                <w:szCs w:val="15"/>
                <w:color w:val="auto"/>
                <w:w w:val="88"/>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$141,448,896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$15,432.08</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3,600,000 shares</w:t>
            </w:r>
            <w:r>
              <w:rPr>
                <w:rFonts w:ascii="Arial" w:cs="Arial" w:eastAsia="Arial" w:hAnsi="Arial"/>
                <w:sz w:val="15"/>
                <w:szCs w:val="15"/>
                <w:color w:val="auto"/>
                <w:w w:val="88"/>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$86,400,000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$9,426.24</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9,493,704 shares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$227,848,896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$24,858.32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8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be deemed to cover any additional securities to be offered or issued from stock splits, stock dividends or similar transactions.</w:t>
      </w: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shares of common stock issuable in respect of awards granted under the SCA Acquisition Holdings, LLC Equity Incentive Plan.</w:t>
      </w:r>
    </w:p>
    <w:p>
      <w:pPr>
        <w:spacing w:after="0" w:line="20" w:lineRule="exact"/>
        <w:rPr>
          <w:rFonts w:ascii="Arial" w:cs="Arial" w:eastAsia="Arial" w:hAnsi="Arial"/>
          <w:sz w:val="17"/>
          <w:szCs w:val="17"/>
          <w:color w:val="auto"/>
        </w:rPr>
      </w:pPr>
    </w:p>
    <w:p>
      <w:pPr>
        <w:ind w:left="424" w:right="2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shares of common stock issuable directly, or in respect of awards granted or to be granted, under the Sun Country Airlines Holdings, Inc. 2021 Omnibus Incentive Plan.</w:t>
      </w:r>
    </w:p>
    <w:p>
      <w:pPr>
        <w:ind w:left="424" w:right="24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and Rule 457(h) under the Securities Act, the proposed maximum offering price per share was determined based on the price per share of the registrant’s proposed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Sun Country Airlines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has prepared this Registration Statement in accordance with the requirements of Form S-8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to register the issuance of (i) 5,893,704 shares of its common stock, par value $0.01 per share, which is referred to as the common stock, that are reserved for issuance in respect of awards granted under the SCA Acquisition Holdings, LLC Equity Incentive Plan (the “</w:t>
      </w:r>
      <w:r>
        <w:rPr>
          <w:rFonts w:ascii="Arial" w:cs="Arial" w:eastAsia="Arial" w:hAnsi="Arial"/>
          <w:sz w:val="16"/>
          <w:szCs w:val="16"/>
          <w:u w:val="single" w:color="auto"/>
          <w:color w:val="auto"/>
        </w:rPr>
        <w:t>SCA Acquisition Equity Plan</w:t>
      </w:r>
      <w:r>
        <w:rPr>
          <w:rFonts w:ascii="Arial" w:cs="Arial" w:eastAsia="Arial" w:hAnsi="Arial"/>
          <w:sz w:val="16"/>
          <w:szCs w:val="16"/>
          <w:color w:val="auto"/>
        </w:rPr>
        <w:t>”) and (ii) 3,600,000 shares of common stock that are reserved for issuance directly, or in respect of awards granted or to be granted, under the Sun Country Airlines Holdings, Inc. 2021 Omnibus Incentive Plan (the “</w:t>
      </w:r>
      <w:r>
        <w:rPr>
          <w:rFonts w:ascii="Arial" w:cs="Arial" w:eastAsia="Arial" w:hAnsi="Arial"/>
          <w:sz w:val="16"/>
          <w:szCs w:val="16"/>
          <w:u w:val="single" w:color="auto"/>
          <w:color w:val="auto"/>
        </w:rPr>
        <w:t>Omnibus Incentive Plan</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1.</w:t>
      </w:r>
      <w:r>
        <w:rPr>
          <w:sz w:val="20"/>
          <w:szCs w:val="20"/>
          <w:color w:val="auto"/>
        </w:rPr>
        <w:tab/>
      </w:r>
      <w:r>
        <w:rPr>
          <w:rFonts w:ascii="Arial" w:cs="Arial" w:eastAsia="Arial" w:hAnsi="Arial"/>
          <w:sz w:val="16"/>
          <w:szCs w:val="16"/>
          <w:b w:val="1"/>
          <w:bCs w:val="1"/>
          <w:i w:val="1"/>
          <w:iCs w:val="1"/>
          <w:color w:val="auto"/>
        </w:rPr>
        <w:t>Plan Information</w:t>
      </w:r>
      <w:r>
        <w:rPr>
          <w:rFonts w:ascii="Arial" w:cs="Arial" w:eastAsia="Arial" w:hAnsi="Arial"/>
          <w:sz w:val="16"/>
          <w:szCs w:val="16"/>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document(s) containing the information specified in Part I of Form S-8 will be sent or given to participants in the SCA Acquisition Equity Plan and the Omnibus Incentive Plan as specified by Rule 428(b)(1) under the Securities Act. Such documents are not being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but constitute, along with the documents incorporated by reference into this Registration Statement, a prospectus that meets the requirements of Section 10(a) of the Securities Act.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6"/>
          <w:szCs w:val="16"/>
          <w:b w:val="1"/>
          <w:bCs w:val="1"/>
          <w:i w:val="1"/>
          <w:iCs w:val="1"/>
          <w:color w:val="auto"/>
        </w:rPr>
        <w:t>Company Information and Employee Plan Annual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Company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and any other documents required to be delivered pursuant to Rule 428. Those documents are incorporated by reference in the Section 10(a) prospectus. Requests should be directed to Sun Country Airlines Holdings, Inc., 2005 Cargo Road, Minneapolis, MN 55450, Attention: General Counsel and Secretary, Telephone number (651) 681-3900.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filed with the Commission by the Company are incorporated by reference in this Registration Statement:</w:t>
      </w:r>
    </w:p>
    <w:p>
      <w:pPr>
        <w:spacing w:after="0" w:line="131" w:lineRule="exact"/>
        <w:rPr>
          <w:sz w:val="20"/>
          <w:szCs w:val="20"/>
          <w:color w:val="auto"/>
        </w:rPr>
      </w:pPr>
    </w:p>
    <w:p>
      <w:pPr>
        <w:ind w:left="960" w:right="24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Registration Statement on Form S-1 (File No. 333-252858) as confidentially submitted on December 19, 2019, and as amended February 5, 2020 and December 22, 2020, and as publicly filed with the Commission on February 8, 2021, and as amended on February 23, 2021 and March 8, 2021; and</w:t>
      </w:r>
    </w:p>
    <w:p>
      <w:pPr>
        <w:spacing w:after="0" w:line="89" w:lineRule="exact"/>
        <w:rPr>
          <w:rFonts w:ascii="Arial" w:cs="Arial" w:eastAsia="Arial" w:hAnsi="Arial"/>
          <w:sz w:val="18"/>
          <w:szCs w:val="18"/>
          <w:color w:val="auto"/>
        </w:rPr>
      </w:pPr>
    </w:p>
    <w:p>
      <w:pPr>
        <w:ind w:left="960" w:right="220" w:hanging="532"/>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common stock set forth in the Company’s Registration Statement on Form 8-A filed pursuant to Section 12 of the Exchange Act on March 15, 2021, and any amendment or report filed for the purpose of updating any such description.</w:t>
      </w:r>
    </w:p>
    <w:p>
      <w:pPr>
        <w:spacing w:after="0" w:line="14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addition, all reports and documents filed by the Company pursuant to Sections 13(a), 13(c), 14 and 15(d) of the Securities Exchange Act of 1934, as amended, subsequent to the date hereof and prior to the filing of a post-effective amendment which indicates that all securities offered hereby have been sold or which deregisters all securities then remaining unsold, shall be deemed to be incorporated by reference herein and made a part hereof from the date of the filing of such documents.</w:t>
      </w:r>
    </w:p>
    <w:p>
      <w:pPr>
        <w:sectPr>
          <w:pgSz w:w="11900" w:h="16838" w:orient="portrait"/>
          <w:cols w:equalWidth="0" w:num="1">
            <w:col w:w="11000"/>
          </w:cols>
          <w:pgMar w:left="440" w:top="270" w:right="459" w:bottom="1440" w:gutter="0" w:footer="0" w:header="0"/>
        </w:sectPr>
      </w:pPr>
    </w:p>
    <w:bookmarkStart w:id="4" w:name="page5"/>
    <w:bookmarkEnd w:id="4"/>
    <w:p>
      <w:pPr>
        <w:ind w:right="6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145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its directors, officers and employees to the fullest extent permitted by the DGCL.</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 is made to Item 9 for our undertakings with respect to indemnification for liabilities arising under the Securities Act.</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We have entered into customary indemnification agreements with our executive officers and directors that provide them, in general, with customary indemnification in connection with their service to us or on our behalf.</w:t>
      </w:r>
    </w:p>
    <w:p>
      <w:pPr>
        <w:spacing w:after="0" w:line="3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4" w:right="4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8.</w:t>
            </w:r>
          </w:p>
        </w:tc>
        <w:tc>
          <w:tcPr>
            <w:tcW w:w="99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Exhibits</w:t>
            </w:r>
          </w:p>
        </w:tc>
      </w:tr>
      <w:tr>
        <w:trPr>
          <w:trHeight w:val="270"/>
        </w:trPr>
        <w:tc>
          <w:tcPr>
            <w:tcW w:w="740" w:type="dxa"/>
            <w:vAlign w:val="bottom"/>
            <w:gridSpan w:val="2"/>
          </w:tcPr>
          <w:p>
            <w:pPr>
              <w:spacing w:after="0"/>
              <w:rPr>
                <w:sz w:val="20"/>
                <w:szCs w:val="20"/>
                <w:color w:val="auto"/>
              </w:rPr>
            </w:pPr>
            <w:r>
              <w:rPr>
                <w:rFonts w:ascii="Arial" w:cs="Arial" w:eastAsia="Arial" w:hAnsi="Arial"/>
                <w:sz w:val="14"/>
                <w:szCs w:val="14"/>
                <w:color w:val="auto"/>
              </w:rPr>
              <w:t>Exhibits</w:t>
            </w:r>
          </w:p>
        </w:tc>
        <w:tc>
          <w:tcPr>
            <w:tcW w:w="260" w:type="dxa"/>
            <w:vAlign w:val="bottom"/>
          </w:tcPr>
          <w:p>
            <w:pPr>
              <w:spacing w:after="0"/>
              <w:rPr>
                <w:sz w:val="23"/>
                <w:szCs w:val="23"/>
                <w:color w:val="auto"/>
              </w:rPr>
            </w:pPr>
          </w:p>
        </w:tc>
        <w:tc>
          <w:tcPr>
            <w:tcW w:w="9680" w:type="dxa"/>
            <w:vAlign w:val="bottom"/>
          </w:tcPr>
          <w:p>
            <w:pPr>
              <w:spacing w:after="0"/>
              <w:rPr>
                <w:sz w:val="23"/>
                <w:szCs w:val="23"/>
                <w:color w:val="auto"/>
              </w:rPr>
            </w:pPr>
          </w:p>
        </w:tc>
      </w:tr>
      <w:tr>
        <w:trPr>
          <w:trHeight w:val="318"/>
        </w:trPr>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Second Amended and Restated Certificate of Incorporation of Sun Country Airlines Holdings, Inc.</w:t>
              </w:r>
            </w:hyperlink>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Second Amended and Restated Bylaws of Sun Country Airlines Holdings, Inc.</w:t>
              </w:r>
            </w:hyperlink>
          </w:p>
        </w:tc>
      </w:tr>
      <w:tr>
        <w:trPr>
          <w:trHeight w:val="283"/>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Borders>
              <w:bottom w:val="single" w:sz="8" w:color="0000EE"/>
            </w:tcBorders>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SCA Acquisition Holdings, LLC Amended and Restated Equity Incentive Plan, dated as of July 1, 2019 (incorporated by reference to</w:t>
              </w:r>
            </w:hyperlink>
          </w:p>
        </w:tc>
      </w:tr>
      <w:tr>
        <w:trPr>
          <w:trHeight w:val="237"/>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80" w:type="dxa"/>
            <w:vAlign w:val="bottom"/>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Exhibit 10.40 to Sun Country Airlines Holdings, Inc.’s Registration Statement on Form S-1 filed on February 8, 2021)</w:t>
              </w:r>
              <w:r>
                <w:rPr>
                  <w:rFonts w:ascii="Arial" w:cs="Arial" w:eastAsia="Arial" w:hAnsi="Arial"/>
                  <w:sz w:val="18"/>
                  <w:szCs w:val="18"/>
                  <w:u w:val="single" w:color="auto"/>
                  <w:color w:val="000000"/>
                </w:rPr>
                <w:t>.</w:t>
              </w:r>
            </w:hyperlink>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Sun Country Airlines Holdings, Inc. 2021 Omnibus Incentive Plan.</w:t>
              </w:r>
            </w:hyperlink>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u w:val="single" w:color="auto"/>
                  <w:color w:val="0000EE"/>
                </w:rPr>
                <w:t>Opinion of Paul, Weiss, Rifkind, Wharton &amp; Garrison LLP</w:t>
              </w:r>
            </w:hyperlink>
            <w:r>
              <w:rPr>
                <w:rFonts w:ascii="Arial" w:cs="Arial" w:eastAsia="Arial" w:hAnsi="Arial"/>
                <w:sz w:val="18"/>
                <w:szCs w:val="18"/>
                <w:color w:val="000000"/>
              </w:rPr>
              <w: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Consent of KPMG LLP, independent registered certified public accounting firm.</w:t>
              </w:r>
            </w:hyperlink>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Consent of Paul, Weiss, Rifkind, Wharton &amp; Garrison LLP (included in Exhibit 5.1 to this Registration Statement).</w:t>
              </w:r>
            </w:hyperlink>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tcPr>
          <w:p>
            <w:pPr>
              <w:spacing w:after="0"/>
              <w:rPr>
                <w:rFonts w:ascii="Arial" w:cs="Arial" w:eastAsia="Arial" w:hAnsi="Arial"/>
                <w:sz w:val="18"/>
                <w:szCs w:val="18"/>
                <w:color w:val="0000EE"/>
              </w:rPr>
            </w:pPr>
            <w:hyperlink w:anchor="page8">
              <w:r>
                <w:rPr>
                  <w:rFonts w:ascii="Arial" w:cs="Arial" w:eastAsia="Arial" w:hAnsi="Arial"/>
                  <w:sz w:val="18"/>
                  <w:szCs w:val="18"/>
                  <w:u w:val="single" w:color="auto"/>
                  <w:color w:val="0000EE"/>
                </w:rPr>
                <w:t>Powers of Attorney (included on signature pages of this Part II)</w:t>
              </w:r>
              <w:r>
                <w:rPr>
                  <w:rFonts w:ascii="Arial" w:cs="Arial" w:eastAsia="Arial" w:hAnsi="Arial"/>
                  <w:sz w:val="18"/>
                  <w:szCs w:val="18"/>
                  <w:color w:val="0000EE"/>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hereby undertakes: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7"/>
          <w:szCs w:val="17"/>
          <w:color w:val="auto"/>
        </w:rPr>
        <w:t>(a)(1)</w:t>
        <w:tab/>
        <w:t>To file during any period in which offers or sales are being made, a post-effective amendment to this registration statement:</w:t>
      </w:r>
    </w:p>
    <w:p>
      <w:pPr>
        <w:spacing w:after="0" w:line="142" w:lineRule="exact"/>
        <w:rPr>
          <w:sz w:val="20"/>
          <w:szCs w:val="20"/>
          <w:color w:val="auto"/>
        </w:rPr>
      </w:pPr>
    </w:p>
    <w:p>
      <w:pPr>
        <w:ind w:left="1744" w:hanging="543"/>
        <w:spacing w:after="0"/>
        <w:tabs>
          <w:tab w:leader="none" w:pos="1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744" w:hanging="543"/>
        <w:spacing w:after="0" w:line="291" w:lineRule="auto"/>
        <w:tabs>
          <w:tab w:leader="none" w:pos="17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71" w:lineRule="exact"/>
        <w:rPr>
          <w:rFonts w:ascii="Arial" w:cs="Arial" w:eastAsia="Arial" w:hAnsi="Arial"/>
          <w:sz w:val="16"/>
          <w:szCs w:val="16"/>
          <w:color w:val="auto"/>
        </w:rPr>
      </w:pPr>
    </w:p>
    <w:p>
      <w:pPr>
        <w:ind w:left="1744" w:right="40" w:hanging="543"/>
        <w:spacing w:after="0" w:line="277" w:lineRule="auto"/>
        <w:tabs>
          <w:tab w:leader="none" w:pos="1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204" w:right="140"/>
        <w:spacing w:after="0" w:line="259" w:lineRule="auto"/>
        <w:rPr>
          <w:sz w:val="20"/>
          <w:szCs w:val="20"/>
          <w:color w:val="auto"/>
        </w:rPr>
      </w:pPr>
      <w:r>
        <w:rPr>
          <w:rFonts w:ascii="Arial" w:cs="Arial" w:eastAsia="Arial" w:hAnsi="Arial"/>
          <w:sz w:val="18"/>
          <w:szCs w:val="18"/>
          <w:i w:val="1"/>
          <w:iCs w:val="1"/>
          <w:color w:val="auto"/>
        </w:rPr>
        <w:t xml:space="preserve">provided, however, that, </w:t>
      </w:r>
      <w:r>
        <w:rPr>
          <w:rFonts w:ascii="Arial" w:cs="Arial" w:eastAsia="Arial" w:hAnsi="Arial"/>
          <w:sz w:val="18"/>
          <w:szCs w:val="18"/>
          <w:color w:val="auto"/>
        </w:rPr>
        <w:t>paragraphs (a)(1)(i) and (a)(1)(ii) above do not apply if the information required to be included in a post-effective amendment by those paragraphs is contained in periodic reports filed with or furnished to the Commission by us pursuant to Section 13 or Section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that are incorporated by reference in the registration statement;</w:t>
      </w:r>
    </w:p>
    <w:p>
      <w:pPr>
        <w:spacing w:after="0" w:line="92" w:lineRule="exact"/>
        <w:rPr>
          <w:sz w:val="20"/>
          <w:szCs w:val="20"/>
          <w:color w:val="auto"/>
        </w:rPr>
      </w:pPr>
    </w:p>
    <w:p>
      <w:pPr>
        <w:jc w:val="both"/>
        <w:ind w:left="1184" w:right="20" w:hanging="644"/>
        <w:spacing w:after="0" w:line="263" w:lineRule="auto"/>
        <w:tabs>
          <w:tab w:leader="none" w:pos="11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hereby which remain unsold at the termination of the offering.</w:t>
      </w:r>
    </w:p>
    <w:p>
      <w:pPr>
        <w:sectPr>
          <w:pgSz w:w="11900" w:h="16838" w:orient="portrait"/>
          <w:cols w:equalWidth="0" w:num="1">
            <w:col w:w="10964"/>
          </w:cols>
          <w:pgMar w:left="436" w:top="274" w:right="499" w:bottom="1440" w:gutter="0" w:footer="0" w:header="0"/>
        </w:sectPr>
      </w:pPr>
    </w:p>
    <w:bookmarkStart w:id="6" w:name="page7"/>
    <w:bookmarkEnd w:id="6"/>
    <w:p>
      <w:pPr>
        <w:ind w:left="644" w:hanging="644"/>
        <w:spacing w:after="0" w:line="275" w:lineRule="auto"/>
        <w:tabs>
          <w:tab w:leader="none" w:pos="644"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204" w:right="260" w:hanging="543"/>
        <w:spacing w:after="0" w:line="277" w:lineRule="auto"/>
        <w:tabs>
          <w:tab w:leader="none" w:pos="120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204" w:right="140" w:hanging="543"/>
        <w:spacing w:after="0" w:line="277" w:lineRule="auto"/>
        <w:tabs>
          <w:tab w:leader="none" w:pos="120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204" w:right="220" w:hanging="543"/>
        <w:spacing w:after="0" w:line="277" w:lineRule="auto"/>
        <w:tabs>
          <w:tab w:leader="none" w:pos="120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644" w:right="40" w:hanging="644"/>
        <w:spacing w:after="0" w:line="257"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hereof.</w:t>
      </w:r>
    </w:p>
    <w:p>
      <w:pPr>
        <w:spacing w:after="0" w:line="93" w:lineRule="exact"/>
        <w:rPr>
          <w:rFonts w:ascii="Arial" w:cs="Arial" w:eastAsia="Arial" w:hAnsi="Arial"/>
          <w:sz w:val="18"/>
          <w:szCs w:val="18"/>
          <w:color w:val="auto"/>
        </w:rPr>
      </w:pPr>
    </w:p>
    <w:p>
      <w:pPr>
        <w:ind w:left="644" w:right="40" w:hanging="644"/>
        <w:spacing w:after="0" w:line="253"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464"/>
          </w:cols>
          <w:pgMar w:left="976" w:top="274" w:right="4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Pursuant to the requirements of the Securities Act, Sun Country Airlines Holdings, Inc.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March 16,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Jude Bricker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Dave Davis and Eric Levenhagen, acting singly, his or her true and lawful agent, proxy and attorney-in-fact, with full power of substitution and resubstitution, for him and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7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and Power of Attorney have been signed on March 16, 2021, by the following persons in the capacities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500" w:type="dxa"/>
            <w:vAlign w:val="bottom"/>
          </w:tcPr>
          <w:p>
            <w:pPr>
              <w:spacing w:after="0"/>
              <w:rPr>
                <w:sz w:val="14"/>
                <w:szCs w:val="14"/>
                <w:color w:val="auto"/>
              </w:rPr>
            </w:pPr>
          </w:p>
        </w:tc>
        <w:tc>
          <w:tcPr>
            <w:tcW w:w="4440" w:type="dxa"/>
            <w:vAlign w:val="bottom"/>
            <w:gridSpan w:val="3"/>
          </w:tcPr>
          <w:p>
            <w:pPr>
              <w:jc w:val="center"/>
              <w:ind w:left="992"/>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5"/>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Jude Bricker</w:t>
            </w:r>
          </w:p>
        </w:tc>
        <w:tc>
          <w:tcPr>
            <w:tcW w:w="4440" w:type="dxa"/>
            <w:vAlign w:val="bottom"/>
            <w:gridSpan w:val="3"/>
          </w:tcPr>
          <w:p>
            <w:pPr>
              <w:jc w:val="center"/>
              <w:ind w:left="972"/>
              <w:spacing w:after="0"/>
              <w:rPr>
                <w:sz w:val="20"/>
                <w:szCs w:val="20"/>
                <w:color w:val="auto"/>
              </w:rPr>
            </w:pPr>
            <w:r>
              <w:rPr>
                <w:rFonts w:ascii="Arial" w:cs="Arial" w:eastAsia="Arial" w:hAnsi="Arial"/>
                <w:sz w:val="18"/>
                <w:szCs w:val="18"/>
                <w:color w:val="auto"/>
                <w:w w:val="94"/>
              </w:rPr>
              <w:t>Chief Executive Officer; 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89"/>
              </w:rPr>
              <w:t>Jude Bricker</w:t>
            </w:r>
          </w:p>
        </w:tc>
        <w:tc>
          <w:tcPr>
            <w:tcW w:w="4440" w:type="dxa"/>
            <w:vAlign w:val="bottom"/>
            <w:gridSpan w:val="3"/>
          </w:tcPr>
          <w:p>
            <w:pPr>
              <w:jc w:val="center"/>
              <w:ind w:left="97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Dave Davis</w:t>
            </w:r>
          </w:p>
        </w:tc>
        <w:tc>
          <w:tcPr>
            <w:tcW w:w="4440" w:type="dxa"/>
            <w:vAlign w:val="bottom"/>
            <w:gridSpan w:val="3"/>
          </w:tcPr>
          <w:p>
            <w:pPr>
              <w:jc w:val="center"/>
              <w:ind w:left="972"/>
              <w:spacing w:after="0"/>
              <w:rPr>
                <w:sz w:val="20"/>
                <w:szCs w:val="20"/>
                <w:color w:val="auto"/>
              </w:rPr>
            </w:pPr>
            <w:r>
              <w:rPr>
                <w:rFonts w:ascii="Arial" w:cs="Arial" w:eastAsia="Arial" w:hAnsi="Arial"/>
                <w:sz w:val="18"/>
                <w:szCs w:val="18"/>
                <w:color w:val="auto"/>
                <w:w w:val="92"/>
              </w:rPr>
              <w:t>President and Chief Financial Officer; 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3"/>
              </w:rPr>
              <w:t>Dave Davis</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Patrick Kearney</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2"/>
              </w:rPr>
              <w:t>Patrick Kearney</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Antoine Munfakh</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6"/>
              </w:rPr>
              <w:t>Antoine Munfakh</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Kerry Philipovitch</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6"/>
              </w:rPr>
              <w:t>Kerry Philipovitch</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Siegel</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2"/>
              </w:rPr>
              <w:t>David Siegel</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Juan Carlos Zuazua</w:t>
            </w:r>
          </w:p>
        </w:tc>
        <w:tc>
          <w:tcPr>
            <w:tcW w:w="4440" w:type="dxa"/>
            <w:vAlign w:val="bottom"/>
            <w:gridSpan w:val="3"/>
          </w:tcPr>
          <w:p>
            <w:pPr>
              <w:jc w:val="center"/>
              <w:ind w:left="99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gridSpan w:val="3"/>
          </w:tcPr>
          <w:p>
            <w:pPr>
              <w:jc w:val="center"/>
              <w:spacing w:after="0"/>
              <w:rPr>
                <w:sz w:val="20"/>
                <w:szCs w:val="20"/>
                <w:color w:val="auto"/>
              </w:rPr>
            </w:pPr>
            <w:r>
              <w:rPr>
                <w:rFonts w:ascii="Arial" w:cs="Arial" w:eastAsia="Arial" w:hAnsi="Arial"/>
                <w:sz w:val="18"/>
                <w:szCs w:val="18"/>
                <w:color w:val="auto"/>
                <w:w w:val="88"/>
              </w:rPr>
              <w:t>Juan Carlos Zuazua</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CERTIFICATE OF INCORPORATION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1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Sun Country Airlines Holdings, Inc. is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The original certificate of incorporation of the Corporation was filed with the Secretary of State of the State of Delaware on January 31, 2020. This Second Amended and Restated Certificate of Incorporation of the Corporation (as the same may be further amended and/or restated, this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which further amends and restates the Amended and Restated Certificate of Incorporation of the Corporation, as heretofore amended, in its entirety, has been duly adopted by all necessary action of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and the stockholders of the Corporation, pursuant to Sections 228, 242 and 245 of the General Corporation Law of the State of Delaware, as the same now exists or may hereafter be amended and/or supplemented from time to time (the “</w:t>
      </w:r>
      <w:r>
        <w:rPr>
          <w:rFonts w:ascii="Arial" w:cs="Arial" w:eastAsia="Arial" w:hAnsi="Arial"/>
          <w:sz w:val="17"/>
          <w:szCs w:val="17"/>
          <w:u w:val="single" w:color="auto"/>
          <w:color w:val="auto"/>
        </w:rPr>
        <w:t>DGCL</w:t>
      </w:r>
      <w:r>
        <w:rPr>
          <w:rFonts w:ascii="Arial" w:cs="Arial" w:eastAsia="Arial" w:hAnsi="Arial"/>
          <w:sz w:val="17"/>
          <w:szCs w:val="17"/>
          <w:color w:val="auto"/>
        </w:rPr>
        <w:t>”), to read as follows: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is Sun Country Airlines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City of Wilmington, County of New Castle, Delaware 19808. The name of the Corporation’s registered agent at such address is the Corporation Service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that the Corporation is authorized to issue is 1,000,000,000 shares of capital stock, of which 995,000,000 shares shall be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5,000,000 shares shall be preferred stock, par value $0.01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Subject to the rights of the holders of any series of Preferred Stock then outstanding, the number of authorized shares of any of the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thereof, and no vote of the holders of any of the Common Stock or Preferred Stock voting separately as a class shall be required therefor.</w:t>
      </w:r>
    </w:p>
    <w:p>
      <w:pPr>
        <w:spacing w:after="0" w:line="17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Common Stock</w:t>
      </w:r>
      <w:r>
        <w:rPr>
          <w:rFonts w:ascii="Arial" w:cs="Arial" w:eastAsia="Arial" w:hAnsi="Arial"/>
          <w:sz w:val="18"/>
          <w:szCs w:val="18"/>
          <w:color w:val="auto"/>
        </w:rPr>
        <w:t>. The terms of the Common Stock set forth below shall be subject to the express terms of any series of Preferred Stock then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 w:name="page10"/>
    <w:bookmarkEnd w:id="9"/>
    <w:p>
      <w:pPr>
        <w:ind w:right="180" w:firstLine="987"/>
        <w:spacing w:after="0" w:line="308"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Ri</w:t>
      </w:r>
      <w:r>
        <w:rPr>
          <w:rFonts w:ascii="Arial" w:cs="Arial" w:eastAsia="Arial" w:hAnsi="Arial"/>
          <w:sz w:val="17"/>
          <w:szCs w:val="17"/>
          <w:color w:val="auto"/>
        </w:rPr>
        <w:t>g</w:t>
      </w:r>
      <w:r>
        <w:rPr>
          <w:rFonts w:ascii="Arial" w:cs="Arial" w:eastAsia="Arial" w:hAnsi="Arial"/>
          <w:sz w:val="17"/>
          <w:szCs w:val="17"/>
          <w:u w:val="single" w:color="auto"/>
          <w:color w:val="auto"/>
        </w:rPr>
        <w:t>hts</w:t>
      </w:r>
      <w:r>
        <w:rPr>
          <w:rFonts w:ascii="Arial" w:cs="Arial" w:eastAsia="Arial" w:hAnsi="Arial"/>
          <w:sz w:val="17"/>
          <w:szCs w:val="17"/>
          <w:color w:val="auto"/>
        </w:rPr>
        <w:t>. Except as otherwise required by applicable law or this Certificate of Incorporation, the holders of Common Stock, as such, shall be entitled to one vote per share on all matters submitted to a vote of the Corporation’s stockholders generally.</w:t>
      </w:r>
    </w:p>
    <w:p>
      <w:pPr>
        <w:spacing w:after="0" w:line="38" w:lineRule="exact"/>
        <w:rPr>
          <w:rFonts w:ascii="Arial" w:cs="Arial" w:eastAsia="Arial" w:hAnsi="Arial"/>
          <w:sz w:val="17"/>
          <w:szCs w:val="17"/>
          <w:color w:val="auto"/>
        </w:rPr>
      </w:pPr>
    </w:p>
    <w:p>
      <w:pPr>
        <w:ind w:firstLine="987"/>
        <w:spacing w:after="0" w:line="25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rights, if any, of the holders of any outstanding series of Preferred Stock or any class or series of stock having a preference over or the right to participate with the Common Stock with respect to the payment of dividends or distributions, the holders of Common Stock shall be entitled to receive, as, if and when declared by the Board out of the funds of the Corporation legally available therefor, such dividends (payable in cash, shares of stock of the Corporation, property or assets of the Corporation or otherwise) as the Board may from time to time in its sole discretion determine.</w:t>
      </w:r>
    </w:p>
    <w:p>
      <w:pPr>
        <w:spacing w:after="0" w:line="79" w:lineRule="exact"/>
        <w:rPr>
          <w:rFonts w:ascii="Arial" w:cs="Arial" w:eastAsia="Arial" w:hAnsi="Arial"/>
          <w:sz w:val="18"/>
          <w:szCs w:val="18"/>
          <w:color w:val="auto"/>
        </w:rPr>
      </w:pPr>
    </w:p>
    <w:p>
      <w:pPr>
        <w:ind w:right="120" w:firstLine="987"/>
        <w:spacing w:after="0" w:line="255"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In the event of any liquidation, dissolution or winding up of the Corporation, whether voluntary or involuntary, after the payment or provision for the payment of any debts and other liabilities of the Corporation, and subject to the rights, if any, of the holders of any outstanding series of Preferred Stock or other class or series of stock having a preference over or the right to participate with the Common Stock with respect to the distribution of assets upon any such liquidation, dissolution or winding up, the remaining assets of the Corporation available for distribution to stockholders shall be distributed among and paid to the holders of Common Stock ratably in proportion to the number of shares of Common Stock held by them respectively.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is authorized, by resolution or resolutions, to provide, out of the authorized but unissued shares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for the issuance from time to time of shares of Preferred Stock in one or more series and, by filing a certificate of designation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 Certificate of Designation</w:t>
      </w:r>
      <w:r>
        <w:rPr>
          <w:rFonts w:ascii="Arial" w:cs="Arial" w:eastAsia="Arial" w:hAnsi="Arial"/>
          <w:sz w:val="16"/>
          <w:szCs w:val="16"/>
          <w:color w:val="auto"/>
        </w:rPr>
        <w:t>”) pursuant to the applicable provisions of the DGCL, to establish from time to time the number of shares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included in each such series, with such powers (including voting powers, if any), designations, preferences, participating, optional or other rights,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and qualifications, limitations or restrictions thereof, if any, as are stated and expressed in the resolution or resolutions providing for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adopted by the Board, including, but not limited to, determination of any of the following:</w:t>
      </w:r>
    </w:p>
    <w:p>
      <w:pPr>
        <w:spacing w:after="0" w:line="103" w:lineRule="exact"/>
        <w:rPr>
          <w:sz w:val="20"/>
          <w:szCs w:val="20"/>
          <w:color w:val="auto"/>
        </w:rPr>
      </w:pPr>
    </w:p>
    <w:p>
      <w:pPr>
        <w:ind w:left="1240" w:hanging="25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distinctive designation of the series, whether by number, letter or title, and the number of shares which will constitute the series;</w:t>
      </w:r>
    </w:p>
    <w:p>
      <w:pPr>
        <w:spacing w:after="0" w:line="140" w:lineRule="exact"/>
        <w:rPr>
          <w:rFonts w:ascii="Arial" w:cs="Arial" w:eastAsia="Arial" w:hAnsi="Arial"/>
          <w:sz w:val="16"/>
          <w:szCs w:val="16"/>
          <w:color w:val="auto"/>
        </w:rPr>
      </w:pPr>
    </w:p>
    <w:p>
      <w:pPr>
        <w:ind w:right="180" w:firstLine="987"/>
        <w:spacing w:after="0" w:line="263"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 if any, and the times of payment of dividends, if any, on the shares of the series, whether such dividends will be cumulative and, if so, from what date or dates, and the relation which such dividends, if any, shall bear to the dividends payable on any other class or classes or series of stock;</w:t>
      </w:r>
    </w:p>
    <w:p>
      <w:pPr>
        <w:spacing w:after="0" w:line="75" w:lineRule="exact"/>
        <w:rPr>
          <w:rFonts w:ascii="Arial" w:cs="Arial" w:eastAsia="Arial" w:hAnsi="Arial"/>
          <w:sz w:val="18"/>
          <w:szCs w:val="18"/>
          <w:color w:val="auto"/>
        </w:rPr>
      </w:pPr>
    </w:p>
    <w:p>
      <w:pPr>
        <w:ind w:right="400"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at which, and the terms and conditions on which, the shares of the series may be redeemed at the option of the Corporation or the holder thereof or upon the happening of a specified event;</w:t>
      </w:r>
    </w:p>
    <w:p>
      <w:pPr>
        <w:spacing w:after="0" w:line="62" w:lineRule="exact"/>
        <w:rPr>
          <w:rFonts w:ascii="Arial" w:cs="Arial" w:eastAsia="Arial" w:hAnsi="Arial"/>
          <w:sz w:val="18"/>
          <w:szCs w:val="18"/>
          <w:color w:val="auto"/>
        </w:rPr>
      </w:pPr>
    </w:p>
    <w:p>
      <w:pPr>
        <w:ind w:right="260" w:firstLine="987"/>
        <w:spacing w:after="0" w:line="342"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or not the shares of the series will be entitled to the benefit of a retirement or sinking fund to be applied to the purchase or redemption of such shares and, if so entitled, the amount of such fund and the terms and provisions relative to the operation thereof;</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10" w:name="page11"/>
    <w:bookmarkEnd w:id="10"/>
    <w:p>
      <w:pPr>
        <w:ind w:right="12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amounts payable on, and the preferences, if any, of the shares of the series in the event of any voluntary or involuntary liquidation, dissolution or winding up of the affairs of the Corporation or upon the happening of any other specified event;</w:t>
      </w:r>
    </w:p>
    <w:p>
      <w:pPr>
        <w:spacing w:after="0" w:line="62" w:lineRule="exact"/>
        <w:rPr>
          <w:rFonts w:ascii="Arial" w:cs="Arial" w:eastAsia="Arial" w:hAnsi="Arial"/>
          <w:sz w:val="18"/>
          <w:szCs w:val="18"/>
          <w:color w:val="auto"/>
        </w:rPr>
      </w:pPr>
    </w:p>
    <w:p>
      <w:pPr>
        <w:ind w:firstLine="987"/>
        <w:spacing w:after="0" w:line="259" w:lineRule="auto"/>
        <w:tabs>
          <w:tab w:leader="none" w:pos="12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the shares of the series will be convertible into, or exchangeable for, at the option of either the holder or the Corporation or upon the happening of a specified event, shares of any other class or classes or series of stock of the Corporation and, if so convertible or exchangeable, the conversion price or prices, or the rates of exchange, and any adjustments thereof, at which such conversion or exchange may be made, and any other terms and conditions of such conversion or exchange;</w:t>
      </w:r>
    </w:p>
    <w:p>
      <w:pPr>
        <w:spacing w:after="0" w:line="78" w:lineRule="exact"/>
        <w:rPr>
          <w:rFonts w:ascii="Arial" w:cs="Arial" w:eastAsia="Arial" w:hAnsi="Arial"/>
          <w:sz w:val="18"/>
          <w:szCs w:val="18"/>
          <w:color w:val="auto"/>
        </w:rPr>
      </w:pPr>
    </w:p>
    <w:p>
      <w:pPr>
        <w:ind w:right="80" w:firstLine="987"/>
        <w:spacing w:after="0" w:line="296"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or not the shares of the series will have priority over or be on a parity with or be junior to the shares of any other class or classes or series of stock of the Corporation in any respect, or will be entitled to the benefit of limitations restricting the issuance of shares of any other class or classes or series of stock of the Corporation, restricting the payment of dividends on or the making of other distributions in respect of shares of any other class or classes or series of stock of the Corporation ranking junior to the shares of the series as to dividends or distributions, or restricting the purchase or redemption of the shares of any such junior class or classes or series of stock of the Corporation, and the terms of any such restriction;</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or not the shares of the series will have voting rights or powers and, if so, the terms of such voting rights and powers; and</w:t>
      </w:r>
    </w:p>
    <w:p>
      <w:pPr>
        <w:spacing w:after="0" w:line="140" w:lineRule="exact"/>
        <w:rPr>
          <w:rFonts w:ascii="Arial" w:cs="Arial" w:eastAsia="Arial" w:hAnsi="Arial"/>
          <w:sz w:val="16"/>
          <w:szCs w:val="16"/>
          <w:color w:val="auto"/>
        </w:rPr>
      </w:pPr>
    </w:p>
    <w:p>
      <w:pPr>
        <w:ind w:left="1200" w:hanging="213"/>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powers, preferences and rights, and qualifications, limitations and restrictions thereof, of the series.</w:t>
      </w:r>
    </w:p>
    <w:p>
      <w:pPr>
        <w:spacing w:after="0" w:line="225"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Except as otherwise required by law, holders of any series of Preferred Stock shall be entitled to only such voting rights and powers, if any, as shall expressly be granted thereto by this Certificate of Incorporation. Except as otherwise expressly provided in this Certificate of Incorporation, no vote of the holders of shares of Preferred Stock or Common Stock shall be a prerequisite to the issuance of any shares of any series of the Preferred Stock so authorized in accordance with this Certificate of Incorporation. Except as otherwise required by law, holders of Common Stock shall not be entitled to vote on any amendment to this Certificate of Incorporation that relates solely to the terms of one or more outstanding series of Preferred Stock if the holders of such affected series are entitled, either separately as a class or together with the holders of one or more other such series as a separate class, to vote thereon pursuant to this Certificate of Incorporation or pursuant to the DGCL. Unless otherwise provided by the Certificate of Incorporation, the Board may, by resolution or resolutions, increase or decrease (but not below the number of shares of such series then outstanding) the number of shares of any series of Preferred Stock established by a Preferred Stock Certificate of Designation pursuant to this Article IV and the DGCL and, if the number of shares of such series shall be so decreased, the shares constituting such decrease shall resume the status that they had prior to the adoption of the resolution originally fixing the number of shares of such series.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applicable law or this Certificate of Incorporation, the business and affairs of the Corporation shall be managed by or under the direction of the Board.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Except as otherwise provided for or fixed pursuant to Article IV and this Article V (relating to the rights of any series of Preferred Stock to elect additional directors), and subject to the terms of the Third Amended and Restated Stockholders Agreement, dated on or about the date of the effectiveness of the filing of this Certificate of Incorporation, by and among the Corporation and the other parties thereto (as the same may be amended, supplemented, restated or otherwise modified from time to time,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 total number of directors shall be as determined from time to time exclusively by the Board; provided, that in no event shall the total number of directors be less than three (3) nor more than fifteen (15). Election of directors need not be by written ballot unless the Bylaws (as defined below) shall so require. Notwithstanding anything to the contrary in this Certificate of Incorporation or the Bylaws, at least two-thirds of the members of the Board shall be “citizens of the United States” as provided under Applicable Transportation Law (as defined in Article VI hereof) and the Chairman of the Board shall be a “citizen of the United States” as provided under Applicable Transportation Law for so long as required by Applicable Transportation Law. If the number of Non-Citizens (as defined in Article VI hereof) serving on the Board at any time exceeds the limitations provided under Applicable Transportation Law, one or more directors who are Non-Citizens shall, in reverse chronological order based on their tenure of service on the Board, cease to be qualified as directors and shall automatically cease to be directors.</w:t>
      </w:r>
    </w:p>
    <w:p>
      <w:pPr>
        <w:spacing w:after="0" w:line="179"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Classified Board; Term of Office</w:t>
      </w:r>
      <w:r>
        <w:rPr>
          <w:rFonts w:ascii="Arial" w:cs="Arial" w:eastAsia="Arial" w:hAnsi="Arial"/>
          <w:sz w:val="16"/>
          <w:szCs w:val="16"/>
          <w:color w:val="auto"/>
        </w:rPr>
        <w: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Each director shall hold office until the annual meeting at which his or her term expires and until his or her successor shall be elected and qualified, subject, however, to such director’s earlier death, resignation, retirement, removal or disqualification. The Board is authorized to assign members of the Board already in office to their respective class.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2" w:name="page13"/>
    <w:bookmarkEnd w:id="12"/>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5.04 </w:t>
      </w:r>
      <w:r>
        <w:rPr>
          <w:rFonts w:ascii="Arial" w:cs="Arial" w:eastAsia="Arial" w:hAnsi="Arial"/>
          <w:sz w:val="16"/>
          <w:szCs w:val="16"/>
          <w:u w:val="single" w:color="auto"/>
          <w:color w:val="auto"/>
        </w:rPr>
        <w:t>Quorum</w:t>
      </w:r>
      <w:r>
        <w:rPr>
          <w:rFonts w:ascii="Arial" w:cs="Arial" w:eastAsia="Arial" w:hAnsi="Arial"/>
          <w:sz w:val="16"/>
          <w:szCs w:val="16"/>
          <w:color w:val="auto"/>
        </w:rPr>
        <w:t>. Notwithstanding anything to the contrary set forth in this Certificate of Incorporation, the Bylaws or applicable law, but in addition to any requirements set forth in this Certificate of Incorporation, the Bylaws and applicable law, if Apollo Global Management, Inc. (together with its subsidiaries, “</w:t>
      </w:r>
      <w:r>
        <w:rPr>
          <w:rFonts w:ascii="Arial" w:cs="Arial" w:eastAsia="Arial" w:hAnsi="Arial"/>
          <w:sz w:val="16"/>
          <w:szCs w:val="16"/>
          <w:u w:val="single" w:color="auto"/>
          <w:color w:val="auto"/>
        </w:rPr>
        <w:t>Apollo</w:t>
      </w:r>
      <w:r>
        <w:rPr>
          <w:rFonts w:ascii="Arial" w:cs="Arial" w:eastAsia="Arial" w:hAnsi="Arial"/>
          <w:sz w:val="16"/>
          <w:szCs w:val="16"/>
          <w:color w:val="auto"/>
        </w:rPr>
        <w:t>”), investment funds managed by affiliates of Apollo, including Apollo Management VIII, L.P., and their respective affiliates, including SCA Horus Holdings, LLC (the “</w:t>
      </w:r>
      <w:r>
        <w:rPr>
          <w:rFonts w:ascii="Arial" w:cs="Arial" w:eastAsia="Arial" w:hAnsi="Arial"/>
          <w:sz w:val="16"/>
          <w:szCs w:val="16"/>
          <w:u w:val="single" w:color="auto"/>
          <w:color w:val="auto"/>
        </w:rPr>
        <w:t>Apollo 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Apollo Entities</w:t>
      </w:r>
      <w:r>
        <w:rPr>
          <w:rFonts w:ascii="Arial" w:cs="Arial" w:eastAsia="Arial" w:hAnsi="Arial"/>
          <w:sz w:val="16"/>
          <w:szCs w:val="16"/>
          <w:color w:val="auto"/>
        </w:rPr>
        <w:t>” and, each, an “</w:t>
      </w:r>
      <w:r>
        <w:rPr>
          <w:rFonts w:ascii="Arial" w:cs="Arial" w:eastAsia="Arial" w:hAnsi="Arial"/>
          <w:sz w:val="16"/>
          <w:szCs w:val="16"/>
          <w:u w:val="single" w:color="auto"/>
          <w:color w:val="auto"/>
        </w:rPr>
        <w:t>Apollo Entity</w:t>
      </w:r>
      <w:r>
        <w:rPr>
          <w:rFonts w:ascii="Arial" w:cs="Arial" w:eastAsia="Arial" w:hAnsi="Arial"/>
          <w:sz w:val="16"/>
          <w:szCs w:val="16"/>
          <w:color w:val="auto"/>
        </w:rPr>
        <w:t>”), own, beneficially or of record, at least 5% of the outstanding Common Stock of the Corporation and there is at least one member of the Board who is an Apollo Nominee (as defined in the Stockholders Agreement), a quorum for the transaction of business at any meeting of the Board shall include at least one Apollo Nominee unless each Apollo Nominee provides notice in writing or by electronic transmission to the remaining members of the Board waiving his or her right to be included in the quorum at such meeting. Notwithstanding anything to the contrary set forth herein, but in addition to any other vote required by this Certificate of Incorporation, the Bylaws or applicable law, at any time that the Apollo Entities own, beneficially or of record, at least 5% of the outstanding Common Stock of the Corporation, the Corporation shall not (directly or indirectly, by merger, consolidation or otherwise) amend, alter or repeal this Section 5.04, or adopt any provision inconsistent herewith, without the prior written consent of the Apollo Stockholder.</w:t>
      </w:r>
    </w:p>
    <w:p>
      <w:pPr>
        <w:spacing w:after="0" w:line="17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Vacancies; Newly Created Directorships</w:t>
      </w:r>
      <w:r>
        <w:rPr>
          <w:rFonts w:ascii="Arial" w:cs="Arial" w:eastAsia="Arial" w:hAnsi="Arial"/>
          <w:sz w:val="17"/>
          <w:szCs w:val="17"/>
          <w:color w:val="auto"/>
        </w:rPr>
        <w:t>. Except as otherwise provided by this Certificate of Incorporation, and subject to the terms of the Stockholders Agreement, any vacancy resulting from the death, resignation, removal or disqualification of a director or other cause, or any newly created directorship in the Board, shall be filled only by an affirmative vote of a majority of the directors then in office, although less than a quorum, or by the sole remaining director, and shall not be filled by the stockholders of the Corporation; provided, that, for so long as the Apollo Entities own, beneficially or of record, at least 5% of the outstanding Common Stock of the Corporation, any vacancy resulting from the death, resignation, removal, disqualification or other cause in respect of any Apollo Nominee shall be filled only by the Apollo Stockholder. Except as otherwise provided by this Certificate of Incorporation, a director elected to fill a vacancy or newly created directorship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w:t>
      </w:r>
    </w:p>
    <w:p>
      <w:pPr>
        <w:spacing w:after="0" w:line="18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Except as otherwise provided by law, the Stockholders Agreement or this Certificate of Incorporation, directors may be removed with or without cause by the affirmative vote of the holders of a majority of the voting power of the outstanding shares of the stock of the Corporation entitled to vote thereon such directors; provided, however, that, the Amazon Holder (as defined in the Stockholders Agreement) must consent to the removal of any Amazon Nominee (as defined in the Stockholders Agreement); provided further, however, that, from and after the Trigger Event (as defined in Article VIII hereof) any such director or all such directors may be removed only for cause and only by the affirmative vote of the holders of at least two-thirds (2/3</w:t>
      </w:r>
      <w:r>
        <w:rPr>
          <w:rFonts w:ascii="Arial" w:cs="Arial" w:eastAsia="Arial" w:hAnsi="Arial"/>
          <w:sz w:val="15"/>
          <w:szCs w:val="15"/>
          <w:color w:val="auto"/>
        </w:rPr>
        <w:t>rds</w:t>
      </w:r>
      <w:r>
        <w:rPr>
          <w:rFonts w:ascii="Arial" w:cs="Arial" w:eastAsia="Arial" w:hAnsi="Arial"/>
          <w:sz w:val="18"/>
          <w:szCs w:val="18"/>
          <w:color w:val="auto"/>
        </w:rPr>
        <w:t xml:space="preserve"> or 66 2/3%) of the voting power of the then-outstanding shares of stock of the Corporation entitled to vote thereon, voting together as a single class.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3" w:name="page14"/>
    <w:bookmarkEnd w:id="13"/>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5.07 </w:t>
      </w:r>
      <w:r>
        <w:rPr>
          <w:rFonts w:ascii="Arial" w:cs="Arial" w:eastAsia="Arial" w:hAnsi="Arial"/>
          <w:sz w:val="16"/>
          <w:szCs w:val="16"/>
          <w:u w:val="single" w:color="auto"/>
          <w:color w:val="auto"/>
        </w:rPr>
        <w:t>Voting Rights of Preferred Stock</w:t>
      </w:r>
      <w:r>
        <w:rPr>
          <w:rFonts w:ascii="Arial" w:cs="Arial" w:eastAsia="Arial" w:hAnsi="Arial"/>
          <w:sz w:val="16"/>
          <w:szCs w:val="16"/>
          <w:color w:val="auto"/>
        </w:rPr>
        <w:t>. Notwithstanding the foregoing, whenever the holders of any one or more series of Preferred Stock shall have the right, voting separately as a series or separately as a class with one or more such other series of Preferred Stock, to elect directors, the election, term of office, removal, filling of vacancies (including filling any newly created directorships) any and other features of such directorships shall be governed by the terms of the other provisions of this Certificate of Incorporation (including any Preferred Stock Certificate of Designation). During any period when the holders of any series of Preferred Stock have the right to elect additional directors, then upon commencement and for the duration of the period during which such right continues: (i) the then otherwise total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his or her earlier death, resignation, retirement, removal or disqualification.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retirement, removal or disqualification of such additional directors, shall forthwith terminate and the total authorized number of directors of the Corporation shall be reduced accordingly.</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Officers</w:t>
      </w:r>
      <w:r>
        <w:rPr>
          <w:rFonts w:ascii="Arial" w:cs="Arial" w:eastAsia="Arial" w:hAnsi="Arial"/>
          <w:sz w:val="18"/>
          <w:szCs w:val="18"/>
          <w:color w:val="auto"/>
        </w:rPr>
        <w:t>. Notwithstanding anything to the contrary in this Certificate of Incorporation or the Bylaws, the Chief Executive Officer and President, if any, and at least two-thirds of the other officers of the Corporation shall be “citizens of the United States” as provided under Applicable Transportation Law for so long as required by Applicable Transportation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Limitation of the Ownership of Equity Securities</w:t>
      </w:r>
      <w:r>
        <w:rPr>
          <w:rFonts w:ascii="Arial" w:cs="Arial" w:eastAsia="Arial" w:hAnsi="Arial"/>
          <w:sz w:val="18"/>
          <w:szCs w:val="18"/>
          <w:color w:val="auto"/>
        </w:rPr>
        <w:t>. All capital stock (including Common Stock and Preferred Stock) of, or other equity interests in, the Corporation (collectively, “</w:t>
      </w:r>
      <w:r>
        <w:rPr>
          <w:rFonts w:ascii="Arial" w:cs="Arial" w:eastAsia="Arial" w:hAnsi="Arial"/>
          <w:sz w:val="18"/>
          <w:szCs w:val="18"/>
          <w:u w:val="single" w:color="auto"/>
          <w:color w:val="auto"/>
        </w:rPr>
        <w:t>Equity Securities</w:t>
      </w:r>
      <w:r>
        <w:rPr>
          <w:rFonts w:ascii="Arial" w:cs="Arial" w:eastAsia="Arial" w:hAnsi="Arial"/>
          <w:sz w:val="18"/>
          <w:szCs w:val="18"/>
          <w:color w:val="auto"/>
        </w:rPr>
        <w:t>”) shall be subject to the following limitations:</w:t>
      </w:r>
    </w:p>
    <w:p>
      <w:pPr>
        <w:spacing w:after="0" w:line="62" w:lineRule="exact"/>
        <w:rPr>
          <w:sz w:val="20"/>
          <w:szCs w:val="20"/>
          <w:color w:val="auto"/>
        </w:rPr>
      </w:pPr>
    </w:p>
    <w:p>
      <w:pPr>
        <w:ind w:right="60" w:firstLine="987"/>
        <w:spacing w:after="0" w:line="254"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Non-Citizen Voting and Ownership Limitations</w:t>
      </w:r>
      <w:r>
        <w:rPr>
          <w:rFonts w:ascii="Arial" w:cs="Arial" w:eastAsia="Arial" w:hAnsi="Arial"/>
          <w:sz w:val="18"/>
          <w:szCs w:val="18"/>
          <w:color w:val="auto"/>
        </w:rPr>
        <w:t>. In no event shall persons or entities who fail to qualify as a “citizen of the United States,” as the term is defined in Section 40102(a)(15) of Subtitle VII of Title 49 of the United States Code, as amended, in any similar legislation of the United States enacted in substitution or replacement therefor, and as interpreted by the United States Department of Transportation, its predecessors and successors, from time to time (“</w:t>
      </w:r>
      <w:r>
        <w:rPr>
          <w:rFonts w:ascii="Arial" w:cs="Arial" w:eastAsia="Arial" w:hAnsi="Arial"/>
          <w:sz w:val="18"/>
          <w:szCs w:val="18"/>
          <w:u w:val="single" w:color="auto"/>
          <w:color w:val="auto"/>
        </w:rPr>
        <w:t>Applicable Transportation Law</w:t>
      </w:r>
      <w:r>
        <w:rPr>
          <w:rFonts w:ascii="Arial" w:cs="Arial" w:eastAsia="Arial" w:hAnsi="Arial"/>
          <w:sz w:val="18"/>
          <w:szCs w:val="18"/>
          <w:color w:val="auto"/>
        </w:rPr>
        <w:t>”), including any agent, trustee or representative of such persons or entities (“</w:t>
      </w:r>
      <w:r>
        <w:rPr>
          <w:rFonts w:ascii="Arial" w:cs="Arial" w:eastAsia="Arial" w:hAnsi="Arial"/>
          <w:sz w:val="18"/>
          <w:szCs w:val="18"/>
          <w:u w:val="single" w:color="auto"/>
          <w:color w:val="auto"/>
        </w:rPr>
        <w:t>Non-Citizens</w:t>
      </w:r>
      <w:r>
        <w:rPr>
          <w:rFonts w:ascii="Arial" w:cs="Arial" w:eastAsia="Arial" w:hAnsi="Arial"/>
          <w:sz w:val="18"/>
          <w:szCs w:val="18"/>
          <w:color w:val="auto"/>
        </w:rPr>
        <w:t>”), be entitled to own (beneficially or of record) and/or control Equity Securities representing more than (i) 24.9% of the aggregate votes of all outstanding Equity Securities of the Corporation (the “</w:t>
      </w:r>
      <w:r>
        <w:rPr>
          <w:rFonts w:ascii="Arial" w:cs="Arial" w:eastAsia="Arial" w:hAnsi="Arial"/>
          <w:sz w:val="18"/>
          <w:szCs w:val="18"/>
          <w:u w:val="single" w:color="auto"/>
          <w:color w:val="auto"/>
        </w:rPr>
        <w:t>Voting Limitation</w:t>
      </w:r>
      <w:r>
        <w:rPr>
          <w:rFonts w:ascii="Arial" w:cs="Arial" w:eastAsia="Arial" w:hAnsi="Arial"/>
          <w:sz w:val="18"/>
          <w:szCs w:val="18"/>
          <w:color w:val="auto"/>
        </w:rPr>
        <w:t>”) and (ii) 49.0% of all outstanding shares of Equity Securities of the Corporation (the “</w:t>
      </w:r>
      <w:r>
        <w:rPr>
          <w:rFonts w:ascii="Arial" w:cs="Arial" w:eastAsia="Arial" w:hAnsi="Arial"/>
          <w:sz w:val="18"/>
          <w:szCs w:val="18"/>
          <w:u w:val="single" w:color="auto"/>
          <w:color w:val="auto"/>
        </w:rPr>
        <w:t>Outstanding Limitation</w:t>
      </w:r>
      <w:r>
        <w:rPr>
          <w:rFonts w:ascii="Arial" w:cs="Arial" w:eastAsia="Arial" w:hAnsi="Arial"/>
          <w:sz w:val="18"/>
          <w:szCs w:val="18"/>
          <w:color w:val="auto"/>
        </w:rPr>
        <w:t>”, and together with the Voting Limitation, the “</w:t>
      </w:r>
      <w:r>
        <w:rPr>
          <w:rFonts w:ascii="Arial" w:cs="Arial" w:eastAsia="Arial" w:hAnsi="Arial"/>
          <w:sz w:val="18"/>
          <w:szCs w:val="18"/>
          <w:u w:val="single" w:color="auto"/>
          <w:color w:val="auto"/>
        </w:rPr>
        <w:t>Cap Amounts</w:t>
      </w:r>
      <w:r>
        <w:rPr>
          <w:rFonts w:ascii="Arial" w:cs="Arial" w:eastAsia="Arial" w:hAnsi="Arial"/>
          <w:sz w:val="18"/>
          <w:szCs w:val="18"/>
          <w:color w:val="auto"/>
        </w:rPr>
        <w:t>”), in each case as more specifically set forth in the Bylaws.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 w:name="page15"/>
    <w:bookmarkEnd w:id="14"/>
    <w:p>
      <w:pPr>
        <w:ind w:right="100" w:firstLine="987"/>
        <w:spacing w:after="0" w:line="287" w:lineRule="auto"/>
        <w:tabs>
          <w:tab w:leader="none" w:pos="124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of Cap Amounts</w:t>
      </w:r>
      <w:r>
        <w:rPr>
          <w:rFonts w:ascii="Arial" w:cs="Arial" w:eastAsia="Arial" w:hAnsi="Arial"/>
          <w:sz w:val="16"/>
          <w:szCs w:val="16"/>
          <w:color w:val="auto"/>
        </w:rPr>
        <w:t>. Except as otherwise set forth in the Bylaws, the restrictions imposed by the Cap Amounts shall be applied to each Non-Citizen in reverse chronological order based upon the date of registration (or attempted registration in the case of the Outstanding Limitation) on the separate stock record maintained by the Corporation or any transfer agent for the registration of Equity Securities held by Non-Citizens (the “</w:t>
      </w:r>
      <w:r>
        <w:rPr>
          <w:rFonts w:ascii="Arial" w:cs="Arial" w:eastAsia="Arial" w:hAnsi="Arial"/>
          <w:sz w:val="16"/>
          <w:szCs w:val="16"/>
          <w:u w:val="single" w:color="auto"/>
          <w:color w:val="auto"/>
        </w:rPr>
        <w:t>Foreign Stock Record</w:t>
      </w:r>
      <w:r>
        <w:rPr>
          <w:rFonts w:ascii="Arial" w:cs="Arial" w:eastAsia="Arial" w:hAnsi="Arial"/>
          <w:sz w:val="16"/>
          <w:szCs w:val="16"/>
          <w:color w:val="auto"/>
        </w:rPr>
        <w:t>”) or the stock transfer records of the Corporation. At no time shall Equity Securities held by Non-Citizens be voted, unless such shares are registered on the Foreign Stock Record. In the event that Non-Citizens shall own (beneficially or of record) or have voting control over any Equity Securities, the voting rights of such persons shall be subject to automatic suspension to the extent required to ensure that the Corporation is in compliance with Applicable Transportation Law. In the event that any transfer of Equity Securities to a Non-Citizen would result in Non-Citizens owning (beneficially or of record) or controlling more than the Outstanding Limitation, such transfer shall be void and of no effect and shall not be recorded in the books and records of the Corporation. The Bylaws shall contain provisions to implement this Article VI, including, without limitation, provisions implementing the restriction or prohibition of the transfer of Equity Securities to Non-Citizens and provisions implementing the restriction or removal of voting rights as to Equity Securities owned or controlled by Non-Citizens as set forth herein. Any determination as to ownership, control or citizenship made by the Board shall be conclusive and binding as between the Corporation and any stockholder.</w:t>
      </w:r>
    </w:p>
    <w:p>
      <w:pPr>
        <w:spacing w:after="0" w:line="16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or other representative document for Equity Securities (including each such certificate or representative document for Equity Securities issued upon any permitted transfer of Equity Securities, securities convertible into or exchangeable for Equity Securities) shall contain a legend in substantially the form specified in the Bylaws.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In furtherance and not in limitation of the rights, powers, privileges and discretionary authority granted or conferred by the DGCL or other statutes or laws of the State of Delaware, the Board is expressly authorized to make, alter, amend or repeal the bylaws of the Corporation (as the same may be amended and/or restated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any action on the part of the stockholders.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Except as otherwise required by law, and subject to the rights of the holders of any series of Preferred Stock, special meetings of the stockholders of the Corporation may be called only by (i) the Chairman of the Board, at any time, (ii) the Secretary of the Corporation at the direction of a majority of the directors then in office, at any time, or (iii) until such time as the Apollo Entities cease to beneficially own at least 50.1% of the outstanding shares of Common Stock (the “</w:t>
      </w:r>
      <w:r>
        <w:rPr>
          <w:rFonts w:ascii="Arial" w:cs="Arial" w:eastAsia="Arial" w:hAnsi="Arial"/>
          <w:sz w:val="17"/>
          <w:szCs w:val="17"/>
          <w:u w:val="single" w:color="auto"/>
          <w:color w:val="auto"/>
        </w:rPr>
        <w:t>Tri</w:t>
      </w:r>
      <w:r>
        <w:rPr>
          <w:rFonts w:ascii="Arial" w:cs="Arial" w:eastAsia="Arial" w:hAnsi="Arial"/>
          <w:sz w:val="17"/>
          <w:szCs w:val="17"/>
          <w:color w:val="auto"/>
        </w:rPr>
        <w:t>gg</w:t>
      </w:r>
      <w:r>
        <w:rPr>
          <w:rFonts w:ascii="Arial" w:cs="Arial" w:eastAsia="Arial" w:hAnsi="Arial"/>
          <w:sz w:val="17"/>
          <w:szCs w:val="17"/>
          <w:u w:val="single" w:color="auto"/>
          <w:color w:val="auto"/>
        </w:rPr>
        <w:t>er Event</w:t>
      </w:r>
      <w:r>
        <w:rPr>
          <w:rFonts w:ascii="Arial" w:cs="Arial" w:eastAsia="Arial" w:hAnsi="Arial"/>
          <w:sz w:val="17"/>
          <w:szCs w:val="17"/>
          <w:color w:val="auto"/>
        </w:rPr>
        <w:t>”), the Secretary of the Corporation at the written request of the holders of a majority of the voting power of the then outstanding Common Stock, and special meetings may not be called by any other person or persons. Business transacted at any special meeting of stockholders shall be limited to the purpose or purposes stated in the notice.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Any repeal or amendment or modification of this Article IX (including by changes in applicable law), or the adoption of any provision of this Certificate of Incorporation inconsistent with this Article IX, shall, to the extent permitted by applicable law, be prospective only (except to the extent such amendment or change in applicable law permits the Corporation to provide a broader limitation on a retroactive basis than permitted prior thereto), and shall not adversely affect any limitation on the personal liability of any director of the Corporation with respect to acts or omissions occurring prior to the time of such repeal or amendment or modification or adoption of such inconsistent provision. If any provision of the DGCL is amended to authorize corporate action further eliminating or limiting the personal liability of directors, then the liability of directors shall be eliminated or limited to the fullest extent permitted by the DGCL, as so amended.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the rights of the holders of one or more series of Preferred Stock then outstanding to act by written consent as provided in any Preferred Stock Certificate of Designation, any action required or permitted to be taken by stockholders must be effected at a duly called annual or special meeting of stockholders; provided, that prior to the Trigger Event, any action required or permitted to be taken at any annual or special meeting of stockholders of the Corporation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the DGCL.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or a person of whom he or she is the legal representative is or was, at any time during which this Certificate of Incorporation is in effect (whether or not such person continues to serve in such capacity at the time any indemnification or payment of expenses pursuant hereto is sought or at the time any proceeding relating thereto exists or is brought), a director or officer of the Corporation or is or was at any such time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an “</w:t>
      </w:r>
      <w:r>
        <w:rPr>
          <w:rFonts w:ascii="Arial" w:cs="Arial" w:eastAsia="Arial" w:hAnsi="Arial"/>
          <w:sz w:val="17"/>
          <w:szCs w:val="17"/>
          <w:u w:val="single" w:color="auto"/>
          <w:color w:val="auto"/>
        </w:rPr>
        <w:t>Indemnitee</w:t>
      </w:r>
      <w:r>
        <w:rPr>
          <w:rFonts w:ascii="Arial" w:cs="Arial" w:eastAsia="Arial" w:hAnsi="Arial"/>
          <w:sz w:val="17"/>
          <w:szCs w:val="17"/>
          <w:color w:val="auto"/>
        </w:rPr>
        <w:t>”), whether the basis of such Proceeding is alleged action in an official capacity as a director, officer, trustee, employee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agent or in any other capacity while serving as a director, officer, trustee, employee or agent, shall be (and shall be deemed to have a contractual right to be) indemnified and held harmless by the Corporation (and any successor of the Corporation by merger or otherwise) to the fullest extent permitted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or penalties arising under the Employee Retirement Income Security Act of 1974 and amounts paid or to be paid in settlement) incurred or suffered by such person in connection therewith and such indemnification shall continue as to a person who has ceased to be a director, officer, trustee, employee or agent and shall inure to the benefit of his or her heirs, executors and administrators; provided, however, that except as provided in Section 11.04 of this Article XI, the Corporation shall indemnify any such person seeking indemnification in connection with a Proceeding (or part thereof) initiated by such person only if such Proceeding (or part thereof) was authorized in the first instance by the Board.</w:t>
      </w:r>
    </w:p>
    <w:p>
      <w:pPr>
        <w:spacing w:after="0" w:line="16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The right to indemnification conferred upon Indemnitees in this Article XI shall include the right, without the need for any action by the Board, to be paid by the Corporation (and any successor of the Corporation by merger or otherwise) the expenses incurred in defending any such Proceeding in advance of its final disposition, such advances to be paid by the Corporation within twenty (20) days after the receipt by the Corporation of a statement or statements from the claimant requesting such advance or advances from time to time; provided, however,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shall be made only upon delivery to the Corporation of an undertaking by or on behalf of such director or officer to repay all amounts so advanced if it shall ultimately be determined by final judicial decision from which there is no further right of appeal that such director or officer is not entitled to be indemnified for such expenses under this Article XI or otherwise.</w:t>
      </w:r>
    </w:p>
    <w:p>
      <w:pPr>
        <w:spacing w:after="0" w:line="18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Nature of Rights; Other Sources</w:t>
      </w:r>
      <w:r>
        <w:rPr>
          <w:rFonts w:ascii="Arial" w:cs="Arial" w:eastAsia="Arial" w:hAnsi="Arial"/>
          <w:sz w:val="17"/>
          <w:szCs w:val="17"/>
          <w:color w:val="auto"/>
        </w:rPr>
        <w:t>. The rights conferred upon Indemnitees in this Article XI shall be contract rights between the Corporation and each Indemnitee to whom such rights are extended that vest at the commencement of such person’s service to or at the request of the Corporation and all such rights shall continue as to an Indemnitee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the Indemnitee’s heirs, executors and administrators. The Corporation hereby acknowledges that certain Indemnitees may have certain rights to indemnification, advancement of expenses and/or insurance (other than directors’ and officers’ liability insurance or similar insurance obtained or maintained by or on behalf of the Corporation, its affiliates or any of the foregoing’s respective subsidiaries) from persons or entities other than the Corporation (collectively, the “</w:t>
      </w:r>
      <w:r>
        <w:rPr>
          <w:rFonts w:ascii="Arial" w:cs="Arial" w:eastAsia="Arial" w:hAnsi="Arial"/>
          <w:sz w:val="17"/>
          <w:szCs w:val="17"/>
          <w:u w:val="single" w:color="auto"/>
          <w:color w:val="auto"/>
        </w:rPr>
        <w:t>Other Indemnitors</w:t>
      </w:r>
      <w:r>
        <w:rPr>
          <w:rFonts w:ascii="Arial" w:cs="Arial" w:eastAsia="Arial" w:hAnsi="Arial"/>
          <w:sz w:val="17"/>
          <w:szCs w:val="17"/>
          <w:color w:val="auto"/>
        </w:rPr>
        <w:t>”). The Corporation hereby agrees (i) that it is the indemnitor of first resort of the Indemnitees (i.e., its obligations to an Indemnitee hereunder are primary and any obligation of the Other Indemnitors to advance expenses or to provide indemnification for the same expenses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17" w:name="page18"/>
    <w:bookmarkEnd w:id="17"/>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liabilities incurred by such Indemnitee are secondary), (ii) that it shall be required to advance the full amount of expenses incurred by an Indemnitee and shall be liable for the full amount of all losses, claims, damages, liabilities and expenses (including attorneys’ fees, judgments, fines, penalties and amounts paid in settlement) to the extent legally permitted and as required by the terms hereof, without regard to any rights an Indemnitee may have against the Other Indemnitors, and (iii) that it irrevocably waives, relinquishes and releases the Other Indemnitors from any and all claims against the Other Indemnitors for contribution, subrogation or any other recovery of any kind in respect thereof. The Corporation further agrees that no advancement or payment by the Other Indemnitors on behalf of an Indemnitee with respect to any claim for which such Indemnitee has sought indemnification from the Corporation hereunder shall affect the foregoing and the Other Indemnitors shall have a right of contribution and/or be subrogated to the extent of such advancement or payment to all of the rights of recovery of such Indemnitee against the Corporation. For the avoidance of doubt, no person or entity providing directors’ or officers’ liability insurance or similar insurance obtained or maintained by or on behalf of the Corporation, any of its affiliates or any of the foregoing’s respective subsidiaries, including any person or entity providing such insurance obtained or maintained as contemplated by Section 11.08, shall be an Other Indemnitor.</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Claims</w:t>
      </w:r>
      <w:r>
        <w:rPr>
          <w:rFonts w:ascii="Arial" w:cs="Arial" w:eastAsia="Arial" w:hAnsi="Arial"/>
          <w:sz w:val="17"/>
          <w:szCs w:val="17"/>
          <w:color w:val="auto"/>
        </w:rPr>
        <w:t>. To obtain indemnification under this Article XI,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11.04, a determination, if required by applicable law, with respect to the claimant’s entitlement thereto shall be made as follows: (i) if requested by the claimant, by Independent Counsel (as hereinafter defined), or (ii) if no request is made by the claimant for a determination by Independent Counsel, (a) by a majority vote of Disinterested Directors (as hereinafter defined), even though less than a quorum, (b) if there are no such Disinterested Directors, or if a majority of the Disinterested Directors so directs, by Independent Counsel in a written opinion to the Board, a copy of which shall be delivered to the claimant, or (c) if a majority of Disinterested Directors so directs, by a majority of the stockholders of the Corporation. In the event the determination of entitlement to indemnification is to be made by Independent Counsel, the Independent Counsel shall be selected by the Board. If it is so determined that the claimant is entitled to indemnification, payment to the claimant shall be made within ten (10) days after such determination.</w:t>
      </w:r>
    </w:p>
    <w:p>
      <w:pPr>
        <w:spacing w:after="0" w:line="18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Enforcement</w:t>
      </w:r>
      <w:r>
        <w:rPr>
          <w:rFonts w:ascii="Arial" w:cs="Arial" w:eastAsia="Arial" w:hAnsi="Arial"/>
          <w:sz w:val="16"/>
          <w:szCs w:val="16"/>
          <w:color w:val="auto"/>
        </w:rPr>
        <w:t>. If a claim under Section 11.01 of this Article XI is not paid in full by the Corporation within sixty (60) days after a written claim pursuant to Section 11.04 of this Article XI has been received by the Corporation, or if a claim under Section 11.02 of this Article XI is not paid in full by the Corporation within twenty (20) days after a written claim therefor has been made, the claimant may at any time thereafter bring suit against the Corporation to recover the unpaid amount of the claim and, if successful in whole or in part, the claimant shall be entitled to be paid also the expense of prosecuting such claim to the fullest extent permitted by law. It shall be a defense to any such action that in the case of a claim for indemnification, the claimant has not met the standard of conduct which makes it permissible under the DGCL for the Corporation to indemnify the claimant for the amount claimed. Neither the failure of the Corporation (including its Board, Disinterested Directors, Independent Counsel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 w:name="page19"/>
    <w:bookmarkEnd w:id="18"/>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7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Procedures</w:t>
      </w:r>
      <w:r>
        <w:rPr>
          <w:rFonts w:ascii="Arial" w:cs="Arial" w:eastAsia="Arial" w:hAnsi="Arial"/>
          <w:sz w:val="18"/>
          <w:szCs w:val="18"/>
          <w:color w:val="auto"/>
        </w:rPr>
        <w:t>. If a determination shall have been made pursuant to Section 11.04 of this Article XI that the claimant is entitled to indemnification, the Corporation shall be bound by such determination in any judicial proceeding commenced pursuant to Section 11.05 of this Article XI. The Corporation shall be precluded from asserting in any judicial proceeding commenced pursuant to Section 11.05 of this Article XI that the procedures and presumptions of this Article XI are not valid, binding and enforceable and shall stipulate in such proceeding that the Corporation is bound by all the provisions of this Article XI.</w:t>
      </w:r>
    </w:p>
    <w:p>
      <w:pPr>
        <w:spacing w:after="0" w:line="18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Non-Exclusive Rights</w:t>
      </w:r>
      <w:r>
        <w:rPr>
          <w:rFonts w:ascii="Arial" w:cs="Arial" w:eastAsia="Arial" w:hAnsi="Arial"/>
          <w:sz w:val="16"/>
          <w:szCs w:val="16"/>
          <w:color w:val="auto"/>
        </w:rPr>
        <w:t>. The right to indemnification and the payment of expenses incurred in defending a Proceeding in advance of its final disposition conferred in this Article XI: (i) shall not be exclusive of any other right which any person may have or hereafter acquire under any statute, provision of this Certificate of Incorporation, Bylaws, agreement, vote of stockholders or Disinterested Directors or otherwise and (ii) cannot be terminated by the Corporation, the Board or the stockholders of the Corporation with respect to any act or omission that is the subject of the Proceeding for which indemnification or advancement of expenses is sought prior to the date of such termination. Any amendment, modification, alteration or repeal of this Article XI (by merger, consolidation or otherwise) that in any way diminishes, limits, restricts, adversely affects or eliminates any right of an Indemnitee or his or her successors to indemnification, advancement of expenses or otherwise shall be prospective only and shall not, without the written consent of the Indemnitee, in any way diminish, limit, restrict, adversely affect or eliminate any such right with respect to any actual or alleged state of facts, occurrence, action or omission then or previously existing, or any action, suit or proceeding previously or thereafter brought or threatened based in whole or in part upon any such actual or alleged state of facts, occurrence, action or omission.</w:t>
      </w:r>
    </w:p>
    <w:p>
      <w:pPr>
        <w:spacing w:after="0" w:line="16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Additional Rights</w:t>
      </w:r>
      <w:r>
        <w:rPr>
          <w:rFonts w:ascii="Arial" w:cs="Arial" w:eastAsia="Arial" w:hAnsi="Arial"/>
          <w:sz w:val="18"/>
          <w:szCs w:val="18"/>
          <w:color w:val="auto"/>
        </w:rPr>
        <w:t>. The Board may grant rights to indemnification, and rights to be paid by the Corporation the expenses incurred in connection with any Proceeding in advance of its final disposition, to any current or former employee or agent of the Corporation to the fullest extent of the provisions of this Article XI with respect to the indemnification and advancement of expenses of current or former directors and officers of the Corporation.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19" w:name="page20"/>
    <w:bookmarkEnd w:id="19"/>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Article XI shall be held to be invalid, illegal or unenforceable for any reason whatsoever: (i) the validity, legality and enforceability of the remaining provisions of this Article XI (including, without limitation, each portion of any Section of this Article XI containing any such provision held to be invalid, illegal or unenforceable, that is not itself held to be invalid, illegal or unenforceable) shall not in any way be affected or impaired thereby; and (ii) to the fullest extent possible, the provisions of this Article XI (including, without limitation, each such portion of any Section of this Article XI containing any such provision held to be invalid, illegal or unenforceable) shall be construed so as to give effect to the intent manifested by the provision held invalid, illegal or unenforceable.</w:t>
      </w:r>
    </w:p>
    <w:p>
      <w:pPr>
        <w:spacing w:after="0" w:line="17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Definitions; Construction</w:t>
      </w:r>
      <w:r>
        <w:rPr>
          <w:rFonts w:ascii="Arial" w:cs="Arial" w:eastAsia="Arial" w:hAnsi="Arial"/>
          <w:sz w:val="16"/>
          <w:szCs w:val="16"/>
          <w:color w:val="auto"/>
        </w:rPr>
        <w:t>. For purposes of this Article XI: “Disinterested Director” means a director of the Corporation who is not and was not a party to the Proceeding in respect of which indemnification is sought by the claimant; and “Independent Counsel” means a law firm, a member of a law firm, or an independent practitioner, that is experienced in matters of corporate law and shall include any person who, under the applicable standards of professional conduct then prevailing, would not have a conflict of interest in representing either the Corporation or the claimant in an action to determine the claimant’s rights under this Article XI. Any reference to an officer of the Corporation in this Article XI shall be deemed to refer exclusively to the officers appointed as such pursuant to the Bylaws by the Board or by an officer to whom the Board has delegated the power to appoint officers,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XI.</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or other communication required or permitted to be given to the Corporation under this Article XI shall be in writing and either delivered in person or sent by telecopy, fax, email, overnight mail or courier service, or certified or registered mail, postage prepaid, return receipt requested, to the Secretary of the Corporation and shall be effective only upon receipt by the Secretary.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Recognition of Corporate Opportunities</w:t>
      </w:r>
      <w:r>
        <w:rPr>
          <w:rFonts w:ascii="Arial" w:cs="Arial" w:eastAsia="Arial" w:hAnsi="Arial"/>
          <w:sz w:val="17"/>
          <w:szCs w:val="17"/>
          <w:color w:val="auto"/>
        </w:rPr>
        <w:t>. In recognition and anticipation that (i) certain directors, officers, principals, partners, members, managers, employees, agents and/or other representatives of the Apollo Entities and their respective Affiliates and the Amazon Investor and its respective Affiliates may serve as directors, officers or agents of the Corporation and its Affiliates, and (ii) the Apollo Entities and their respective Affiliates and the Amazon Investor and its respective Affiliates may now engage and may continue to engage in the same or similar activities or related lines of business as those in which the Corporation and Affiliates, directly or indirectly, may engage and/or other business activities that overlap with or compete with those in which the Corporation and its Affiliates, directly or indirectly, may engage,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 w:name="page21"/>
    <w:bookmarkEnd w:id="20"/>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this Article XII are set forth to regulate and define the conduct of certain affairs of the Corporation and its Affiliates with respect to certain classes or categories of business opportunities as they may involve the Apollo Entities and their respective Affiliates or the Amazon Investor and its respective Affiliates, as applicable, and any person or entity who, while a stockholder, director, officer or agent of the Corporation or any of its Affiliates, is a director, officer, principal, partner, member, manager, employee, agent and/or other representative of the Apollo Entities and their respective Affiliates or the Amazon Investor and its respective Affiliates, as applicable (each,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on the one hand, and the powers, rights, duties and liabilities of the Corporation and its Affiliates and its and their respective stockholders, directors, officers, and agents in connection therewith, on the other. To the fullest extent permitted by law (including, without limitation, the DGCL), and notwithstanding any other duty (contractual, fiduciary or otherwise, whether at law or in equity), each Identified Person (i) shall have the right to, and shall have no duty (contractual, fiduciary or otherwise, whether at law or in equity) not to, directly or indirectly, engage in and possess interests in other business ventures of every type and description, including those engaged in the same or similar business activities or lines of business as the Corporation or any of its Affiliates or deemed to be competing with the Corporation or any of its Affiliates, on its own account, or in partnership with, or as a direct or indirect equity holder, controlling person, stockholder, director, officer, employee, agent, Affiliate (including any portfolio company), member, financing source, investor, director or indirect manager, general or limited partner or assignee of any other person or entity with no obligation to offer to the Corporation or its subsidiaries or other Affiliates the right to participate therein and (ii) shall have the right to invest in, or provide services to, any person that is engaged in the same or similar business activities as the Corporation or its Affiliates or directly or indirectly competes with the Corporation or any of its Affiliates.</w:t>
      </w:r>
    </w:p>
    <w:p>
      <w:pPr>
        <w:spacing w:after="0" w:line="18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Competitive Opportunities</w:t>
      </w:r>
      <w:r>
        <w:rPr>
          <w:rFonts w:ascii="Arial" w:cs="Arial" w:eastAsia="Arial" w:hAnsi="Arial"/>
          <w:sz w:val="16"/>
          <w:szCs w:val="16"/>
          <w:color w:val="auto"/>
        </w:rPr>
        <w:t>. In the event that any Identified Person acquires knowledge of a potential transaction or matter which may be an investment, corporate or business opportunity or prospective economic or competitive advantage in which the Corporation or its Affiliates could have an interest or expectancy (contractual, equitable or otherwise) (a “</w:t>
      </w:r>
      <w:r>
        <w:rPr>
          <w:rFonts w:ascii="Arial" w:cs="Arial" w:eastAsia="Arial" w:hAnsi="Arial"/>
          <w:sz w:val="16"/>
          <w:szCs w:val="16"/>
          <w:u w:val="single" w:color="auto"/>
          <w:color w:val="auto"/>
        </w:rPr>
        <w:t>Competitive Opportunity</w:t>
      </w:r>
      <w:r>
        <w:rPr>
          <w:rFonts w:ascii="Arial" w:cs="Arial" w:eastAsia="Arial" w:hAnsi="Arial"/>
          <w:sz w:val="16"/>
          <w:szCs w:val="16"/>
          <w:color w:val="auto"/>
        </w:rPr>
        <w:t>”) or otherwise is then exploiting any Competitive Opportunity, to the fullest extent permitted under the DGCL and notwithstanding any other duty existing at law or in equity, the Corporation and its Affiliates will have no interest in, and no expectation (contractual, equitable or otherwise) that such Competitive Opportunity be offered to it. To the fullest extent permitted by law, any such interest or expectation (contractual, equitable or otherwise) is hereby renounced so that such Identified Person shall (i) have no duty to communicate or present such Competitive Opportunity to the Corporation or its Affiliates, (ii) have the right to either hold any such Competitive Opportunity for such Identified Person’s own account and benefit or the account of the former, current or future direct or indirect equity holders, controlling persons, stockholders, directors, officers, employees, agents, Affiliates, members, financing sources, investors, direct or indirect managers, general or limited partners or assignees of any Identified Person or to direct, recommend, assign or otherwise transfer such Competitive Opportunity to persons or entities other than the Corporation or any of its subsidiaries, Affiliates or direct or indirect equity holders and</w:t>
      </w:r>
    </w:p>
    <w:p>
      <w:pPr>
        <w:spacing w:after="0" w:line="4" w:lineRule="exact"/>
        <w:rPr>
          <w:sz w:val="20"/>
          <w:szCs w:val="20"/>
          <w:color w:val="auto"/>
        </w:rPr>
      </w:pPr>
    </w:p>
    <w:p>
      <w:pPr>
        <w:ind w:left="324" w:hanging="324"/>
        <w:spacing w:after="0"/>
        <w:tabs>
          <w:tab w:leader="none" w:pos="3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notwithstanding any provision in this Certificate of Incorporation to the contrary, not be obligated or liable to the Corporation, any stockholder,</w:t>
      </w:r>
    </w:p>
    <w:p>
      <w:pPr>
        <w:spacing w:after="0" w:line="20" w:lineRule="exact"/>
        <w:rPr>
          <w:rFonts w:ascii="Arial" w:cs="Arial" w:eastAsia="Arial" w:hAnsi="Arial"/>
          <w:sz w:val="17"/>
          <w:szCs w:val="17"/>
          <w:color w:val="auto"/>
        </w:rPr>
      </w:pPr>
    </w:p>
    <w:p>
      <w:pPr>
        <w:jc w:val="both"/>
        <w:ind w:left="4"/>
        <w:spacing w:after="0" w:line="255" w:lineRule="auto"/>
        <w:rPr>
          <w:rFonts w:ascii="Arial" w:cs="Arial" w:eastAsia="Arial" w:hAnsi="Arial"/>
          <w:sz w:val="17"/>
          <w:szCs w:val="17"/>
          <w:color w:val="auto"/>
        </w:rPr>
      </w:pPr>
      <w:r>
        <w:rPr>
          <w:rFonts w:ascii="Arial" w:cs="Arial" w:eastAsia="Arial" w:hAnsi="Arial"/>
          <w:sz w:val="18"/>
          <w:szCs w:val="18"/>
          <w:color w:val="auto"/>
        </w:rPr>
        <w:t>director or officer of the Corporation or any other person or entity by reason of the fact that such Identified Person, directly or indirectly, took any of the actions noted in the immediately preceding clause (ii), pursued or acquired such Competitive Opportunity for itself or any other person or entity or failed to communicate or present such Competitive Opportunity to the Corporation or its Affiliates.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1" w:name="page22"/>
    <w:bookmarkEnd w:id="21"/>
    <w:p>
      <w:pPr>
        <w:ind w:right="1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12.03 </w:t>
      </w:r>
      <w:r>
        <w:rPr>
          <w:rFonts w:ascii="Arial" w:cs="Arial" w:eastAsia="Arial" w:hAnsi="Arial"/>
          <w:sz w:val="16"/>
          <w:szCs w:val="16"/>
          <w:u w:val="single" w:color="auto"/>
          <w:color w:val="auto"/>
        </w:rPr>
        <w:t>Acknowledgement</w:t>
      </w:r>
      <w:r>
        <w:rPr>
          <w:rFonts w:ascii="Arial" w:cs="Arial" w:eastAsia="Arial" w:hAnsi="Arial"/>
          <w:sz w:val="16"/>
          <w:szCs w:val="16"/>
          <w:color w:val="auto"/>
        </w:rPr>
        <w:t>. Any person or entity purchasing or otherwise acquiring or holding any interest in any shares of capital stock of the Corporation or any other interest in the Corporation shall be deemed to have notice of and to have consented to the provisions of this Article XII.</w:t>
      </w:r>
    </w:p>
    <w:p>
      <w:pPr>
        <w:spacing w:after="0" w:line="12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Interpretation; Duties</w:t>
      </w:r>
      <w:r>
        <w:rPr>
          <w:rFonts w:ascii="Arial" w:cs="Arial" w:eastAsia="Arial" w:hAnsi="Arial"/>
          <w:sz w:val="17"/>
          <w:szCs w:val="17"/>
          <w:color w:val="auto"/>
        </w:rPr>
        <w:t>. In the event of a conflict or other inconsistency between this Article XII and any other Article or provision of this Certificate of Incorporation, this Article XII shall prevail under all circumstances. Notwithstanding anything to the contrary herein, under no circumstances shall the provisions of this Article XII (other than this Section 12.04 of this Article XII) apply to (or result in or be deemed to result in a limitation or elimination of any duty (contractual, fiduciary or otherwise, whether at law or in equity)) owed by any employee of the Corporation or any of its subsidiaries, irrespective of whether such employee otherwise would be an Identified Person, and any Competitive Opportunity waived or renounced by any person or entity pursuant to such other provisions of this Article XII shall be expressly reserved and maintained by such person or entity, as applicable (and shall not be waived or renounced) as to any such employee.</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Section 122(17) of the DGCL</w:t>
      </w:r>
      <w:r>
        <w:rPr>
          <w:rFonts w:ascii="Arial" w:cs="Arial" w:eastAsia="Arial" w:hAnsi="Arial"/>
          <w:sz w:val="18"/>
          <w:szCs w:val="18"/>
          <w:color w:val="auto"/>
        </w:rPr>
        <w:t>. For the avoidance of doubt, subject to Section 12.04 of this Article XII, this Article XII is intended to constitute, with respect to the Identified Persons, a disclaimer and renunciation, to the fullest extent permitted under Section 122(17) of the DGCL, of any right of the Corporation or any of its Affiliates with respect to the matters set forth in this Article XII, and this Article XII shall be construed to effect such disclaimer and renunciation to the fullest extent permitted under the DGCL.</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Definitions</w:t>
      </w:r>
      <w:r>
        <w:rPr>
          <w:rFonts w:ascii="Arial" w:cs="Arial" w:eastAsia="Arial" w:hAnsi="Arial"/>
          <w:sz w:val="18"/>
          <w:szCs w:val="18"/>
          <w:color w:val="auto"/>
        </w:rPr>
        <w:t>. Solely for purposes of this Article XII, “Affiliate” shall mean (a) with respect to the Apollo Entities, any person or entity that, directly or indirectly, is controlled by an Apollo Entity, controls an Apollo Entity, or is under common control with an Apollo Entity, but excluding (x) the Corporation, and (y) any entity that is controlled by the Corporation (including its direct and indirect subsidiaries), (b) with respect to the Amazon Investor, any person or entity that, directly or indirectly, is controlled by, or is under common control with, Amazon.com, Inc. and (c) in respect of the Corporation, any person or entity that, directly or indirectly, is controlled by the Corporation. As used in this Section 12.06, the term “control” when used with respect to any person shall mean the power to direct the management or policies of such person, directly or indirectly, whether through ownership of voting securities, by contract or otherwise, and the terms “controlling” and “controlled” shall have meanings correlative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any director, officer, other employee or stockholder of the Corporation, (c) any action asserting a claim arising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 w:name="page23"/>
    <w:bookmarkEnd w:id="22"/>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any provision of the DGCL or of this Certificate of Incorporation or the Bylaws or as to which the DGCL confers jurisdiction on the Court of Chancery of the State of Delaware, or (d) any action asserting a claim against the Corporation or any director or officer of the Corporation governed by the internal affairs doctrine. Notwithstanding anything to the contrary herein, but subject to the foregoing provisions of this Article XIII, the federal district courts of the United States shall be the exclusive forum for the resolution of any action, suit or proceedings asserting a cause of action arising under the Securities Act of 1933, as amended. The provisions of this Article XIII do not apply to claims arising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Any person or entity purchasing or otherwise acquiring any interest in shares of capital stock of the Corporation shall be deemed to have notice of and, to the fullest extent permitted by law, to have consented to the provisions of this Article XIII.</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xml:space="preserve"> The Corporation hereby expressly elects not to be governed by Section 203 of the DGCL.</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Interested Stockholders</w:t>
      </w:r>
      <w:r>
        <w:rPr>
          <w:rFonts w:ascii="Arial" w:cs="Arial" w:eastAsia="Arial" w:hAnsi="Arial"/>
          <w:sz w:val="16"/>
          <w:szCs w:val="16"/>
          <w:color w:val="auto"/>
        </w:rPr>
        <w:t>. Notwithstanding the foregoing, the Corporation shall not engage in any business combination (as defined below), at any point in time at which the Common Stock is registered under Section 12(b) or 12(g) of the Exchange Act, with any interested stockholder (as defined below) for a period of three (3) years following the time that such stockholder became an interested stockholder, unless:</w:t>
      </w:r>
    </w:p>
    <w:p>
      <w:pPr>
        <w:spacing w:after="0" w:line="41" w:lineRule="exact"/>
        <w:rPr>
          <w:sz w:val="20"/>
          <w:szCs w:val="20"/>
          <w:color w:val="auto"/>
        </w:rPr>
      </w:pPr>
    </w:p>
    <w:p>
      <w:pPr>
        <w:ind w:right="160" w:firstLine="987"/>
        <w:spacing w:after="0" w:line="277"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firstLine="987"/>
        <w:spacing w:after="0" w:line="275" w:lineRule="auto"/>
        <w:tabs>
          <w:tab w:leader="none" w:pos="12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68" w:lineRule="exact"/>
        <w:rPr>
          <w:rFonts w:ascii="Arial" w:cs="Arial" w:eastAsia="Arial" w:hAnsi="Arial"/>
          <w:sz w:val="17"/>
          <w:szCs w:val="17"/>
          <w:color w:val="auto"/>
        </w:rPr>
      </w:pPr>
    </w:p>
    <w:p>
      <w:pPr>
        <w:ind w:right="300" w:firstLine="987"/>
        <w:spacing w:after="0" w:line="263"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Certain Exceptions</w:t>
      </w:r>
      <w:r>
        <w:rPr>
          <w:rFonts w:ascii="Arial" w:cs="Arial" w:eastAsia="Arial" w:hAnsi="Arial"/>
          <w:sz w:val="18"/>
          <w:szCs w:val="18"/>
          <w:color w:val="auto"/>
        </w:rPr>
        <w:t>. The restrictions contained in this Article XIV shall not apply if:</w:t>
      </w:r>
    </w:p>
    <w:p>
      <w:pPr>
        <w:spacing w:after="0" w:line="117" w:lineRule="exact"/>
        <w:rPr>
          <w:sz w:val="20"/>
          <w:szCs w:val="20"/>
          <w:color w:val="auto"/>
        </w:rPr>
      </w:pPr>
    </w:p>
    <w:p>
      <w:pPr>
        <w:ind w:firstLine="987"/>
        <w:spacing w:after="0" w:line="259"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the business combination between the Corporation and such stockholder, have been an interested stockholder but for the inadvertent acquisition of ownership,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3" w:name="page24"/>
    <w:bookmarkEnd w:id="23"/>
    <w:p>
      <w:pPr>
        <w:ind w:left="4" w:right="40" w:firstLine="987"/>
        <w:spacing w:after="0" w:line="283" w:lineRule="auto"/>
        <w:tabs>
          <w:tab w:leader="none" w:pos="1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Section 14.03(b), (ii) is with or by a person who either was not an interested stockholder during the previous three years or who became an interested stockholder with the approval of the Board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whether as part of a dissolution or otherwise, of assets of the Corporation or of any direct or indirect majority-owned subsidiary of the Corporation (other than to any direct or indirect wholly owned subsidiary or to the Corporation ) having an aggregate market value equal to fifty percent or more of either that aggregate market value of all the assets of the Corporation determined on a consolidated basis or the aggregate market value of all the outstanding stock of the Corporation or (z) a proposed tender or exchange offer for fifty percent or more of the outstanding voting stock of the Corporation. The Corporation shall give not less than 20 days’ notice to all interested stockholders prior to the consummation of any of the transactions described in clause (x) or (y) of the second sentence of this</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14.03.</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XIV only, references to:</w:t>
      </w:r>
    </w:p>
    <w:p>
      <w:pPr>
        <w:spacing w:after="0" w:line="117" w:lineRule="exact"/>
        <w:rPr>
          <w:sz w:val="20"/>
          <w:szCs w:val="20"/>
          <w:color w:val="auto"/>
        </w:rPr>
      </w:pPr>
    </w:p>
    <w:p>
      <w:pPr>
        <w:ind w:left="4" w:right="520" w:firstLine="987"/>
        <w:spacing w:after="0" w:line="277"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62" w:lineRule="exact"/>
        <w:rPr>
          <w:rFonts w:ascii="Arial" w:cs="Arial" w:eastAsia="Arial" w:hAnsi="Arial"/>
          <w:sz w:val="18"/>
          <w:szCs w:val="18"/>
          <w:color w:val="auto"/>
        </w:rPr>
      </w:pPr>
    </w:p>
    <w:p>
      <w:pPr>
        <w:jc w:val="both"/>
        <w:ind w:left="4" w:firstLine="987"/>
        <w:spacing w:after="0" w:line="263" w:lineRule="auto"/>
        <w:tabs>
          <w:tab w:leader="none" w:pos="12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“Apollo Direct Transferee” means any person that acquires (other than in a registered public offering) directly from an Apollo Entity or any of its affiliates or successors or any “group”, or any member of any such group, of which such persons are a party under Rule 13d-5 of the Exchange Act, beneficial ownership of 15% or more of the then outstanding voting stock of the Corporation.</w:t>
      </w:r>
    </w:p>
    <w:p>
      <w:pPr>
        <w:spacing w:after="0" w:line="75" w:lineRule="exact"/>
        <w:rPr>
          <w:rFonts w:ascii="Arial" w:cs="Arial" w:eastAsia="Arial" w:hAnsi="Arial"/>
          <w:sz w:val="18"/>
          <w:szCs w:val="18"/>
          <w:color w:val="auto"/>
        </w:rPr>
      </w:pPr>
    </w:p>
    <w:p>
      <w:pPr>
        <w:ind w:left="4" w:firstLine="987"/>
        <w:spacing w:after="0" w:line="34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“Apollo Indirect Transferee” means any person that acquires (other than in a registered public offering) directly from any Apollo Direct Transferee or any other Apollo Indirect Transferee beneficial ownership of 15% or more of the then outstanding voting stock of the Corporation.</w:t>
      </w:r>
    </w:p>
    <w:p>
      <w:pPr>
        <w:spacing w:after="0" w:line="15" w:lineRule="exact"/>
        <w:rPr>
          <w:rFonts w:ascii="Arial" w:cs="Arial" w:eastAsia="Arial" w:hAnsi="Arial"/>
          <w:sz w:val="16"/>
          <w:szCs w:val="16"/>
          <w:color w:val="auto"/>
        </w:rPr>
      </w:pPr>
    </w:p>
    <w:p>
      <w:pPr>
        <w:ind w:left="4" w:right="160" w:firstLine="987"/>
        <w:spacing w:after="0" w:line="291" w:lineRule="auto"/>
        <w:tabs>
          <w:tab w:leader="none" w:pos="125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w:t>
      </w:r>
    </w:p>
    <w:p>
      <w:pPr>
        <w:ind w:left="4" w:right="600" w:hanging="4"/>
        <w:spacing w:after="0" w:line="323" w:lineRule="auto"/>
        <w:tabs>
          <w:tab w:leader="none" w:pos="2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4" w:name="page25"/>
    <w:bookmarkEnd w:id="24"/>
    <w:p>
      <w:pPr>
        <w:ind w:left="1244" w:hanging="253"/>
        <w:spacing w:after="0"/>
        <w:tabs>
          <w:tab w:leader="none" w:pos="1244" w:val="left"/>
        </w:tabs>
        <w:numPr>
          <w:ilvl w:val="1"/>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combination”, when used in reference to the Corporation and any interested stockholder of the Corporation, means:</w:t>
      </w:r>
    </w:p>
    <w:p>
      <w:pPr>
        <w:spacing w:after="0" w:line="128" w:lineRule="exact"/>
        <w:rPr>
          <w:rFonts w:ascii="Arial" w:cs="Arial" w:eastAsia="Arial" w:hAnsi="Arial"/>
          <w:sz w:val="17"/>
          <w:szCs w:val="17"/>
          <w:color w:val="auto"/>
        </w:rPr>
      </w:pPr>
    </w:p>
    <w:p>
      <w:pPr>
        <w:ind w:left="4" w:firstLine="1428"/>
        <w:spacing w:after="0" w:line="311" w:lineRule="auto"/>
        <w:tabs>
          <w:tab w:leader="none" w:pos="1651" w:val="left"/>
        </w:tabs>
        <w:numPr>
          <w:ilvl w:val="2"/>
          <w:numId w:val="19"/>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14.02 of this Article XIV is not applicable to the surviving entity;</w:t>
      </w:r>
    </w:p>
    <w:p>
      <w:pPr>
        <w:spacing w:after="0" w:line="40" w:lineRule="exact"/>
        <w:rPr>
          <w:rFonts w:ascii="Arial" w:cs="Arial" w:eastAsia="Arial" w:hAnsi="Arial"/>
          <w:sz w:val="16"/>
          <w:szCs w:val="16"/>
          <w:color w:val="auto"/>
        </w:rPr>
      </w:pPr>
    </w:p>
    <w:p>
      <w:pPr>
        <w:ind w:left="4" w:right="40" w:firstLine="1428"/>
        <w:spacing w:after="0" w:line="257" w:lineRule="auto"/>
        <w:tabs>
          <w:tab w:leader="none" w:pos="1701"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79" w:lineRule="exact"/>
        <w:rPr>
          <w:rFonts w:ascii="Arial" w:cs="Arial" w:eastAsia="Arial" w:hAnsi="Arial"/>
          <w:sz w:val="18"/>
          <w:szCs w:val="18"/>
          <w:color w:val="auto"/>
        </w:rPr>
      </w:pPr>
    </w:p>
    <w:p>
      <w:pPr>
        <w:ind w:left="4" w:right="220" w:firstLine="1428"/>
        <w:spacing w:after="0" w:line="286" w:lineRule="auto"/>
        <w:tabs>
          <w:tab w:leader="none" w:pos="1751" w:val="left"/>
        </w:tabs>
        <w:numPr>
          <w:ilvl w:val="2"/>
          <w:numId w:val="19"/>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w:t>
      </w:r>
    </w:p>
    <w:p>
      <w:pPr>
        <w:spacing w:after="0" w:line="1" w:lineRule="exact"/>
        <w:rPr>
          <w:rFonts w:ascii="Arial" w:cs="Arial" w:eastAsia="Arial" w:hAnsi="Arial"/>
          <w:sz w:val="16"/>
          <w:szCs w:val="16"/>
          <w:color w:val="auto"/>
        </w:rPr>
      </w:pPr>
    </w:p>
    <w:p>
      <w:pPr>
        <w:ind w:left="4" w:hanging="4"/>
        <w:spacing w:after="0" w:line="281"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w:t>
      </w:r>
    </w:p>
    <w:p>
      <w:pPr>
        <w:spacing w:after="0" w:line="2" w:lineRule="exact"/>
        <w:rPr>
          <w:rFonts w:ascii="Arial" w:cs="Arial" w:eastAsia="Arial" w:hAnsi="Arial"/>
          <w:sz w:val="16"/>
          <w:szCs w:val="16"/>
          <w:color w:val="auto"/>
        </w:rPr>
      </w:pPr>
    </w:p>
    <w:p>
      <w:pPr>
        <w:ind w:left="4" w:right="540"/>
        <w:spacing w:after="0" w:line="323" w:lineRule="auto"/>
        <w:rPr>
          <w:rFonts w:ascii="Arial" w:cs="Arial" w:eastAsia="Arial" w:hAnsi="Arial"/>
          <w:sz w:val="16"/>
          <w:szCs w:val="16"/>
          <w:color w:val="auto"/>
        </w:rPr>
      </w:pPr>
      <w:r>
        <w:rPr>
          <w:rFonts w:ascii="Arial" w:cs="Arial" w:eastAsia="Arial" w:hAnsi="Arial"/>
          <w:sz w:val="16"/>
          <w:szCs w:val="16"/>
          <w:color w:val="auto"/>
        </w:rPr>
        <w:t>(c)-(e)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30" w:lineRule="exact"/>
        <w:rPr>
          <w:rFonts w:ascii="Arial" w:cs="Arial" w:eastAsia="Arial" w:hAnsi="Arial"/>
          <w:sz w:val="16"/>
          <w:szCs w:val="16"/>
          <w:color w:val="auto"/>
        </w:rPr>
      </w:pPr>
    </w:p>
    <w:p>
      <w:pPr>
        <w:ind w:left="4" w:right="120" w:firstLine="1428"/>
        <w:spacing w:after="0" w:line="257" w:lineRule="auto"/>
        <w:tabs>
          <w:tab w:leader="none" w:pos="1741"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5" w:name="page26"/>
    <w:bookmarkEnd w:id="25"/>
    <w:p>
      <w:pPr>
        <w:ind w:left="4" w:right="40" w:firstLine="1428"/>
        <w:spacing w:after="0" w:line="263" w:lineRule="auto"/>
        <w:tabs>
          <w:tab w:leader="none" w:pos="1691" w:val="left"/>
        </w:tabs>
        <w:numPr>
          <w:ilvl w:val="2"/>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75" w:lineRule="exact"/>
        <w:rPr>
          <w:rFonts w:ascii="Arial" w:cs="Arial" w:eastAsia="Arial" w:hAnsi="Arial"/>
          <w:sz w:val="18"/>
          <w:szCs w:val="18"/>
          <w:color w:val="auto"/>
        </w:rPr>
      </w:pPr>
    </w:p>
    <w:p>
      <w:pPr>
        <w:ind w:left="4" w:right="80" w:firstLine="987"/>
        <w:spacing w:after="0" w:line="254"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86" w:lineRule="exact"/>
        <w:rPr>
          <w:rFonts w:ascii="Arial" w:cs="Arial" w:eastAsia="Arial" w:hAnsi="Arial"/>
          <w:sz w:val="18"/>
          <w:szCs w:val="18"/>
          <w:color w:val="auto"/>
        </w:rPr>
      </w:pPr>
    </w:p>
    <w:p>
      <w:pPr>
        <w:ind w:left="4" w:firstLine="987"/>
        <w:spacing w:after="0" w:line="284" w:lineRule="auto"/>
        <w:tabs>
          <w:tab w:leader="none" w:pos="12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the Apollo Entities, any Apollo Direct Transferee, any Apollo Indirect Transferee or any of their respective affiliates or successors or any “group”, or any member of any such group, of which such persons are a party under Rule 13d-5 of the Exchange Act, or</w:t>
      </w:r>
    </w:p>
    <w:p>
      <w:pPr>
        <w:spacing w:after="0" w:line="4" w:lineRule="exact"/>
        <w:rPr>
          <w:rFonts w:ascii="Arial" w:cs="Arial" w:eastAsia="Arial" w:hAnsi="Arial"/>
          <w:sz w:val="16"/>
          <w:szCs w:val="16"/>
          <w:color w:val="auto"/>
        </w:rPr>
      </w:pPr>
    </w:p>
    <w:p>
      <w:pPr>
        <w:ind w:left="4" w:right="20" w:hanging="4"/>
        <w:spacing w:after="0" w:line="290"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person whose ownership of shares in excess of the 15% limitation set forth herein is the result of any action taken solely by the Corporation, provided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55" w:lineRule="exact"/>
        <w:rPr>
          <w:rFonts w:ascii="Arial" w:cs="Arial" w:eastAsia="Arial" w:hAnsi="Arial"/>
          <w:sz w:val="16"/>
          <w:szCs w:val="16"/>
          <w:color w:val="auto"/>
        </w:rPr>
      </w:pPr>
    </w:p>
    <w:p>
      <w:pPr>
        <w:ind w:left="4" w:right="260" w:firstLine="987"/>
        <w:spacing w:after="0" w:line="277" w:lineRule="auto"/>
        <w:tabs>
          <w:tab w:leader="none" w:pos="12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1644" w:hanging="212"/>
        <w:spacing w:after="0"/>
        <w:tabs>
          <w:tab w:leader="none" w:pos="1644" w:val="left"/>
        </w:tabs>
        <w:numPr>
          <w:ilvl w:val="2"/>
          <w:numId w:val="23"/>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26" w:name="page27"/>
    <w:bookmarkEnd w:id="26"/>
    <w:p>
      <w:pPr>
        <w:ind w:firstLine="1428"/>
        <w:spacing w:after="0" w:line="272" w:lineRule="auto"/>
        <w:tabs>
          <w:tab w:leader="none" w:pos="1697" w:val="left"/>
        </w:tabs>
        <w:numPr>
          <w:ilvl w:val="1"/>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(1)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69" w:lineRule="exact"/>
        <w:rPr>
          <w:rFonts w:ascii="Arial" w:cs="Arial" w:eastAsia="Arial" w:hAnsi="Arial"/>
          <w:sz w:val="17"/>
          <w:szCs w:val="17"/>
          <w:color w:val="auto"/>
        </w:rPr>
      </w:pPr>
    </w:p>
    <w:p>
      <w:pPr>
        <w:ind w:right="100" w:firstLine="1428"/>
        <w:spacing w:after="0" w:line="263" w:lineRule="auto"/>
        <w:tabs>
          <w:tab w:leader="none" w:pos="17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(2) of section (h)(ii) above), or disposing of such stock with any other person that beneficially owns, or whose affiliates or associates beneficially own, directly or indirectly, such stock.</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 means any individual, corporation, partnership, unincorporated association or other entity.</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117"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 Every reference to a percentage of voting stock shall refer to such percentages of the votes of such voting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9"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Article (or section or subsection thereof)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Article (or any section or subsection thereof)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this Certificate of Incorporation and the DGCL, and all rights, preferences and privileges herein conferred upon stockholders by and pursuant to this Certificate of Incorporation in its current form or as hereafter amended are granted subject to the right reserved in this Article XVI.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7" w:name="page28"/>
    <w:bookmarkEnd w:id="27"/>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from and after the occurrence of the Trigger Event, notwithstanding any other provisions of this Certificate of Incorporation or any provision of law which might otherwise permit a lesser vote or no vote, but in addition to greater or additional vote or consent required hereunder (including any vote of the holders of any particular class or classes or series of stock required by law or by this Certificate of Incorporation), the affirmative vote of the holders of at least 66 2/3% of the voting power of the outstanding shares of stock entitled to vote thereon, voting together as a single class, shall be required to alter, amend or repeal Section 4.03 of Article IV, Articles VI, VII, VIII, IX, X, XI, XII and XIII, XIV and this Article XVI.</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From and after the occurrence of the Trigger Event, notwithstanding any other provisions of this Certificate of Incorporation or any provision of law which might otherwise permit a lesser vote or no vote, but in addition to any additional or greater vote or consent required hereunder (including any vote of the holders of any particular class or classes or series of stock required by law or by this Certificate of Incorporation), the affirmative vote of the holders of at least 66 2/3% of the voting power of the outstanding shares of stock entitled to vote thereon, voting together as a single class, shall be required in order for the stockholders of the Corporation to alter, amend or repeal, in whole or in part, any provision of the Bylaws or to adopt any provision inconsistent therewith.</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8" w:name="page29"/>
    <w:bookmarkEnd w:id="2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Incorporation to be signed by a duly authorized officer as of this 12</w:t>
      </w:r>
      <w:r>
        <w:rPr>
          <w:rFonts w:ascii="Arial" w:cs="Arial" w:eastAsia="Arial" w:hAnsi="Arial"/>
          <w:sz w:val="15"/>
          <w:szCs w:val="15"/>
          <w:color w:val="auto"/>
        </w:rPr>
        <w:t>th</w:t>
      </w:r>
      <w:r>
        <w:rPr>
          <w:rFonts w:ascii="Arial" w:cs="Arial" w:eastAsia="Arial" w:hAnsi="Arial"/>
          <w:sz w:val="18"/>
          <w:szCs w:val="18"/>
          <w:color w:val="auto"/>
        </w:rPr>
        <w:t xml:space="preserve"> date of March,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Administrative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SUN COUNTRY AIRLINES HOLDINGS, INC. — SECOND A&amp;R CERTIFICATE OF INCORPORATION</w:t>
      </w:r>
    </w:p>
    <w:p>
      <w:pPr>
        <w:sectPr>
          <w:pgSz w:w="11900" w:h="16838" w:orient="portrait"/>
          <w:cols w:equalWidth="0" w:num="1">
            <w:col w:w="10720"/>
          </w:cols>
          <w:pgMar w:left="440" w:top="274" w:right="7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as of March 5,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address of the registered office of Sun Country Airlines Holdings, Inc. (hereinafter the “</w:t>
      </w:r>
      <w:r>
        <w:rPr>
          <w:rFonts w:ascii="Arial" w:cs="Arial" w:eastAsia="Arial" w:hAnsi="Arial"/>
          <w:sz w:val="16"/>
          <w:szCs w:val="16"/>
          <w:u w:val="single" w:color="auto"/>
          <w:color w:val="auto"/>
        </w:rPr>
        <w:t>Corporation</w:t>
      </w:r>
      <w:r>
        <w:rPr>
          <w:rFonts w:ascii="Arial" w:cs="Arial" w:eastAsia="Arial" w:hAnsi="Arial"/>
          <w:sz w:val="16"/>
          <w:szCs w:val="16"/>
          <w:color w:val="auto"/>
        </w:rPr>
        <w:t>”) in the State of Delaware, and the name of its registered agent at such address, shall be as set forth in the Second Amended and Restated Certificate of Incorporation of the Corporation, as the same may be further amended and/or restated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w:t>
      </w:r>
    </w:p>
    <w:p>
      <w:pPr>
        <w:spacing w:after="0" w:line="149"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have a principal or other office or offices at such other place or places, either within or without the State of Delaware, as the Board of Directors may from time to time determine or as shall be necessary or appropriate for the conduct of the business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stockholders shall be held at the principal office of the Corporation or at such other place, if any, within or without the State of Delaware, or solely by means of remote communication in accordance with Section 2.13 of these Bylaws and applicable law, as may be designated by the Board of Directors and stated in the notice of the meeting.</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Annual Meetings</w:t>
      </w:r>
      <w:r>
        <w:rPr>
          <w:rFonts w:ascii="Arial" w:cs="Arial" w:eastAsia="Arial" w:hAnsi="Arial"/>
          <w:sz w:val="18"/>
          <w:szCs w:val="18"/>
          <w:color w:val="auto"/>
        </w:rPr>
        <w:t>. An annual meeting of stockholders for the election of directors and the transaction of such other business as may properly be brought before the meeting in accordance with Section 2.07 of these Bylaws shall be held on such day and at such hour, as shall be fixed by the Board of Directors and designated in the notice of meeting. The Board of Directors may postpone, reschedule or cancel any previously scheduled annual meeting of stockholders.</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stockholders may only be called in the manner provided in the Certificate of Incorporation. Special meetings of stockholders shall be held on such day and at such hour, as shall be fixed by the Board of Directors and designated in the notice of meeting. Business transacted at any special meeting of stockholders shall be limited to the purpose or purposes stated in the notice of meeting. Except in the case of a special meeting of stockholders called at the request of the stockholders pursuant to the express terms of the Certificate of Incorporation, the Board of Directors may postpone, reschedule or cancel any previously scheduled special meeting of stockholders.</w:t>
      </w:r>
    </w:p>
    <w:p>
      <w:pPr>
        <w:sectPr>
          <w:pgSz w:w="11900" w:h="16838" w:orient="portrait"/>
          <w:cols w:equalWidth="0" w:num="1">
            <w:col w:w="11020"/>
          </w:cols>
          <w:pgMar w:left="440" w:top="121" w:right="439" w:bottom="1440" w:gutter="0" w:footer="0" w:header="0"/>
        </w:sectPr>
      </w:pPr>
    </w:p>
    <w:bookmarkStart w:id="30" w:name="page31"/>
    <w:bookmarkEnd w:id="30"/>
    <w:p>
      <w:pPr>
        <w:ind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the Certificate of Incorporation or applicable law, notice, stating the place, if any, date and time of the meeting, the means of remote communication, if any, by which stockholders and proxyholders not physically present may be deemed to be present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shall be given not less than ten (10) days nor more than sixty (60) days before the date on which the meeting is to be held, to each stockholder entitled to vote at such meeting as of the record date for determining the stockholders entitled to notice of the meeting. Notice may be given either personally, by courier service, by electronic mail, by other form of electronic transmission in the manner provided in Section 232 of the General Corporation Law of the State of Delaware or by mail. If mailed, such notice shall be deemed to be delivered when deposited in the United States mail with postage thereon prepaid, addressed to the stockholder at such stockholder’s address as it appears on the stock transfer books of the Corporation. If delivered by courier service, such notice shall be deemed to be given at the earlier of when the notice is received or left at such stockholder’s address. If notice is given by electronic transmission, such notice shall be deemed to be given at the times provided in the General Corporation Law of the State of Delaware. Such further notice shall be given as may be required by law.</w:t>
      </w:r>
    </w:p>
    <w:p>
      <w:pPr>
        <w:spacing w:after="0" w:line="16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Quorum; Adjournment of Meetings</w:t>
      </w:r>
      <w:r>
        <w:rPr>
          <w:rFonts w:ascii="Arial" w:cs="Arial" w:eastAsia="Arial" w:hAnsi="Arial"/>
          <w:sz w:val="16"/>
          <w:szCs w:val="16"/>
          <w:color w:val="auto"/>
        </w:rPr>
        <w:t>. Except as otherwise provided by law or by the Certificate of Incorporation, the holders of a majority in voting power of the outstanding capital stock entitled to vote at the meeting, represented in person or by proxy, shall constitute a quorum at a meeting of stockholders, except that when specified business is to be voted on by a class or series or classes or series of stock voting as a separate class, the holders of a majority in voting power of the shares of such class or series or classes or series shall constitute a quorum of such class or series or classes or series with respect to the vote on such business. The chairman of the meeting may adjourn the meeting from time to time, whether or not there is such a quorum. No notice of an adjourned meeting need be given except as required by law. At the adjourned meeting, the Corporation may transact any business which might have been transacted at the original meeting. The stockholders present at a duly called meeting at which a quorum is present may continue to transact business until adjournment, notwithstanding the withdrawal of enough stockholders to leave less than a quorum.</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a revocation of the proxy or a new proxy bearing a later date.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 w:name="page32"/>
    <w:bookmarkEnd w:id="31"/>
    <w:p>
      <w:pPr>
        <w:ind w:left="4" w:firstLine="1428"/>
        <w:spacing w:after="0" w:line="287" w:lineRule="auto"/>
        <w:tabs>
          <w:tab w:leader="none" w:pos="1651"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annual meeting of the stockholders, only such nominations of persons for election to the Board of Directors and only other business shall be considered or conducted, as shall have been properly brought before the meeting. For nominations to be properly made at an annual meeting, and proposals of other business to be properly brought before an annual meeting, nominations and proposals of other business must be:</w:t>
      </w:r>
    </w:p>
    <w:p>
      <w:pPr>
        <w:spacing w:after="0" w:line="2" w:lineRule="exact"/>
        <w:rPr>
          <w:rFonts w:ascii="Arial" w:cs="Arial" w:eastAsia="Arial" w:hAnsi="Arial"/>
          <w:sz w:val="16"/>
          <w:szCs w:val="16"/>
          <w:color w:val="auto"/>
        </w:rPr>
      </w:pPr>
    </w:p>
    <w:p>
      <w:pPr>
        <w:ind w:left="4" w:right="260" w:hanging="4"/>
        <w:spacing w:after="0" w:line="281" w:lineRule="auto"/>
        <w:tabs>
          <w:tab w:leader="none" w:pos="2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the Corporation’s notice of meeting (or any supplement thereto) delivered pursuant to Section 2.04 of these Bylaws, (B) by or at the direction of the Board of Directors or any duly authorized committee thereof, (C) by any stockholder of the Corporation who (i) was a stockholder of record at the time of giving of notice provided for in this Bylaw and at the time of the annual meeting, (ii) is entitled to vote at the meeting and</w:t>
      </w:r>
    </w:p>
    <w:p>
      <w:pPr>
        <w:spacing w:after="0" w:line="1" w:lineRule="exact"/>
        <w:rPr>
          <w:rFonts w:ascii="Arial" w:cs="Arial" w:eastAsia="Arial" w:hAnsi="Arial"/>
          <w:sz w:val="16"/>
          <w:szCs w:val="16"/>
          <w:color w:val="auto"/>
        </w:rPr>
      </w:pPr>
    </w:p>
    <w:p>
      <w:pPr>
        <w:jc w:val="both"/>
        <w:ind w:left="4"/>
        <w:spacing w:after="0" w:line="295" w:lineRule="auto"/>
        <w:rPr>
          <w:rFonts w:ascii="Arial" w:cs="Arial" w:eastAsia="Arial" w:hAnsi="Arial"/>
          <w:sz w:val="16"/>
          <w:szCs w:val="16"/>
          <w:color w:val="auto"/>
        </w:rPr>
      </w:pPr>
      <w:r>
        <w:rPr>
          <w:rFonts w:ascii="Arial" w:cs="Arial" w:eastAsia="Arial" w:hAnsi="Arial"/>
          <w:sz w:val="16"/>
          <w:szCs w:val="16"/>
          <w:color w:val="auto"/>
        </w:rPr>
        <w:t>(iii) complies with the notice procedures set forth in this Bylaw as to such business or nomination or (D) as provided in the Stockholders Agreement (as defined in the Certificate of Incorporation). Subject to the Stockholders Agreement, clause (C) of this Section 2.07(a)(i) shall be the exclusive means for a stockholder to make nominations or submit other business (other than matters properly brought under Rule 14a-8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included in the Corporation’s notice of meeting) before an annual meeting of stockholders.</w:t>
      </w:r>
    </w:p>
    <w:p>
      <w:pPr>
        <w:spacing w:after="0" w:line="53" w:lineRule="exact"/>
        <w:rPr>
          <w:rFonts w:ascii="Arial" w:cs="Arial" w:eastAsia="Arial" w:hAnsi="Arial"/>
          <w:sz w:val="16"/>
          <w:szCs w:val="16"/>
          <w:color w:val="auto"/>
        </w:rPr>
      </w:pPr>
    </w:p>
    <w:p>
      <w:pPr>
        <w:ind w:left="4" w:firstLine="1428"/>
        <w:spacing w:after="0" w:line="285" w:lineRule="auto"/>
        <w:tabs>
          <w:tab w:leader="none" w:pos="1701"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Without qualification or limitation, for any nominations or any other business to be properly brought before an annual meeting by a stockholder pursuant to paragraph (a)(1)(C) of this Bylaw, the stockholder must have given timely notice thereof in writing to the Secretary and such other business must otherwise be a proper matter for stockholder action. 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(which date shall, for purposes of the Corporation’s first annual meeting of stockholders after its shares of Common Stock are first publicly traded, be deemed to have occurred on May 10,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more than 30 days before or more than 60 days after such anniversary date, notice by the stockholder to be timely must be so delivered not earlier than the close of business on the 120th day prior to the date of such annual meeting and not later than the close of business on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stockholder’s notice as described above. In addition, to be timely, a stockholder’s notice shall further be updated and supplemented, if necessary, so that the information provided or required to be provided in such notice shall be true and correct as of the record date for determining the stockholders entitled to vote at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such record date for the meeting in the case of the update and supplement required to be made as of such record date, and not later than eight (8) business days prior to the date for the meeting, any adjournment or postponement thereof in the case of the update and supplement required to be made as of ten (10) business days prior to the meeting or any adjournment or postponement thereof. To be in proper form, a stockholder’s notice (whether given pursuant to this paragraph (a)(ii) or paragraph (b)) to the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2" w:name="page33"/>
    <w:bookmarkEnd w:id="3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Secretary must: (a) set forth, as to the stockholder giving the notice and the beneficial owner, if any, on whose behalf the nomination or proposal is made</w:t>
      </w:r>
    </w:p>
    <w:p>
      <w:pPr>
        <w:spacing w:after="0" w:line="46" w:lineRule="exact"/>
        <w:rPr>
          <w:sz w:val="20"/>
          <w:szCs w:val="20"/>
          <w:color w:val="auto"/>
        </w:rPr>
      </w:pPr>
    </w:p>
    <w:p>
      <w:pPr>
        <w:ind w:left="4" w:hanging="4"/>
        <w:spacing w:after="0" w:line="283" w:lineRule="auto"/>
        <w:tabs>
          <w:tab w:leader="none" w:pos="2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records, of such beneficial owner, if any, and of their respective affiliates or associates or others acting in concert therewith, (ii) (A) the class or series and number of shares of capital stock of the Corporation which are, directly or indirectly, owned beneficially and of record by such stockholder, such beneficial owner, and of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capital stock of the Corporation or otherwise, through the delivery of cash or other property, or otherwise, and without regard of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the beneficial owner, if any, or any affiliates or associates or others acting in concert therewith, (C) any proxy, contract, arrangement, understanding, or relationship pursuant to which such stockholder or beneficial owner has a right to vote any shares of any security of the Corporation, (D) any contract, arrangement, understanding, relationship or otherwise, including any repurchase or similar so-called “stock borrowing” agreement or arrangement, engaged in, directly or indirectly, by such stockholder or beneficial owner, the purpose or effect of which is to mitigate loss to, reduce the economic risk (of ownership or otherwise) of any class or series of the shares of the Corporation by, manage the risk of share price changes for, or increase or decrease the voting power of, such stockholder or beneficial owner with respect to any class or series of the shares of the Corporation, or which provides, directly or indirectly, the opportunity to profit or share in any profit derived from any decrease in the price or value of any security of the Corporation (any of the foregoing, a “</w:t>
      </w:r>
      <w:r>
        <w:rPr>
          <w:rFonts w:ascii="Arial" w:cs="Arial" w:eastAsia="Arial" w:hAnsi="Arial"/>
          <w:sz w:val="16"/>
          <w:szCs w:val="16"/>
          <w:u w:val="single" w:color="auto"/>
          <w:color w:val="auto"/>
        </w:rPr>
        <w:t>Short Interest</w:t>
      </w:r>
      <w:r>
        <w:rPr>
          <w:rFonts w:ascii="Arial" w:cs="Arial" w:eastAsia="Arial" w:hAnsi="Arial"/>
          <w:sz w:val="16"/>
          <w:szCs w:val="16"/>
          <w:color w:val="auto"/>
        </w:rPr>
        <w:t>”), (E) any rights to dividends on the shares of the Corporation owned beneficially by such stockholder or beneficial owner that are separated or separable from the underlying shares of the Corporation, (F) any proportionate interest in shares of the Corporation or Derivative Instruments held, directly or indirectly, by a general or limited partnership in which such stockholder or beneficial owner is a general partner or, directly or indirectly, beneficially owns an interest in a general partner of such general or limited partnership, (G) any performance-related fees (other than an asset-based fee) that such stockholder or beneficial owner is entitled to based on any increase or decrease in the value of shares of the Corporation or Derivative Instruments, if any, as of the date of such notice, including without limitation any such interests held by members of such stockholder’s or beneficial owner’s immediate family sharing the same</w:t>
      </w:r>
    </w:p>
    <w:p>
      <w:pPr>
        <w:spacing w:after="0" w:line="3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household, (H) any significant equity interests or any Derivative Instruments or Short Interests in any principal competitor of the Corporation held by such stockholder or beneficial owner, and (I) any direct or indirect interest of such stockholder or beneficial owner in any contract with the Corporation, any affiliate of the Corporation or any principal competitor of the Corporation (including, in any such case, any employment agreement, collective bargaining agreement or consulting agreement), and (iii) any other information relating to such stockholder and beneficial owner,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 (b) if the notice relates to any business other than a nomination of a director or directors that the stockholder proposes to bring before the meeting, set forth (i) a brief description of the business desired to be brought before the meeting, the reasons for conducting such business at the meeting and any material interest of such stockholder and beneficial owner, if any, on whose behalf such proposal is made in such business, (ii) the text of the proposal or business (including the text of any resolutions proposed for consideration, and, in the event that such business includes a proposal to amend the Bylaws, the text of such proposed amendment) and (iii) a description of all agreements, arrangements and understandings between such stockholder and beneficial owner, if any, and any other person or persons (including their names) in connection with the proposal of such business by such stockholder; (c) set forth, as to each person, if any, whom the stockholder proposes to nominate for election or reelection to the Board of Directors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Corporation’s proxy statement as a nominee and to serving as a director if elected) and (ii) a description of all direct and indirect compensation and other material monetary agreements, arrangements and understandings during the past three (3)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 (d) with respect to each nominee for election or reelection to the Board of Directors, include a completed and signed questionnaire, representation and agreement required by Section 2.08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4" w:name="page35"/>
    <w:bookmarkEnd w:id="34"/>
    <w:p>
      <w:pPr>
        <w:ind w:left="-40" w:right="40" w:firstLine="1428"/>
        <w:spacing w:after="0" w:line="272" w:lineRule="auto"/>
        <w:tabs>
          <w:tab w:leader="none" w:pos="1707" w:val="left"/>
        </w:tabs>
        <w:numPr>
          <w:ilvl w:val="1"/>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the second sentence of paragraph (a)(ii) of this Bylaw to the contrary, in the event that the number of directors to be elected to the Board of Directors is increased effective after the time period for which nominations would otherwise be due under paragraph (a)(ii) of this Bylaw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Bylaw shall also be considered timely, but only with respect to nominees for any new directorships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69" w:lineRule="exact"/>
        <w:rPr>
          <w:rFonts w:ascii="Arial" w:cs="Arial" w:eastAsia="Arial" w:hAnsi="Arial"/>
          <w:sz w:val="17"/>
          <w:szCs w:val="17"/>
          <w:color w:val="auto"/>
        </w:rPr>
      </w:pPr>
    </w:p>
    <w:p>
      <w:pPr>
        <w:ind w:left="-40" w:firstLine="987"/>
        <w:spacing w:after="0" w:line="285" w:lineRule="auto"/>
        <w:tabs>
          <w:tab w:leader="none" w:pos="120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Special Meetin</w:t>
      </w:r>
      <w:r>
        <w:rPr>
          <w:rFonts w:ascii="Arial" w:cs="Arial" w:eastAsia="Arial" w:hAnsi="Arial"/>
          <w:sz w:val="16"/>
          <w:szCs w:val="16"/>
          <w:color w:val="auto"/>
        </w:rPr>
        <w:t>g</w:t>
      </w:r>
      <w:r>
        <w:rPr>
          <w:rFonts w:ascii="Arial" w:cs="Arial" w:eastAsia="Arial" w:hAnsi="Arial"/>
          <w:sz w:val="16"/>
          <w:szCs w:val="16"/>
          <w:u w:val="single" w:color="auto"/>
          <w:color w:val="auto"/>
        </w:rPr>
        <w:t>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(A) by or at the direction of the Board of Directors or any duly authorized committee thereof, (B) provided that the Board of Directors has determined that directors shall be elected at such meeting, by any stockholder of the Corporation who (i) is a stockholder of record at the time of giving of notice provided for in this Bylaw and at the time of the special meeting, (ii) is entitled to vote at the meeting, and (iii) complies with the notice procedures set forth in this Bylaw as to such nomination, or (C) as provided in the Stockholders Agreement. The immediately preceding sentence shall be the exclusive means for a stockholder to make nominations before a special meeting of stockholders at which directors are to be elected or appointed. In the event that the Corporation calls a special meeting of stockholders for the purpose of electing one or more directors to the Board of Directors, other than with respect to any nomination made in the manner provided in the Stockholders Agreement, any stockholder may nominate a person or persons (as the case may be) for election to such position(s) as specified in the Corporation’s notice of meeting only if the stockholder’s notice required by paragraph (a)(ii) of this Bylaw with respect to any nomination (including the completed and signed questionnaire, representation and agreement required by Section 2.08 of these Bylaws)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 day on which the Corporation first makes a public announcement of the date of the special meeting at which directors are to be elected. In no event shall any adjournment or postponement of a special meeting or the announcement thereof commence a new time period (or extend any time period) for the giving of a stockholder’s notice as described in the immediately preceding sentence.</w:t>
      </w:r>
    </w:p>
    <w:p>
      <w:pPr>
        <w:spacing w:after="0" w:line="63" w:lineRule="exact"/>
        <w:rPr>
          <w:rFonts w:ascii="Arial" w:cs="Arial" w:eastAsia="Arial" w:hAnsi="Arial"/>
          <w:sz w:val="16"/>
          <w:szCs w:val="16"/>
          <w:color w:val="auto"/>
        </w:rPr>
      </w:pPr>
    </w:p>
    <w:p>
      <w:pPr>
        <w:ind w:left="1200" w:hanging="253"/>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20" w:firstLine="1428"/>
        <w:spacing w:after="0" w:line="279" w:lineRule="auto"/>
        <w:tabs>
          <w:tab w:leader="none" w:pos="1607" w:val="left"/>
        </w:tabs>
        <w:numPr>
          <w:ilvl w:val="1"/>
          <w:numId w:val="31"/>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procedures set forth in this Bylaw or in the Stockholders Agreement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chairman of the meeting shall have the power and duty to determine whether a nomination or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4" w:right="499" w:bottom="1440" w:gutter="0" w:footer="0" w:header="0"/>
        </w:sectPr>
      </w:pPr>
    </w:p>
    <w:bookmarkStart w:id="35" w:name="page36"/>
    <w:bookmarkEnd w:id="3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business proposed to be brought before the meeting was made or proposed, as the case may be, in accordance with the procedures set forth in this Bylaw and, if any proposed nomination or business is not in compliance with this Bylaw, to declare that such defective proposal or nomination shall be disregarded;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shall limit the power and authority of the Board of Directors to make any such determinations in advance of any meeting of stockholders. Unless otherwise required by law, if the stockholder (or a qualified representative of the stockholder) does not appear at the annual or special meeting of stockholders of the Corporation to make a nomination or present a proposal of other business, such nomination shall be disregarded and such proposed business shall not be transacted, notwithstanding that proxies in respect of such vote may have been received by the Corporation. For purposes of this Bylaw,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7" w:lineRule="exact"/>
        <w:rPr>
          <w:sz w:val="20"/>
          <w:szCs w:val="20"/>
          <w:color w:val="auto"/>
        </w:rPr>
      </w:pPr>
    </w:p>
    <w:p>
      <w:pPr>
        <w:ind w:right="120" w:firstLine="1428"/>
        <w:spacing w:after="0" w:line="263" w:lineRule="auto"/>
        <w:tabs>
          <w:tab w:leader="none" w:pos="16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75" w:lineRule="exact"/>
        <w:rPr>
          <w:rFonts w:ascii="Arial" w:cs="Arial" w:eastAsia="Arial" w:hAnsi="Arial"/>
          <w:sz w:val="18"/>
          <w:szCs w:val="18"/>
          <w:color w:val="auto"/>
        </w:rPr>
      </w:pPr>
    </w:p>
    <w:p>
      <w:pPr>
        <w:ind w:firstLine="1428"/>
        <w:spacing w:after="0" w:line="253" w:lineRule="auto"/>
        <w:tabs>
          <w:tab w:leader="none" w:pos="17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Bylaw, a stockholder shall also comply with all applicable requirements of the Exchange Act and the rules and regulations thereunder with respect to the matters set forth in this Bylaw;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references in these Bylaws to the Exchange Act or the rules promulgated thereunder are not intended to and shall not limit the requirements applicable to nominations or proposals as to any other business to be considered pursuant to paragraph (a)(i)(C) or paragraph (b) of this Bylaw. Nothing in this Bylaw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88" w:lineRule="exact"/>
        <w:rPr>
          <w:rFonts w:ascii="Arial" w:cs="Arial" w:eastAsia="Arial" w:hAnsi="Arial"/>
          <w:sz w:val="18"/>
          <w:szCs w:val="18"/>
          <w:color w:val="auto"/>
        </w:rPr>
      </w:pPr>
    </w:p>
    <w:p>
      <w:pPr>
        <w:ind w:right="920" w:firstLine="1428"/>
        <w:spacing w:after="0" w:line="277" w:lineRule="auto"/>
        <w:tabs>
          <w:tab w:leader="none" w:pos="17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the foregoing, the nomination of any Amazon Nominee or Apollo Nominee (each as defined in the Stockholders Agreement) shall not be subject to the provisions of this Section 2.07.</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for election or reelection as a director of the Corporation and qualified to serve as a director, a person must deliver (such delivery to be made, in the case of a person nominated for election as a director of the Corporation pursuant to paragraph (a)(1)(C) or paragraph (b) of Section 2.07 of these Bylaws, in accordance with the time periods prescribed for delivery of notice under Section 2.07 of these Bylaws) to the Secretary at the principal executive offices of the Corporation a written questionnaire with respect to the background, citizenship, and qualification of such person and the background of any other persons or entities on whose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behalf the nomination is being made pursuant to paragraph (a)(1)(C) or paragraph (b) Section 2.07 of these Bylaws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w:t>
      </w:r>
      <w:r>
        <w:rPr>
          <w:rFonts w:ascii="Arial" w:cs="Arial" w:eastAsia="Arial" w:hAnsi="Arial"/>
          <w:sz w:val="17"/>
          <w:szCs w:val="17"/>
          <w:color w:val="auto"/>
        </w:rPr>
        <w: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8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Required Vote</w:t>
      </w:r>
      <w:r>
        <w:rPr>
          <w:rFonts w:ascii="Arial" w:cs="Arial" w:eastAsia="Arial" w:hAnsi="Arial"/>
          <w:sz w:val="16"/>
          <w:szCs w:val="16"/>
          <w:color w:val="auto"/>
        </w:rPr>
        <w:t>. At all meetings of the stockholders at which directors are to be elected and a quorum is present, a plurality of the votes cast by stockholders entitled to vote for the election of such directors shall be sufficient to elect such directors. Except as otherwise provided by applicable law, the Certificate of Incorporation, these Bylaws, the rules or regulations of any stock exchange applicable to the Corporation, or any regulation applicable to the Corporation, its stockholders or its securities (in which case such vote as prescribed by applicable law shall be the applicable vote on the matter), in all matters other than the election of directors, the affirmative vote of the holders of a majority in voting power of the shares present in person or represented by proxy at the meeting and entitled to vote on the matter shall be the act of the stockholders.</w:t>
      </w:r>
    </w:p>
    <w:p>
      <w:pPr>
        <w:spacing w:after="0" w:line="164"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may, and to the extent required by applicable law, in advance of any meeting of stockholders, appoint one or more inspectors of election,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77" w:lineRule="exact"/>
        <w:rPr>
          <w:sz w:val="20"/>
          <w:szCs w:val="20"/>
          <w:color w:val="auto"/>
        </w:rPr>
      </w:pPr>
    </w:p>
    <w:p>
      <w:pPr>
        <w:jc w:val="both"/>
        <w:ind w:right="260" w:firstLine="440"/>
        <w:spacing w:after="0" w:line="27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Unless prohibited by the Certificate of Incorporation, any action permitted or required to be taken at a meeting of stockholders may be taken without a meeting, without prior notice and without a vote, if a consent or consents in writing, setting forth the action so taken, shall be signed by or on behalf of the holders of outstanding stock having not less than the minimum number of votes that would be necessary to authorize or take such action at a meeting at which all shares entitled to vote thereon were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7" w:name="page38"/>
    <w:bookmarkEnd w:id="3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present and voted and shall be delivered to the Corporation in accordance with applicable law. Prompt notice of the taking of corporate action without a meeting by less than a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the holders to take the action were delivered to the Corporation.</w:t>
      </w:r>
    </w:p>
    <w:p>
      <w:pPr>
        <w:spacing w:after="0" w:line="171"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6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Remote Meetings</w:t>
      </w:r>
      <w:r>
        <w:rPr>
          <w:rFonts w:ascii="Arial" w:cs="Arial" w:eastAsia="Arial" w:hAnsi="Arial"/>
          <w:sz w:val="18"/>
          <w:szCs w:val="18"/>
          <w:color w:val="auto"/>
        </w:rPr>
        <w:t>.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76" w:lineRule="exact"/>
        <w:rPr>
          <w:sz w:val="20"/>
          <w:szCs w:val="20"/>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firstLine="987"/>
        <w:spacing w:after="0" w:line="254"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General Powers</w:t>
      </w:r>
      <w:r>
        <w:rPr>
          <w:rFonts w:ascii="Arial" w:cs="Arial" w:eastAsia="Arial" w:hAnsi="Arial"/>
          <w:sz w:val="16"/>
          <w:szCs w:val="16"/>
          <w:color w:val="auto"/>
        </w:rPr>
        <w:t>. Except as otherwise provided in the General Corporation Law of the State of Delaware or the Certificate of Incorporation, the business and affairs of the Corporation shall be managed by or under the direction of the Board of Directors.</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The total number of directors shall be fixed from time to time in the manner provided by the Certificate of Incorporation. No decrease in the total number of directors shall shorten the term of any incumbent director.</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Limitations on Non-Citizens as Directors</w:t>
      </w:r>
      <w:r>
        <w:rPr>
          <w:rFonts w:ascii="Arial" w:cs="Arial" w:eastAsia="Arial" w:hAnsi="Arial"/>
          <w:sz w:val="17"/>
          <w:szCs w:val="17"/>
          <w:color w:val="auto"/>
        </w:rPr>
        <w:t>. Notwithstanding anything to the contrary in these Bylaws, at least two-thirds of the members of the Board of Directors shall be “citizens of the United States” as provided under Applicable Transportation Law (as defined in Article VI below), and the Chairman of the Board shall be a “citizen of the United States” as provided under Applicable Transportation Law for so long as required by Applicable Transportation Law. If the number of Non-Citizens (as defined in Article VI hereof) serving on the Board of Directors at any time exceeds the limitations provided under Applicable Transportation Law, one or more directors who are Non-Citizens shall, in reverse chronological order based on their tenure of service on the Board, cease to be qualified as directors and shall automatically cease to be directors.</w:t>
      </w:r>
    </w:p>
    <w:p>
      <w:pPr>
        <w:spacing w:after="0" w:line="178"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Quorum; Required Vote</w:t>
      </w:r>
      <w:r>
        <w:rPr>
          <w:rFonts w:ascii="Arial" w:cs="Arial" w:eastAsia="Arial" w:hAnsi="Arial"/>
          <w:sz w:val="17"/>
          <w:szCs w:val="17"/>
          <w:color w:val="auto"/>
        </w:rPr>
        <w:t>. Except as otherwise provided by law or the Certificate of Incorporation, a majority of the total number of directors then in office shall constitute a quorum for the transaction of business at any meeting of the Board of Directors, but in no event shall less than one-third of the members of the total number of directors which the Corporation would have if there were no vacancies or unfilled newly created directorships constitute a quorum. Except as otherwise provided by law or the Certificate of Incorporation, the vote of the majority of the directors present at a meeting at which a quorum is present shall be the act of the Board of Directors.</w:t>
      </w:r>
    </w:p>
    <w:p>
      <w:pPr>
        <w:spacing w:after="0" w:line="176"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Telephonic Participation</w:t>
      </w:r>
      <w:r>
        <w:rPr>
          <w:rFonts w:ascii="Arial" w:cs="Arial" w:eastAsia="Arial" w:hAnsi="Arial"/>
          <w:sz w:val="16"/>
          <w:szCs w:val="16"/>
          <w:color w:val="auto"/>
        </w:rPr>
        <w:t>. All or any one or more directors may participate in a meeting of the Board of Directors or of any committee thereof by means of conference telephone or other communications equipment by means of which all persons participating in the meeting can hear each other and participation in a meeting pursuant to such communications equipment shall constitute presence in person at such meeting.</w:t>
      </w:r>
    </w:p>
    <w:p>
      <w:pPr>
        <w:spacing w:after="0" w:line="149"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may hold its meetings at such place or places, if any, within or without the State of Delaware, as the Board of Directors may from time to time determine.</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Regular Meetings</w:t>
      </w:r>
      <w:r>
        <w:rPr>
          <w:rFonts w:ascii="Arial" w:cs="Arial" w:eastAsia="Arial" w:hAnsi="Arial"/>
          <w:sz w:val="17"/>
          <w:szCs w:val="17"/>
          <w:color w:val="auto"/>
        </w:rPr>
        <w:t>. Regular meetings of the Board of Directors may be held at such time and place, if any, within or without the State of Delaware, as shall from time to time be determined by the Board of Directors. After there has been such determination, and notice thereof has been given to each member of the Board of Directors, regular meetings may be held without further notice being given.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9" w:name="page40"/>
    <w:bookmarkEnd w:id="39"/>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3.08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notice requirements of Section 3.08, special meetings of the Board of Directors shall be held whenever called by the Chairman of the Board, if any, the Chief Executive Officer or by a majority of the directors.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directors shall be given to each director at his or her business or residence in writing by hand delivery, overnight mail or courier service, facsimile, electronic mail or other electronic transmission, or orally in person or by telephone. If by overnight mail or courier service, such notice shall be deemed adequately delivered when the notice is delivered to the overnight mail or courier service company at least twenty-four (24) hours before such meeting. If by facsimile, electronic mail or other electronic transmission, such notice shall be deemed adequately delivered when the notice is transmitted at least twelve (12) hours before such meeting. If given orally in person or by telephone or by hand delivery, the notice shall be given at least twelve (12) hours prior to the time set for the meeting. Neither the business to be transacted at, nor the purpose of, any regular or special meeting of the Board of Directors need be specified in the notice of such meeting.</w:t>
      </w:r>
    </w:p>
    <w:p>
      <w:pPr>
        <w:spacing w:after="0" w:line="16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of the Corporation may resign at any time by giving notice in writing or by electronic transmission thereof to the Corporation. The resignation of any director shall be effective when the resignation is delivered, unless the resignation specifies a later effective date or an effective date determined upon the happening of an event or events; and, unless otherwise specified therein, the acceptance of such resignation shall not be necessary to make it effective.</w:t>
      </w:r>
    </w:p>
    <w:p>
      <w:pPr>
        <w:spacing w:after="0" w:line="187"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Vacancies on Board of Directors; Newly Created Directorships</w:t>
      </w:r>
      <w:r>
        <w:rPr>
          <w:rFonts w:ascii="Arial" w:cs="Arial" w:eastAsia="Arial" w:hAnsi="Arial"/>
          <w:sz w:val="16"/>
          <w:szCs w:val="16"/>
          <w:color w:val="auto"/>
        </w:rPr>
        <w:t xml:space="preserve">. Except as otherwise provided in the Certificate of Incorporation, and subject to the terms of the Stockholders Agreement, any vacancy resulting from the death, resignation, removal or disqualification of any director or other cause, or any newly created directorship resulting from any increase in the authorized number of directors, shall be filled only by an affirmative vote of a majority of the directors then in office, although less than a quorum, or by the sole remaining director, and shall not be filled by the stockholders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(i) for so long as the Apollo Entities own, beneficially or of record, at least 5% of the outstanding Common Stock of the Corporation, any vacancy resulting from the death, resignation, removal, disqualification or other cause in respect of any Apollo Board Nominee, including the failure of any Apollo Board Nominee to be elected, shall be filled only by the Apollo Stockholder (as defined in the Certificate of Incorporation) and (ii) for so long as the Amazon Condition (as defined in the Stockholder Agreement) is satisfied, any vacancy resulting from the death, resignation, removal, disqualification or other cause in respect of such Amazon Nominee (as defined in the Stockholders Agreement), including the failure of any Amazon Nominee to be elected, shall be filled in the manner set forth in the Stockholders Agreement. Except as otherwise provided by this Bylaw, a director elected to fill a vacancy or newly created directorship shall hold office until the annual meeting of stockholders for the election of directors of the class to which such director shall have been appointed and until his or her successor has been duly elected qualified, subject, however, to such director’s earlier death, resignation, retirement, removal or disqualification.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40" w:name="page41"/>
    <w:bookmarkEnd w:id="40"/>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3.12 </w:t>
      </w:r>
      <w:r>
        <w:rPr>
          <w:rFonts w:ascii="Arial" w:cs="Arial" w:eastAsia="Arial" w:hAnsi="Arial"/>
          <w:sz w:val="16"/>
          <w:szCs w:val="16"/>
          <w:u w:val="single" w:color="auto"/>
          <w:color w:val="auto"/>
        </w:rPr>
        <w:t>Executive and Other Committees</w:t>
      </w:r>
      <w:r>
        <w:rPr>
          <w:rFonts w:ascii="Arial" w:cs="Arial" w:eastAsia="Arial" w:hAnsi="Arial"/>
          <w:sz w:val="16"/>
          <w:szCs w:val="16"/>
          <w:color w:val="auto"/>
        </w:rPr>
        <w:t>. The Board of Directors may designate one or more committees of the Board of Directors, including an Executive Committee, to exercise, subject to applicable provisions of law, all the powers and authority of the Board of Directors in the management of the business and affairs of the Corporation when the Board of Directors is not in session. The Executive Committee and each such other committee shall consist of two (2) or more directors of the Corporation and, subject to applicable law and any other law, rule or regulation applicable to the Corporation (including the rules and regulations of any securities exchange on the which the Corporation’s shares are listed), at least one Apollo Board Nominee, for so long as the Apollo Entities (as defined in the Certificate of Incorporation) own, beneficially or of record, at least 5% of the outstanding Common Stock of the Corporation. The Board of Directors may designate one (1) or more directors as alternate members of any committee, who may replace any absent or disqualified member at any meeting of the committee. At least two-thirds (2/3) of the members of each committee of the Board of Directors shall be comprised of individuals who meet the definition of “a citizen of the United States,” under Applicable Transportation Law (as defined in Article VI). Except to the extent restricted by law, the Certificate of Incorporation or these Bylaws, any such committee, to the extent provided by the General Corporation Law of the State of Delaware, these Bylaws or the designating resolution, shall have and may exercise all the powers and authority of the Board of Directors.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 Each committee shall keep written minutes of its proceedings and shall report such proceedings to the Board of Directors when required.</w:t>
      </w:r>
    </w:p>
    <w:p>
      <w:pPr>
        <w:spacing w:after="0" w:line="16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Each committee of the Board of Directors may fix its own rules of procedure and shall hold its meetings as provided by such rules, except as may otherwise be provided by in these Bylaws or by resolution of the Board of Directors designating such committee. Notice of such meetings shall be given to each member of the committee in the manner provided for in Section 3.08 of these Bylaws. Each committee shall serve at the pleasure of the Board of Directors and the Board of Directors shall have power at any time to fill vacancies in, to change the membership of, or to dissolve any such committee.</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Unless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expressly provided in these Bylaws or the by resolution of the Board of Directors designating such committee, every reference to a committee or to a member of a committee in these Bylaws shall apply to any subcommittee or member of a subcommittee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an action is taken, the consent or consents relating thereto shall be filed with the minutes or proceedings of the Board of Directors or committee in the same paper or electronic form as the minutes are maintained.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1" w:name="page42"/>
    <w:bookmarkEnd w:id="41"/>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3.14 </w:t>
      </w:r>
      <w:r>
        <w:rPr>
          <w:rFonts w:ascii="Arial" w:cs="Arial" w:eastAsia="Arial" w:hAnsi="Arial"/>
          <w:sz w:val="18"/>
          <w:szCs w:val="18"/>
          <w:u w:val="single" w:color="auto"/>
          <w:color w:val="auto"/>
        </w:rPr>
        <w:t>Fees and Compensation</w:t>
      </w:r>
      <w:r>
        <w:rPr>
          <w:rFonts w:ascii="Arial" w:cs="Arial" w:eastAsia="Arial" w:hAnsi="Arial"/>
          <w:sz w:val="18"/>
          <w:szCs w:val="18"/>
          <w:color w:val="auto"/>
        </w:rPr>
        <w:t>. The Board of Directors shall have the authority to fix the compensation, including fees, reimbursement of expenses and equity compensation, of directors for services to the Corporation in any capacity, including for attendance of meetings of the Board of Directors or participation on any committees. Directors who are officers or employees of the Corporation may receive, if the Board of Directors desires, compensation for service as directors. Nothing herein contained shall be construed to preclude any director from serving the Corporation in any other capacity and receiving compensation therefor.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rFonts w:ascii="Arial" w:cs="Arial" w:eastAsia="Arial" w:hAnsi="Arial"/>
          <w:sz w:val="18"/>
          <w:szCs w:val="18"/>
          <w:color w:val="auto"/>
        </w:rPr>
        <w:t>. The elected officers of the Corporation shall be chosen by the Board of Directors and may include a Chairman of the Board, a Chief Executive Officer, one or more Presidents, a Chief Financial Officer, and a Secretary, all of whom shall be elected by the Board of Directors. The Chairman of the Board, if any, shall be chosen from among the directors.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In addition, the Board of Directors or any committee thereof may from time to time elect, or the Chief Executive Officer may appoint, such other officers (including one or more Vice Presidents, Assistant Secretaries, Treasurers and Controllers) and such agents, as may be necessary or desirable for the conduct of the business of the Corporation. Any number of offices may be held by the same person. Such other officers and agents shall have such duties and shall hold their offices for such terms as shall be provided in these Bylaws or as may be prescribed by the Board of Directors or such committee or by the Chief Executive Officer, as the case may be.</w:t>
      </w:r>
    </w:p>
    <w:p>
      <w:pPr>
        <w:spacing w:after="0" w:line="19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Term of Office</w:t>
      </w:r>
      <w:r>
        <w:rPr>
          <w:rFonts w:ascii="Arial" w:cs="Arial" w:eastAsia="Arial" w:hAnsi="Arial"/>
          <w:sz w:val="18"/>
          <w:szCs w:val="18"/>
          <w:color w:val="auto"/>
        </w:rPr>
        <w:t>. The principal officers of the Corporation shall hold office until his or her successor shall have been duly chosen and shall qualify, or until his or her earlier death, resignation, retirement, removal or disqualification.</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either with or without cause, at any time, by the Board of Directors. Any officer or agent appointed by the Chief Executive Officer may also be removed by him or her whenever, in his or her judgment, the best interests of the Corporation would be served thereby. No elected officer shall have any contractual rights against the Corporation for compensation by virtue of such election beyond the date of the election of his or her successor or his or her earlier death, resignation, removal or disqualification, whichever event shall first occur, except as otherwise provided in an employment contract or under an employee deferred compensation plan.</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by giving notice in writing or by electronic transmission thereof to the Corporation. The resignation of any officer shall be effective when the resignation is delivered, unless the resignation specifies a later effective date or an effective date determined upon the happening of an event or events; and, unless otherwise specified therein, the acceptance of such resignation shall not be necessary to make it effective.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2" w:name="page43"/>
    <w:bookmarkEnd w:id="4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4.05 </w:t>
      </w:r>
      <w:r>
        <w:rPr>
          <w:rFonts w:ascii="Arial" w:cs="Arial" w:eastAsia="Arial" w:hAnsi="Arial"/>
          <w:sz w:val="17"/>
          <w:szCs w:val="17"/>
          <w:u w:val="single" w:color="auto"/>
          <w:color w:val="auto"/>
        </w:rPr>
        <w:t>Vacancies</w:t>
      </w:r>
      <w:r>
        <w:rPr>
          <w:rFonts w:ascii="Arial" w:cs="Arial" w:eastAsia="Arial" w:hAnsi="Arial"/>
          <w:sz w:val="17"/>
          <w:szCs w:val="17"/>
          <w:color w:val="auto"/>
        </w:rPr>
        <w:t>. A vacancy in any office may be filled in the manner prescribed in these Bylaws for appointment to such office.</w:t>
      </w:r>
    </w:p>
    <w:p>
      <w:pPr>
        <w:spacing w:after="0" w:line="237"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Powers and Duties</w:t>
      </w:r>
      <w:r>
        <w:rPr>
          <w:rFonts w:ascii="Arial" w:cs="Arial" w:eastAsia="Arial" w:hAnsi="Arial"/>
          <w:sz w:val="18"/>
          <w:szCs w:val="18"/>
          <w:color w:val="auto"/>
        </w:rPr>
        <w:t>. Subject to the control of the Board of Directors, the officers shall each have such authority and perform such duties in the management of the Corporation as from time to time may be prescribed by the Board of Directors and as may be delegated by the Chief Executive Officer without limiting the foregoing:</w:t>
      </w:r>
    </w:p>
    <w:p>
      <w:pPr>
        <w:spacing w:after="0" w:line="76" w:lineRule="exact"/>
        <w:rPr>
          <w:sz w:val="20"/>
          <w:szCs w:val="20"/>
          <w:color w:val="auto"/>
        </w:rPr>
      </w:pPr>
    </w:p>
    <w:p>
      <w:pPr>
        <w:ind w:right="180" w:firstLine="987"/>
        <w:spacing w:after="0" w:line="277" w:lineRule="auto"/>
        <w:tabs>
          <w:tab w:leader="none" w:pos="123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preside at all meetings of the Board of Directors and he or she shall have and perform such other duties as from time to time may be assigned to him or her by the Board of Directors.</w:t>
      </w:r>
    </w:p>
    <w:p>
      <w:pPr>
        <w:spacing w:after="0" w:line="62" w:lineRule="exact"/>
        <w:rPr>
          <w:rFonts w:ascii="Arial" w:cs="Arial" w:eastAsia="Arial" w:hAnsi="Arial"/>
          <w:sz w:val="18"/>
          <w:szCs w:val="18"/>
          <w:color w:val="auto"/>
        </w:rPr>
      </w:pPr>
    </w:p>
    <w:p>
      <w:pPr>
        <w:jc w:val="both"/>
        <w:ind w:right="180" w:firstLine="987"/>
        <w:spacing w:after="0" w:line="279"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of the Corporation shall, subject to the control of the Board of Directors, have general supervision, direction and control of the business and officers of the Corporation. The Chief Executive Officer shall preside at all meetings of the stockholders and, in the absence of a Chairman of the Board, at all meetings of the Board of Directors. Unless there shall have been elected one or more Presidents of the Corporation, the Chief Executive Officer shall be the President of the Corporation.</w:t>
      </w:r>
    </w:p>
    <w:p>
      <w:pPr>
        <w:spacing w:after="0" w:line="63" w:lineRule="exact"/>
        <w:rPr>
          <w:rFonts w:ascii="Arial" w:cs="Arial" w:eastAsia="Arial" w:hAnsi="Arial"/>
          <w:sz w:val="17"/>
          <w:szCs w:val="17"/>
          <w:color w:val="auto"/>
        </w:rPr>
      </w:pPr>
    </w:p>
    <w:p>
      <w:pPr>
        <w:ind w:right="60" w:firstLine="987"/>
        <w:spacing w:after="0" w:line="277" w:lineRule="auto"/>
        <w:tabs>
          <w:tab w:leader="none" w:pos="123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Each President shall have such general powers and duties of supervision and management as shall be assigned to him or her by the Board of Directors.</w:t>
      </w:r>
    </w:p>
    <w:p>
      <w:pPr>
        <w:spacing w:after="0" w:line="62" w:lineRule="exact"/>
        <w:rPr>
          <w:rFonts w:ascii="Arial" w:cs="Arial" w:eastAsia="Arial" w:hAnsi="Arial"/>
          <w:sz w:val="18"/>
          <w:szCs w:val="18"/>
          <w:color w:val="auto"/>
        </w:rPr>
      </w:pPr>
    </w:p>
    <w:p>
      <w:pPr>
        <w:ind w:firstLine="987"/>
        <w:spacing w:after="0" w:line="27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shall have such powers and shall perform such duties as shall be assigned to him or her by the Board of Directors.</w:t>
      </w:r>
    </w:p>
    <w:p>
      <w:pPr>
        <w:spacing w:after="0" w:line="62" w:lineRule="exact"/>
        <w:rPr>
          <w:rFonts w:ascii="Arial" w:cs="Arial" w:eastAsia="Arial" w:hAnsi="Arial"/>
          <w:sz w:val="18"/>
          <w:szCs w:val="18"/>
          <w:color w:val="auto"/>
        </w:rPr>
      </w:pPr>
    </w:p>
    <w:p>
      <w:pPr>
        <w:ind w:firstLine="987"/>
        <w:spacing w:after="0" w:line="269" w:lineRule="auto"/>
        <w:tabs>
          <w:tab w:leader="none" w:pos="123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 of Directors. He or she shall disburse the funds of the Corporation as may be ordered by the Board of Directors, the Chairman of the Board, Chief Executive Officer or a President, taking proper vouchers for such disbursements. He or she shall render to the Chairman of the Board, Chief Executive Officer, each President and the Board of Directors at the regular meetings of the Board of Directors, or whenever they may request it, an account of all his or her transactions as Chief Financial Officer and of the financial condition of the Corporation. If required by the Board of Directors, he or she shall give the Corporation a bond for the faithful discharge of his or her duties in such amount and with such surety as the Board of Directors shall prescribe. The Chief Executive Officer may direct the Treasurer to assume and perform the duties of the Chief Financial Officer in the absence or disability of the Chief Financial Officer, and the Treasurer shall perform other duties commonly incident to his or her office and shall also perform such other duties and have such other powers as the Board of Directors or the Chief Executive Officer shall designate from time to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43" w:name="page44"/>
    <w:bookmarkEnd w:id="43"/>
    <w:p>
      <w:pPr>
        <w:ind w:right="20" w:firstLine="987"/>
        <w:spacing w:after="0" w:line="296" w:lineRule="auto"/>
        <w:tabs>
          <w:tab w:leader="none" w:pos="121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Secretar</w:t>
      </w:r>
      <w:r>
        <w:rPr>
          <w:rFonts w:ascii="Arial" w:cs="Arial" w:eastAsia="Arial" w:hAnsi="Arial"/>
          <w:sz w:val="16"/>
          <w:szCs w:val="16"/>
          <w:color w:val="auto"/>
        </w:rPr>
        <w:t>y. The Secretary, if present, shall act as secretary at all meetings of the Board of Directors or any committee thereof and of the stockholders and keep the minutes thereof in a book or books to be provided for that purpose. He or she shall see that all notices required to be given by the Corporation are duly given and served; he or she shall have charge of the stock records of the Corporation; he or she shall see that all reports, statements and other documents required by law are properly kept and filed; and in general, he or she shall perform all the duties incident to the office of Secretary and such other duties as from time to time may be assigned to him or her by the Chief Executive Officer or the Board of Directors.</w:t>
      </w:r>
    </w:p>
    <w:p>
      <w:pPr>
        <w:spacing w:after="0" w:line="16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the principal officers shall be fixed from time to time by the Board of Directors or a committee thereof appointed for such purpose, and the salaries of any other officers may be fixed by the Chief Executive Officer.</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Limitations on Non-Citizens as Officers</w:t>
      </w:r>
      <w:r>
        <w:rPr>
          <w:rFonts w:ascii="Arial" w:cs="Arial" w:eastAsia="Arial" w:hAnsi="Arial"/>
          <w:sz w:val="18"/>
          <w:szCs w:val="18"/>
          <w:color w:val="auto"/>
        </w:rPr>
        <w:t>. Notwithstanding anything to the contrary in these Bylaws, the Chief Executive Officer and President, if any, and at least two-thirds of the other officers of the Corporation shall be “citizens of the United States” as provided under Applicable Transportation Law for so long as required by Applicable Transportation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Certificated and Uncertificated Stock; Transfers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clause (d) below, the shares of stock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w:t>
      </w:r>
    </w:p>
    <w:p>
      <w:pPr>
        <w:spacing w:after="0" w:line="57" w:lineRule="exact"/>
        <w:rPr>
          <w:rFonts w:ascii="Arial" w:cs="Arial" w:eastAsia="Arial" w:hAnsi="Arial"/>
          <w:sz w:val="17"/>
          <w:szCs w:val="17"/>
          <w:color w:val="auto"/>
        </w:rPr>
      </w:pPr>
    </w:p>
    <w:p>
      <w:pPr>
        <w:ind w:right="40" w:firstLine="987"/>
        <w:spacing w:after="0" w:line="290"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shares of the stock of the Corporation shall be transferable in the manner prescribed by law and in these Bylaws. In the case of certificated shares of stock, transfers shall be made on the books of the Corporation only by the holder thereof or by such holder’s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In the case of uncertificated shares of stock, transfers shall be made on the books of the Corporation only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4" w:name="page45"/>
    <w:bookmarkEnd w:id="44"/>
    <w:p>
      <w:pPr>
        <w:ind w:right="60" w:firstLine="987"/>
        <w:spacing w:after="0" w:line="291"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holder of stock in the Corporation represented by certificates shall be entitled to have a certificate signed by, or in the name of the Corporation by any two authorized officers certifying the number and class of shares of stock of the Corporation owned by such holder. Unless the Board of Directors by resolution directs otherwise, the Chairman of the Board, the Chief Executive Officer, any President, any Vice President, the Treasurer, any Assistant Treasurer, the Secretary and any Assistant Secretary of the Corporation shall be authorized to sign stock certificates. Any or all of the signatures on such certificates may be an electronic signature. In case any officer, transfer agent or registrar who has signed or whose electronic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58" w:lineRule="exact"/>
        <w:rPr>
          <w:rFonts w:ascii="Arial" w:cs="Arial" w:eastAsia="Arial" w:hAnsi="Arial"/>
          <w:sz w:val="16"/>
          <w:szCs w:val="16"/>
          <w:color w:val="auto"/>
        </w:rPr>
      </w:pPr>
    </w:p>
    <w:p>
      <w:pPr>
        <w:ind w:right="80" w:firstLine="987"/>
        <w:spacing w:after="0" w:line="291"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uncertificated or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Last, Stolen, Mutilated or Destroyed Certificates</w:t>
      </w:r>
      <w:r>
        <w:rPr>
          <w:rFonts w:ascii="Arial" w:cs="Arial" w:eastAsia="Arial" w:hAnsi="Arial"/>
          <w:sz w:val="18"/>
          <w:szCs w:val="18"/>
          <w:color w:val="auto"/>
        </w:rPr>
        <w:t>. As a condition to the issue of a new certificate of stock or uncertificated shares in the place of any certificate theretofore issued and alleged to have been lost, stolen, mutilated or destroyed, the Corporation may require the owner of any such certificate, or such owner’s legal representatives, to give the Corporation a bond in such sum and in such form as it may direct or to otherwise indemnify the Corporation against any claim that may be made against it on account of the alleged loss, theft, mutilation or destruction of any such certificate or the issuance of such new certificate or uncertificated shares. Proper evidence of such loss, theft, mutilation or destruction shall be procured for the Corporation, if required. The Corporation may authorize the issuance of such new certificate without any bond when in its judgment it is proper to do so.</w:t>
      </w:r>
    </w:p>
    <w:p>
      <w:pPr>
        <w:spacing w:after="0" w:line="195"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Record Owners</w:t>
      </w:r>
      <w:r>
        <w:rPr>
          <w:rFonts w:ascii="Arial" w:cs="Arial" w:eastAsia="Arial" w:hAnsi="Arial"/>
          <w:sz w:val="18"/>
          <w:szCs w:val="18"/>
          <w:color w:val="auto"/>
        </w:rPr>
        <w:t>. The stock ledger shall be the only evidence as to who are the stockholders of the Corporation and the Corporation shall be entitled to recognize the exclusive right of a person registered on its stock ledger as the owner of shares to receive dividends, to vote and to receive notice, and otherwise to exercise all of the rights and powers of an owner of such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45" w:name="page46"/>
    <w:bookmarkEnd w:id="4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1"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and to vote at any meeting of stockholders or any adjournment thereof, the Board of Directors may fix a record date, which record date shall not precede the date upon which the resolution fixing the record date is adopted and which record date, unless otherwise required by law,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meeting shall be the date for making such determination. If no such record date is fixed by the Board of Directors, then the record date shall, unless otherwise required by law, be at the close of business on the day next preceding the day on which notice of such meeting is given, or, if notice is waived, at the close of business on the day next preceding the day on which the meeting is held.</w:t>
      </w:r>
    </w:p>
    <w:p>
      <w:pPr>
        <w:spacing w:after="0" w:line="70" w:lineRule="exact"/>
        <w:rPr>
          <w:rFonts w:ascii="Arial" w:cs="Arial" w:eastAsia="Arial" w:hAnsi="Arial"/>
          <w:sz w:val="17"/>
          <w:szCs w:val="17"/>
          <w:color w:val="auto"/>
        </w:rPr>
      </w:pPr>
    </w:p>
    <w:p>
      <w:pPr>
        <w:ind w:right="40" w:firstLine="987"/>
        <w:spacing w:after="0" w:line="255"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of for the purpose of any other lawful action, the Board of Directors may fix a record date, which record date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84" w:lineRule="exact"/>
        <w:rPr>
          <w:rFonts w:ascii="Arial" w:cs="Arial" w:eastAsia="Arial" w:hAnsi="Arial"/>
          <w:sz w:val="18"/>
          <w:szCs w:val="18"/>
          <w:color w:val="auto"/>
        </w:rPr>
      </w:pPr>
    </w:p>
    <w:p>
      <w:pPr>
        <w:ind w:right="40" w:firstLine="987"/>
        <w:spacing w:after="0" w:line="271"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for determining stockholders entitled to express consent to corporate action in writing without a meeting has been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OWNERSHIP BY NON-CITIZENS</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Limitation on Ownership of Equity Securities</w:t>
      </w:r>
      <w:r>
        <w:rPr>
          <w:rFonts w:ascii="Arial" w:cs="Arial" w:eastAsia="Arial" w:hAnsi="Arial"/>
          <w:sz w:val="18"/>
          <w:szCs w:val="18"/>
          <w:color w:val="auto"/>
        </w:rPr>
        <w:t>. All capital stock (including Common Stock and Preferred Stock) of, or other equity interests in, the Corporation (collectively, “</w:t>
      </w:r>
      <w:r>
        <w:rPr>
          <w:rFonts w:ascii="Arial" w:cs="Arial" w:eastAsia="Arial" w:hAnsi="Arial"/>
          <w:sz w:val="18"/>
          <w:szCs w:val="18"/>
          <w:u w:val="single" w:color="auto"/>
          <w:color w:val="auto"/>
        </w:rPr>
        <w:t>Equity Securities</w:t>
      </w:r>
      <w:r>
        <w:rPr>
          <w:rFonts w:ascii="Arial" w:cs="Arial" w:eastAsia="Arial" w:hAnsi="Arial"/>
          <w:sz w:val="18"/>
          <w:szCs w:val="18"/>
          <w:color w:val="auto"/>
        </w:rPr>
        <w:t>”) shall be subject to the limitations set forth in this Article VI.</w:t>
      </w:r>
    </w:p>
    <w:p>
      <w:pPr>
        <w:spacing w:after="0" w:line="170" w:lineRule="exact"/>
        <w:rPr>
          <w:sz w:val="20"/>
          <w:szCs w:val="20"/>
          <w:color w:val="auto"/>
        </w:rPr>
      </w:pPr>
    </w:p>
    <w:p>
      <w:pPr>
        <w:ind w:right="900" w:firstLine="440"/>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Non-U.S. Citizen Voting and Ownership Limitations</w:t>
      </w:r>
      <w:r>
        <w:rPr>
          <w:rFonts w:ascii="Arial" w:cs="Arial" w:eastAsia="Arial" w:hAnsi="Arial"/>
          <w:sz w:val="16"/>
          <w:szCs w:val="16"/>
          <w:color w:val="auto"/>
        </w:rPr>
        <w:t>. In no event shall persons or entities, including any agent, trustee or representative of such persons or entities, who fail to qualify as a “citizen of the United States” (“</w:t>
      </w:r>
      <w:r>
        <w:rPr>
          <w:rFonts w:ascii="Arial" w:cs="Arial" w:eastAsia="Arial" w:hAnsi="Arial"/>
          <w:sz w:val="16"/>
          <w:szCs w:val="16"/>
          <w:u w:val="single" w:color="auto"/>
          <w:color w:val="auto"/>
        </w:rPr>
        <w:t>Non-Citizens</w:t>
      </w:r>
      <w:r>
        <w:rPr>
          <w:rFonts w:ascii="Arial" w:cs="Arial" w:eastAsia="Arial" w:hAnsi="Arial"/>
          <w:sz w:val="16"/>
          <w:szCs w:val="16"/>
          <w:color w:val="auto"/>
        </w:rPr>
        <w:t>”), as that term is defined in</w:t>
      </w:r>
    </w:p>
    <w:p>
      <w:pPr>
        <w:spacing w:after="0" w:line="281" w:lineRule="auto"/>
        <w:rPr>
          <w:sz w:val="20"/>
          <w:szCs w:val="20"/>
          <w:color w:val="auto"/>
        </w:rPr>
      </w:pPr>
      <w:r>
        <w:rPr>
          <w:rFonts w:ascii="Arial" w:cs="Arial" w:eastAsia="Arial" w:hAnsi="Arial"/>
          <w:sz w:val="16"/>
          <w:szCs w:val="16"/>
          <w:color w:val="auto"/>
        </w:rPr>
        <w:t>Section 40102(a)(15) of Subtitle VII of Title 49 of the United States Code, as the same may be from time to time amended in any similar legislation of the United States enacted in substitution or replacement thereof, and as interpreted by the Department of Transportation, its predecessors and successors, from time to time (“</w:t>
      </w:r>
      <w:r>
        <w:rPr>
          <w:rFonts w:ascii="Arial" w:cs="Arial" w:eastAsia="Arial" w:hAnsi="Arial"/>
          <w:sz w:val="16"/>
          <w:szCs w:val="16"/>
          <w:u w:val="single" w:color="auto"/>
          <w:color w:val="auto"/>
        </w:rPr>
        <w:t>Applicable Transportation Law</w:t>
      </w:r>
      <w:r>
        <w:rPr>
          <w:rFonts w:ascii="Arial" w:cs="Arial" w:eastAsia="Arial" w:hAnsi="Arial"/>
          <w:sz w:val="16"/>
          <w:szCs w:val="16"/>
          <w:color w:val="auto"/>
        </w:rPr>
        <w:t>”) own (beneficially or of record) or control Equity Securities representing more than (a) 24.9% of the aggregate votes of all outstanding Equity Securities of the Corporation (the “</w:t>
      </w:r>
      <w:r>
        <w:rPr>
          <w:rFonts w:ascii="Arial" w:cs="Arial" w:eastAsia="Arial" w:hAnsi="Arial"/>
          <w:sz w:val="16"/>
          <w:szCs w:val="16"/>
          <w:u w:val="single" w:color="auto"/>
          <w:color w:val="auto"/>
        </w:rPr>
        <w:t>Voting Limitation</w:t>
      </w:r>
      <w:r>
        <w:rPr>
          <w:rFonts w:ascii="Arial" w:cs="Arial" w:eastAsia="Arial" w:hAnsi="Arial"/>
          <w:sz w:val="16"/>
          <w:szCs w:val="16"/>
          <w:color w:val="auto"/>
        </w:rPr>
        <w:t>”) and (b) 49.0% of all outstanding shares of Equity Securities of the Corporation (the “</w:t>
      </w:r>
      <w:r>
        <w:rPr>
          <w:rFonts w:ascii="Arial" w:cs="Arial" w:eastAsia="Arial" w:hAnsi="Arial"/>
          <w:sz w:val="16"/>
          <w:szCs w:val="16"/>
          <w:u w:val="single" w:color="auto"/>
          <w:color w:val="auto"/>
        </w:rPr>
        <w:t>Outstanding Limitation</w:t>
      </w:r>
      <w:r>
        <w:rPr>
          <w:rFonts w:ascii="Arial" w:cs="Arial" w:eastAsia="Arial" w:hAnsi="Arial"/>
          <w:sz w:val="16"/>
          <w:szCs w:val="16"/>
          <w:color w:val="auto"/>
        </w:rPr>
        <w:t>”). If Non-Citizens nonetheless at any time own and/or control more than the Voting Limitation, the voting rights of the Equity Securities in excess of the Voting Limitation shall be automatically suspended in accordance with</w:t>
      </w:r>
    </w:p>
    <w:p>
      <w:pPr>
        <w:spacing w:after="0" w:line="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6.03 below. Further, if at any time a transfer or issuance of Equity Securities to a Non-Citizen would result in Non-Citizens owning or controlling more than the Outstanding Limitation, such transfer or issuance shall be null and void ab initio, and of no force or effect, in accordance with Section 6.03 below.</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Foreign Stock Record</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Corporation or any transfer agent shall maintain a separate stock record, designated the “</w:t>
      </w:r>
      <w:r>
        <w:rPr>
          <w:rFonts w:ascii="Arial" w:cs="Arial" w:eastAsia="Arial" w:hAnsi="Arial"/>
          <w:sz w:val="18"/>
          <w:szCs w:val="18"/>
          <w:u w:val="single" w:color="auto"/>
          <w:color w:val="auto"/>
        </w:rPr>
        <w:t>Foreign Stock Record</w:t>
      </w:r>
      <w:r>
        <w:rPr>
          <w:rFonts w:ascii="Arial" w:cs="Arial" w:eastAsia="Arial" w:hAnsi="Arial"/>
          <w:sz w:val="18"/>
          <w:szCs w:val="18"/>
          <w:color w:val="auto"/>
        </w:rPr>
        <w:t>,” for the registration of Equity Securities held by Non-Citizens. It is the duty of each stockholder who is a Non-Citizen to register his, her or its Equity Securities on the Foreign Stock Record. The beneficial ownership or control of Equity Securities by Non-Citizens shall be determined in conformity with regulations prescribed by the Board of Directors. Only Equity Securities that have been issued and are outstanding may be registered in the Foreign Stock Record. The Foreign Stock Record shall include (i) the name and nationality of each Non-Citizen owning (beneficially or of record) or controlling Equity Securities, (ii) the number of Equity Securities owned (beneficially or of record) or controlled by each such Non-Citizen and (iii) the date of registration of such Equity Securities in the Foreign Stock Record.</w:t>
      </w:r>
    </w:p>
    <w:p>
      <w:pPr>
        <w:spacing w:after="0" w:line="86"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no time shall Equity Securities held by Non-Citizens be voted, unless such shares are registered on the Foreign Stock Record. In no event shall Equity Securities owned (beneficially or of record) or controlled by Non-Citizens representing more than the Voting Limitation be voted. In the event that Non-Citizens shall own (beneficially or of record) or have voting control over any Equity Securities, the voting rights of such persons shall be subject to automatic suspension to the extent required to ensure that the Corporation is in compliance with Applicable Transportation Law. Voting rights of Equity Securities owned (beneficially or of record) or controlled by Non-Citizens shall be suspended in reverse chronological order based upon the date of registration (or attempted registration) in the Foreign Stock Record.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47" w:name="page48"/>
    <w:bookmarkEnd w:id="47"/>
    <w:p>
      <w:pPr>
        <w:ind w:right="20" w:firstLine="987"/>
        <w:spacing w:after="0" w:line="269" w:lineRule="auto"/>
        <w:tabs>
          <w:tab w:leader="none" w:pos="1236"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any transfer or issuance of Equity Securities to a Non-Citizen would result in Non-Citizens owning (beneficially or of record) or controlling more than the Outstanding Limitation, such transfer or issuance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 and shall not be recorded in the Foreign Stock Record or the stock records of the Corporation. In the event that the Corporation shall determine that the Equity Securities registered on the Foreign Stock Record or otherwise registered on the stock records of the Corporation and owned (beneficially or of record) or controlled by Non-Citizens, taken together (without duplication), exceed the Outstanding Limitation, such number of shares shall be removed from the Foreign Stock Record and the stock records of the Corporation, as applicable, in reverse chronological order based on the date of registration (or attempted registration) in the Foreign Stock Record and the stock records of the Corporation, as applicable, and any transfer or issuance that resulted in such event shall be deemed null and void ab initio, and of no force or effect, such that the Foreign Stock Record and the stock records of the Corporation, as applicable, reflect the ownership of shares without giving effect to any transfer or issuance that caused the Corporation to exceed the Outstanding Limitation until the aggregate number of shares registered in the Foreign Stock Record or otherwise registered to Non-Citizens is equal to the Outstanding Limitation.</w:t>
      </w:r>
    </w:p>
    <w:p>
      <w:pPr>
        <w:spacing w:after="0" w:line="18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Registration of Shares</w:t>
      </w:r>
      <w:r>
        <w:rPr>
          <w:rFonts w:ascii="Arial" w:cs="Arial" w:eastAsia="Arial" w:hAnsi="Arial"/>
          <w:sz w:val="18"/>
          <w:szCs w:val="18"/>
          <w:color w:val="auto"/>
        </w:rPr>
        <w:t>. Registry of the ownership of Equity Securities by Non-Citizens shall be effected by written notice to, and in the form specified from time to time by, the Secretary of the Corporation. Subject to any limitations or exceptions set forth in this Article VI, the order in which such shares shall be registered on the Foreign Stock Record shall be chronological, based on the date the Corporation received notice to so register such shares; provided, that any Non-Citizen who purchases or otherwise acquires shares that are registered on the Foreign Stock Record and who registers such shares in its own name within 30 days of such acquisition will assume the position of the seller of such shares in the chronological order of shares registered on the Foreign Stock Record.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Certification Regarding Ownership of Shares</w:t>
      </w:r>
      <w:r>
        <w:rPr>
          <w:rFonts w:ascii="Arial" w:cs="Arial" w:eastAsia="Arial" w:hAnsi="Arial"/>
          <w:sz w:val="18"/>
          <w:szCs w:val="18"/>
          <w:color w:val="auto"/>
        </w:rPr>
        <w:t>.</w:t>
      </w:r>
    </w:p>
    <w:p>
      <w:pPr>
        <w:spacing w:after="0" w:line="117" w:lineRule="exact"/>
        <w:rPr>
          <w:sz w:val="20"/>
          <w:szCs w:val="20"/>
          <w:color w:val="auto"/>
        </w:rPr>
      </w:pPr>
    </w:p>
    <w:p>
      <w:pPr>
        <w:ind w:right="320" w:firstLine="987"/>
        <w:spacing w:after="0" w:line="257"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Corporation may by notice in writing (which may be included in the form of proxy or ballot distributed to stockholders in connection with the annual meeting or any special meeting of the stockholders of the Corporation, or otherwise) require a person that is a holder of record of Equity Securities or that the Corporation knows to have, or has reasonable cause to believe has beneficial ownership or control of Equity Securities to certify in such manner as the Corporation shall deem appropriate (including by way of execution of any form of proxy or ballot of such person) that, to the knowledge of such person:</w:t>
      </w:r>
    </w:p>
    <w:p>
      <w:pPr>
        <w:spacing w:after="0" w:line="79" w:lineRule="exact"/>
        <w:rPr>
          <w:rFonts w:ascii="Arial" w:cs="Arial" w:eastAsia="Arial" w:hAnsi="Arial"/>
          <w:sz w:val="18"/>
          <w:szCs w:val="18"/>
          <w:color w:val="auto"/>
        </w:rPr>
      </w:pPr>
    </w:p>
    <w:p>
      <w:pPr>
        <w:ind w:right="340" w:firstLine="1428"/>
        <w:spacing w:after="0" w:line="277" w:lineRule="auto"/>
        <w:tabs>
          <w:tab w:leader="none" w:pos="16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Equity Securities as to which such person has record ownership or beneficial ownership are owned and controlled only by citizens of the United States (as defined in Section 6.02 above);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8" w:name="page49"/>
    <w:bookmarkEnd w:id="48"/>
    <w:p>
      <w:pPr>
        <w:ind w:left="-20" w:right="980" w:firstLine="1428"/>
        <w:spacing w:after="0" w:line="277" w:lineRule="auto"/>
        <w:tabs>
          <w:tab w:leader="none" w:pos="1677"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of Equity Securities of record or beneficially owned by such person that are owned and/or controlled by Non-Citizens is as set forth in such certificate.</w:t>
      </w:r>
    </w:p>
    <w:p>
      <w:pPr>
        <w:spacing w:after="0" w:line="62" w:lineRule="exact"/>
        <w:rPr>
          <w:rFonts w:ascii="Arial" w:cs="Arial" w:eastAsia="Arial" w:hAnsi="Arial"/>
          <w:sz w:val="18"/>
          <w:szCs w:val="18"/>
          <w:color w:val="auto"/>
        </w:rPr>
      </w:pPr>
    </w:p>
    <w:p>
      <w:pPr>
        <w:ind w:left="-20" w:right="60" w:firstLine="987"/>
        <w:spacing w:after="0" w:line="308" w:lineRule="auto"/>
        <w:tabs>
          <w:tab w:leader="none" w:pos="1226"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 respect to any Equity Securities identified in response to clause (a)(ii) above, the Corporation may require such person to provide such further information as the Corporation may reasonably require in order to implement the provisions of this Article VI.</w:t>
      </w:r>
    </w:p>
    <w:p>
      <w:pPr>
        <w:spacing w:after="0" w:line="38" w:lineRule="exact"/>
        <w:rPr>
          <w:rFonts w:ascii="Arial" w:cs="Arial" w:eastAsia="Arial" w:hAnsi="Arial"/>
          <w:sz w:val="17"/>
          <w:szCs w:val="17"/>
          <w:color w:val="auto"/>
        </w:rPr>
      </w:pPr>
    </w:p>
    <w:p>
      <w:pPr>
        <w:ind w:left="-20" w:firstLine="987"/>
        <w:spacing w:after="0" w:line="263" w:lineRule="auto"/>
        <w:tabs>
          <w:tab w:leader="none" w:pos="12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applying the provisions of this Article VI with respect to any Equity Securities, in the event of the failure of any person to provide the certificate or other information to which the Corporation is entitled pursuant to this Section 6.05, the Corporation may presume that the shares in question are owned and/or controlled by Non-Citizens.</w:t>
      </w:r>
    </w:p>
    <w:p>
      <w:pPr>
        <w:spacing w:after="0" w:line="75" w:lineRule="exact"/>
        <w:rPr>
          <w:rFonts w:ascii="Arial" w:cs="Arial" w:eastAsia="Arial" w:hAnsi="Arial"/>
          <w:sz w:val="18"/>
          <w:szCs w:val="18"/>
          <w:color w:val="auto"/>
        </w:rPr>
      </w:pPr>
    </w:p>
    <w:p>
      <w:pPr>
        <w:ind w:left="-20" w:right="40" w:firstLine="987"/>
        <w:spacing w:after="0" w:line="263" w:lineRule="auto"/>
        <w:tabs>
          <w:tab w:leader="none" w:pos="12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certificate or other representative document for Equity Securities (including each such certificate or representative document for Equity Securities issued upon any permitted transfer of Equity Securities, securities convertible into or exchangeable for Equity Securities) shall contain a legend in substantially the following form:</w:t>
      </w:r>
    </w:p>
    <w:p>
      <w:pPr>
        <w:spacing w:after="0" w:line="76" w:lineRule="exact"/>
        <w:rPr>
          <w:sz w:val="20"/>
          <w:szCs w:val="20"/>
          <w:color w:val="auto"/>
        </w:rPr>
      </w:pPr>
    </w:p>
    <w:p>
      <w:pPr>
        <w:ind w:left="420" w:right="20"/>
        <w:spacing w:after="0" w:line="269" w:lineRule="auto"/>
        <w:rPr>
          <w:sz w:val="20"/>
          <w:szCs w:val="20"/>
          <w:color w:val="auto"/>
        </w:rPr>
      </w:pPr>
      <w:r>
        <w:rPr>
          <w:rFonts w:ascii="Arial" w:cs="Arial" w:eastAsia="Arial" w:hAnsi="Arial"/>
          <w:sz w:val="17"/>
          <w:szCs w:val="17"/>
          <w:color w:val="auto"/>
        </w:rPr>
        <w:t>THE [TYPE OF EQUITY SECURITIES] OF SUN COUNTRY AIRLINES HOLDINGS, INC. REPRESENTED BY THIS CERTIFICATE OR REPRESENTATIVE DOCUMENT ARE SUBJECT TO OWNERSHIP, CONTROL, AND VOTING RESTRICTIONS WITH RESPECT TO CERTAIN SECURITIES HELD BY PERSONS OR ENTITIES THAT FAIL TO QUALIFY AS “CITIZENS OF THE UNITED STATES” AS THE TERM IS DEFINED IN SECTION 40102(a)(15) OF SUBTITLE VII OF TITLE 49 OF THE UNITED STATES CODE, AS AMENDED IN ANY SIMILAR LEGISLATION OF THE UNITED STATES ENACTED IN SUBSTITUTION OR REPLACEMENT THEREFOR, AND AS INTERPRETED BY THE UNITED STATES DEPARTMENT OF TRANSPORTATION, ITS PREDECESSORS AND SUCCESSORS, FROM TIME TO TIME. SUCH OWNERSHIP, CONTROL, AND VOTING RESTRICTIONS ARE CONTAINED IN THE CERTIFICATE OF INCORPORATION AND THE BYLAWS OF SUN COUNTRY AIRLINES HOLDINGS, INC., AS THE SAME MAY BE AMENDED OR RESTATED FROM TIME TO TIME. A COMPLETE AND CORRECT COPY OF SUCH CERTIFICATE OF INCORPORATION AND BYLAWS SHALL BE FURNISHED FREE OF CHARGE TO THE HOLDER OF THE SECURITIES REPRESENTED HEREBY UPON WRITTEN REQUEST TO THE SECRETARY OF SUN COUNTRY AIRLINES HOLDINGS,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Amendments by Stockholders</w:t>
      </w:r>
      <w:r>
        <w:rPr>
          <w:rFonts w:ascii="Arial" w:cs="Arial" w:eastAsia="Arial" w:hAnsi="Arial"/>
          <w:sz w:val="18"/>
          <w:szCs w:val="18"/>
          <w:color w:val="auto"/>
        </w:rPr>
        <w:t>. These Bylaws may be altered, amended or repealed and new Bylaws may be added by the stockholders (i) prior to the Trigger Event (as defined in the Certificate of Incorporation), by the affirmative vote of the holders of a majority in voting power of the stock entitled to vote thereon and (ii) after the Trigger Event, by the affirmative vote of the holders of at least 66 2/3% of the voting power of the stock entitled to vote thereon at any annual meeting of the stockholders or at any special meeting thereof if notice on the proposed alteration, amendment, repeal or addition is contained in the notice of such special meeting.</w:t>
      </w:r>
    </w:p>
    <w:p>
      <w:pPr>
        <w:spacing w:after="0" w:line="18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Amendments by the Board of Directors</w:t>
      </w:r>
      <w:r>
        <w:rPr>
          <w:rFonts w:ascii="Arial" w:cs="Arial" w:eastAsia="Arial" w:hAnsi="Arial"/>
          <w:sz w:val="18"/>
          <w:szCs w:val="18"/>
          <w:color w:val="auto"/>
        </w:rPr>
        <w:t>. The Board of Directors may adopt, amend or repeal these Bylaws as provided in the Certificate of Incorporation.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225"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Voting of Securities Owned by the Corporation</w:t>
      </w:r>
      <w:r>
        <w:rPr>
          <w:rFonts w:ascii="Arial" w:cs="Arial" w:eastAsia="Arial" w:hAnsi="Arial"/>
          <w:sz w:val="17"/>
          <w:szCs w:val="17"/>
          <w:color w:val="auto"/>
        </w:rPr>
        <w:t>. The Board of Directors may authorize any person on behalf of the Corporation to attend and vote at any meeting of security holders of any entity in which the Corporation holds securities and to exercise, on behalf of the Corporation, any and all of the rights and powers incident to the ownership of such securities, including the authority to execute and deliver proxies, powers of attorney and consents on behalf of the Corporation. Unless the Board of Directors directs otherwise, each of the Chairman, the Chief Executive Officer and any President shall have the powers specified in the preceding provisions of this Section 8.02.</w:t>
      </w:r>
    </w:p>
    <w:p>
      <w:pPr>
        <w:spacing w:after="0" w:line="17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provisions of the Certificate of Incorporation, the Board of Directors may, out of funds legally available therefor, declare dividends upon the capital stock of the Corporation as and when they deem expedient, in accordance with law. Before declaring any dividend there may be set apart out of any funds of the Corporation available for dividends such sum or sums as the directors from time to time in their discretion may deem proper for working capital or as a reserve fund to meet contingencies or for equalizing dividends or for such other purposes as the directors may deem conducive to the interests of the Corporation. The Board of Directors may abolish any such reserve at any time.</w:t>
      </w:r>
    </w:p>
    <w:p>
      <w:pPr>
        <w:spacing w:after="0" w:line="16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the provisions of the General Corporation Law of the State of Delaware, the Certificate of Incorporation or these Bylaws, a written waiver, signed by the person or persons entitled to such notice, or a waiver by electronic transmission by the person entitled to notice, whether before or after the time stated therein, shall be deemed equivalent to the giving of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annual, regular or special meeting of the stockholders or the Board of Directors or committee thereof need be specified in any waiver of notice of such meeting.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50" w:name="page51"/>
    <w:bookmarkEnd w:id="5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8.05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required by law, the Certificate of Incorporation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Chairman of the Board, the Chief Executive Officer, each President, the Chief Financial Officer or any Vice President may execute bonds, contracts, deeds, leases and other instruments to be made or executed for or on behalf of the Corporation. Subject to any restrictions imposed by the Board of Directors or the Chairman of the Board, the Chief Executive Officer, each President, the Chief Financial Officer or any Vice President of the Corporation may delegate contractual powers to others under his or her jurisdiction, it being understood, however, that any such delegation of power shall not relieve such officer of responsibility with respect to the exercise of such delegated power.</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40" w:top="274" w:right="5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Sun Country Airlines Holdings, Inc. 2021 Omnibus Incentive Plan</w:t>
      </w:r>
    </w:p>
    <w:p>
      <w:pPr>
        <w:spacing w:after="0" w:line="211" w:lineRule="exact"/>
        <w:rPr>
          <w:sz w:val="20"/>
          <w:szCs w:val="20"/>
          <w:color w:val="auto"/>
        </w:rPr>
      </w:pPr>
    </w:p>
    <w:p>
      <w:pPr>
        <w:ind w:left="4" w:right="80" w:hanging="4"/>
        <w:spacing w:after="0" w:line="257" w:lineRule="auto"/>
        <w:tabs>
          <w:tab w:leader="none" w:pos="18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Sun Country Airlines Holdings, Inc. 2021 Omnibus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intended to help Sun Country Airlines Holdings, Inc., a Delaware corporation (including any successor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Affiliates (i) attract and retain key personnel by providing them the opportunity to acquire an equity interest in the Company or other incentive compensation measured by reference to the value of Common Stock or a targeted dollar value if denominated in cash, and (ii) align the interests of key personnel with those of the Company’s shareholders.</w:t>
      </w:r>
    </w:p>
    <w:p>
      <w:pPr>
        <w:spacing w:after="0" w:line="187" w:lineRule="exact"/>
        <w:rPr>
          <w:rFonts w:ascii="Arial" w:cs="Arial" w:eastAsia="Arial" w:hAnsi="Arial"/>
          <w:sz w:val="18"/>
          <w:szCs w:val="18"/>
          <w:color w:val="auto"/>
        </w:rPr>
      </w:pPr>
    </w:p>
    <w:p>
      <w:pPr>
        <w:ind w:left="4" w:right="20" w:hanging="4"/>
        <w:spacing w:after="0" w:line="259" w:lineRule="auto"/>
        <w:tabs>
          <w:tab w:leader="none" w:pos="18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Effective Date; Duration</w:t>
      </w:r>
      <w:r>
        <w:rPr>
          <w:rFonts w:ascii="Arial" w:cs="Arial" w:eastAsia="Arial" w:hAnsi="Arial"/>
          <w:sz w:val="18"/>
          <w:szCs w:val="18"/>
          <w:color w:val="auto"/>
        </w:rPr>
        <w:t>. The Plan shall be effective as of the date on which the Plan is approved by the shareholders of the Company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86" w:lineRule="exact"/>
        <w:rPr>
          <w:rFonts w:ascii="Arial" w:cs="Arial" w:eastAsia="Arial" w:hAnsi="Arial"/>
          <w:sz w:val="18"/>
          <w:szCs w:val="18"/>
          <w:color w:val="auto"/>
        </w:rPr>
      </w:pPr>
    </w:p>
    <w:p>
      <w:pPr>
        <w:ind w:left="184" w:hanging="184"/>
        <w:spacing w:after="0"/>
        <w:tabs>
          <w:tab w:leader="none" w:pos="18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throughout the Plan:</w:t>
      </w:r>
    </w:p>
    <w:p>
      <w:pPr>
        <w:spacing w:after="0" w:line="117" w:lineRule="exact"/>
        <w:rPr>
          <w:rFonts w:ascii="Arial" w:cs="Arial" w:eastAsia="Arial" w:hAnsi="Arial"/>
          <w:sz w:val="18"/>
          <w:szCs w:val="18"/>
          <w:color w:val="auto"/>
        </w:rPr>
      </w:pPr>
    </w:p>
    <w:p>
      <w:pPr>
        <w:ind w:left="4" w:right="140" w:firstLine="436"/>
        <w:spacing w:after="0" w:line="259" w:lineRule="auto"/>
        <w:tabs>
          <w:tab w:leader="none" w:pos="6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78" w:lineRule="exact"/>
        <w:rPr>
          <w:rFonts w:ascii="Arial" w:cs="Arial" w:eastAsia="Arial" w:hAnsi="Arial"/>
          <w:sz w:val="18"/>
          <w:szCs w:val="18"/>
          <w:color w:val="auto"/>
        </w:rPr>
      </w:pPr>
    </w:p>
    <w:p>
      <w:pPr>
        <w:ind w:left="4" w:right="240" w:firstLine="436"/>
        <w:spacing w:after="0" w:line="277" w:lineRule="auto"/>
        <w:tabs>
          <w:tab w:leader="none" w:pos="69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Incentive Stock Option, Nonqualified Stock Option, Stock Appreciation Right, Restricted Stock, Restricted Stock Unit, Other Stock-Based Award, or Other Cash-Based Award granted under the Plan.</w:t>
      </w:r>
    </w:p>
    <w:p>
      <w:pPr>
        <w:spacing w:after="0" w:line="62" w:lineRule="exact"/>
        <w:rPr>
          <w:rFonts w:ascii="Arial" w:cs="Arial" w:eastAsia="Arial" w:hAnsi="Arial"/>
          <w:sz w:val="18"/>
          <w:szCs w:val="18"/>
          <w:color w:val="auto"/>
        </w:rPr>
      </w:pPr>
    </w:p>
    <w:p>
      <w:pPr>
        <w:ind w:left="4" w:right="440" w:firstLine="436"/>
        <w:spacing w:after="0" w:line="277" w:lineRule="auto"/>
        <w:tabs>
          <w:tab w:leader="none" w:pos="6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(whether in written or electronic form) or other instrument or document evidencing any Award granted under the Plan.</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set forth in Rule 13d-3 promulgated under Section 13 of the Exchange Act.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4" w:right="80" w:firstLine="436"/>
        <w:spacing w:after="0" w:line="257" w:lineRule="auto"/>
        <w:tabs>
          <w:tab w:leader="none" w:pos="6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 Affiliate,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w:t>
      </w:r>
    </w:p>
    <w:p>
      <w:pPr>
        <w:sectPr>
          <w:pgSz w:w="11900" w:h="16838" w:orient="portrait"/>
          <w:cols w:equalWidth="0" w:num="1">
            <w:col w:w="11024"/>
          </w:cols>
          <w:pgMar w:left="436" w:top="121" w:right="439" w:bottom="1440" w:gutter="0" w:footer="0" w:header="0"/>
        </w:sectPr>
      </w:pPr>
    </w:p>
    <w:bookmarkStart w:id="52" w:name="page53"/>
    <w:bookmarkEnd w:id="5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employment, consulting, change-in-control, severance or any other agreement between the Participant and the Company or an Affiliate, or severance plan in which the Participant is eligible to participate, means: (A) the Participant’s indictment for,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(x) felony, (y) misdemeanor involving moral turpitude, or (z) other crime involving either fraud or a breach of the Participant’s duty of loyalty with respect to the Company or any Affiliates thereof, or any of its customers or suppliers, (B) the Participant’s failure to perform duties as reasonably directed by the Board (other than as a consequence of Disability) after written notice thereof and failure to cure within ten (10) business days of receipt of the written notice, (C) the Participant’s fraud, misappropriation, embezzlement (whether or not in connection with employment), or material misuse of funds or property belonging to the Company or any of its Affiliates, (D) the Participant’s willful violation of the policies of the Company or any of its Subsidiaries, or gross negligence in connection with the performance of his duties, after written notice thereof and failure to cure within ten</w:t>
      </w:r>
    </w:p>
    <w:p>
      <w:pPr>
        <w:spacing w:after="0" w:line="1" w:lineRule="exact"/>
        <w:rPr>
          <w:sz w:val="20"/>
          <w:szCs w:val="20"/>
          <w:color w:val="auto"/>
        </w:rPr>
      </w:pPr>
    </w:p>
    <w:p>
      <w:pPr>
        <w:ind w:left="4" w:right="40" w:hanging="4"/>
        <w:spacing w:after="0" w:line="285" w:lineRule="auto"/>
        <w:tabs>
          <w:tab w:leader="none" w:pos="3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business days of receipt of written notice, (E) the Participant’s use of alcohol that interferes with the performance of the Participant’s duties or use of illegal drugs, if either (i) the Participant fails to obtain treatment within ten (10) business days after receipt of written notice thereof or (ii) the Participant obtains treatment and, following Participant’s return to work, the Participant’s use of alcohol again interferes with the performance of the Participant’s duties or the Participant again uses illegal drugs, (F) the Participant’s breach of any of the material terms of an employment, consulting, or any other agreement between the Participant and the Company or an Affiliate, and failure to cure such breach within ten (10) business days after receipt of written notice, or (G) the Participant’s breach of confidentiality or non-disparagement provisions (excluding unintentional breaches that are cured within ten (10) days after the Participant becomes aware of such breaches, to the extent curable) or the non-competition and non-solicitation provisions to which the Participant is subject. If, within thirty (30) days subsequent to the Participant’s termination of employment for any reason other than by the Company for Cause, the Company discovers facts such that the Participant’s termination of employment could have been for Cause, the Participant’s termination of employment will be deemed to have been for Cause for all purposes, and the Participant will be required to disgorge to the Company all amounts received under this Plan, any Award Agreement or otherwise that would not have been payable to such Participant, all equity awards or otherwise that would not have been payable to the Participant had such termination of employment or service been by the Company for Cause. The determination of whether Cause exists shall be made by the Committee in its sole discretion.</w:t>
      </w:r>
    </w:p>
    <w:p>
      <w:pPr>
        <w:spacing w:after="0" w:line="61" w:lineRule="exact"/>
        <w:rPr>
          <w:rFonts w:ascii="Arial" w:cs="Arial" w:eastAsia="Arial" w:hAnsi="Arial"/>
          <w:sz w:val="16"/>
          <w:szCs w:val="16"/>
          <w:color w:val="auto"/>
        </w:rPr>
      </w:pPr>
    </w:p>
    <w:p>
      <w:pPr>
        <w:ind w:left="4" w:right="160" w:firstLine="436"/>
        <w:spacing w:after="0" w:line="263" w:lineRule="auto"/>
        <w:tabs>
          <w:tab w:leader="none" w:pos="699"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in the case of a particular Award, unless the applicable Award Agreement (or any employment, consulting, change-in-control, severance or other agreement between the Participant and the Company or an Affiliate) states otherwise, the first to occur of any of the following events:</w:t>
      </w:r>
    </w:p>
    <w:p>
      <w:pPr>
        <w:spacing w:after="0" w:line="75" w:lineRule="exact"/>
        <w:rPr>
          <w:rFonts w:ascii="Arial" w:cs="Arial" w:eastAsia="Arial" w:hAnsi="Arial"/>
          <w:sz w:val="18"/>
          <w:szCs w:val="18"/>
          <w:color w:val="auto"/>
        </w:rPr>
      </w:pPr>
    </w:p>
    <w:p>
      <w:pPr>
        <w:ind w:left="4" w:right="300" w:firstLine="987"/>
        <w:spacing w:after="0" w:line="286" w:lineRule="auto"/>
        <w:tabs>
          <w:tab w:leader="none" w:pos="1210" w:val="left"/>
        </w:tabs>
        <w:numPr>
          <w:ilvl w:val="2"/>
          <w:numId w:val="45"/>
        </w:numPr>
        <w:rPr>
          <w:rFonts w:ascii="Arial" w:cs="Arial" w:eastAsia="Arial" w:hAnsi="Arial"/>
          <w:sz w:val="17"/>
          <w:szCs w:val="17"/>
          <w:color w:val="auto"/>
        </w:rPr>
      </w:pPr>
      <w:r>
        <w:rPr>
          <w:rFonts w:ascii="Arial" w:cs="Arial" w:eastAsia="Arial" w:hAnsi="Arial"/>
          <w:sz w:val="17"/>
          <w:szCs w:val="17"/>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53" w:name="page54"/>
    <w:bookmarkEnd w:id="53"/>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warrants, the conversion of convertible stock or debt, and the exercise of any similar right to acquire such Common Stock (the “</w:t>
      </w:r>
      <w:r>
        <w:rPr>
          <w:rFonts w:ascii="Arial" w:cs="Arial" w:eastAsia="Arial" w:hAnsi="Arial"/>
          <w:sz w:val="16"/>
          <w:szCs w:val="16"/>
          <w:u w:val="single" w:color="auto"/>
          <w:color w:val="auto"/>
        </w:rPr>
        <w:t>Outstanding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or (B) the combined voting power of the then-outstanding voting securities of the Company entitled to vote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but excluding any acquisition by the Company or any of its Affiliates, or the Investor, its Permitted Transferees or any of their respective Affiliates or by any employee benefit plan sponsored or maintained by the Company or any of its Affiliates;</w:t>
      </w:r>
    </w:p>
    <w:p>
      <w:pPr>
        <w:spacing w:after="0" w:line="49" w:lineRule="exact"/>
        <w:rPr>
          <w:sz w:val="20"/>
          <w:szCs w:val="20"/>
          <w:color w:val="auto"/>
        </w:rPr>
      </w:pPr>
    </w:p>
    <w:p>
      <w:pPr>
        <w:ind w:right="20" w:firstLine="987"/>
        <w:spacing w:after="0" w:line="255" w:lineRule="auto"/>
        <w:tabs>
          <w:tab w:leader="none" w:pos="12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members of the Board during any consecutive 12-month period (the “</w:t>
      </w:r>
      <w:r>
        <w:rPr>
          <w:rFonts w:ascii="Arial" w:cs="Arial" w:eastAsia="Arial" w:hAnsi="Arial"/>
          <w:sz w:val="18"/>
          <w:szCs w:val="18"/>
          <w:u w:val="single" w:color="auto"/>
          <w:color w:val="auto"/>
        </w:rPr>
        <w:t>Incumbent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cease to constitute a majority of the Board. Any person becoming a director through election or nomination for election approved by a valid vote of at least two-thirds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to be an Incumbent Director;</w:t>
      </w:r>
    </w:p>
    <w:p>
      <w:pPr>
        <w:spacing w:after="0" w:line="84" w:lineRule="exact"/>
        <w:rPr>
          <w:rFonts w:ascii="Arial" w:cs="Arial" w:eastAsia="Arial" w:hAnsi="Arial"/>
          <w:sz w:val="18"/>
          <w:szCs w:val="18"/>
          <w:color w:val="auto"/>
        </w:rPr>
      </w:pPr>
    </w:p>
    <w:p>
      <w:pPr>
        <w:ind w:left="1300" w:hanging="313"/>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plan of complete dissolution or liquidation of the Company; and</w:t>
      </w:r>
    </w:p>
    <w:p>
      <w:pPr>
        <w:spacing w:after="0" w:line="117" w:lineRule="exact"/>
        <w:rPr>
          <w:rFonts w:ascii="Arial" w:cs="Arial" w:eastAsia="Arial" w:hAnsi="Arial"/>
          <w:sz w:val="18"/>
          <w:szCs w:val="18"/>
          <w:color w:val="auto"/>
        </w:rPr>
      </w:pPr>
    </w:p>
    <w:p>
      <w:pPr>
        <w:ind w:right="20" w:firstLine="987"/>
        <w:spacing w:after="0" w:line="285" w:lineRule="auto"/>
        <w:tabs>
          <w:tab w:leader="none" w:pos="12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amalgamation, consolidation, statutory share exchange or similar form of corporate transaction involving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or sale, transfer or other disposition of all or substantially all of the business or assets of the Company to an entity that is not an Affiliate of the Company (a “</w:t>
      </w:r>
      <w:r>
        <w:rPr>
          <w:rFonts w:ascii="Arial" w:cs="Arial" w:eastAsia="Arial" w:hAnsi="Arial"/>
          <w:sz w:val="16"/>
          <w:szCs w:val="16"/>
          <w:u w:val="single" w:color="auto"/>
          <w:color w:val="auto"/>
        </w:rPr>
        <w:t>Sale</w:t>
      </w:r>
      <w:r>
        <w:rPr>
          <w:rFonts w:ascii="Arial" w:cs="Arial" w:eastAsia="Arial" w:hAnsi="Arial"/>
          <w:sz w:val="16"/>
          <w:szCs w:val="16"/>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4" w:name="page55"/>
    <w:bookmarkEnd w:id="54"/>
    <w:p>
      <w:pPr>
        <w:ind w:left="-20" w:right="40" w:firstLine="436"/>
        <w:spacing w:after="0" w:line="308" w:lineRule="auto"/>
        <w:tabs>
          <w:tab w:leader="none" w:pos="675"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38" w:lineRule="exact"/>
        <w:rPr>
          <w:rFonts w:ascii="Arial" w:cs="Arial" w:eastAsia="Arial" w:hAnsi="Arial"/>
          <w:sz w:val="17"/>
          <w:szCs w:val="17"/>
          <w:color w:val="auto"/>
        </w:rPr>
      </w:pPr>
    </w:p>
    <w:p>
      <w:pPr>
        <w:ind w:left="-20" w:firstLine="436"/>
        <w:spacing w:after="0" w:line="263"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75" w:lineRule="exact"/>
        <w:rPr>
          <w:rFonts w:ascii="Arial" w:cs="Arial" w:eastAsia="Arial" w:hAnsi="Arial"/>
          <w:sz w:val="18"/>
          <w:szCs w:val="18"/>
          <w:color w:val="auto"/>
        </w:rPr>
      </w:pPr>
    </w:p>
    <w:p>
      <w:pPr>
        <w:ind w:left="-20" w:right="480" w:firstLine="436"/>
        <w:spacing w:after="0" w:line="277"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stock or other securities into which such common stock may be converted or into which it may be exchanged).</w:t>
      </w:r>
    </w:p>
    <w:p>
      <w:pPr>
        <w:spacing w:after="0" w:line="62" w:lineRule="exact"/>
        <w:rPr>
          <w:rFonts w:ascii="Arial" w:cs="Arial" w:eastAsia="Arial" w:hAnsi="Arial"/>
          <w:sz w:val="18"/>
          <w:szCs w:val="18"/>
          <w:color w:val="auto"/>
        </w:rPr>
      </w:pPr>
    </w:p>
    <w:p>
      <w:pPr>
        <w:ind w:left="-20" w:right="140" w:firstLine="436"/>
        <w:spacing w:after="0" w:line="270" w:lineRule="auto"/>
        <w:tabs>
          <w:tab w:leader="none" w:pos="6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 Affiliate, or severance plan in which the Participant is eligible to participate, in either case in effect at the time of the Participant’s termination of employment or service with the Company and its Affiliates, or (ii) if “disability” or term of similar import is not defined in, or in the absence of, any such employment, consulting, change-in-control, severance or any other agreement between the Participant and the Company or an Affiliate, or severance plan in which the Participant is eligible to participate, means a finding by the Committee of the Participant’s incapacitation through any illness, injury, accident or condition of either a physical or psychological nature that has resulted in his or her inability to perform the essential functions of his or her position, even with reasonable accommodations, for one hundred eighty (180) calendar days during any period of three hundred sixty-five (365) consecutive calendar days, and such incapacity is expected to continue.</w:t>
      </w:r>
    </w:p>
    <w:p>
      <w:pPr>
        <w:spacing w:after="0" w:line="72" w:lineRule="exact"/>
        <w:rPr>
          <w:rFonts w:ascii="Arial" w:cs="Arial" w:eastAsia="Arial" w:hAnsi="Arial"/>
          <w:sz w:val="17"/>
          <w:szCs w:val="17"/>
          <w:color w:val="auto"/>
        </w:rPr>
      </w:pPr>
    </w:p>
    <w:p>
      <w:pPr>
        <w:ind w:left="640" w:hanging="22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shall refer to the United States dollars.</w:t>
      </w:r>
    </w:p>
    <w:p>
      <w:pPr>
        <w:spacing w:after="0" w:line="117" w:lineRule="exact"/>
        <w:rPr>
          <w:rFonts w:ascii="Arial" w:cs="Arial" w:eastAsia="Arial" w:hAnsi="Arial"/>
          <w:sz w:val="18"/>
          <w:szCs w:val="18"/>
          <w:color w:val="auto"/>
        </w:rPr>
      </w:pPr>
    </w:p>
    <w:p>
      <w:pPr>
        <w:ind w:left="720" w:hanging="304"/>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Director</w:t>
      </w:r>
      <w:r>
        <w:rPr>
          <w:rFonts w:ascii="Arial" w:cs="Arial" w:eastAsia="Arial" w:hAnsi="Arial"/>
          <w:sz w:val="18"/>
          <w:szCs w:val="18"/>
          <w:color w:val="auto"/>
        </w:rPr>
        <w:t>” means a director who satisfies the conditions set forth in Section 4(a) of the Plan.</w:t>
      </w:r>
    </w:p>
    <w:p>
      <w:pPr>
        <w:spacing w:after="0" w:line="117" w:lineRule="exact"/>
        <w:rPr>
          <w:rFonts w:ascii="Arial" w:cs="Arial" w:eastAsia="Arial" w:hAnsi="Arial"/>
          <w:sz w:val="18"/>
          <w:szCs w:val="18"/>
          <w:color w:val="auto"/>
        </w:rPr>
      </w:pPr>
    </w:p>
    <w:p>
      <w:pPr>
        <w:ind w:left="-20" w:right="40" w:firstLine="436"/>
        <w:spacing w:after="0" w:line="275" w:lineRule="auto"/>
        <w:tabs>
          <w:tab w:leader="none" w:pos="6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 individual employed by the Company or an Affiliate; provided, however, that no such employee covered by a collective bargaining agreement shall be an Eligible Person, (ii) director or officer of the Company or an Affiliate, (iii) consultant or advisor to the Company or an Affiliate who may be offered securities registrable on Form S-8 under the Securities Act, or (iv) prospective employee, director, officer, consultant or advisor who has accepted an offer of employment or service from the Company or its Affiliates (and would satisfy the provisions of clause (i), (ii) or (iii) above once such individual begins employment with or providing services to the Company or an Affiliate).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55" w:name="page56"/>
    <w:bookmarkEnd w:id="55"/>
    <w:p>
      <w:pPr>
        <w:ind w:left="-20" w:firstLine="436"/>
        <w:spacing w:after="0" w:line="263"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75" w:lineRule="exact"/>
        <w:rPr>
          <w:rFonts w:ascii="Arial" w:cs="Arial" w:eastAsia="Arial" w:hAnsi="Arial"/>
          <w:sz w:val="18"/>
          <w:szCs w:val="18"/>
          <w:color w:val="auto"/>
        </w:rPr>
      </w:pPr>
    </w:p>
    <w:p>
      <w:pPr>
        <w:ind w:left="680" w:hanging="26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set forth in Section 7(b) of the Plan.</w:t>
      </w:r>
    </w:p>
    <w:p>
      <w:pPr>
        <w:spacing w:after="0" w:line="117" w:lineRule="exact"/>
        <w:rPr>
          <w:rFonts w:ascii="Arial" w:cs="Arial" w:eastAsia="Arial" w:hAnsi="Arial"/>
          <w:sz w:val="18"/>
          <w:szCs w:val="18"/>
          <w:color w:val="auto"/>
        </w:rPr>
      </w:pPr>
    </w:p>
    <w:p>
      <w:pPr>
        <w:ind w:left="-20" w:right="220" w:firstLine="436"/>
        <w:spacing w:after="0" w:line="296" w:lineRule="auto"/>
        <w:tabs>
          <w:tab w:leader="none" w:pos="6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 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spacing w:after="0" w:line="53" w:lineRule="exact"/>
        <w:rPr>
          <w:rFonts w:ascii="Arial" w:cs="Arial" w:eastAsia="Arial" w:hAnsi="Arial"/>
          <w:sz w:val="16"/>
          <w:szCs w:val="16"/>
          <w:color w:val="auto"/>
        </w:rPr>
      </w:pPr>
    </w:p>
    <w:p>
      <w:pPr>
        <w:ind w:left="-20" w:right="80" w:firstLine="436"/>
        <w:spacing w:after="0" w:line="277" w:lineRule="auto"/>
        <w:tabs>
          <w:tab w:leader="none" w:pos="6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designated by the Committee as an incentive stock option as described in Section 422 of the Code and otherwise meets the requirements set forth in the Plan.</w:t>
      </w:r>
    </w:p>
    <w:p>
      <w:pPr>
        <w:spacing w:after="0" w:line="62" w:lineRule="exact"/>
        <w:rPr>
          <w:rFonts w:ascii="Arial" w:cs="Arial" w:eastAsia="Arial" w:hAnsi="Arial"/>
          <w:sz w:val="18"/>
          <w:szCs w:val="18"/>
          <w:color w:val="auto"/>
        </w:rPr>
      </w:pPr>
    </w:p>
    <w:p>
      <w:pPr>
        <w:ind w:left="-20" w:right="140" w:firstLine="436"/>
        <w:spacing w:after="0" w:line="308"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“Intrinsic Value”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38" w:lineRule="exact"/>
        <w:rPr>
          <w:rFonts w:ascii="Arial" w:cs="Arial" w:eastAsia="Arial" w:hAnsi="Arial"/>
          <w:sz w:val="17"/>
          <w:szCs w:val="17"/>
          <w:color w:val="auto"/>
        </w:rPr>
      </w:pPr>
    </w:p>
    <w:p>
      <w:pPr>
        <w:ind w:left="640" w:hanging="22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set forth in Section 14(b)(ii) of the Plan.</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set forth in Section 4(e) of the Plan.</w:t>
      </w:r>
    </w:p>
    <w:p>
      <w:pPr>
        <w:spacing w:after="0" w:line="117" w:lineRule="exact"/>
        <w:rPr>
          <w:rFonts w:ascii="Arial" w:cs="Arial" w:eastAsia="Arial" w:hAnsi="Arial"/>
          <w:sz w:val="18"/>
          <w:szCs w:val="18"/>
          <w:color w:val="auto"/>
        </w:rPr>
      </w:pPr>
    </w:p>
    <w:p>
      <w:pPr>
        <w:ind w:left="-20" w:right="160" w:firstLine="436"/>
        <w:spacing w:after="0" w:line="277" w:lineRule="auto"/>
        <w:tabs>
          <w:tab w:leader="none" w:pos="6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collectively, the investment funds managed, sponsored or advised by Apollo Management, LLC. A reference to a member of Investor is a reference to any such investment fund.</w:t>
      </w:r>
    </w:p>
    <w:p>
      <w:pPr>
        <w:spacing w:after="0" w:line="62" w:lineRule="exact"/>
        <w:rPr>
          <w:rFonts w:ascii="Arial" w:cs="Arial" w:eastAsia="Arial" w:hAnsi="Arial"/>
          <w:sz w:val="18"/>
          <w:szCs w:val="18"/>
          <w:color w:val="auto"/>
        </w:rPr>
      </w:pPr>
    </w:p>
    <w:p>
      <w:pPr>
        <w:ind w:left="720" w:hanging="304"/>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designated by the Committee as an Incentive Stock Option.</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117" w:lineRule="exact"/>
        <w:rPr>
          <w:rFonts w:ascii="Arial" w:cs="Arial" w:eastAsia="Arial" w:hAnsi="Arial"/>
          <w:sz w:val="18"/>
          <w:szCs w:val="18"/>
          <w:color w:val="auto"/>
        </w:rPr>
      </w:pPr>
    </w:p>
    <w:p>
      <w:pPr>
        <w:ind w:left="660" w:hanging="24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set forth in Section 7(c)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56" w:name="page57"/>
    <w:bookmarkEnd w:id="56"/>
    <w:p>
      <w:pPr>
        <w:jc w:val="both"/>
        <w:ind w:left="4" w:right="80" w:firstLine="436"/>
        <w:spacing w:after="0" w:line="342" w:lineRule="auto"/>
        <w:tabs>
          <w:tab w:leader="none" w:pos="769" w:val="left"/>
        </w:tabs>
        <w:numPr>
          <w:ilvl w:val="1"/>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Other Cash-Based Award</w:t>
      </w:r>
      <w:r>
        <w:rPr>
          <w:rFonts w:ascii="Arial" w:cs="Arial" w:eastAsia="Arial" w:hAnsi="Arial"/>
          <w:sz w:val="16"/>
          <w:szCs w:val="16"/>
          <w:color w:val="auto"/>
        </w:rPr>
        <w:t>” means an Award granted under Section 10 of the Plan that is denominated and/or payable in cash, including cash awarded as a bonus or upon the attainment of specific performance criteria or as otherwise permitted by the Plan or as contemplated by the Committee.</w:t>
      </w:r>
    </w:p>
    <w:p>
      <w:pPr>
        <w:spacing w:after="0" w:line="15" w:lineRule="exact"/>
        <w:rPr>
          <w:rFonts w:ascii="Arial" w:cs="Arial" w:eastAsia="Arial" w:hAnsi="Arial"/>
          <w:sz w:val="16"/>
          <w:szCs w:val="16"/>
          <w:color w:val="auto"/>
        </w:rPr>
      </w:pPr>
    </w:p>
    <w:p>
      <w:pPr>
        <w:ind w:left="784" w:hanging="344"/>
        <w:spacing w:after="0"/>
        <w:tabs>
          <w:tab w:leader="none" w:pos="78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Award granted under Section 10 of the Plan.</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6 of the Plan.</w:t>
      </w:r>
    </w:p>
    <w:p>
      <w:pPr>
        <w:spacing w:after="0" w:line="117" w:lineRule="exact"/>
        <w:rPr>
          <w:rFonts w:ascii="Arial" w:cs="Arial" w:eastAsia="Arial" w:hAnsi="Arial"/>
          <w:sz w:val="18"/>
          <w:szCs w:val="18"/>
          <w:color w:val="auto"/>
        </w:rPr>
      </w:pPr>
    </w:p>
    <w:p>
      <w:pPr>
        <w:ind w:left="4" w:right="120" w:firstLine="436"/>
        <w:spacing w:after="0" w:line="283" w:lineRule="auto"/>
        <w:tabs>
          <w:tab w:leader="none" w:pos="789" w:val="left"/>
        </w:tabs>
        <w:numPr>
          <w:ilvl w:val="1"/>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Conditions</w:t>
      </w:r>
      <w:r>
        <w:rPr>
          <w:rFonts w:ascii="Arial" w:cs="Arial" w:eastAsia="Arial" w:hAnsi="Arial"/>
          <w:sz w:val="16"/>
          <w:szCs w:val="16"/>
          <w:color w:val="auto"/>
        </w:rPr>
        <w:t>” means specific levels of performance of the Company (and/or one or more Affiliates, divisions or operational and/or business units, product lines, brands, business segments, administrative departments, units, or any combination of the foregoing), which may be determined in accordance with GAAP or on a non-GAAP basis, including without limitation, on the following measures: (i) net earnings or net income (before or after taxes);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net assets, capital, gross revenue or gross revenue growth, invested capital, equity or sales); (vii) cash flow measures (including, but not limited to, operating cash flow, free cash flow and cash flow return on capital), which may but are not required to be measured on a per-share basis; (viii) earnings before or after taxes, interest, depreciation, and amortization (including EBIT and EBITDA); (ix) gross or net operating margins; (x) productivity ratios; (xi) share price (including, but not limited to, growth measures and total shareholder return); (xii) expense targets or cost reduction goals, general and administrative expense savings; (xiii) operating efficiency; (xiv) customer satisfaction; (xv) working capital targets;</w:t>
      </w:r>
    </w:p>
    <w:p>
      <w:pPr>
        <w:spacing w:after="0" w:line="4" w:lineRule="exact"/>
        <w:rPr>
          <w:rFonts w:ascii="Arial" w:cs="Arial" w:eastAsia="Arial" w:hAnsi="Arial"/>
          <w:sz w:val="16"/>
          <w:szCs w:val="16"/>
          <w:color w:val="auto"/>
        </w:rPr>
      </w:pPr>
    </w:p>
    <w:p>
      <w:pPr>
        <w:ind w:left="4" w:hanging="4"/>
        <w:spacing w:after="0" w:line="267" w:lineRule="auto"/>
        <w:tabs>
          <w:tab w:leader="none" w:pos="399" w:val="left"/>
        </w:tabs>
        <w:numPr>
          <w:ilvl w:val="0"/>
          <w:numId w:val="50"/>
        </w:numPr>
        <w:rPr>
          <w:rFonts w:ascii="Arial" w:cs="Arial" w:eastAsia="Arial" w:hAnsi="Arial"/>
          <w:sz w:val="17"/>
          <w:szCs w:val="17"/>
          <w:color w:val="auto"/>
        </w:rPr>
      </w:pPr>
      <w:r>
        <w:rPr>
          <w:rFonts w:ascii="Arial" w:cs="Arial" w:eastAsia="Arial" w:hAnsi="Arial"/>
          <w:sz w:val="17"/>
          <w:szCs w:val="17"/>
          <w:color w:val="auto"/>
        </w:rPr>
        <w:t>measures of economic value added or other ‘‘value creation’’ metrics; (xvii) enterprise value; (xviii) stockholder return; (xix) client or customer retention; (xx) competitive market metrics; (xxi) employee retention; (xxii)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 (xxiii) system-wide revenues; (xxiv) cost of capital, debt leverage year-end cash position or book value; (xxv) strategic objectives, development of new product lines and related revenue, sales and margin targets, or international operations; or (xxvi) any combination of the foregoing. Any one or more of the aforementioned performance criteria may be stated as a percentage of another performance criteria, or used on an absolute or relative basis to measure the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group of comparator companies, or a published or special index that the Committee deems appropriate, or as compared to various stock market indices. The Performance Conditions may include a threshold level of performance below which no payment shall be made (or no vesting</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57" w:name="page58"/>
    <w:bookmarkEnd w:id="57"/>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occur), levels of performance at which specified payments shall be made (or specified vesting shall occur), and a maximum level of performance above which no additional payment shall be made (or at which full vesting shall occur). The Committee shall have the authority to make equitable adjustments to the Performance Conditions as may be determined by the Committee, in its sole discretion.</w:t>
      </w:r>
    </w:p>
    <w:p>
      <w:pPr>
        <w:spacing w:after="0" w:line="76" w:lineRule="exact"/>
        <w:rPr>
          <w:sz w:val="20"/>
          <w:szCs w:val="20"/>
          <w:color w:val="auto"/>
        </w:rPr>
      </w:pPr>
    </w:p>
    <w:p>
      <w:pPr>
        <w:ind w:left="760" w:hanging="32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Section 14(b)(ii) of the Plan.</w:t>
      </w:r>
    </w:p>
    <w:p>
      <w:pPr>
        <w:spacing w:after="0" w:line="117" w:lineRule="exact"/>
        <w:rPr>
          <w:rFonts w:ascii="Arial" w:cs="Arial" w:eastAsia="Arial" w:hAnsi="Arial"/>
          <w:sz w:val="18"/>
          <w:szCs w:val="18"/>
          <w:color w:val="auto"/>
        </w:rPr>
      </w:pPr>
    </w:p>
    <w:p>
      <w:pPr>
        <w:ind w:firstLine="436"/>
        <w:spacing w:after="0" w:line="257" w:lineRule="auto"/>
        <w:tabs>
          <w:tab w:leader="none" w:pos="7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Common Stock of the Company.</w:t>
      </w:r>
    </w:p>
    <w:p>
      <w:pPr>
        <w:spacing w:after="0" w:line="79" w:lineRule="exact"/>
        <w:rPr>
          <w:rFonts w:ascii="Arial" w:cs="Arial" w:eastAsia="Arial" w:hAnsi="Arial"/>
          <w:sz w:val="18"/>
          <w:szCs w:val="18"/>
          <w:color w:val="auto"/>
        </w:rPr>
      </w:pPr>
    </w:p>
    <w:p>
      <w:pPr>
        <w:ind w:left="780" w:hanging="34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Unit</w:t>
      </w:r>
      <w:r>
        <w:rPr>
          <w:rFonts w:ascii="Arial" w:cs="Arial" w:eastAsia="Arial" w:hAnsi="Arial"/>
          <w:sz w:val="18"/>
          <w:szCs w:val="18"/>
          <w:color w:val="auto"/>
        </w:rPr>
        <w:t>” has the meaning set forth in Section 9(d)(ii) of the Plan.</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9(a) of the Plan.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an Award of Common Stock, subject to certain specified restrictions, granted under Section 9 of the Plan.</w:t>
      </w:r>
    </w:p>
    <w:p>
      <w:pPr>
        <w:spacing w:after="0" w:line="128" w:lineRule="exact"/>
        <w:rPr>
          <w:rFonts w:ascii="Arial" w:cs="Arial" w:eastAsia="Arial" w:hAnsi="Arial"/>
          <w:sz w:val="17"/>
          <w:szCs w:val="17"/>
          <w:color w:val="auto"/>
        </w:rPr>
      </w:pPr>
    </w:p>
    <w:p>
      <w:pPr>
        <w:ind w:right="120" w:firstLine="436"/>
        <w:spacing w:after="0" w:line="277"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of an unfunded and unsecured promise to deliver shares of Common Stock, cash, other securities or other property, subject to certain specified restrictions, granted under Section 9 of the Plan.</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set forth in Section 8(c) of the Plan.</w:t>
      </w:r>
    </w:p>
    <w:p>
      <w:pPr>
        <w:spacing w:after="0" w:line="117" w:lineRule="exact"/>
        <w:rPr>
          <w:rFonts w:ascii="Arial" w:cs="Arial" w:eastAsia="Arial" w:hAnsi="Arial"/>
          <w:sz w:val="18"/>
          <w:szCs w:val="18"/>
          <w:color w:val="auto"/>
        </w:rPr>
      </w:pPr>
    </w:p>
    <w:p>
      <w:pPr>
        <w:ind w:firstLine="436"/>
        <w:spacing w:after="0" w:line="286" w:lineRule="auto"/>
        <w:tabs>
          <w:tab w:leader="none" w:pos="7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57" w:lineRule="exact"/>
        <w:rPr>
          <w:rFonts w:ascii="Arial" w:cs="Arial" w:eastAsia="Arial" w:hAnsi="Arial"/>
          <w:sz w:val="17"/>
          <w:szCs w:val="17"/>
          <w:color w:val="auto"/>
        </w:rPr>
      </w:pPr>
    </w:p>
    <w:p>
      <w:pPr>
        <w:ind w:left="880" w:hanging="44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set forth in Section 8(b) of the Plan.</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117" w:lineRule="exact"/>
        <w:rPr>
          <w:rFonts w:ascii="Arial" w:cs="Arial" w:eastAsia="Arial" w:hAnsi="Arial"/>
          <w:sz w:val="18"/>
          <w:szCs w:val="18"/>
          <w:color w:val="auto"/>
        </w:rPr>
      </w:pPr>
    </w:p>
    <w:p>
      <w:pPr>
        <w:ind w:right="460" w:firstLine="436"/>
        <w:spacing w:after="0" w:line="277" w:lineRule="auto"/>
        <w:tabs>
          <w:tab w:leader="none" w:pos="7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Company.</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has the meaning set forth in Section 5(e)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8" w:name="page59"/>
    <w:bookmarkEnd w:id="58"/>
    <w:p>
      <w:pPr>
        <w:ind w:left="184" w:hanging="184"/>
        <w:spacing w:after="0"/>
        <w:tabs>
          <w:tab w:leader="none" w:pos="18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436"/>
        <w:spacing w:after="0" w:line="285" w:lineRule="auto"/>
        <w:tabs>
          <w:tab w:leader="none" w:pos="689"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Committee shall administer the Plan, and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and/or supply any omission in the Plan and any Award granted under the Plan,</w:t>
      </w:r>
    </w:p>
    <w:p>
      <w:pPr>
        <w:spacing w:after="0" w:line="1" w:lineRule="exact"/>
        <w:rPr>
          <w:rFonts w:ascii="Arial" w:cs="Arial" w:eastAsia="Arial" w:hAnsi="Arial"/>
          <w:sz w:val="16"/>
          <w:szCs w:val="16"/>
          <w:color w:val="auto"/>
        </w:rPr>
      </w:pPr>
    </w:p>
    <w:p>
      <w:pPr>
        <w:ind w:left="4"/>
        <w:spacing w:after="0" w:line="267" w:lineRule="auto"/>
        <w:rPr>
          <w:rFonts w:ascii="Arial" w:cs="Arial" w:eastAsia="Arial" w:hAnsi="Arial"/>
          <w:sz w:val="16"/>
          <w:szCs w:val="16"/>
          <w:color w:val="auto"/>
        </w:rPr>
      </w:pPr>
      <w:r>
        <w:rPr>
          <w:rFonts w:ascii="Arial" w:cs="Arial" w:eastAsia="Arial" w:hAnsi="Arial"/>
          <w:sz w:val="17"/>
          <w:szCs w:val="17"/>
          <w:color w:val="auto"/>
        </w:rPr>
        <w:t>(vi) establish, amend, suspend, or waive any rules and regulations and appoint such agents as the Committee shall deem appropriate for the proper administration of the Plan, (vii) 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rules of the NYSE or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and/or (2) an “independent director” under the rules of the NYSE or any other securities exchange or inter-dealer quotation service on which the Common Stock is listed or quoted, or a person meeting any similar requirement under any successor rule or regulation (“</w:t>
      </w:r>
      <w:r>
        <w:rPr>
          <w:rFonts w:ascii="Arial" w:cs="Arial" w:eastAsia="Arial" w:hAnsi="Arial"/>
          <w:sz w:val="17"/>
          <w:szCs w:val="17"/>
          <w:u w:val="single" w:color="auto"/>
          <w:color w:val="auto"/>
        </w:rPr>
        <w:t>Eligible Director</w:t>
      </w:r>
      <w:r>
        <w:rPr>
          <w:rFonts w:ascii="Arial" w:cs="Arial" w:eastAsia="Arial" w:hAnsi="Arial"/>
          <w:sz w:val="17"/>
          <w:szCs w:val="17"/>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76" w:lineRule="exact"/>
        <w:rPr>
          <w:rFonts w:ascii="Arial" w:cs="Arial" w:eastAsia="Arial" w:hAnsi="Arial"/>
          <w:sz w:val="16"/>
          <w:szCs w:val="16"/>
          <w:color w:val="auto"/>
        </w:rPr>
      </w:pPr>
    </w:p>
    <w:p>
      <w:pPr>
        <w:jc w:val="both"/>
        <w:ind w:left="4" w:right="20" w:firstLine="436"/>
        <w:spacing w:after="0" w:line="263" w:lineRule="auto"/>
        <w:tabs>
          <w:tab w:leader="none" w:pos="699"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75" w:lineRule="exact"/>
        <w:rPr>
          <w:rFonts w:ascii="Arial" w:cs="Arial" w:eastAsia="Arial" w:hAnsi="Arial"/>
          <w:sz w:val="18"/>
          <w:szCs w:val="18"/>
          <w:color w:val="auto"/>
        </w:rPr>
      </w:pPr>
    </w:p>
    <w:p>
      <w:pPr>
        <w:ind w:left="4" w:firstLine="436"/>
        <w:spacing w:after="0" w:line="259" w:lineRule="auto"/>
        <w:tabs>
          <w:tab w:leader="none" w:pos="68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shareholder approval if such approval is required by applicable securities laws or regulation or NYSE listing guidelines.</w:t>
      </w:r>
    </w:p>
    <w:p>
      <w:pPr>
        <w:spacing w:after="0" w:line="78" w:lineRule="exact"/>
        <w:rPr>
          <w:rFonts w:ascii="Arial" w:cs="Arial" w:eastAsia="Arial" w:hAnsi="Arial"/>
          <w:sz w:val="18"/>
          <w:szCs w:val="18"/>
          <w:color w:val="auto"/>
        </w:rPr>
      </w:pPr>
    </w:p>
    <w:p>
      <w:pPr>
        <w:jc w:val="both"/>
        <w:ind w:left="4" w:firstLine="436"/>
        <w:spacing w:after="0" w:line="259" w:lineRule="auto"/>
        <w:tabs>
          <w:tab w:leader="none" w:pos="699" w:val="left"/>
        </w:tabs>
        <w:numPr>
          <w:ilvl w:val="1"/>
          <w:numId w:val="52"/>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shareholder of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59" w:name="page60"/>
    <w:bookmarkEnd w:id="59"/>
    <w:p>
      <w:pPr>
        <w:ind w:left="4" w:firstLine="436"/>
        <w:spacing w:after="0" w:line="267" w:lineRule="auto"/>
        <w:tabs>
          <w:tab w:leader="none" w:pos="689" w:val="left"/>
        </w:tabs>
        <w:numPr>
          <w:ilvl w:val="1"/>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member of the Board or the Committee, nor any employee or agent of the Company (each such person, an “</w:t>
      </w:r>
      <w:r>
        <w:rPr>
          <w:rFonts w:ascii="Arial" w:cs="Arial" w:eastAsia="Arial" w:hAnsi="Arial"/>
          <w:sz w:val="17"/>
          <w:szCs w:val="17"/>
          <w:u w:val="single" w:color="auto"/>
          <w:color w:val="auto"/>
        </w:rPr>
        <w:t>Indemnifiable Person</w:t>
      </w:r>
      <w:r>
        <w:rPr>
          <w:rFonts w:ascii="Arial" w:cs="Arial" w:eastAsia="Arial" w:hAnsi="Arial"/>
          <w:sz w:val="17"/>
          <w:szCs w:val="17"/>
          <w:color w:val="auto"/>
        </w:rPr>
        <w:t>”), shall be liable for any action taken or omitted to be taken or any determination made with respect to the Plan or any Award hereunder (unless 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78" w:lineRule="exact"/>
        <w:rPr>
          <w:rFonts w:ascii="Arial" w:cs="Arial" w:eastAsia="Arial" w:hAnsi="Arial"/>
          <w:sz w:val="17"/>
          <w:szCs w:val="17"/>
          <w:color w:val="auto"/>
        </w:rPr>
      </w:pPr>
    </w:p>
    <w:p>
      <w:pPr>
        <w:ind w:left="4" w:right="340" w:firstLine="436"/>
        <w:spacing w:after="0" w:line="277" w:lineRule="auto"/>
        <w:tabs>
          <w:tab w:leader="none" w:pos="669"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Grant of Awards; Shares Subject to the Plan; 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60" w:firstLine="436"/>
        <w:spacing w:after="0" w:line="308" w:lineRule="auto"/>
        <w:tabs>
          <w:tab w:leader="none" w:pos="689"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Awards</w:t>
      </w:r>
      <w:r>
        <w:rPr>
          <w:rFonts w:ascii="Arial" w:cs="Arial" w:eastAsia="Arial" w:hAnsi="Arial"/>
          <w:sz w:val="17"/>
          <w:szCs w:val="17"/>
          <w:color w:val="auto"/>
        </w:rPr>
        <w:t>. The Committee may grant Awards to one or more Eligible Persons. All Awards granted under the Plan shall vest and become exercisable in such manner and on such date or dates or upon such event or events as determined by the Committee.</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60" w:name="page61"/>
    <w:bookmarkEnd w:id="60"/>
    <w:p>
      <w:pPr>
        <w:ind w:left="-20" w:firstLine="436"/>
        <w:spacing w:after="0" w:line="254" w:lineRule="auto"/>
        <w:tabs>
          <w:tab w:leader="none" w:pos="6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Limits</w:t>
      </w:r>
      <w:r>
        <w:rPr>
          <w:rFonts w:ascii="Arial" w:cs="Arial" w:eastAsia="Arial" w:hAnsi="Arial"/>
          <w:sz w:val="18"/>
          <w:szCs w:val="18"/>
          <w:color w:val="auto"/>
        </w:rPr>
        <w:t>. Subject to Section 11 of the Plan and subsection (e) below, the following limitations apply to the grant of Awards: (i) no more than 3,600,000 shares of Common Stock may be reserved for issuance and delivered in the aggregate pursuant to Awards granted under the Plan (the “</w:t>
      </w:r>
      <w:r>
        <w:rPr>
          <w:rFonts w:ascii="Arial" w:cs="Arial" w:eastAsia="Arial" w:hAnsi="Arial"/>
          <w:sz w:val="18"/>
          <w:szCs w:val="18"/>
          <w:u w:val="single" w:color="auto"/>
          <w:color w:val="auto"/>
        </w:rPr>
        <w:t>Share Pool</w:t>
      </w:r>
      <w:r>
        <w:rPr>
          <w:rFonts w:ascii="Arial" w:cs="Arial" w:eastAsia="Arial" w:hAnsi="Arial"/>
          <w:sz w:val="18"/>
          <w:szCs w:val="18"/>
          <w:color w:val="auto"/>
        </w:rPr>
        <w:t>”); (ii) no more than 3,600,000 shares of Common Stock may be delivered pursuant to the exercise of Incentive Stock Options granted under the Plan; and (iii) the maximum amount (based on the Fair Market Value of shares of Common Stock on the date of grant as determined in accordance with applicable financial accounting rules) of Awards that may be granted in any single fiscal year to any non-employee director, taken together with any cash fees paid to such non-employee director during such fiscal year, shall be $500,000; provided, that the foregoing limitation shall not apply in respect of any Awards issued to a non-employee director in respect of any one-time initial equity grant upon a non-employee director’s appointment to the Board.</w:t>
      </w:r>
    </w:p>
    <w:p>
      <w:pPr>
        <w:spacing w:after="0" w:line="83" w:lineRule="exact"/>
        <w:rPr>
          <w:rFonts w:ascii="Arial" w:cs="Arial" w:eastAsia="Arial" w:hAnsi="Arial"/>
          <w:sz w:val="18"/>
          <w:szCs w:val="18"/>
          <w:color w:val="auto"/>
        </w:rPr>
      </w:pPr>
    </w:p>
    <w:p>
      <w:pPr>
        <w:ind w:left="-20" w:firstLine="436"/>
        <w:spacing w:after="0" w:line="287" w:lineRule="auto"/>
        <w:tabs>
          <w:tab w:leader="none" w:pos="66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Share Counting</w:t>
      </w:r>
      <w:r>
        <w:rPr>
          <w:rFonts w:ascii="Arial" w:cs="Arial" w:eastAsia="Arial" w:hAnsi="Arial"/>
          <w:sz w:val="16"/>
          <w:szCs w:val="16"/>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cash-settled,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exercise of Options or SARs granted under the Plan. Shares of Common Stock withheld by, or otherwise remitted to the Company to satisfy a Participant’s tax withholding obligations upon the lapse of restrictions on, or settlement of, an Award, other than an Option or SAR, shall again be available for Awards under the Share Pool.</w:t>
      </w:r>
    </w:p>
    <w:p>
      <w:pPr>
        <w:spacing w:after="0" w:line="59" w:lineRule="exact"/>
        <w:rPr>
          <w:rFonts w:ascii="Arial" w:cs="Arial" w:eastAsia="Arial" w:hAnsi="Arial"/>
          <w:sz w:val="16"/>
          <w:szCs w:val="16"/>
          <w:color w:val="auto"/>
        </w:rPr>
      </w:pPr>
    </w:p>
    <w:p>
      <w:pPr>
        <w:ind w:left="-20" w:right="40" w:firstLine="436"/>
        <w:spacing w:after="0" w:line="342"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5" w:lineRule="exact"/>
        <w:rPr>
          <w:rFonts w:ascii="Arial" w:cs="Arial" w:eastAsia="Arial" w:hAnsi="Arial"/>
          <w:sz w:val="16"/>
          <w:szCs w:val="16"/>
          <w:color w:val="auto"/>
        </w:rPr>
      </w:pPr>
    </w:p>
    <w:p>
      <w:pPr>
        <w:ind w:left="-20" w:right="60" w:firstLine="436"/>
        <w:spacing w:after="0" w:line="296" w:lineRule="auto"/>
        <w:tabs>
          <w:tab w:leader="none" w:pos="66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6"/>
          <w:szCs w:val="16"/>
          <w:u w:val="single" w:color="auto"/>
          <w:color w:val="auto"/>
        </w:rPr>
        <w:t>Substitute Awards</w:t>
      </w:r>
      <w:r>
        <w:rPr>
          <w:rFonts w:ascii="Arial" w:cs="Arial" w:eastAsia="Arial" w:hAnsi="Arial"/>
          <w:sz w:val="16"/>
          <w:szCs w:val="16"/>
          <w:color w:val="auto"/>
        </w:rPr>
        <w:t>”), and such Substitute Awards shall not be counted against the aggregate number of shares of Common Stock available for Awards (i.e. Substitute Awards will not be counted against the Share Pool); provided, that Substitute Awards issued or intended as “incentive stock options” within the meaning of Section 422 of the Code shall be counted against the aggregate number of Incentive Stock Options available under the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61" w:name="page62"/>
    <w:bookmarkEnd w:id="61"/>
    <w:p>
      <w:pPr>
        <w:ind w:left="4" w:right="640" w:hanging="4"/>
        <w:spacing w:after="0" w:line="277" w:lineRule="auto"/>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Eligibility</w:t>
      </w:r>
      <w:r>
        <w:rPr>
          <w:rFonts w:ascii="Arial" w:cs="Arial" w:eastAsia="Arial" w:hAnsi="Arial"/>
          <w:sz w:val="18"/>
          <w:szCs w:val="18"/>
          <w:color w:val="auto"/>
        </w:rPr>
        <w:t>. Participation shall be limited to Eligible Persons who have been selected by the Committee and who have entered into an Award Agreement with respect to an Award granted to them under the Plan (each such Eligible Person, a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73" w:lineRule="auto"/>
        <w:tabs>
          <w:tab w:leader="none" w:pos="689"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Option shall be subject to the conditions set forth in the Plan and in the applicable Award Agreement. All Options granted under the Plan shall be Nonqualified Stock Options unless the Award Agreement expressly states otherwise. Incentive Stock Options shall be granted only subject to and in compliance with Section 422 of the Code, and only to Eligible Persons who are employees of the Company and its Affiliates and who are eligible to receive an Incentive Stock Option under the Code. If for any reason an Option intended to be an Incentive Stock Option (or any portion thereof) shall not qualify as an Incentive Stock Option, then, to the extent of such nonqualification, such Option or portion thereof shall be regarded as a Nonqualified Stock Option properly granted under the Plan.</w:t>
      </w:r>
    </w:p>
    <w:p>
      <w:pPr>
        <w:spacing w:after="0" w:line="69" w:lineRule="exact"/>
        <w:rPr>
          <w:rFonts w:ascii="Arial" w:cs="Arial" w:eastAsia="Arial" w:hAnsi="Arial"/>
          <w:sz w:val="17"/>
          <w:szCs w:val="17"/>
          <w:color w:val="auto"/>
        </w:rPr>
      </w:pPr>
    </w:p>
    <w:p>
      <w:pPr>
        <w:ind w:left="4" w:firstLine="436"/>
        <w:spacing w:after="0" w:line="263"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w:t>
      </w:r>
      <w:r>
        <w:rPr>
          <w:rFonts w:ascii="Arial" w:cs="Arial" w:eastAsia="Arial" w:hAnsi="Arial"/>
          <w:sz w:val="18"/>
          <w:szCs w:val="18"/>
          <w:u w:val="single" w:color="auto"/>
          <w:color w:val="auto"/>
        </w:rPr>
        <w:t>Exercise Price</w:t>
      </w:r>
      <w:r>
        <w:rPr>
          <w:rFonts w:ascii="Arial" w:cs="Arial" w:eastAsia="Arial" w:hAnsi="Arial"/>
          <w:sz w:val="18"/>
          <w:szCs w:val="18"/>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75" w:lineRule="exact"/>
        <w:rPr>
          <w:rFonts w:ascii="Arial" w:cs="Arial" w:eastAsia="Arial" w:hAnsi="Arial"/>
          <w:sz w:val="18"/>
          <w:szCs w:val="18"/>
          <w:color w:val="auto"/>
        </w:rPr>
      </w:pPr>
    </w:p>
    <w:p>
      <w:pPr>
        <w:ind w:left="4" w:firstLine="436"/>
        <w:spacing w:after="0" w:line="271" w:lineRule="auto"/>
        <w:tabs>
          <w:tab w:leader="none" w:pos="689"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Vesting, Exercise and Expiration</w:t>
      </w:r>
      <w:r>
        <w:rPr>
          <w:rFonts w:ascii="Arial" w:cs="Arial" w:eastAsia="Arial" w:hAnsi="Arial"/>
          <w:sz w:val="17"/>
          <w:szCs w:val="17"/>
          <w:color w:val="auto"/>
        </w:rPr>
        <w:t>. The Committee shall determine the manner and timing of vesting, exercise and expiration of Options. The period between the date of grant and the scheduled expiration date of the Option (“</w:t>
      </w:r>
      <w:r>
        <w:rPr>
          <w:rFonts w:ascii="Arial" w:cs="Arial" w:eastAsia="Arial" w:hAnsi="Arial"/>
          <w:sz w:val="17"/>
          <w:szCs w:val="17"/>
          <w:u w:val="single" w:color="auto"/>
          <w:color w:val="auto"/>
        </w:rPr>
        <w:t>Option Period</w:t>
      </w:r>
      <w:r>
        <w:rPr>
          <w:rFonts w:ascii="Arial" w:cs="Arial" w:eastAsia="Arial" w:hAnsi="Arial"/>
          <w:sz w:val="17"/>
          <w:szCs w:val="17"/>
          <w:color w:val="auto"/>
        </w:rPr>
        <w:t>”) shall not exceed ten years, unless the Option Period (other than in the case of an Incentive Stock Option) would expire at a time when trading in the shares of Common Stock is prohibited by the Company’s securities trading policy or a Company-imposed “blackout period,” in which case the Option Period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70" w:lineRule="exact"/>
        <w:rPr>
          <w:rFonts w:ascii="Arial" w:cs="Arial" w:eastAsia="Arial" w:hAnsi="Arial"/>
          <w:sz w:val="17"/>
          <w:szCs w:val="17"/>
          <w:color w:val="auto"/>
        </w:rPr>
      </w:pPr>
    </w:p>
    <w:p>
      <w:pPr>
        <w:ind w:left="4" w:right="20" w:firstLine="436"/>
        <w:spacing w:after="0" w:line="259" w:lineRule="auto"/>
        <w:tabs>
          <w:tab w:leader="none" w:pos="69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Method of Exercise and Form of Payment</w:t>
      </w:r>
      <w:r>
        <w:rPr>
          <w:rFonts w:ascii="Arial" w:cs="Arial" w:eastAsia="Arial" w:hAnsi="Arial"/>
          <w:sz w:val="18"/>
          <w:szCs w:val="18"/>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w:t>
      </w:r>
    </w:p>
    <w:p>
      <w:pPr>
        <w:spacing w:after="0" w:line="11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4"/>
          </w:cols>
          <w:pgMar w:left="436" w:top="274" w:right="579" w:bottom="1440" w:gutter="0" w:footer="0" w:header="0"/>
        </w:sectPr>
      </w:pPr>
    </w:p>
    <w:bookmarkStart w:id="62" w:name="page63"/>
    <w:bookmarkEnd w:id="62"/>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designee (including a third-party administrator) in accordance with the terms of the Option and the Award Agreement accompanied by payment of the Exercise Price and such applicable taxes. The Exercise Price and all applicable required withholding taxes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 subject to any pledge or other security interest; or (ii) by such other method as the Committee may permit, in its sole discretion, including without limitation: (A) in the form of other property having a Fair Market Value on the date of exercise equal to the Exercise Price and all applicable required withholding taxes; (B)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(C) by means of a “net exercise” procedure effected by withholding the minimum number of shares of Common Stock otherwise deliverable in respect of an Option that are needed to pay for the Exercise Price and all applicable required withholding taxes.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72" w:lineRule="exact"/>
        <w:rPr>
          <w:sz w:val="20"/>
          <w:szCs w:val="20"/>
          <w:color w:val="auto"/>
        </w:rPr>
      </w:pPr>
    </w:p>
    <w:p>
      <w:pPr>
        <w:ind w:firstLine="436"/>
        <w:spacing w:after="0" w:line="291"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 Company in writing immediately after the date on which the Participant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and (ii)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58" w:lineRule="exact"/>
        <w:rPr>
          <w:rFonts w:ascii="Arial" w:cs="Arial" w:eastAsia="Arial" w:hAnsi="Arial"/>
          <w:sz w:val="16"/>
          <w:szCs w:val="16"/>
          <w:color w:val="auto"/>
        </w:rPr>
      </w:pPr>
    </w:p>
    <w:p>
      <w:pPr>
        <w:ind w:firstLine="436"/>
        <w:spacing w:after="0" w:line="259" w:lineRule="auto"/>
        <w:tabs>
          <w:tab w:leader="none" w:pos="66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3" w:name="page64"/>
    <w:bookmarkEnd w:id="63"/>
    <w:p>
      <w:pPr>
        <w:ind w:left="4" w:firstLine="436"/>
        <w:spacing w:after="0" w:line="301" w:lineRule="auto"/>
        <w:tabs>
          <w:tab w:leader="none" w:pos="69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Incentive Stock Option Grants to 10% Shareholders</w:t>
      </w:r>
      <w:r>
        <w:rPr>
          <w:rFonts w:ascii="Arial" w:cs="Arial" w:eastAsia="Arial" w:hAnsi="Arial"/>
          <w:sz w:val="16"/>
          <w:szCs w:val="16"/>
          <w:color w:val="auto"/>
        </w:rPr>
        <w:t>. Notwithstanding anything to the contrary in this Section 7, if an Incentive Stock Option is granted to a Participant who owns stock representing more than ten percent of the voting power of all classes of stock of the Company or of a parent or subsidiary of the Company (within the meaning of Sections 424(e) and 424(f) of the Code), the Option Period shall not exceed five years from the date of grant of such Option and the Exercise Price shall be at least 110% of the Fair Market Value (on the date of grant) of the shares subject to the Option.</w:t>
      </w:r>
    </w:p>
    <w:p>
      <w:pPr>
        <w:spacing w:after="0" w:line="49" w:lineRule="exact"/>
        <w:rPr>
          <w:rFonts w:ascii="Arial" w:cs="Arial" w:eastAsia="Arial" w:hAnsi="Arial"/>
          <w:sz w:val="16"/>
          <w:szCs w:val="16"/>
          <w:color w:val="auto"/>
        </w:rPr>
      </w:pPr>
    </w:p>
    <w:p>
      <w:pPr>
        <w:ind w:left="4" w:right="320" w:firstLine="436"/>
        <w:spacing w:after="0" w:line="311" w:lineRule="auto"/>
        <w:tabs>
          <w:tab w:leader="none" w:pos="69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$100,000 Per Year Limitation for Incentive Stock Options</w:t>
      </w:r>
      <w:r>
        <w:rPr>
          <w:rFonts w:ascii="Arial" w:cs="Arial" w:eastAsia="Arial" w:hAnsi="Arial"/>
          <w:sz w:val="16"/>
          <w:szCs w:val="16"/>
          <w:color w:val="auto"/>
        </w:rPr>
        <w:t>. To the extent that the aggregate Fair Market Value (determined as of the date of grant) of shares of Common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48" w:lineRule="exact"/>
        <w:rPr>
          <w:rFonts w:ascii="Arial" w:cs="Arial" w:eastAsia="Arial" w:hAnsi="Arial"/>
          <w:sz w:val="16"/>
          <w:szCs w:val="16"/>
          <w:color w:val="auto"/>
        </w:rPr>
      </w:pPr>
    </w:p>
    <w:p>
      <w:pPr>
        <w:ind w:left="184" w:hanging="184"/>
        <w:spacing w:after="0"/>
        <w:tabs>
          <w:tab w:leader="none" w:pos="1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 (SARs)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36"/>
        <w:spacing w:after="0" w:line="277" w:lineRule="auto"/>
        <w:tabs>
          <w:tab w:leader="none" w:pos="689"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SAR shall be subject to the conditions set forth in the Plan and the Award Agreement. Any Option granted under the Plan may include a tandem SAR. The Committee also may award SARs independent of any Option.</w:t>
      </w:r>
    </w:p>
    <w:p>
      <w:pPr>
        <w:spacing w:after="0" w:line="62" w:lineRule="exact"/>
        <w:rPr>
          <w:rFonts w:ascii="Arial" w:cs="Arial" w:eastAsia="Arial" w:hAnsi="Arial"/>
          <w:sz w:val="18"/>
          <w:szCs w:val="18"/>
          <w:color w:val="auto"/>
        </w:rPr>
      </w:pPr>
    </w:p>
    <w:p>
      <w:pPr>
        <w:ind w:left="4" w:right="60" w:firstLine="436"/>
        <w:spacing w:after="0" w:line="279" w:lineRule="auto"/>
        <w:tabs>
          <w:tab w:leader="none" w:pos="69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Strike Price</w:t>
      </w:r>
      <w:r>
        <w:rPr>
          <w:rFonts w:ascii="Arial" w:cs="Arial" w:eastAsia="Arial" w:hAnsi="Arial"/>
          <w:sz w:val="17"/>
          <w:szCs w:val="17"/>
          <w:color w:val="auto"/>
        </w:rPr>
        <w:t>. The strike price (“</w:t>
      </w:r>
      <w:r>
        <w:rPr>
          <w:rFonts w:ascii="Arial" w:cs="Arial" w:eastAsia="Arial" w:hAnsi="Arial"/>
          <w:sz w:val="17"/>
          <w:szCs w:val="17"/>
          <w:u w:val="single" w:color="auto"/>
          <w:color w:val="auto"/>
        </w:rPr>
        <w:t>Strike Price</w:t>
      </w:r>
      <w:r>
        <w:rPr>
          <w:rFonts w:ascii="Arial" w:cs="Arial" w:eastAsia="Arial" w:hAnsi="Arial"/>
          <w:sz w:val="17"/>
          <w:szCs w:val="17"/>
          <w:color w:val="auto"/>
        </w:rPr>
        <w:t>”) per share of Common Stock for each SAR (that is not a Substitute Award) shall not be less than 100% of the Fair Market Value of such share, determined as of the date of grant; provided, however,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63" w:lineRule="exact"/>
        <w:rPr>
          <w:rFonts w:ascii="Arial" w:cs="Arial" w:eastAsia="Arial" w:hAnsi="Arial"/>
          <w:sz w:val="17"/>
          <w:szCs w:val="17"/>
          <w:color w:val="auto"/>
        </w:rPr>
      </w:pPr>
    </w:p>
    <w:p>
      <w:pPr>
        <w:ind w:left="4" w:firstLine="436"/>
        <w:spacing w:after="0" w:line="269" w:lineRule="auto"/>
        <w:tabs>
          <w:tab w:leader="none" w:pos="68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Vesting and Expiration</w:t>
      </w:r>
      <w:r>
        <w:rPr>
          <w:rFonts w:ascii="Arial" w:cs="Arial" w:eastAsia="Arial" w:hAnsi="Arial"/>
          <w:sz w:val="17"/>
          <w:szCs w:val="17"/>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7"/>
          <w:szCs w:val="17"/>
          <w:u w:val="single" w:color="auto"/>
          <w:color w:val="auto"/>
        </w:rPr>
        <w:t>SAR Period</w:t>
      </w:r>
      <w:r>
        <w:rPr>
          <w:rFonts w:ascii="Arial" w:cs="Arial" w:eastAsia="Arial" w:hAnsi="Arial"/>
          <w:sz w:val="17"/>
          <w:szCs w:val="17"/>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securities trading policy or a Company-imposed “blackout period,” the SAR Period shall be automatically extended (other than with respect to SARs with a Strike Price as of the end of the SAR Period (prior to any such extension) that is not less than the Fair Market Value of a share of Common Stock at such time) until the 30th day following the expiration of such prohibition (so long as such extension shall not violate Section 409A of the Code).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4" w:name="page65"/>
    <w:bookmarkEnd w:id="64"/>
    <w:p>
      <w:pPr>
        <w:ind w:left="4" w:right="20" w:firstLine="436"/>
        <w:spacing w:after="0" w:line="263" w:lineRule="auto"/>
        <w:tabs>
          <w:tab w:leader="none" w:pos="699"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Method of Exercise</w:t>
      </w:r>
      <w:r>
        <w:rPr>
          <w:rFonts w:ascii="Arial" w:cs="Arial" w:eastAsia="Arial" w:hAnsi="Arial"/>
          <w:sz w:val="18"/>
          <w:szCs w:val="18"/>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75" w:lineRule="exact"/>
        <w:rPr>
          <w:rFonts w:ascii="Arial" w:cs="Arial" w:eastAsia="Arial" w:hAnsi="Arial"/>
          <w:sz w:val="18"/>
          <w:szCs w:val="18"/>
          <w:color w:val="auto"/>
        </w:rPr>
      </w:pPr>
    </w:p>
    <w:p>
      <w:pPr>
        <w:ind w:left="4" w:right="60" w:firstLine="436"/>
        <w:spacing w:after="0" w:line="255" w:lineRule="auto"/>
        <w:tabs>
          <w:tab w:leader="none" w:pos="689"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192" w:lineRule="exact"/>
        <w:rPr>
          <w:rFonts w:ascii="Arial" w:cs="Arial" w:eastAsia="Arial" w:hAnsi="Arial"/>
          <w:sz w:val="18"/>
          <w:szCs w:val="18"/>
          <w:color w:val="auto"/>
        </w:rPr>
      </w:pPr>
    </w:p>
    <w:p>
      <w:pPr>
        <w:ind w:left="184" w:hanging="184"/>
        <w:spacing w:after="0"/>
        <w:tabs>
          <w:tab w:leader="none" w:pos="1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69" w:lineRule="auto"/>
        <w:tabs>
          <w:tab w:leader="none" w:pos="689"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and the time or times at which Restricted Stock or Restricted Stock Units shall become vested (which, for the avoidance of doubt, may include service- and/or performance-based vesting conditions). Subject to such rules, approvals, and conditions as the Committee may impose from time to time, an Eligible Person who is a non-employee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77" w:lineRule="exact"/>
        <w:rPr>
          <w:rFonts w:ascii="Arial" w:cs="Arial" w:eastAsia="Arial" w:hAnsi="Arial"/>
          <w:sz w:val="17"/>
          <w:szCs w:val="17"/>
          <w:color w:val="auto"/>
        </w:rPr>
      </w:pPr>
    </w:p>
    <w:p>
      <w:pPr>
        <w:ind w:left="4" w:right="80" w:firstLine="436"/>
        <w:spacing w:after="0" w:line="275" w:lineRule="auto"/>
        <w:tabs>
          <w:tab w:leader="none" w:pos="699"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Stock Certificates; Escrow or Similar Arrangement</w:t>
      </w:r>
      <w:r>
        <w:rPr>
          <w:rFonts w:ascii="Arial" w:cs="Arial" w:eastAsia="Arial" w:hAnsi="Arial"/>
          <w:sz w:val="17"/>
          <w:szCs w:val="17"/>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65" w:name="page66"/>
    <w:bookmarkEnd w:id="65"/>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shareholder as to such Restricted Stock, including without limitation the right to vote such Restricted Stock.</w:t>
      </w:r>
    </w:p>
    <w:p>
      <w:pPr>
        <w:spacing w:after="0" w:line="80" w:lineRule="exact"/>
        <w:rPr>
          <w:sz w:val="20"/>
          <w:szCs w:val="20"/>
          <w:color w:val="auto"/>
        </w:rPr>
      </w:pPr>
    </w:p>
    <w:p>
      <w:pPr>
        <w:ind w:left="4" w:firstLine="436"/>
        <w:spacing w:after="0" w:line="271" w:lineRule="auto"/>
        <w:tabs>
          <w:tab w:leader="none" w:pos="689"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Restrictions; Forfeiture</w:t>
      </w:r>
      <w:r>
        <w:rPr>
          <w:rFonts w:ascii="Arial" w:cs="Arial" w:eastAsia="Arial" w:hAnsi="Arial"/>
          <w:sz w:val="17"/>
          <w:szCs w:val="17"/>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shareholder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91" w:lineRule="auto"/>
        <w:tabs>
          <w:tab w:leader="none" w:pos="1210" w:val="left"/>
        </w:tabs>
        <w:numPr>
          <w:ilvl w:val="2"/>
          <w:numId w:val="62"/>
        </w:numPr>
        <w:rPr>
          <w:rFonts w:ascii="Arial" w:cs="Arial" w:eastAsia="Arial" w:hAnsi="Arial"/>
          <w:sz w:val="16"/>
          <w:szCs w:val="16"/>
          <w:color w:val="auto"/>
        </w:rPr>
      </w:pPr>
      <w:r>
        <w:rPr>
          <w:rFonts w:ascii="Arial" w:cs="Arial" w:eastAsia="Arial" w:hAnsi="Arial"/>
          <w:sz w:val="16"/>
          <w:szCs w:val="16"/>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58" w:lineRule="exact"/>
        <w:rPr>
          <w:rFonts w:ascii="Arial" w:cs="Arial" w:eastAsia="Arial" w:hAnsi="Arial"/>
          <w:sz w:val="16"/>
          <w:szCs w:val="16"/>
          <w:color w:val="auto"/>
        </w:rPr>
      </w:pPr>
    </w:p>
    <w:p>
      <w:pPr>
        <w:ind w:left="4" w:right="60" w:firstLine="987"/>
        <w:spacing w:after="0" w:line="285" w:lineRule="auto"/>
        <w:tabs>
          <w:tab w:leader="none" w:pos="1260" w:val="left"/>
        </w:tabs>
        <w:numPr>
          <w:ilvl w:val="2"/>
          <w:numId w:val="62"/>
        </w:numPr>
        <w:rPr>
          <w:rFonts w:ascii="Arial" w:cs="Arial" w:eastAsia="Arial" w:hAnsi="Arial"/>
          <w:sz w:val="16"/>
          <w:szCs w:val="16"/>
          <w:color w:val="auto"/>
        </w:rPr>
      </w:pPr>
      <w:r>
        <w:rPr>
          <w:rFonts w:ascii="Arial" w:cs="Arial" w:eastAsia="Arial" w:hAnsi="Arial"/>
          <w:sz w:val="16"/>
          <w:szCs w:val="16"/>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Arial" w:cs="Arial" w:eastAsia="Arial" w:hAnsi="Arial"/>
          <w:sz w:val="16"/>
          <w:szCs w:val="16"/>
          <w:u w:val="single" w:color="auto"/>
          <w:color w:val="auto"/>
        </w:rPr>
        <w:t>Released Unit</w:t>
      </w:r>
      <w:r>
        <w:rPr>
          <w:rFonts w:ascii="Arial" w:cs="Arial" w:eastAsia="Arial" w:hAnsi="Arial"/>
          <w:sz w:val="16"/>
          <w:szCs w:val="16"/>
          <w:color w:val="auto"/>
        </w:rPr>
        <w:t>”); provided, however, that the Committee may elect to</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 cash or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66" w:name="page67"/>
    <w:bookmarkEnd w:id="66"/>
    <w:p>
      <w:pPr>
        <w:ind w:left="4"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cash and part Common Stock in lieu of delivering only shares of Common Stock in respect of such Released Units or (B) defer the delivery of Common Stock (or cash or part Common Stock and part cash, as the case may be) beyond the expiration of the Restricted Period if such extension would not cause adverse tax consequences under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68" w:lineRule="exact"/>
        <w:rPr>
          <w:sz w:val="20"/>
          <w:szCs w:val="20"/>
          <w:color w:val="auto"/>
        </w:rPr>
      </w:pPr>
    </w:p>
    <w:p>
      <w:pPr>
        <w:ind w:left="4" w:right="120" w:firstLine="987"/>
        <w:spacing w:after="0" w:line="254" w:lineRule="auto"/>
        <w:tabs>
          <w:tab w:leader="none" w:pos="131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83" w:lineRule="exact"/>
        <w:rPr>
          <w:rFonts w:ascii="Arial" w:cs="Arial" w:eastAsia="Arial" w:hAnsi="Arial"/>
          <w:sz w:val="18"/>
          <w:szCs w:val="18"/>
          <w:color w:val="auto"/>
        </w:rPr>
      </w:pPr>
    </w:p>
    <w:p>
      <w:pPr>
        <w:ind w:left="4" w:right="60" w:firstLine="436"/>
        <w:spacing w:after="0" w:line="263" w:lineRule="auto"/>
        <w:tabs>
          <w:tab w:leader="none" w:pos="68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SUN COUNTRY AIRLINES HOLDINGS, INC. 2021 OMNIBUS INCENTIVE PLAN AND A RESTRICTED STOCK AWARD AGREEMENT, DATED AS OF , BETWEEN SUN COUNTRY AIRLINES HOLDINGS, INC. AND A COPY OF SUCH PLAN AND AWARD AGREEMENT IS ON FILE AT THE PRINCIPAL EXECUTIVE OFFICES OF SUN COUNTRY AIRLINES HOLDINGS, INC.</w:t>
      </w:r>
    </w:p>
    <w:p>
      <w:pPr>
        <w:spacing w:after="0" w:line="187" w:lineRule="exact"/>
        <w:rPr>
          <w:sz w:val="20"/>
          <w:szCs w:val="20"/>
          <w:color w:val="auto"/>
        </w:rPr>
      </w:pPr>
    </w:p>
    <w:p>
      <w:pPr>
        <w:ind w:left="4" w:right="60" w:hanging="4"/>
        <w:spacing w:after="0" w:line="273" w:lineRule="auto"/>
        <w:tabs>
          <w:tab w:leader="none" w:pos="27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Other Stock-Based Awards and Other Cash-Based Awards</w:t>
      </w:r>
      <w:r>
        <w:rPr>
          <w:rFonts w:ascii="Arial" w:cs="Arial" w:eastAsia="Arial" w:hAnsi="Arial"/>
          <w:sz w:val="17"/>
          <w:szCs w:val="17"/>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w:t>
      </w:r>
      <w:r>
        <w:rPr>
          <w:rFonts w:ascii="Arial" w:cs="Arial" w:eastAsia="Arial" w:hAnsi="Arial"/>
          <w:sz w:val="17"/>
          <w:szCs w:val="17"/>
          <w:u w:val="single" w:color="auto"/>
          <w:color w:val="auto"/>
        </w:rPr>
        <w:t>Other Stock-Based Awards</w:t>
      </w:r>
      <w:r>
        <w:rPr>
          <w:rFonts w:ascii="Arial" w:cs="Arial" w:eastAsia="Arial" w:hAnsi="Arial"/>
          <w:sz w:val="17"/>
          <w:szCs w:val="17"/>
          <w:color w:val="auto"/>
        </w:rPr>
        <w:t>”) and Other Cash-Based Awards under the Plan to Eligible Persons, alone or in tandem with other Awards, in such amounts as the Committee shall from time to time determine. Each Other Stock-Based Award shall be evidenced by an Award Agreement, which may include conditions including, without limitation, the payment by the Participant of the Fair Market Value of such shares of Common Stock on the date of grant.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67" w:name="page68"/>
    <w:bookmarkEnd w:id="67"/>
    <w:p>
      <w:pPr>
        <w:ind w:left="4" w:hanging="4"/>
        <w:spacing w:after="0" w:line="269" w:lineRule="auto"/>
        <w:tabs>
          <w:tab w:leader="none" w:pos="267"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Changes in Capital Structure and Similar Events</w:t>
      </w:r>
      <w:r>
        <w:rPr>
          <w:rFonts w:ascii="Arial" w:cs="Arial" w:eastAsia="Arial" w:hAnsi="Arial"/>
          <w:sz w:val="17"/>
          <w:szCs w:val="17"/>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(other than with respect to Other Cash-Based Awards) make any such adjustments in such manner as it may deem equitable, including without limitation any or all of the following:</w:t>
      </w:r>
    </w:p>
    <w:p>
      <w:pPr>
        <w:spacing w:after="0" w:line="77" w:lineRule="exact"/>
        <w:rPr>
          <w:rFonts w:ascii="Arial" w:cs="Arial" w:eastAsia="Arial" w:hAnsi="Arial"/>
          <w:sz w:val="17"/>
          <w:szCs w:val="17"/>
          <w:color w:val="auto"/>
        </w:rPr>
      </w:pPr>
    </w:p>
    <w:p>
      <w:pPr>
        <w:ind w:left="4" w:right="320" w:firstLine="987"/>
        <w:spacing w:after="0" w:line="293" w:lineRule="auto"/>
        <w:tabs>
          <w:tab w:leader="none" w:pos="121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 (including, without limitation, Performance Conditions and performance periods);</w:t>
      </w:r>
    </w:p>
    <w:p>
      <w:pPr>
        <w:spacing w:after="0" w:line="56" w:lineRule="exact"/>
        <w:rPr>
          <w:rFonts w:ascii="Arial" w:cs="Arial" w:eastAsia="Arial" w:hAnsi="Arial"/>
          <w:sz w:val="16"/>
          <w:szCs w:val="16"/>
          <w:color w:val="auto"/>
        </w:rPr>
      </w:pPr>
    </w:p>
    <w:p>
      <w:pPr>
        <w:ind w:left="4" w:right="40" w:firstLine="987"/>
        <w:spacing w:after="0" w:line="259" w:lineRule="auto"/>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78" w:lineRule="exact"/>
        <w:rPr>
          <w:rFonts w:ascii="Arial" w:cs="Arial" w:eastAsia="Arial" w:hAnsi="Arial"/>
          <w:sz w:val="18"/>
          <w:szCs w:val="18"/>
          <w:color w:val="auto"/>
        </w:rPr>
      </w:pPr>
    </w:p>
    <w:p>
      <w:pPr>
        <w:ind w:left="4" w:right="100" w:firstLine="987"/>
        <w:spacing w:after="0" w:line="293" w:lineRule="auto"/>
        <w:tabs>
          <w:tab w:leader="none" w:pos="131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shareholders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68" w:name="page69"/>
    <w:bookmarkEnd w:id="68"/>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Option or SAR having a per-share Exercise Price or Strike Price equal to, or in excess of, the Fair Market Value (as of the date specified by the Committee) of a share of Common Stock subject thereto may be canceled and terminated without any payment or consideration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 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182" w:lineRule="exact"/>
        <w:rPr>
          <w:sz w:val="20"/>
          <w:szCs w:val="20"/>
          <w:color w:val="auto"/>
        </w:rPr>
      </w:pPr>
    </w:p>
    <w:p>
      <w:pPr>
        <w:ind w:left="264" w:hanging="264"/>
        <w:spacing w:after="0"/>
        <w:tabs>
          <w:tab w:leader="none" w:pos="2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or a Change in Control on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59" w:lineRule="auto"/>
        <w:tabs>
          <w:tab w:leader="none" w:pos="689"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To the extent permitted under Section 409A of the Code, the Committee may provide, by rule or regulation or in any applicable Award Agreement, or may determine in any individual case, the circumstances in which, and to the extent to which, an Award may be exercised, settled, vested, paid or forfeited in the event of the Participant’s termination of service prior to the end of a performance period or vesting, exercise or settlement of such Award.</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notwithstanding any provision of the Plan to the contrary, the Committee may provide</w:t>
      </w:r>
    </w:p>
    <w:p>
      <w:pPr>
        <w:spacing w:after="0" w:line="46" w:lineRule="exact"/>
        <w:rPr>
          <w:rFonts w:ascii="Arial" w:cs="Arial" w:eastAsia="Arial" w:hAnsi="Arial"/>
          <w:sz w:val="16"/>
          <w:szCs w:val="16"/>
          <w:color w:val="auto"/>
        </w:rPr>
      </w:pPr>
    </w:p>
    <w:p>
      <w:pPr>
        <w:ind w:left="4"/>
        <w:spacing w:after="0" w:line="267" w:lineRule="auto"/>
        <w:rPr>
          <w:rFonts w:ascii="Arial" w:cs="Arial" w:eastAsia="Arial" w:hAnsi="Arial"/>
          <w:sz w:val="16"/>
          <w:szCs w:val="16"/>
          <w:color w:val="auto"/>
        </w:rPr>
      </w:pPr>
      <w:r>
        <w:rPr>
          <w:rFonts w:ascii="Arial" w:cs="Arial" w:eastAsia="Arial" w:hAnsi="Arial"/>
          <w:sz w:val="17"/>
          <w:szCs w:val="17"/>
          <w:color w:val="auto"/>
        </w:rPr>
        <w:t>for: (i) continuation or assumption of such outstanding Awards under the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at grant of such Substitute Award shall equal the Intrinsic Value of the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69" w:name="page70"/>
    <w:bookmarkEnd w:id="69"/>
    <w:p>
      <w:pPr>
        <w:ind w:left="264" w:hanging="264"/>
        <w:spacing w:after="0"/>
        <w:tabs>
          <w:tab w:leader="none" w:pos="26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69" w:lineRule="auto"/>
        <w:tabs>
          <w:tab w:leader="none" w:pos="689"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The Board may amend, alter, suspend, discontinue, or terminate the Plan or any portion thereof at any time; provided, that no such amendment, alteration, suspension, discontinuation or termination shall be made without shareholder approval if such approval is necessary to comply with any tax or regulatory requirement applicable to the Plan (including, without limitation, as necessary to comply with any applicable rules or requirements of any securities exchange or inter-dealer quotation service on which the shares of Common Stock may be listed or quoted, for changes in GAAP to new accounting standards);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either required or advisable in order for the Company, the Plan or the Award to satisfy any applicable law or regulation. Notwithstanding the foregoing, no amendment shall be made to the last proviso of Section 13(b) without shareholder approval.</w:t>
      </w:r>
    </w:p>
    <w:p>
      <w:pPr>
        <w:spacing w:after="0" w:line="77" w:lineRule="exact"/>
        <w:rPr>
          <w:rFonts w:ascii="Arial" w:cs="Arial" w:eastAsia="Arial" w:hAnsi="Arial"/>
          <w:sz w:val="17"/>
          <w:szCs w:val="17"/>
          <w:color w:val="auto"/>
        </w:rPr>
      </w:pPr>
    </w:p>
    <w:p>
      <w:pPr>
        <w:ind w:left="4" w:firstLine="436"/>
        <w:spacing w:after="0" w:line="285" w:lineRule="auto"/>
        <w:tabs>
          <w:tab w:leader="none" w:pos="699"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shareholder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shareholder approval.</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70" w:name="page71"/>
    <w:bookmarkEnd w:id="70"/>
    <w:p>
      <w:pPr>
        <w:ind w:left="264" w:hanging="264"/>
        <w:spacing w:after="0"/>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436"/>
        <w:spacing w:after="0" w:line="259" w:lineRule="auto"/>
        <w:tabs>
          <w:tab w:leader="none" w:pos="689"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987"/>
        <w:spacing w:after="0" w:line="275" w:lineRule="auto"/>
        <w:tabs>
          <w:tab w:leader="none" w:pos="1210" w:val="left"/>
        </w:tabs>
        <w:numPr>
          <w:ilvl w:val="2"/>
          <w:numId w:val="70"/>
        </w:numPr>
        <w:rPr>
          <w:rFonts w:ascii="Arial" w:cs="Arial" w:eastAsia="Arial" w:hAnsi="Arial"/>
          <w:sz w:val="17"/>
          <w:szCs w:val="17"/>
          <w:color w:val="auto"/>
        </w:rPr>
      </w:pPr>
      <w:r>
        <w:rPr>
          <w:rFonts w:ascii="Arial" w:cs="Arial" w:eastAsia="Arial" w:hAnsi="Arial"/>
          <w:sz w:val="17"/>
          <w:szCs w:val="17"/>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68" w:lineRule="exact"/>
        <w:rPr>
          <w:rFonts w:ascii="Arial" w:cs="Arial" w:eastAsia="Arial" w:hAnsi="Arial"/>
          <w:sz w:val="17"/>
          <w:szCs w:val="17"/>
          <w:color w:val="auto"/>
        </w:rPr>
      </w:pPr>
    </w:p>
    <w:p>
      <w:pPr>
        <w:ind w:left="4" w:right="40" w:firstLine="987"/>
        <w:spacing w:after="0" w:line="289" w:lineRule="auto"/>
        <w:tabs>
          <w:tab w:leader="none" w:pos="1260" w:val="left"/>
        </w:tabs>
        <w:numPr>
          <w:ilvl w:val="2"/>
          <w:numId w:val="70"/>
        </w:numPr>
        <w:rPr>
          <w:rFonts w:ascii="Arial" w:cs="Arial" w:eastAsia="Arial" w:hAnsi="Arial"/>
          <w:sz w:val="16"/>
          <w:szCs w:val="16"/>
          <w:color w:val="auto"/>
        </w:rPr>
      </w:pPr>
      <w:r>
        <w:rPr>
          <w:rFonts w:ascii="Arial" w:cs="Arial" w:eastAsia="Arial" w:hAnsi="Arial"/>
          <w:sz w:val="16"/>
          <w:szCs w:val="16"/>
          <w:color w:val="auto"/>
        </w:rPr>
        <w:t>Notwithstanding the foregoing, the Committee may permit Awards (other than Incentive Stock Options)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(B) a trust solely for the benefit of the Participant or the Participant’s Immediate Family Members; (C) a partnership or limited liability company whose only partners or shareholders are the Participant and the Participant’s Immediate Family Members; or (D) any other transferee as may be approved either (1) by the Board or the Committee, or (2) as provided in the applicable Award Agreement; (each transferee described in clause (A), (B), (C) or (D) above is hereinafter referred to as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58" w:lineRule="exact"/>
        <w:rPr>
          <w:rFonts w:ascii="Arial" w:cs="Arial" w:eastAsia="Arial" w:hAnsi="Arial"/>
          <w:sz w:val="16"/>
          <w:szCs w:val="16"/>
          <w:color w:val="auto"/>
        </w:rPr>
      </w:pPr>
    </w:p>
    <w:p>
      <w:pPr>
        <w:jc w:val="both"/>
        <w:ind w:left="4" w:right="60" w:firstLine="987"/>
        <w:spacing w:after="0" w:line="291" w:lineRule="auto"/>
        <w:tabs>
          <w:tab w:leader="none" w:pos="131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w:t>
      </w:r>
    </w:p>
    <w:p>
      <w:pPr>
        <w:ind w:left="4"/>
        <w:spacing w:after="0"/>
        <w:rPr>
          <w:rFonts w:ascii="Arial" w:cs="Arial" w:eastAsia="Arial" w:hAnsi="Arial"/>
          <w:sz w:val="16"/>
          <w:szCs w:val="16"/>
          <w:color w:val="auto"/>
        </w:rPr>
      </w:pPr>
      <w:r>
        <w:rPr>
          <w:rFonts w:ascii="Arial" w:cs="Arial" w:eastAsia="Arial" w:hAnsi="Arial"/>
          <w:sz w:val="18"/>
          <w:szCs w:val="18"/>
          <w:color w:val="auto"/>
        </w:rPr>
        <w:t>(A) Permitted Transferees shall not be entitled to transfer any Award, other than by will or the laws of descent and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74" w:lineRule="exact"/>
        <w:rPr>
          <w:sz w:val="20"/>
          <w:szCs w:val="20"/>
          <w:color w:val="auto"/>
        </w:rPr>
      </w:pPr>
    </w:p>
    <w:p>
      <w:pPr>
        <w:ind w:right="40" w:firstLine="436"/>
        <w:spacing w:after="0" w:line="253" w:lineRule="auto"/>
        <w:tabs>
          <w:tab w:leader="none" w:pos="68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88" w:lineRule="exact"/>
        <w:rPr>
          <w:rFonts w:ascii="Arial" w:cs="Arial" w:eastAsia="Arial" w:hAnsi="Arial"/>
          <w:sz w:val="18"/>
          <w:szCs w:val="18"/>
          <w:color w:val="auto"/>
        </w:rPr>
      </w:pPr>
    </w:p>
    <w:p>
      <w:pPr>
        <w:ind w:left="700" w:hanging="264"/>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55" w:lineRule="auto"/>
        <w:tabs>
          <w:tab w:leader="none" w:pos="12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2" w:name="page73"/>
    <w:bookmarkEnd w:id="72"/>
    <w:p>
      <w:pPr>
        <w:ind w:left="-20" w:firstLine="987"/>
        <w:spacing w:after="0" w:line="272" w:lineRule="auto"/>
        <w:tabs>
          <w:tab w:leader="none" w:pos="1236" w:val="left"/>
        </w:tabs>
        <w:numPr>
          <w:ilvl w:val="1"/>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69" w:lineRule="exact"/>
        <w:rPr>
          <w:rFonts w:ascii="Arial" w:cs="Arial" w:eastAsia="Arial" w:hAnsi="Arial"/>
          <w:sz w:val="17"/>
          <w:szCs w:val="17"/>
          <w:color w:val="auto"/>
        </w:rPr>
      </w:pPr>
    </w:p>
    <w:p>
      <w:pPr>
        <w:ind w:left="-20" w:right="20" w:firstLine="436"/>
        <w:spacing w:after="0" w:line="271" w:lineRule="auto"/>
        <w:tabs>
          <w:tab w:leader="none" w:pos="66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Directorship or Engagement</w:t>
      </w:r>
      <w:r>
        <w:rPr>
          <w:rFonts w:ascii="Arial" w:cs="Arial" w:eastAsia="Arial" w:hAnsi="Arial"/>
          <w:sz w:val="17"/>
          <w:szCs w:val="17"/>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70" w:lineRule="exact"/>
        <w:rPr>
          <w:rFonts w:ascii="Arial" w:cs="Arial" w:eastAsia="Arial" w:hAnsi="Arial"/>
          <w:sz w:val="17"/>
          <w:szCs w:val="17"/>
          <w:color w:val="auto"/>
        </w:rPr>
      </w:pPr>
    </w:p>
    <w:p>
      <w:pPr>
        <w:ind w:left="-20" w:right="20" w:firstLine="436"/>
        <w:spacing w:after="0" w:line="254" w:lineRule="auto"/>
        <w:tabs>
          <w:tab w:leader="none" w:pos="64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83" w:lineRule="exact"/>
        <w:rPr>
          <w:rFonts w:ascii="Arial" w:cs="Arial" w:eastAsia="Arial" w:hAnsi="Arial"/>
          <w:sz w:val="18"/>
          <w:szCs w:val="18"/>
          <w:color w:val="auto"/>
        </w:rPr>
      </w:pPr>
    </w:p>
    <w:p>
      <w:pPr>
        <w:ind w:left="-20" w:right="40" w:firstLine="436"/>
        <w:spacing w:after="0" w:line="259" w:lineRule="auto"/>
        <w:tabs>
          <w:tab w:leader="none" w:pos="6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73" w:name="page74"/>
    <w:bookmarkEnd w:id="7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76" w:lineRule="exact"/>
        <w:rPr>
          <w:sz w:val="20"/>
          <w:szCs w:val="20"/>
          <w:color w:val="auto"/>
        </w:rPr>
      </w:pPr>
    </w:p>
    <w:p>
      <w:pPr>
        <w:ind w:firstLine="436"/>
        <w:spacing w:after="0" w:line="270" w:lineRule="auto"/>
        <w:tabs>
          <w:tab w:leader="none" w:pos="69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72" w:lineRule="exact"/>
        <w:rPr>
          <w:rFonts w:ascii="Arial" w:cs="Arial" w:eastAsia="Arial" w:hAnsi="Arial"/>
          <w:sz w:val="17"/>
          <w:szCs w:val="17"/>
          <w:color w:val="auto"/>
        </w:rPr>
      </w:pPr>
    </w:p>
    <w:p>
      <w:pPr>
        <w:jc w:val="both"/>
        <w:ind w:right="160" w:firstLine="436"/>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987"/>
        <w:spacing w:after="0" w:line="263" w:lineRule="auto"/>
        <w:tabs>
          <w:tab w:leader="none" w:pos="12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rules of the NYSE or any other securities exchange or inter-dealer quotation service on which the Common Stock is listed or quoted.</w:t>
      </w:r>
    </w:p>
    <w:p>
      <w:pPr>
        <w:spacing w:after="0" w:line="75" w:lineRule="exact"/>
        <w:rPr>
          <w:rFonts w:ascii="Arial" w:cs="Arial" w:eastAsia="Arial" w:hAnsi="Arial"/>
          <w:sz w:val="18"/>
          <w:szCs w:val="18"/>
          <w:color w:val="auto"/>
        </w:rPr>
      </w:pPr>
    </w:p>
    <w:p>
      <w:pPr>
        <w:ind w:right="60" w:firstLine="987"/>
        <w:spacing w:after="0" w:line="291" w:lineRule="auto"/>
        <w:tabs>
          <w:tab w:leader="none" w:pos="1256"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74" w:name="page75"/>
    <w:bookmarkEnd w:id="7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74" w:lineRule="exact"/>
        <w:rPr>
          <w:sz w:val="20"/>
          <w:szCs w:val="20"/>
          <w:color w:val="auto"/>
        </w:rPr>
      </w:pPr>
    </w:p>
    <w:p>
      <w:pPr>
        <w:ind w:right="20" w:firstLine="987"/>
        <w:spacing w:after="0" w:line="289" w:lineRule="auto"/>
        <w:tabs>
          <w:tab w:leader="none" w:pos="1306"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58" w:lineRule="exact"/>
        <w:rPr>
          <w:rFonts w:ascii="Arial" w:cs="Arial" w:eastAsia="Arial" w:hAnsi="Arial"/>
          <w:sz w:val="16"/>
          <w:szCs w:val="16"/>
          <w:color w:val="auto"/>
        </w:rPr>
      </w:pPr>
    </w:p>
    <w:p>
      <w:pPr>
        <w:ind w:right="180" w:firstLine="436"/>
        <w:spacing w:after="0" w:line="293"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Payments to Persons Other Than Participants</w:t>
      </w:r>
      <w:r>
        <w:rPr>
          <w:rFonts w:ascii="Arial" w:cs="Arial" w:eastAsia="Arial" w:hAnsi="Arial"/>
          <w:sz w:val="16"/>
          <w:szCs w:val="16"/>
          <w:color w:val="auto"/>
        </w:rPr>
        <w:t>.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5" w:name="page76"/>
    <w:bookmarkEnd w:id="75"/>
    <w:p>
      <w:pPr>
        <w:ind w:left="-20" w:right="200" w:firstLine="436"/>
        <w:spacing w:after="0" w:line="25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Nonexclusivity of the Plan</w:t>
      </w:r>
      <w:r>
        <w:rPr>
          <w:rFonts w:ascii="Arial" w:cs="Arial" w:eastAsia="Arial" w:hAnsi="Arial"/>
          <w:sz w:val="18"/>
          <w:szCs w:val="18"/>
          <w:color w:val="auto"/>
        </w:rPr>
        <w:t>. Neither the adoption of the Plan by the Board nor the submission of the Plan to the shareholders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78" w:lineRule="exact"/>
        <w:rPr>
          <w:rFonts w:ascii="Arial" w:cs="Arial" w:eastAsia="Arial" w:hAnsi="Arial"/>
          <w:sz w:val="18"/>
          <w:szCs w:val="18"/>
          <w:color w:val="auto"/>
        </w:rPr>
      </w:pPr>
    </w:p>
    <w:p>
      <w:pPr>
        <w:ind w:left="-20" w:firstLine="436"/>
        <w:spacing w:after="0" w:line="273" w:lineRule="auto"/>
        <w:tabs>
          <w:tab w:leader="none" w:pos="72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69" w:lineRule="exact"/>
        <w:rPr>
          <w:rFonts w:ascii="Arial" w:cs="Arial" w:eastAsia="Arial" w:hAnsi="Arial"/>
          <w:sz w:val="17"/>
          <w:szCs w:val="17"/>
          <w:color w:val="auto"/>
        </w:rPr>
      </w:pPr>
    </w:p>
    <w:p>
      <w:pPr>
        <w:ind w:left="-20" w:right="60" w:firstLine="436"/>
        <w:spacing w:after="0" w:line="301" w:lineRule="auto"/>
        <w:tabs>
          <w:tab w:leader="none" w:pos="67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Reliance on Reports</w:t>
      </w:r>
      <w:r>
        <w:rPr>
          <w:rFonts w:ascii="Arial" w:cs="Arial" w:eastAsia="Arial" w:hAnsi="Arial"/>
          <w:sz w:val="16"/>
          <w:szCs w:val="16"/>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and its Affiliates and/or any other information furnished in connection with the Plan by any agent of the Company or the Committee or the Board, other than such member or designee.</w:t>
      </w:r>
    </w:p>
    <w:p>
      <w:pPr>
        <w:spacing w:after="0" w:line="49" w:lineRule="exact"/>
        <w:rPr>
          <w:rFonts w:ascii="Arial" w:cs="Arial" w:eastAsia="Arial" w:hAnsi="Arial"/>
          <w:sz w:val="16"/>
          <w:szCs w:val="16"/>
          <w:color w:val="auto"/>
        </w:rPr>
      </w:pPr>
    </w:p>
    <w:p>
      <w:pPr>
        <w:ind w:left="-20" w:right="640" w:firstLine="436"/>
        <w:spacing w:after="0" w:line="342" w:lineRule="auto"/>
        <w:tabs>
          <w:tab w:leader="none" w:pos="67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5" w:lineRule="exact"/>
        <w:rPr>
          <w:rFonts w:ascii="Arial" w:cs="Arial" w:eastAsia="Arial" w:hAnsi="Arial"/>
          <w:sz w:val="16"/>
          <w:szCs w:val="16"/>
          <w:color w:val="auto"/>
        </w:rPr>
      </w:pPr>
    </w:p>
    <w:p>
      <w:pPr>
        <w:ind w:left="-20" w:right="440" w:firstLine="436"/>
        <w:spacing w:after="0" w:line="263"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75" w:lineRule="exact"/>
        <w:rPr>
          <w:rFonts w:ascii="Arial" w:cs="Arial" w:eastAsia="Arial" w:hAnsi="Arial"/>
          <w:sz w:val="18"/>
          <w:szCs w:val="18"/>
          <w:color w:val="auto"/>
        </w:rPr>
      </w:pPr>
    </w:p>
    <w:p>
      <w:pPr>
        <w:ind w:left="-20" w:firstLine="436"/>
        <w:spacing w:after="0" w:line="296" w:lineRule="auto"/>
        <w:tabs>
          <w:tab w:leader="none" w:pos="67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76" w:name="page77"/>
    <w:bookmarkEnd w:id="76"/>
    <w:p>
      <w:pPr>
        <w:jc w:val="both"/>
        <w:ind w:right="620" w:firstLine="436"/>
        <w:spacing w:after="0" w:line="263" w:lineRule="auto"/>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90" w:lineRule="auto"/>
        <w:tabs>
          <w:tab w:leader="none" w:pos="1206" w:val="left"/>
        </w:tabs>
        <w:numPr>
          <w:ilvl w:val="1"/>
          <w:numId w:val="78"/>
        </w:numPr>
        <w:rPr>
          <w:rFonts w:ascii="Arial" w:cs="Arial" w:eastAsia="Arial" w:hAnsi="Arial"/>
          <w:sz w:val="16"/>
          <w:szCs w:val="16"/>
          <w:color w:val="auto"/>
        </w:rPr>
      </w:pPr>
      <w:r>
        <w:rPr>
          <w:rFonts w:ascii="Arial" w:cs="Arial" w:eastAsia="Arial" w:hAnsi="Arial"/>
          <w:sz w:val="16"/>
          <w:szCs w:val="16"/>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57" w:lineRule="exact"/>
        <w:rPr>
          <w:rFonts w:ascii="Arial" w:cs="Arial" w:eastAsia="Arial" w:hAnsi="Arial"/>
          <w:sz w:val="16"/>
          <w:szCs w:val="16"/>
          <w:color w:val="auto"/>
        </w:rPr>
      </w:pPr>
    </w:p>
    <w:p>
      <w:pPr>
        <w:ind w:left="1260" w:hanging="273"/>
        <w:spacing w:after="0"/>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the Participant is a “specified employee” within the meaning of</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53" w:lineRule="exact"/>
        <w:rPr>
          <w:sz w:val="20"/>
          <w:szCs w:val="20"/>
          <w:color w:val="auto"/>
        </w:rPr>
      </w:pPr>
    </w:p>
    <w:p>
      <w:pPr>
        <w:ind w:right="100" w:firstLine="987"/>
        <w:spacing w:after="0" w:line="273" w:lineRule="auto"/>
        <w:tabs>
          <w:tab w:leader="none" w:pos="1306"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77" w:name="page78"/>
    <w:bookmarkEnd w:id="77"/>
    <w:p>
      <w:pPr>
        <w:ind w:firstLine="436"/>
        <w:spacing w:after="0" w:line="285"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Clawback/Forfeiture</w:t>
      </w:r>
      <w:r>
        <w:rPr>
          <w:rFonts w:ascii="Arial" w:cs="Arial" w:eastAsia="Arial" w:hAnsi="Arial"/>
          <w:sz w:val="16"/>
          <w:szCs w:val="16"/>
          <w:color w:val="auto"/>
        </w:rPr>
        <w:t>. Notwithstanding anything to the contrary contained herein, the Committee may cancel an Award if the Participant, without the consent of the Company, (A) has engaged in or engages in activity that is in conflict with or adverse to the interests of the Company or any Affiliate while employed by or providing services to the Company or any Affiliate, including fraud or conduct contributing to any financial restatements or irregularities or (B) violates a non-competition, non-solicitation, non-disparagement or non-disclosure covenant or agreement with the Company or any Affiliate, as determined by the Committee, or if the Participant’s employment or service is terminated for Cause. The Committee may also provide in an Award Agreement that in any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Committee, then the Participant shall be required to promptly repay any such excess amount to the Company. In addition, the Company shall retain the right to bring an action at equity or law to enjoin the Participant’s activity and recover damages resulting from such activity. Further, to the extent required by applicable law (including, without limitation, Section 304 of the Sarbanes-Oxley Act and Section 954 of the Dodd-Frank Wall Street Reform and Consumer Protection Act) and/or the rules and regulations of the NYSE or any other securities exchange or inter-dealer quotation service on which the Common Stock is listed or quoted, or if so required pursuant to a written policy adopted by the Company, Awards shall be subject (including on a retroactive basis) to clawback, forfeiture or similar requirements (and such requirements shall be deemed incorporated by reference into all outstanding Award Agreements).</w:t>
      </w:r>
    </w:p>
    <w:p>
      <w:pPr>
        <w:spacing w:after="0" w:line="68" w:lineRule="exact"/>
        <w:rPr>
          <w:rFonts w:ascii="Arial" w:cs="Arial" w:eastAsia="Arial" w:hAnsi="Arial"/>
          <w:sz w:val="16"/>
          <w:szCs w:val="16"/>
          <w:color w:val="auto"/>
        </w:rPr>
      </w:pPr>
    </w:p>
    <w:p>
      <w:pPr>
        <w:ind w:right="60" w:firstLine="436"/>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78" w:lineRule="exact"/>
        <w:rPr>
          <w:rFonts w:ascii="Arial" w:cs="Arial" w:eastAsia="Arial" w:hAnsi="Arial"/>
          <w:sz w:val="18"/>
          <w:szCs w:val="18"/>
          <w:color w:val="auto"/>
        </w:rPr>
      </w:pPr>
    </w:p>
    <w:p>
      <w:pPr>
        <w:ind w:right="60" w:firstLine="436"/>
        <w:spacing w:after="0" w:line="254"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Interference</w:t>
      </w:r>
      <w:r>
        <w:rPr>
          <w:rFonts w:ascii="Arial" w:cs="Arial" w:eastAsia="Arial" w:hAnsi="Arial"/>
          <w:sz w:val="18"/>
          <w:szCs w:val="18"/>
          <w:color w:val="auto"/>
        </w:rPr>
        <w:t>. The existence of the Plan, any Award Agreement, and the Awards granted hereunder shall not affect or restrict in any way the right or power of the Company, the Board, the Committee, or the shareholders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78" w:name="page79"/>
    <w:bookmarkEnd w:id="78"/>
    <w:p>
      <w:pPr>
        <w:ind w:left="4" w:right="120" w:firstLine="436"/>
        <w:spacing w:after="0" w:line="263" w:lineRule="auto"/>
        <w:tabs>
          <w:tab w:leader="none" w:pos="739"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Expenses; Titles and Headings</w:t>
      </w:r>
      <w:r>
        <w:rPr>
          <w:rFonts w:ascii="Arial" w:cs="Arial" w:eastAsia="Arial" w:hAnsi="Arial"/>
          <w:sz w:val="18"/>
          <w:szCs w:val="18"/>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81"/>
        </w:numPr>
        <w:rPr>
          <w:rFonts w:ascii="Arial" w:cs="Arial" w:eastAsia="Arial" w:hAnsi="Arial"/>
          <w:sz w:val="17"/>
          <w:szCs w:val="17"/>
          <w:color w:val="auto"/>
        </w:rPr>
      </w:pPr>
      <w:r>
        <w:rPr>
          <w:rFonts w:ascii="Arial" w:cs="Arial" w:eastAsia="Arial" w:hAnsi="Arial"/>
          <w:sz w:val="17"/>
          <w:szCs w:val="17"/>
          <w:color w:val="auto"/>
        </w:rPr>
        <w:t>Whistleblower Acknowledgments. Notwithstanding anything to the contrary herein, nothing in this Plan or any Award Agreement will</w:t>
      </w:r>
    </w:p>
    <w:p>
      <w:pPr>
        <w:spacing w:after="0" w:line="34" w:lineRule="exact"/>
        <w:rPr>
          <w:rFonts w:ascii="Arial" w:cs="Arial" w:eastAsia="Arial" w:hAnsi="Arial"/>
          <w:sz w:val="17"/>
          <w:szCs w:val="17"/>
          <w:color w:val="auto"/>
        </w:rPr>
      </w:pPr>
    </w:p>
    <w:p>
      <w:pPr>
        <w:ind w:left="4" w:hanging="4"/>
        <w:spacing w:after="0" w:line="253" w:lineRule="auto"/>
        <w:tabs>
          <w:tab w:leader="none" w:pos="2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 (ii) require prior approval by the Company or any of its Affiliates of any reporting described in clause (i).</w:t>
      </w:r>
    </w:p>
    <w:p>
      <w:pPr>
        <w:spacing w:after="0" w:line="192" w:lineRule="exact"/>
        <w:rPr>
          <w:rFonts w:ascii="Arial" w:cs="Arial" w:eastAsia="Arial" w:hAnsi="Arial"/>
          <w:sz w:val="18"/>
          <w:szCs w:val="18"/>
          <w:color w:val="auto"/>
        </w:rPr>
      </w:pPr>
    </w:p>
    <w:p>
      <w:pPr>
        <w:ind w:left="532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adopted by the Board of Directors of the Company on March 5,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approved by the shareholders of the Company on March 3, 2021.</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2005 Cargo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We have acted as special counsel to Sun Country Airlines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of the Company, filed with the Securities and Exchange Commission pursuant to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thereunder (the “</w:t>
      </w:r>
      <w:r>
        <w:rPr>
          <w:rFonts w:ascii="Arial" w:cs="Arial" w:eastAsia="Arial" w:hAnsi="Arial"/>
          <w:sz w:val="16"/>
          <w:szCs w:val="16"/>
          <w:u w:val="single" w:color="auto"/>
          <w:color w:val="auto"/>
        </w:rPr>
        <w:t>Rules</w:t>
      </w:r>
      <w:r>
        <w:rPr>
          <w:rFonts w:ascii="Arial" w:cs="Arial" w:eastAsia="Arial" w:hAnsi="Arial"/>
          <w:sz w:val="16"/>
          <w:szCs w:val="16"/>
          <w:color w:val="auto"/>
        </w:rPr>
        <w:t>”). You have asked us to furnish our opinion as to the legality of the securities being registered under the Registration Statement. The Registration Statement relates to the registration under the Act of 9,493,704 shares of common stock, par value $0.01 per share, of the Company (collectively, the “</w:t>
      </w:r>
      <w:r>
        <w:rPr>
          <w:rFonts w:ascii="Arial" w:cs="Arial" w:eastAsia="Arial" w:hAnsi="Arial"/>
          <w:sz w:val="16"/>
          <w:szCs w:val="16"/>
          <w:u w:val="single" w:color="auto"/>
          <w:color w:val="auto"/>
        </w:rPr>
        <w:t>Shares</w:t>
      </w:r>
      <w:r>
        <w:rPr>
          <w:rFonts w:ascii="Arial" w:cs="Arial" w:eastAsia="Arial" w:hAnsi="Arial"/>
          <w:sz w:val="16"/>
          <w:szCs w:val="16"/>
          <w:color w:val="auto"/>
        </w:rPr>
        <w:t>”), that are reserved for issuance under (i) the SCA Acquisition Holdings, LLC Amended and Restated Equity Incentive Plan (the “</w:t>
      </w:r>
      <w:r>
        <w:rPr>
          <w:rFonts w:ascii="Arial" w:cs="Arial" w:eastAsia="Arial" w:hAnsi="Arial"/>
          <w:sz w:val="16"/>
          <w:szCs w:val="16"/>
          <w:u w:val="single" w:color="auto"/>
          <w:color w:val="auto"/>
        </w:rPr>
        <w:t>SCA Acquisition Equity Plan</w:t>
      </w:r>
      <w:r>
        <w:rPr>
          <w:rFonts w:ascii="Arial" w:cs="Arial" w:eastAsia="Arial" w:hAnsi="Arial"/>
          <w:sz w:val="16"/>
          <w:szCs w:val="16"/>
          <w:color w:val="auto"/>
        </w:rPr>
        <w:t>”) and (ii) the Sun Country Airlines Holdings, Inc. 2021 Omnibus Incentive Plan (the “</w:t>
      </w:r>
      <w:r>
        <w:rPr>
          <w:rFonts w:ascii="Arial" w:cs="Arial" w:eastAsia="Arial" w:hAnsi="Arial"/>
          <w:sz w:val="16"/>
          <w:szCs w:val="16"/>
          <w:u w:val="single" w:color="auto"/>
          <w:color w:val="auto"/>
        </w:rPr>
        <w:t>Omnibus Incentive Plan</w:t>
      </w:r>
      <w:r>
        <w:rPr>
          <w:rFonts w:ascii="Arial" w:cs="Arial" w:eastAsia="Arial" w:hAnsi="Arial"/>
          <w:sz w:val="16"/>
          <w:szCs w:val="16"/>
          <w:color w:val="auto"/>
        </w:rPr>
        <w:t>” and together with the SCA Acquisition Equity Plan, the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80" w:name="page81"/>
    <w:bookmarkEnd w:id="80"/>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furnishing of this opinion, we have examined originals, or copies certified or otherwise identified to our satisfaction, of the following documents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62" w:lineRule="exact"/>
        <w:rPr>
          <w:sz w:val="20"/>
          <w:szCs w:val="20"/>
          <w:color w:val="auto"/>
        </w:rPr>
      </w:pPr>
    </w:p>
    <w:p>
      <w:pPr>
        <w:ind w:left="620" w:hanging="18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7" w:lineRule="exact"/>
        <w:rPr>
          <w:rFonts w:ascii="Arial" w:cs="Arial" w:eastAsia="Arial" w:hAnsi="Arial"/>
          <w:sz w:val="18"/>
          <w:szCs w:val="18"/>
          <w:color w:val="auto"/>
        </w:rPr>
      </w:pPr>
    </w:p>
    <w:p>
      <w:pPr>
        <w:ind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SCA Acquisition Equity Plan and the form of option award agreement (the “</w:t>
      </w:r>
      <w:r>
        <w:rPr>
          <w:rFonts w:ascii="Arial" w:cs="Arial" w:eastAsia="Arial" w:hAnsi="Arial"/>
          <w:sz w:val="18"/>
          <w:szCs w:val="18"/>
          <w:u w:val="single" w:color="auto"/>
          <w:color w:val="auto"/>
        </w:rPr>
        <w:t>SCA Acquisition Option Award Agreement</w:t>
      </w:r>
      <w:r>
        <w:rPr>
          <w:rFonts w:ascii="Arial" w:cs="Arial" w:eastAsia="Arial" w:hAnsi="Arial"/>
          <w:sz w:val="18"/>
          <w:szCs w:val="18"/>
          <w:color w:val="auto"/>
        </w:rPr>
        <w:t>”) relating to awards under the SCA Acquisition Equity Plan;</w:t>
      </w:r>
    </w:p>
    <w:p>
      <w:pPr>
        <w:spacing w:after="0" w:line="62" w:lineRule="exact"/>
        <w:rPr>
          <w:rFonts w:ascii="Arial" w:cs="Arial" w:eastAsia="Arial" w:hAnsi="Arial"/>
          <w:sz w:val="18"/>
          <w:szCs w:val="18"/>
          <w:color w:val="auto"/>
        </w:rPr>
      </w:pPr>
    </w:p>
    <w:p>
      <w:pPr>
        <w:ind w:right="280"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Omnibus Incentive Plan and the forms of award agreements (the “</w:t>
      </w:r>
      <w:r>
        <w:rPr>
          <w:rFonts w:ascii="Arial" w:cs="Arial" w:eastAsia="Arial" w:hAnsi="Arial"/>
          <w:sz w:val="18"/>
          <w:szCs w:val="18"/>
          <w:u w:val="single" w:color="auto"/>
          <w:color w:val="auto"/>
        </w:rPr>
        <w:t>Omnibus Award Agreements</w:t>
      </w:r>
      <w:r>
        <w:rPr>
          <w:rFonts w:ascii="Arial" w:cs="Arial" w:eastAsia="Arial" w:hAnsi="Arial"/>
          <w:sz w:val="18"/>
          <w:szCs w:val="18"/>
          <w:color w:val="auto"/>
        </w:rPr>
        <w:t>” and, together with the SCA Acquisition Option Award Agreement, the “</w:t>
      </w:r>
      <w:r>
        <w:rPr>
          <w:rFonts w:ascii="Arial" w:cs="Arial" w:eastAsia="Arial" w:hAnsi="Arial"/>
          <w:sz w:val="18"/>
          <w:szCs w:val="18"/>
          <w:u w:val="single" w:color="auto"/>
          <w:color w:val="auto"/>
        </w:rPr>
        <w:t>Plan Agreements</w:t>
      </w:r>
      <w:r>
        <w:rPr>
          <w:rFonts w:ascii="Arial" w:cs="Arial" w:eastAsia="Arial" w:hAnsi="Arial"/>
          <w:sz w:val="18"/>
          <w:szCs w:val="18"/>
          <w:color w:val="auto"/>
        </w:rPr>
        <w:t>”) relating to awards under the Omnibus Incentive Plan;</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Second Amended and Restated Certificate of Incorporation of the Company, included as Exhibit 3.1 to the Registration Statement; and</w:t>
      </w:r>
    </w:p>
    <w:p>
      <w:pPr>
        <w:spacing w:after="0" w:line="140" w:lineRule="exact"/>
        <w:rPr>
          <w:rFonts w:ascii="Arial" w:cs="Arial" w:eastAsia="Arial" w:hAnsi="Arial"/>
          <w:sz w:val="16"/>
          <w:szCs w:val="16"/>
          <w:color w:val="auto"/>
        </w:rPr>
      </w:pPr>
    </w:p>
    <w:p>
      <w:pPr>
        <w:ind w:left="620" w:hanging="18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 included as Exhibit 3.2 to the Registration Statement.</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copies of resolutions of the board of directors of the Company relating to the issuance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spacing w:after="0" w:line="18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ectPr>
          <w:pgSz w:w="11900" w:h="16838" w:orient="portrait"/>
          <w:cols w:equalWidth="0" w:num="1">
            <w:col w:w="11000"/>
          </w:cols>
          <w:pgMar w:left="440" w:top="274" w:right="459" w:bottom="1440" w:gutter="0" w:footer="0" w:header="0"/>
        </w:sectPr>
      </w:pPr>
    </w:p>
    <w:bookmarkStart w:id="81" w:name="page82"/>
    <w:bookmarkEnd w:id="81"/>
    <w:p>
      <w:pPr>
        <w:jc w:val="both"/>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upon the above, and subject to the stated assumptions, exceptions and qualifications, we are of the opinion that the Shares have been duly authorized by all necessary corporate action on the part of the Company and, when issued and delivered in accordance with the terms of the Plans, and any applicable Plan Agreement under the SCA Acquisition Equity Plan or the Omnibus Incentive Plan, as applicable, the Shares will be validly issued, fully paid and non-assessable.</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hereby consent to use of this opinion as an exhibit to the Registration Statement. In giving this consent, we do not thereby admit that we come within the category of persons whose consent is required by the Act or the Rules.</w:t>
      </w:r>
    </w:p>
    <w:p>
      <w:pPr>
        <w:spacing w:after="0" w:line="19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Paul, Weiss, Rifkind, Wharton &amp; Garrison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020"/>
          </w:cols>
          <w:pgMar w:left="440" w:top="274" w:right="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consent to the use of our report dated February 23, 2021, except as to the third and fourth paragraphs of Note 20 which is as of March 8, 2021, with respect to the consolidated balance sheets of Sun Country Airlines Holdings, Inc. as of December 31, 2020 and 2019, and the related consolidated statements of operations, changes in stockholders’ equity, and cash flows for the years ended December 31, 2020 and 2019, and for the periods from January 1, 2018 to April 10, 2018 and April 11, 2018 to December 31, 2018, incorporated by reference herein. Our report contains an explanatory paragraph that states that the Company has changed its method of accounting for revenue recognition and leases as of January 1, 2019 due to the adoption of Accounting Standards Update 2014-09</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and Accounting Standards Update 2016-02</w:t>
      </w:r>
      <w:r>
        <w:rPr>
          <w:rFonts w:ascii="Arial" w:cs="Arial" w:eastAsia="Arial" w:hAnsi="Arial"/>
          <w:sz w:val="16"/>
          <w:szCs w:val="16"/>
          <w:i w:val="1"/>
          <w:iCs w:val="1"/>
          <w:color w:val="auto"/>
        </w:rPr>
        <w:t>, Leases.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lowerRoman"/>
      <w:start w:val="1"/>
    </w:lvl>
  </w:abstractNum>
  <w:abstractNum w:abstractNumId="4">
    <w:nsid w:val="725A06FB"/>
    <w:multiLevelType w:val="hybridMultilevel"/>
    <w:lvl w:ilvl="0">
      <w:lvlJc w:val="left"/>
      <w:lvlText w:val="(%1)"/>
      <w:numFmt w:val="decimal"/>
      <w:start w:val="2"/>
    </w:lvl>
  </w:abstractNum>
  <w:abstractNum w:abstractNumId="5">
    <w:nsid w:val="2CD89A32"/>
    <w:multiLevelType w:val="hybridMultilevel"/>
    <w:lvl w:ilvl="0">
      <w:lvlJc w:val="left"/>
      <w:lvlText w:val="(%1)"/>
      <w:numFmt w:val="decimal"/>
      <w:start w:val="4"/>
    </w:lvl>
    <w:lvl w:ilvl="1">
      <w:lvlJc w:val="left"/>
      <w:lvlText w:val="(%2)"/>
      <w:numFmt w:val="lowerRoman"/>
      <w:start w:val="1"/>
    </w:lvl>
  </w:abstractNum>
  <w:abstractNum w:abstractNumId="6">
    <w:nsid w:val="57E4CCAF"/>
    <w:multiLevelType w:val="hybridMultilevel"/>
    <w:lvl w:ilvl="0">
      <w:lvlJc w:val="left"/>
      <w:lvlText w:val="(%1)"/>
      <w:numFmt w:val="lowerLetter"/>
      <w:start w:val="2"/>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5"/>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2"/>
    </w:lvl>
  </w:abstractNum>
  <w:abstractNum w:abstractNumId="12">
    <w:nsid w:val="7644A45C"/>
    <w:multiLevelType w:val="hybridMultilevel"/>
    <w:lvl w:ilvl="0">
      <w:lvlJc w:val="left"/>
      <w:lvlText w:val="(%1)"/>
      <w:numFmt w:val="lowerRoman"/>
      <w:start w:val="3"/>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1"/>
    </w:lvl>
  </w:abstractNum>
  <w:abstractNum w:abstractNumId="15">
    <w:nsid w:val="579478FE"/>
    <w:multiLevelType w:val="hybridMultilevel"/>
    <w:lvl w:ilvl="0">
      <w:lvlJc w:val="left"/>
      <w:lvlText w:val="(%1)"/>
      <w:numFmt w:val="lowerLetter"/>
      <w:start w:val="2"/>
    </w:lvl>
  </w:abstractNum>
  <w:abstractNum w:abstractNumId="16">
    <w:nsid w:val="749ABB43"/>
    <w:multiLevelType w:val="hybridMultilevel"/>
    <w:lvl w:ilvl="0">
      <w:lvlJc w:val="left"/>
      <w:lvlText w:val="%1"/>
      <w:numFmt w:val="lowerLetter"/>
      <w:start w:val="1"/>
    </w:lvl>
    <w:lvl w:ilvl="1">
      <w:lvlJc w:val="left"/>
      <w:lvlText w:val="(%2)"/>
      <w:numFmt w:val="lowerLetter"/>
      <w:start w:val="1"/>
    </w:lvl>
  </w:abstractNum>
  <w:abstractNum w:abstractNumId="17">
    <w:nsid w:val="3DC240FB"/>
    <w:multiLevelType w:val="hybridMultilevel"/>
    <w:lvl w:ilvl="0">
      <w:lvlJc w:val="left"/>
      <w:lvlText w:val="(%1)"/>
      <w:numFmt w:val="lowerLetter"/>
      <w:start w:val="35"/>
    </w:lvl>
    <w:lvl w:ilvl="1">
      <w:lvlJc w:val="left"/>
      <w:lvlText w:val="%2"/>
      <w:numFmt w:val="lowerLetter"/>
      <w:start w:val="1"/>
    </w:lvl>
  </w:abstractNum>
  <w:abstractNum w:abstractNumId="18">
    <w:nsid w:val="1BA026F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9">
    <w:nsid w:val="79A1DEA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4"/>
    </w:lvl>
  </w:abstractNum>
  <w:abstractNum w:abstractNumId="20">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21">
    <w:nsid w:val="12E685FB"/>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22">
    <w:nsid w:val="70C6A529"/>
    <w:multiLevelType w:val="hybridMultilevel"/>
    <w:lvl w:ilvl="0">
      <w:lvlJc w:val="left"/>
      <w:lvlText w:val="(%1)"/>
      <w:numFmt w:val="lowerLetter"/>
      <w:start w:val="2"/>
    </w:lvl>
    <w:lvl w:ilvl="1">
      <w:lvlJc w:val="left"/>
      <w:lvlText w:val="(%2)"/>
      <w:numFmt w:val="lowerLetter"/>
      <w:start w:val="8"/>
    </w:lvl>
    <w:lvl w:ilvl="2">
      <w:lvlJc w:val="left"/>
      <w:lvlText w:val="(%3)"/>
      <w:numFmt w:val="lowerLetter"/>
      <w:start w:val="9"/>
    </w:lvl>
  </w:abstractNum>
  <w:abstractNum w:abstractNumId="23">
    <w:nsid w:val="520EEDD1"/>
    <w:multiLevelType w:val="hybridMultilevel"/>
    <w:lvl w:ilvl="0">
      <w:lvlJc w:val="left"/>
      <w:lvlText w:val="%1"/>
      <w:numFmt w:val="lowerLetter"/>
      <w:start w:val="1"/>
    </w:lvl>
    <w:lvl w:ilvl="1">
      <w:lvlJc w:val="left"/>
      <w:lvlText w:val="(%2)"/>
      <w:numFmt w:val="lowerRoman"/>
      <w:start w:val="2"/>
    </w:lvl>
  </w:abstractNum>
  <w:abstractNum w:abstractNumId="24">
    <w:nsid w:val="374A3FE6"/>
    <w:multiLevelType w:val="hybridMultilevel"/>
    <w:lvl w:ilvl="0">
      <w:lvlJc w:val="left"/>
      <w:lvlText w:val="(%1)"/>
      <w:numFmt w:val="lowerLetter"/>
      <w:start w:val="9"/>
    </w:lvl>
    <w:lvl w:ilvl="1">
      <w:lvlJc w:val="left"/>
      <w:lvlText w:val="%2"/>
      <w:numFmt w:val="lowerRoman"/>
      <w:start w:val="1"/>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upperLetter"/>
      <w:start w:val="1"/>
    </w:lvl>
    <w:lvl w:ilvl="1">
      <w:lvlJc w:val="left"/>
      <w:lvlText w:val="(%2)"/>
      <w:numFmt w:val="lowerRoman"/>
      <w:start w:val="1"/>
    </w:lvl>
  </w:abstractNum>
  <w:abstractNum w:abstractNumId="27">
    <w:nsid w:val="649BB77C"/>
    <w:multiLevelType w:val="hybridMultilevel"/>
    <w:lvl w:ilvl="0">
      <w:lvlJc w:val="left"/>
      <w:lvlText w:val="(%1)"/>
      <w:numFmt w:val="upperLetter"/>
      <w:start w:val="1"/>
    </w:lvl>
    <w:lvl w:ilvl="1">
      <w:lvlJc w:val="left"/>
      <w:lvlText w:val="(%2)"/>
      <w:numFmt w:val="lowerRoman"/>
      <w:start w:val="2"/>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1"/>
      <w:numFmt w:val="lowerLetter"/>
      <w:start w:val="1"/>
    </w:lvl>
    <w:lvl w:ilvl="1">
      <w:lvlJc w:val="left"/>
      <w:lvlText w:val="(%2)"/>
      <w:numFmt w:val="lowerLetter"/>
      <w:start w:val="61"/>
    </w:lvl>
  </w:abstractNum>
  <w:abstractNum w:abstractNumId="30">
    <w:nsid w:val="1CF10FD8"/>
    <w:multiLevelType w:val="hybridMultilevel"/>
    <w:lvl w:ilvl="0">
      <w:lvlJc w:val="left"/>
      <w:lvlText w:val="(%1)"/>
      <w:numFmt w:val="lowerLetter"/>
      <w:start w:val="2"/>
    </w:lvl>
    <w:lvl w:ilvl="1">
      <w:lvlJc w:val="left"/>
      <w:lvlText w:val="(%2)"/>
      <w:numFmt w:val="lowerLetter"/>
      <w:start w:val="9"/>
    </w:lvl>
  </w:abstractNum>
  <w:abstractNum w:abstractNumId="31">
    <w:nsid w:val="180115BE"/>
    <w:multiLevelType w:val="hybridMultilevel"/>
    <w:lvl w:ilvl="0">
      <w:lvlJc w:val="left"/>
      <w:lvlText w:val="(%1)"/>
      <w:numFmt w:val="lowerRoman"/>
      <w:start w:val="2"/>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6"/>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3"/>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3"/>
    </w:lvl>
  </w:abstractNum>
  <w:abstractNum w:abstractNumId="40">
    <w:nsid w:val="61574095"/>
    <w:multiLevelType w:val="hybridMultilevel"/>
    <w:lvl w:ilvl="0">
      <w:lvlJc w:val="left"/>
      <w:lvlText w:val="(%1)"/>
      <w:numFmt w:val="lowerLetter"/>
      <w:start w:val="1"/>
    </w:lvl>
    <w:lvl w:ilvl="1">
      <w:lvlJc w:val="left"/>
      <w:lvlText w:val="(%2)"/>
      <w:numFmt w:val="lowerLetter"/>
      <w:start w:val="9"/>
    </w:lvl>
  </w:abstractNum>
  <w:abstractNum w:abstractNumId="41">
    <w:nsid w:val="7E0C57B1"/>
    <w:multiLevelType w:val="hybridMultilevel"/>
    <w:lvl w:ilvl="0">
      <w:lvlJc w:val="left"/>
      <w:lvlText w:val="%1"/>
      <w:numFmt w:val="lowerLetter"/>
      <w:start w:val="1"/>
    </w:lvl>
    <w:lvl w:ilvl="1">
      <w:lvlJc w:val="left"/>
      <w:lvlText w:val="(%2)"/>
      <w:numFmt w:val="lowerLetter"/>
      <w:start w:val="35"/>
    </w:lvl>
  </w:abstractNum>
  <w:abstractNum w:abstractNumId="42">
    <w:nsid w:val="77AE35EB"/>
    <w:multiLevelType w:val="hybridMultilevel"/>
    <w:lvl w:ilvl="0">
      <w:lvlJc w:val="left"/>
      <w:lvlText w:val="(%1)"/>
      <w:numFmt w:val="lowerLetter"/>
      <w:start w:val="2"/>
    </w:lvl>
    <w:lvl w:ilvl="1">
      <w:lvlJc w:val="left"/>
      <w:lvlText w:val="%2"/>
      <w:numFmt w:val="lowerLetter"/>
      <w:start w:val="1"/>
    </w:lvl>
  </w:abstractNum>
  <w:abstractNum w:abstractNumId="43">
    <w:nsid w:val="579BE4F1"/>
    <w:multiLevelType w:val="hybridMultilevel"/>
    <w:lvl w:ilvl="0">
      <w:lvlJc w:val="left"/>
      <w:lvlText w:val="%1."/>
      <w:numFmt w:val="decimal"/>
      <w:start w:val="1"/>
    </w:lvl>
    <w:lvl w:ilvl="1">
      <w:lvlJc w:val="left"/>
      <w:lvlText w:val="(%2)"/>
      <w:numFmt w:val="lowerLetter"/>
      <w:start w:val="1"/>
    </w:lvl>
  </w:abstractNum>
  <w:abstractNum w:abstractNumId="44">
    <w:nsid w:val="310C50B3"/>
    <w:multiLevelType w:val="hybridMultilevel"/>
    <w:lvl w:ilvl="0">
      <w:lvlJc w:val="left"/>
      <w:lvlText w:val="(%1)"/>
      <w:numFmt w:val="decimal"/>
      <w:start w:val="10"/>
    </w:lvl>
    <w:lvl w:ilvl="1">
      <w:lvlJc w:val="left"/>
      <w:lvlText w:val="(%2)"/>
      <w:numFmt w:val="lowerLetter"/>
      <w:start w:val="7"/>
    </w:lvl>
    <w:lvl w:ilvl="2">
      <w:lvlJc w:val="left"/>
      <w:lvlText w:val="(%3)"/>
      <w:numFmt w:val="lowerLetter"/>
      <w:start w:val="9"/>
    </w:lvl>
  </w:abstractNum>
  <w:abstractNum w:abstractNumId="45">
    <w:nsid w:val="5FF87E05"/>
    <w:multiLevelType w:val="hybridMultilevel"/>
    <w:lvl w:ilvl="0">
      <w:lvlJc w:val="left"/>
      <w:lvlText w:val="(%1)"/>
      <w:numFmt w:val="lowerRoman"/>
      <w:start w:val="2"/>
    </w:lvl>
  </w:abstractNum>
  <w:abstractNum w:abstractNumId="46">
    <w:nsid w:val="2F305DEF"/>
    <w:multiLevelType w:val="hybridMultilevel"/>
    <w:lvl w:ilvl="0">
      <w:lvlJc w:val="left"/>
      <w:lvlText w:val="(%1)"/>
      <w:numFmt w:val="lowerLetter"/>
      <w:start w:val="8"/>
    </w:lvl>
  </w:abstractNum>
  <w:abstractNum w:abstractNumId="47">
    <w:nsid w:val="25A70BF7"/>
    <w:multiLevelType w:val="hybridMultilevel"/>
    <w:lvl w:ilvl="0">
      <w:lvlJc w:val="left"/>
      <w:lvlText w:val="(%1)"/>
      <w:numFmt w:val="lowerLetter"/>
      <w:start w:val="15"/>
    </w:lvl>
  </w:abstractNum>
  <w:abstractNum w:abstractNumId="48">
    <w:nsid w:val="1DBABF00"/>
    <w:multiLevelType w:val="hybridMultilevel"/>
    <w:lvl w:ilvl="0">
      <w:lvlJc w:val="left"/>
      <w:lvlText w:val="%1"/>
      <w:numFmt w:val="lowerRoman"/>
      <w:start w:val="1"/>
    </w:lvl>
    <w:lvl w:ilvl="1">
      <w:lvlJc w:val="left"/>
      <w:lvlText w:val="(%2)"/>
      <w:numFmt w:val="lowerLetter"/>
      <w:start w:val="27"/>
    </w:lvl>
  </w:abstractNum>
  <w:abstractNum w:abstractNumId="49">
    <w:nsid w:val="4AD084E9"/>
    <w:multiLevelType w:val="hybridMultilevel"/>
    <w:lvl w:ilvl="0">
      <w:lvlJc w:val="left"/>
      <w:lvlText w:val="(%1)"/>
      <w:numFmt w:val="lowerRoman"/>
      <w:start w:val="16"/>
    </w:lvl>
    <w:lvl w:ilvl="1">
      <w:lvlJc w:val="left"/>
      <w:lvlText w:val="%2"/>
      <w:numFmt w:val="lowerLetter"/>
      <w:start w:val="1"/>
    </w:lvl>
  </w:abstractNum>
  <w:abstractNum w:abstractNumId="50">
    <w:nsid w:val="1F48EAA1"/>
    <w:multiLevelType w:val="hybridMultilevel"/>
    <w:lvl w:ilvl="0">
      <w:lvlJc w:val="left"/>
      <w:lvlText w:val="(%1)"/>
      <w:numFmt w:val="lowerLetter"/>
      <w:start w:val="31"/>
    </w:lvl>
  </w:abstractNum>
  <w:abstractNum w:abstractNumId="51">
    <w:nsid w:val="1381823A"/>
    <w:multiLevelType w:val="hybridMultilevel"/>
    <w:lvl w:ilvl="0">
      <w:lvlJc w:val="left"/>
      <w:lvlText w:val="%1."/>
      <w:numFmt w:val="decimal"/>
      <w:start w:val="4"/>
    </w:lvl>
    <w:lvl w:ilvl="1">
      <w:lvlJc w:val="left"/>
      <w:lvlText w:val="(%2)"/>
      <w:numFmt w:val="lowerLetter"/>
      <w:start w:val="1"/>
    </w:lvl>
  </w:abstractNum>
  <w:abstractNum w:abstractNumId="52">
    <w:nsid w:val="5DB70AE5"/>
    <w:multiLevelType w:val="hybridMultilevel"/>
    <w:lvl w:ilvl="0">
      <w:lvlJc w:val="left"/>
      <w:lvlText w:val="%1"/>
      <w:numFmt w:val="decimal"/>
      <w:start w:val="1"/>
    </w:lvl>
    <w:lvl w:ilvl="1">
      <w:lvlJc w:val="left"/>
      <w:lvlText w:val="(%2)"/>
      <w:numFmt w:val="lowerLetter"/>
      <w:start w:val="5"/>
    </w:lvl>
  </w:abstractNum>
  <w:abstractNum w:abstractNumId="53">
    <w:nsid w:val="100F8FCA"/>
    <w:multiLevelType w:val="hybridMultilevel"/>
    <w:lvl w:ilvl="0">
      <w:lvlJc w:val="left"/>
      <w:lvlText w:val="%1."/>
      <w:numFmt w:val="decimal"/>
      <w:start w:val="5"/>
    </w:lvl>
    <w:lvl w:ilvl="1">
      <w:lvlJc w:val="left"/>
      <w:lvlText w:val="(%2)"/>
      <w:numFmt w:val="lowerLetter"/>
      <w:start w:val="1"/>
    </w:lvl>
  </w:abstractNum>
  <w:abstractNum w:abstractNumId="54">
    <w:nsid w:val="6590700B"/>
    <w:multiLevelType w:val="hybridMultilevel"/>
    <w:lvl w:ilvl="0">
      <w:lvlJc w:val="left"/>
      <w:lvlText w:val="(%1)"/>
      <w:numFmt w:val="lowerLetter"/>
      <w:start w:val="2"/>
    </w:lvl>
  </w:abstractNum>
  <w:abstractNum w:abstractNumId="55">
    <w:nsid w:val="15014ACB"/>
    <w:multiLevelType w:val="hybridMultilevel"/>
    <w:lvl w:ilvl="0">
      <w:lvlJc w:val="left"/>
      <w:lvlText w:val="%1."/>
      <w:numFmt w:val="decimal"/>
      <w:start w:val="6"/>
    </w:lvl>
    <w:lvl w:ilvl="1">
      <w:lvlJc w:val="left"/>
      <w:lvlText w:val="(%2)"/>
      <w:numFmt w:val="lowerLetter"/>
      <w:start w:val="1"/>
    </w:lvl>
  </w:abstractNum>
  <w:abstractNum w:abstractNumId="56">
    <w:nsid w:val="5F5E7FD0"/>
    <w:multiLevelType w:val="hybridMultilevel"/>
    <w:lvl w:ilvl="0">
      <w:lvlJc w:val="left"/>
      <w:lvlText w:val="(%1)"/>
      <w:numFmt w:val="lowerLetter"/>
      <w:start w:val="5"/>
    </w:lvl>
  </w:abstractNum>
  <w:abstractNum w:abstractNumId="57">
    <w:nsid w:val="98A3148"/>
    <w:multiLevelType w:val="hybridMultilevel"/>
    <w:lvl w:ilvl="0">
      <w:lvlJc w:val="left"/>
      <w:lvlText w:val="%1"/>
      <w:numFmt w:val="decimal"/>
      <w:start w:val="1"/>
    </w:lvl>
    <w:lvl w:ilvl="1">
      <w:lvlJc w:val="left"/>
      <w:lvlText w:val="(%2)"/>
      <w:numFmt w:val="lowerLetter"/>
      <w:start w:val="7"/>
    </w:lvl>
  </w:abstractNum>
  <w:abstractNum w:abstractNumId="58">
    <w:nsid w:val="799D0247"/>
    <w:multiLevelType w:val="hybridMultilevel"/>
    <w:lvl w:ilvl="0">
      <w:lvlJc w:val="left"/>
      <w:lvlText w:val="%1."/>
      <w:numFmt w:val="decimal"/>
      <w:start w:val="8"/>
    </w:lvl>
    <w:lvl w:ilvl="1">
      <w:lvlJc w:val="left"/>
      <w:lvlText w:val="(%2)"/>
      <w:numFmt w:val="lowerLetter"/>
      <w:start w:val="1"/>
    </w:lvl>
  </w:abstractNum>
  <w:abstractNum w:abstractNumId="59">
    <w:nsid w:val="6B94764"/>
    <w:multiLevelType w:val="hybridMultilevel"/>
    <w:lvl w:ilvl="0">
      <w:lvlJc w:val="left"/>
      <w:lvlText w:val="%1"/>
      <w:numFmt w:val="decimal"/>
      <w:start w:val="1"/>
    </w:lvl>
    <w:lvl w:ilvl="1">
      <w:lvlJc w:val="left"/>
      <w:lvlText w:val="(%2)"/>
      <w:numFmt w:val="lowerLetter"/>
      <w:start w:val="4"/>
    </w:lvl>
  </w:abstractNum>
  <w:abstractNum w:abstractNumId="60">
    <w:nsid w:val="42C296BD"/>
    <w:multiLevelType w:val="hybridMultilevel"/>
    <w:lvl w:ilvl="0">
      <w:lvlJc w:val="left"/>
      <w:lvlText w:val="%1."/>
      <w:numFmt w:val="decimal"/>
      <w:start w:val="9"/>
    </w:lvl>
    <w:lvl w:ilvl="1">
      <w:lvlJc w:val="left"/>
      <w:lvlText w:val="(%2)"/>
      <w:numFmt w:val="lowerLetter"/>
      <w:start w:val="1"/>
    </w:lvl>
  </w:abstractNum>
  <w:abstractNum w:abstractNumId="61">
    <w:nsid w:val="168E121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2">
    <w:nsid w:val="1EBA5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3">
    <w:nsid w:val="661E3F1E"/>
    <w:multiLevelType w:val="hybridMultilevel"/>
    <w:lvl w:ilvl="0">
      <w:lvlJc w:val="left"/>
      <w:lvlText w:val="%1"/>
      <w:numFmt w:val="lowerLetter"/>
      <w:start w:val="1"/>
    </w:lvl>
    <w:lvl w:ilvl="1">
      <w:lvlJc w:val="left"/>
      <w:lvlText w:val="(%2)"/>
      <w:numFmt w:val="lowerLetter"/>
      <w:start w:val="61"/>
    </w:lvl>
  </w:abstractNum>
  <w:abstractNum w:abstractNumId="64">
    <w:nsid w:val="5DC79EA8"/>
    <w:multiLevelType w:val="hybridMultilevel"/>
    <w:lvl w:ilvl="0">
      <w:lvlJc w:val="left"/>
      <w:lvlText w:val="(%1)"/>
      <w:numFmt w:val="lowerLetter"/>
      <w:start w:val="5"/>
    </w:lvl>
    <w:lvl w:ilvl="1">
      <w:lvlJc w:val="left"/>
      <w:lvlText w:val="%2"/>
      <w:numFmt w:val="lowerLetter"/>
      <w:start w:val="1"/>
    </w:lvl>
  </w:abstractNum>
  <w:abstractNum w:abstractNumId="65">
    <w:nsid w:val="540A471C"/>
    <w:multiLevelType w:val="hybridMultilevel"/>
    <w:lvl w:ilvl="0">
      <w:lvlJc w:val="left"/>
      <w:lvlText w:val="%1."/>
      <w:numFmt w:val="decimal"/>
      <w:start w:val="10"/>
    </w:lvl>
  </w:abstractNum>
  <w:abstractNum w:abstractNumId="66">
    <w:nsid w:val="7BD3EE7B"/>
    <w:multiLevelType w:val="hybridMultilevel"/>
    <w:lvl w:ilvl="0">
      <w:lvlJc w:val="left"/>
      <w:lvlText w:val="%1."/>
      <w:numFmt w:val="decimal"/>
      <w:start w:val="11"/>
    </w:lvl>
    <w:lvl w:ilvl="1">
      <w:lvlJc w:val="left"/>
      <w:lvlText w:val="(%2)"/>
      <w:numFmt w:val="lowerRoman"/>
      <w:start w:val="1"/>
    </w:lvl>
  </w:abstractNum>
  <w:abstractNum w:abstractNumId="67">
    <w:nsid w:val="51D9C564"/>
    <w:multiLevelType w:val="hybridMultilevel"/>
    <w:lvl w:ilvl="0">
      <w:lvlJc w:val="left"/>
      <w:lvlText w:val="%1."/>
      <w:numFmt w:val="decimal"/>
      <w:start w:val="12"/>
    </w:lvl>
    <w:lvl w:ilvl="1">
      <w:lvlJc w:val="left"/>
      <w:lvlText w:val="(%2)"/>
      <w:numFmt w:val="lowerLetter"/>
      <w:start w:val="1"/>
    </w:lvl>
  </w:abstractNum>
  <w:abstractNum w:abstractNumId="68">
    <w:nsid w:val="613EFDC5"/>
    <w:multiLevelType w:val="hybridMultilevel"/>
    <w:lvl w:ilvl="0">
      <w:lvlJc w:val="left"/>
      <w:lvlText w:val="%1."/>
      <w:numFmt w:val="decimal"/>
      <w:start w:val="13"/>
    </w:lvl>
    <w:lvl w:ilvl="1">
      <w:lvlJc w:val="left"/>
      <w:lvlText w:val="(%2)"/>
      <w:numFmt w:val="lowerLetter"/>
      <w:start w:val="1"/>
    </w:lvl>
  </w:abstractNum>
  <w:abstractNum w:abstractNumId="69">
    <w:nsid w:val="BF72B1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0">
    <w:nsid w:val="11447B73"/>
    <w:multiLevelType w:val="hybridMultilevel"/>
    <w:lvl w:ilvl="0">
      <w:lvlJc w:val="left"/>
      <w:lvlText w:val="(%1)"/>
      <w:numFmt w:val="lowerLetter"/>
      <w:start w:val="3"/>
    </w:lvl>
    <w:lvl w:ilvl="1">
      <w:lvlJc w:val="left"/>
      <w:lvlText w:val="(%2)"/>
      <w:numFmt w:val="lowerLetter"/>
      <w:start w:val="9"/>
    </w:lvl>
  </w:abstractNum>
  <w:abstractNum w:abstractNumId="71">
    <w:nsid w:val="42963E5A"/>
    <w:multiLevelType w:val="hybridMultilevel"/>
    <w:lvl w:ilvl="0">
      <w:lvlJc w:val="left"/>
      <w:lvlText w:val="%1"/>
      <w:numFmt w:val="lowerLetter"/>
      <w:start w:val="1"/>
    </w:lvl>
    <w:lvl w:ilvl="1">
      <w:lvlJc w:val="left"/>
      <w:lvlText w:val="(%2)"/>
      <w:numFmt w:val="lowerLetter"/>
      <w:start w:val="35"/>
    </w:lvl>
  </w:abstractNum>
  <w:abstractNum w:abstractNumId="72">
    <w:nsid w:val="A0382C5"/>
    <w:multiLevelType w:val="hybridMultilevel"/>
    <w:lvl w:ilvl="0">
      <w:lvlJc w:val="left"/>
      <w:lvlText w:val="(%1)"/>
      <w:numFmt w:val="lowerLetter"/>
      <w:start w:val="5"/>
    </w:lvl>
    <w:lvl w:ilvl="1">
      <w:lvlJc w:val="left"/>
      <w:lvlText w:val="%2"/>
      <w:numFmt w:val="lowerLetter"/>
      <w:start w:val="1"/>
    </w:lvl>
  </w:abstractNum>
  <w:abstractNum w:abstractNumId="73">
    <w:nsid w:val="8F2B15E"/>
    <w:multiLevelType w:val="hybridMultilevel"/>
    <w:lvl w:ilvl="0">
      <w:lvlJc w:val="left"/>
      <w:lvlText w:val="(%1)"/>
      <w:numFmt w:val="lowerLetter"/>
      <w:start w:val="8"/>
    </w:lvl>
    <w:lvl w:ilvl="1">
      <w:lvlJc w:val="left"/>
      <w:lvlText w:val="(%2)"/>
      <w:numFmt w:val="lowerRoman"/>
      <w:start w:val="1"/>
    </w:lvl>
  </w:abstractNum>
  <w:abstractNum w:abstractNumId="74">
    <w:nsid w:val="1A32234B"/>
    <w:multiLevelType w:val="hybridMultilevel"/>
    <w:lvl w:ilvl="0">
      <w:lvlJc w:val="left"/>
      <w:lvlText w:val="%1"/>
      <w:numFmt w:val="lowerLetter"/>
      <w:start w:val="1"/>
    </w:lvl>
    <w:lvl w:ilvl="1">
      <w:lvlJc w:val="left"/>
      <w:lvlText w:val="(%2)"/>
      <w:numFmt w:val="lowerLetter"/>
      <w:start w:val="61"/>
    </w:lvl>
  </w:abstractNum>
  <w:abstractNum w:abstractNumId="75">
    <w:nsid w:val="3B0FD379"/>
    <w:multiLevelType w:val="hybridMultilevel"/>
    <w:lvl w:ilvl="0">
      <w:lvlJc w:val="left"/>
      <w:lvlText w:val="(%1)"/>
      <w:numFmt w:val="lowerLetter"/>
      <w:start w:val="11"/>
    </w:lvl>
    <w:lvl w:ilvl="1">
      <w:lvlJc w:val="left"/>
      <w:lvlText w:val="%2"/>
      <w:numFmt w:val="lowerLetter"/>
      <w:start w:val="1"/>
    </w:lvl>
  </w:abstractNum>
  <w:abstractNum w:abstractNumId="76">
    <w:nsid w:val="68EB2F63"/>
    <w:multiLevelType w:val="hybridMultilevel"/>
    <w:lvl w:ilvl="0">
      <w:lvlJc w:val="left"/>
      <w:lvlText w:val="(%1)"/>
      <w:numFmt w:val="lowerLetter"/>
      <w:start w:val="12"/>
    </w:lvl>
  </w:abstractNum>
  <w:abstractNum w:abstractNumId="77">
    <w:nsid w:val="4962813B"/>
    <w:multiLevelType w:val="hybridMultilevel"/>
    <w:lvl w:ilvl="0">
      <w:lvlJc w:val="left"/>
      <w:lvlText w:val="(%1)"/>
      <w:numFmt w:val="lowerLetter"/>
      <w:start w:val="18"/>
    </w:lvl>
    <w:lvl w:ilvl="1">
      <w:lvlJc w:val="left"/>
      <w:lvlText w:val="(%2)"/>
      <w:numFmt w:val="lowerRoman"/>
      <w:start w:val="1"/>
    </w:lvl>
  </w:abstractNum>
  <w:abstractNum w:abstractNumId="78">
    <w:nsid w:val="60B6DF70"/>
    <w:multiLevelType w:val="hybridMultilevel"/>
    <w:lvl w:ilvl="0">
      <w:lvlJc w:val="left"/>
      <w:lvlText w:val="(%1)"/>
      <w:numFmt w:val="lowerRoman"/>
      <w:start w:val="3"/>
    </w:lvl>
  </w:abstractNum>
  <w:abstractNum w:abstractNumId="79">
    <w:nsid w:val="6A5EE64"/>
    <w:multiLevelType w:val="hybridMultilevel"/>
    <w:lvl w:ilvl="0">
      <w:lvlJc w:val="left"/>
      <w:lvlText w:val="(%1)"/>
      <w:numFmt w:val="lowerLetter"/>
      <w:start w:val="20"/>
    </w:lvl>
  </w:abstractNum>
  <w:abstractNum w:abstractNumId="80">
    <w:nsid w:val="14330624"/>
    <w:multiLevelType w:val="hybridMultilevel"/>
    <w:lvl w:ilvl="0">
      <w:lvlJc w:val="left"/>
      <w:lvlText w:val="%1"/>
      <w:numFmt w:val="lowerLetter"/>
      <w:start w:val="1"/>
    </w:lvl>
    <w:lvl w:ilvl="1">
      <w:lvlJc w:val="left"/>
      <w:lvlText w:val="(%2)"/>
      <w:numFmt w:val="lowerLetter"/>
      <w:start w:val="23"/>
    </w:lvl>
    <w:lvl w:ilvl="2">
      <w:lvlJc w:val="left"/>
      <w:lvlText w:val="*"/>
      <w:numFmt w:val="bullet"/>
      <w:start w:val="1"/>
    </w:lvl>
  </w:abstractNum>
  <w:abstractNum w:abstractNumId="81">
    <w:nsid w:val="7FFFCA11"/>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26" Type="http://schemas.openxmlformats.org/officeDocument/2006/relationships/hyperlink" Target="http://www.sec.gov/Archives/edgar/data/0001743907/000119312521032486/d71456d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2021-03-17T05:26:08Z</dcterms:created>
  <dcterms:modified xsi:type="dcterms:W3CDTF">2021-03-17T05:26:08Z</dcterms:modified>
</cp:coreProperties>
</file>