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8" w:lineRule="exact"/>
        <w:rPr>
          <w:sz w:val="24"/>
          <w:szCs w:val="24"/>
          <w:color w:val="auto"/>
        </w:rPr>
      </w:pPr>
    </w:p>
    <w:p>
      <w:pPr>
        <w:spacing w:after="0" w:line="207" w:lineRule="exact"/>
        <w:tabs>
          <w:tab w:leader="none" w:pos="49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3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right="380" w:hanging="605"/>
        <w:spacing w:after="0" w:line="282" w:lineRule="auto"/>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05"/>
        <w:spacing w:after="0"/>
        <w:tabs>
          <w:tab w:leader="none" w:pos="10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600075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257175</wp:posOffset>
            </wp:positionV>
            <wp:extent cx="5537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-170815</wp:posOffset>
            </wp:positionV>
            <wp:extent cx="5537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-607695</wp:posOffset>
            </wp:positionV>
            <wp:extent cx="5537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-1045210</wp:posOffset>
            </wp:positionV>
            <wp:extent cx="5537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-2159635</wp:posOffset>
            </wp:positionV>
            <wp:extent cx="5537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-2596515</wp:posOffset>
            </wp:positionV>
            <wp:extent cx="5537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-3034030</wp:posOffset>
            </wp:positionV>
            <wp:extent cx="5537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-3608070</wp:posOffset>
            </wp:positionV>
            <wp:extent cx="5537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-4045585</wp:posOffset>
            </wp:positionV>
            <wp:extent cx="5537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411480</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471805</wp:posOffset>
            </wp:positionV>
            <wp:extent cx="61722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223" w:right="1159"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Letter from the CEO</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April 29, 2022</w:t>
      </w:r>
    </w:p>
    <w:p>
      <w:pPr>
        <w:spacing w:after="0" w:line="9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Demand for travel is currently higher than I have seen in my time in the airline industry. Our passengers are eager to travel, and our low fares and superior service remain incredibly popular with our customers. We are proud to currently operate 92 scheduled service routes across 73 airports in the United States, Mexico, Central America, Canada, and the Caribbean.</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Sun Country has emerged from the COVID-19 pandemic as a strong, well-positioned airline with the potential for continued high growth, high margins and strong cash flow. Thanks to our employees and our unique business model, Sun Country has shown great resilience, making us among the top financially performing U.S. airlines over the past two years.</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diversified business model, which includes scheduled passenger, charter and cargo service, is truly unique. This diversity of service helps mitigate the impact of sector-specific downturns and allows us to keep costs low as we deploy our highly skilled workforce and our assets across our lines of business. Our model optimizes capacity allocation by market, time of year, day of week and line of business to maximize unit revenues while maintaining low unit costs.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Sun Country experienced a very strong 2021. Highlights include:</w:t>
      </w:r>
    </w:p>
    <w:p>
      <w:pPr>
        <w:spacing w:after="0" w:line="117" w:lineRule="exact"/>
        <w:rPr>
          <w:sz w:val="20"/>
          <w:szCs w:val="20"/>
          <w:color w:val="auto"/>
        </w:rPr>
      </w:pPr>
    </w:p>
    <w:p>
      <w:pPr>
        <w:ind w:left="1000" w:right="5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initial public offering in March 2021 that strengthened our balance sheet and provides the opportunity for the public to invest in Sun Country.</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our flying by 13% on a block hour basis versus pre-pandemic 2019 levels. Most other airlines shrunk significantly during this period.</w:t>
      </w:r>
    </w:p>
    <w:p>
      <w:pPr>
        <w:spacing w:after="0" w:line="53"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and ratified a new collective bargaining agreement with our pilots, offering highly competitive pay rates, benefits and work rules, allowing Sun Country to attract the pilots we need to support our future growth.</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new five-year charter service agreements with Caesars Entertainment and Major League Soccer.</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passenger fleet from 31 aircraft at the beginning of the year to 36 by year-end, while also operating 12 dedicated freighter aircraft.</w:t>
      </w:r>
    </w:p>
    <w:p>
      <w:pPr>
        <w:spacing w:after="0" w:line="54"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Finally, we’re poised for growth in 2022, and we expect to add eight more aircraft to our passenger fleet this year. We are in a strong financial position to make the investments needed to meet the rapidly rebounding demand from our scheduled service, charter and cargo customers.</w:t>
      </w:r>
    </w:p>
    <w:p>
      <w:pPr>
        <w:spacing w:after="0" w:line="68" w:lineRule="exact"/>
        <w:rPr>
          <w:sz w:val="20"/>
          <w:szCs w:val="20"/>
          <w:color w:val="auto"/>
        </w:rPr>
      </w:pPr>
    </w:p>
    <w:p>
      <w:pPr>
        <w:ind w:left="300" w:right="1139" w:firstLine="360"/>
        <w:spacing w:after="0" w:line="282" w:lineRule="auto"/>
        <w:rPr>
          <w:sz w:val="20"/>
          <w:szCs w:val="20"/>
          <w:color w:val="auto"/>
        </w:rPr>
      </w:pPr>
      <w:r>
        <w:rPr>
          <w:rFonts w:ascii="Times New Roman" w:cs="Times New Roman" w:eastAsia="Times New Roman" w:hAnsi="Times New Roman"/>
          <w:sz w:val="18"/>
          <w:szCs w:val="18"/>
          <w:color w:val="auto"/>
        </w:rPr>
        <w:t>Thank you for your support of our business. We look forward to seeing you at our annual meeting of stockholders.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Minneapolis, MN 55450</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2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of Stockholders (the “Annual Meeting”) of Sun Country Airlines Holdings, Inc. (the “Company”). The Annual Meeting will be held virtually on June 16, 2022, at 9:00 A.M., Central Time. The Annual Meeting can be accessed by visiting </w:t>
      </w:r>
      <w:r>
        <w:rPr>
          <w:rFonts w:ascii="Times New Roman" w:cs="Times New Roman" w:eastAsia="Times New Roman" w:hAnsi="Times New Roman"/>
          <w:sz w:val="18"/>
          <w:szCs w:val="18"/>
          <w:b w:val="1"/>
          <w:bCs w:val="1"/>
          <w:u w:val="single" w:color="auto"/>
          <w:color w:val="auto"/>
        </w:rPr>
        <w:t>www.virtualshareholdermeeting.com/SNCY2022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you will be able to listen to the meeting live, submit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questions and vote online. The Annual Meeting is being held for the following purposes:</w:t>
      </w:r>
    </w:p>
    <w:p>
      <w:pPr>
        <w:spacing w:after="0" w:line="75" w:lineRule="exact"/>
        <w:rPr>
          <w:sz w:val="20"/>
          <w:szCs w:val="20"/>
          <w:color w:val="auto"/>
        </w:rPr>
      </w:pPr>
    </w:p>
    <w:p>
      <w:pPr>
        <w:ind w:left="1000" w:right="7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Patrick Kearney, Thomas C. Kennedy and Antoine Munfakh to the Board as Class I directors, in each case, for a term of three years expiring at the annual meeting of stockholders of the Company to be held in 2025;</w:t>
      </w:r>
    </w:p>
    <w:p>
      <w:pPr>
        <w:spacing w:after="0" w:line="6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Company’s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54"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Holders of the Company’s common stock, par value $0.01 per share (“Common Stock”), of record at the close of business on April 18, 2022 are entitled to notice of, and to vote at, the Annual Meeting or any postponements or adjournments thereof.</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encourage you to access the Annual Meeting before the start time of 9:00 a.m., Central Time, on June 16,</w:t>
      </w:r>
    </w:p>
    <w:p>
      <w:pPr>
        <w:spacing w:after="0" w:line="27" w:lineRule="exact"/>
        <w:rPr>
          <w:sz w:val="20"/>
          <w:szCs w:val="20"/>
          <w:color w:val="auto"/>
        </w:rPr>
      </w:pPr>
    </w:p>
    <w:p>
      <w:pPr>
        <w:jc w:val="both"/>
        <w:ind w:left="300" w:right="359"/>
        <w:spacing w:after="0" w:line="255" w:lineRule="auto"/>
        <w:rPr>
          <w:sz w:val="20"/>
          <w:szCs w:val="20"/>
          <w:color w:val="auto"/>
        </w:rPr>
      </w:pPr>
      <w:r>
        <w:rPr>
          <w:rFonts w:ascii="Times New Roman" w:cs="Times New Roman" w:eastAsia="Times New Roman" w:hAnsi="Times New Roman"/>
          <w:sz w:val="18"/>
          <w:szCs w:val="18"/>
          <w:color w:val="auto"/>
        </w:rPr>
        <w:t>2022 to allow ample time for online check-in. A complete list of stockholders entitled to vote at the Annual Meeting will be available on the Annual Meeting website set forth above using the 16-digit control number provided on your proxy card, voting instruction form or Notice of Internet Availability of Proxy Materials.</w:t>
      </w:r>
    </w:p>
    <w:p>
      <w:pPr>
        <w:spacing w:after="0" w:line="78"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will furnish proxy materials to our stockholders via the Internet in order to expedite stockholders’ receipt of proxy materials while lowering the cost of delivery and reducing the environmental impact of our Annual Meeting of Stockholders. Accordingly, we are mailing to our stockholders of record and beneficial owners a Notice of Internet Availability of Proxy Materials, which provides instructions on how to access the attached proxy statement and our annual report to stockholders for the fiscal year ended December 31, 2021 via the Internet and how to vote online. The Notice of Internet Availability of Proxy Materials also contains instructions on how to obtain the proxy materials in printed form.</w:t>
      </w:r>
    </w:p>
    <w:p>
      <w:pPr>
        <w:spacing w:after="0" w:line="81" w:lineRule="exact"/>
        <w:rPr>
          <w:sz w:val="20"/>
          <w:szCs w:val="20"/>
          <w:color w:val="auto"/>
        </w:rPr>
      </w:pPr>
    </w:p>
    <w:p>
      <w:pPr>
        <w:jc w:val="both"/>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the annual meeting, require assistance in submitting your proxy or voting your shares or need additional copies of the accompanying proxy statement or the proxy card, please contact Investor Relations at IR@suncountry.com.</w:t>
      </w:r>
    </w:p>
    <w:p>
      <w:pPr>
        <w:spacing w:after="0" w:line="14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April 29, 2022</w:t>
      </w:r>
      <w:r>
        <w:rPr>
          <w:sz w:val="20"/>
          <w:szCs w:val="20"/>
          <w:color w:val="auto"/>
        </w:rPr>
        <w:tab/>
      </w:r>
      <w:r>
        <w:rPr>
          <w:rFonts w:ascii="Times New Roman" w:cs="Times New Roman" w:eastAsia="Times New Roman" w:hAnsi="Times New Roman"/>
          <w:sz w:val="17"/>
          <w:szCs w:val="17"/>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 Eric Levenhagen</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Chief Administrative Officer,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Sun Country Airlines Holdings, Inc.’s annual meeting, please submit your proxy or voting instructions as soon as possible. We strongly encourage you to submit your voting instructions.</w:t>
      </w:r>
    </w:p>
    <w:p>
      <w:pPr>
        <w:spacing w:after="0" w:line="63"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encourage you to submit your proxy or voting instructions via the Internet, which is convenient, helps reduce the environmental impact of our annual meeting and saves us significant postage and processing costs. For instructions on how to submit your proxy or voting instructions and how to vote your shares, please refer to the section entitled “Questions and Answers About the Annual Meeting” beginning on page </w:t>
      </w:r>
      <w:r>
        <w:rPr>
          <w:rFonts w:ascii="Times New Roman" w:cs="Times New Roman" w:eastAsia="Times New Roman" w:hAnsi="Times New Roman"/>
          <w:sz w:val="18"/>
          <w:szCs w:val="18"/>
          <w:b w:val="1"/>
          <w:bCs w:val="1"/>
          <w:u w:val="single" w:color="auto"/>
          <w:color w:val="0000EE"/>
        </w:rPr>
        <w:t>1</w:t>
      </w:r>
      <w:r>
        <w:rPr>
          <w:rFonts w:ascii="Times New Roman" w:cs="Times New Roman" w:eastAsia="Times New Roman" w:hAnsi="Times New Roman"/>
          <w:sz w:val="18"/>
          <w:szCs w:val="18"/>
          <w:b w:val="1"/>
          <w:bCs w:val="1"/>
          <w:color w:val="auto"/>
        </w:rPr>
        <w:t xml:space="preserve"> of the accompanying proxy statement.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MATERIALS FOR THE ANNUAL MEETING</w:t>
      </w:r>
    </w:p>
    <w:p>
      <w:pPr>
        <w:spacing w:after="0" w:line="9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proxy statement for the Annual Meeting and the Company’s annual report are available on the Internet at ir.suncountry.com.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161"/>
        </w:trPr>
        <w:tc>
          <w:tcPr>
            <w:tcW w:w="822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6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PROPOSAL 1 – ELECTION OF DIRECTORS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16</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18</w:t>
            </w:r>
          </w:p>
        </w:tc>
      </w:tr>
      <w:tr>
        <w:trPr>
          <w:trHeight w:val="74"/>
        </w:trPr>
        <w:tc>
          <w:tcPr>
            <w:tcW w:w="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29</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34</w:t>
            </w:r>
          </w:p>
        </w:tc>
      </w:tr>
      <w:tr>
        <w:trPr>
          <w:trHeight w:val="75"/>
        </w:trPr>
        <w:tc>
          <w:tcPr>
            <w:tcW w:w="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AUDIT-RELATED FEES, TAX FEES AND ALL OTHER FEES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35</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PROPOSAL 2 – RATIFICATION OF APPOINTMENT OF INDEPENDENT PUBLIC ACCOUNTING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700" w:type="dxa"/>
            <w:vAlign w:val="bottom"/>
          </w:tcPr>
          <w:p>
            <w:pPr>
              <w:spacing w:after="0"/>
              <w:rPr>
                <w:sz w:val="17"/>
                <w:szCs w:val="17"/>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36</w:t>
            </w:r>
          </w:p>
        </w:tc>
      </w:tr>
      <w:tr>
        <w:trPr>
          <w:trHeight w:val="74"/>
        </w:trPr>
        <w:tc>
          <w:tcPr>
            <w:tcW w:w="180" w:type="dxa"/>
            <w:vAlign w:val="bottom"/>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38</w:t>
            </w:r>
          </w:p>
        </w:tc>
      </w:tr>
      <w:tr>
        <w:trPr>
          <w:trHeight w:val="75"/>
        </w:trPr>
        <w:tc>
          <w:tcPr>
            <w:tcW w:w="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STOCKHOLDER PROPOSALS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38</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HOUSEHOLDING MATTERS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38</w:t>
            </w:r>
          </w:p>
        </w:tc>
      </w:tr>
      <w:tr>
        <w:trPr>
          <w:trHeight w:val="74"/>
        </w:trPr>
        <w:tc>
          <w:tcPr>
            <w:tcW w:w="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39</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880" w:type="dxa"/>
            <w:vAlign w:val="bottom"/>
            <w:gridSpan w:val="3"/>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39</w:t>
            </w: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Annual Meeting of Stockholders of Sun Country Airlines Holdings, Inc. to be held on June 16, 2022</w:t>
      </w:r>
    </w:p>
    <w:p>
      <w:pPr>
        <w:spacing w:after="0" w:line="279" w:lineRule="exact"/>
        <w:rPr>
          <w:sz w:val="20"/>
          <w:szCs w:val="20"/>
          <w:color w:val="auto"/>
        </w:rPr>
      </w:pPr>
    </w:p>
    <w:p>
      <w:pPr>
        <w:ind w:left="300" w:right="375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Some Questions You May Have Regarding This Proxy Statement </w:t>
      </w:r>
      <w:r>
        <w:rPr>
          <w:rFonts w:ascii="Times New Roman" w:cs="Times New Roman" w:eastAsia="Times New Roman" w:hAnsi="Times New Roman"/>
          <w:sz w:val="18"/>
          <w:szCs w:val="18"/>
          <w:b w:val="1"/>
          <w:bCs w:val="1"/>
          <w:i w:val="1"/>
          <w:iCs w:val="1"/>
          <w:color w:val="auto"/>
        </w:rPr>
        <w:t>Why did I receive these proxy materials?</w:t>
      </w:r>
    </w:p>
    <w:p>
      <w:pPr>
        <w:spacing w:after="0" w:line="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(the “Board of Directors”) of Sun Country Airlines Holdings, Inc. (the “Company”) is soliciting proxies for our 2022 Annual Meeting of Stockholders (the “Annual Meeting”). The Annual Meeting will be held virtually on June 16, 2022, at 9:00 A.M., Central Time. As a stockholder as of the close of business on April 18, 2022, which is the record date (the “Record Date”) fixed by the Board of Directors, you are invited to attend the Annual Meeting and are entitled and urged to vote your shares on the proposals described in this proxy statement. The information included in this proxy statement relates to the proposals to be voted on at the Annual Meeting, the voting process, the compensation of Directors and our most highly-paid executive officers, and other required information. Our annual report to stockholders for the fiscal year ended December 31, 2021 is available to review with this proxy statement. We are mailing a Notice of Internet Availability of Proxy Materials (the “Notice”) to our stockholders on or about April 29, 2022. The Notice contains instructions on how to access this proxy statement and our annual report online.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proposals will be voted on at the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two matters scheduled to be voted on at the Annual Meeting are:</w:t>
      </w:r>
    </w:p>
    <w:p>
      <w:pPr>
        <w:spacing w:after="0" w:line="117" w:lineRule="exact"/>
        <w:rPr>
          <w:sz w:val="20"/>
          <w:szCs w:val="20"/>
          <w:color w:val="auto"/>
        </w:rPr>
      </w:pPr>
    </w:p>
    <w:p>
      <w:pPr>
        <w:ind w:left="1000" w:right="75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Patrick Kearney, Thomas C. Kennedy and Antoine Munfakh to the Board as Class I directors, in each case, for a term of three years expiring at the annual meeting of stockholders of the Company to be held in 2025; and</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(“KPMG”) as the Company’s independent registered public accounting firm for the fiscal year ending December 31, 2022.</w:t>
      </w:r>
    </w:p>
    <w:p>
      <w:pPr>
        <w:spacing w:after="0" w:line="54"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In addition, such other business as may properly come before the Annual Meeting or any adjournment or postponement thereof may be voted 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will be held entirely online via audio webcast to allow greater participation. You may attend, vote and submit questions at the Annual Meeting by visiting </w:t>
      </w:r>
      <w:r>
        <w:rPr>
          <w:rFonts w:ascii="Times New Roman" w:cs="Times New Roman" w:eastAsia="Times New Roman" w:hAnsi="Times New Roman"/>
          <w:sz w:val="18"/>
          <w:szCs w:val="18"/>
          <w:b w:val="1"/>
          <w:bCs w:val="1"/>
          <w:u w:val="single" w:color="auto"/>
          <w:color w:val="auto"/>
        </w:rPr>
        <w:t>www.virtualshareholdermeeting.com/SNCY2022</w:t>
      </w:r>
      <w:r>
        <w:rPr>
          <w:rFonts w:ascii="Times New Roman" w:cs="Times New Roman" w:eastAsia="Times New Roman" w:hAnsi="Times New Roman"/>
          <w:sz w:val="18"/>
          <w:szCs w:val="18"/>
          <w:color w:val="auto"/>
        </w:rPr>
        <w:t>. If you are a stockholder of record, you will be asked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control number from your Notice. If you are a beneficial owner of shares registered in the name of your broker, bank or other nominee, follow the instructions from your broker or bank to access the Annual Meeting.</w:t>
      </w:r>
    </w:p>
    <w:p>
      <w:pPr>
        <w:spacing w:after="0" w:line="75"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webcast of the Annual Meeting will begin promptly at 9:00 a.m. Central Time. We encourage you to access the meeting prior to the start time to allow reasonable time for the check-in procedures.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can vote at the Annual Meeting?</w:t>
      </w:r>
    </w:p>
    <w:p>
      <w:pPr>
        <w:spacing w:after="0" w:line="121"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Anyone owning shares of Common Stock at the close of business on April 18, 2022, the Record Date for this year’s Annual Meeting, is entitled to attend and to vote on all items properly presented at the Annual Meeting.</w:t>
      </w:r>
    </w:p>
    <w:p>
      <w:pPr>
        <w:spacing w:after="0" w:line="30"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at the close of business on the Record Date,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were registered directly in your name with our transfer agent, Broadridge Corporate Issuer Solutions, then you are a stockholder of record. As a stockholder of record, you have the right to grant your voting proxy directly to the individuals listed on the proxy card, to vote electronically at the Annual Meeting, or by Internet or by telephone, or, if you received paper copies of the proxy materials by mail, to vote by mail by following the instructions on the proxy card or voting instruction card.</w:t>
      </w:r>
    </w:p>
    <w:p>
      <w:pPr>
        <w:spacing w:after="0" w:line="74" w:lineRule="exact"/>
        <w:rPr>
          <w:sz w:val="20"/>
          <w:szCs w:val="20"/>
          <w:color w:val="auto"/>
        </w:rPr>
      </w:pPr>
    </w:p>
    <w:p>
      <w:pPr>
        <w:ind w:left="300" w:right="85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Beneficial Owner: Shares Registered in the Name of a Broker or Bank</w:t>
      </w:r>
      <w:r>
        <w:rPr>
          <w:rFonts w:ascii="Times New Roman" w:cs="Times New Roman" w:eastAsia="Times New Roman" w:hAnsi="Times New Roman"/>
          <w:sz w:val="17"/>
          <w:szCs w:val="17"/>
          <w:color w:val="auto"/>
        </w:rPr>
        <w:t>. If, at the close of business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 Date, your shares were held, not in your name, but rather in an account at a brokerage firm, bank 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other nominee, then you are the beneficial owner of shares held in “street name” and the Notice is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electronically at the Annual Meeting unless you obtain a legal proxy from your broker, bank or other nominee.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19" w:lineRule="exact"/>
        <w:rPr>
          <w:sz w:val="20"/>
          <w:szCs w:val="20"/>
          <w:color w:val="auto"/>
        </w:rPr>
      </w:pPr>
    </w:p>
    <w:p>
      <w:pPr>
        <w:ind w:left="30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you may vote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the following ways:</w:t>
      </w:r>
    </w:p>
    <w:p>
      <w:pPr>
        <w:spacing w:after="0" w:line="48" w:lineRule="exact"/>
        <w:rPr>
          <w:sz w:val="20"/>
          <w:szCs w:val="20"/>
          <w:color w:val="auto"/>
        </w:rPr>
      </w:pPr>
    </w:p>
    <w:p>
      <w:pPr>
        <w:ind w:left="1000" w:right="37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electronically at the Annual Meeting</w:t>
      </w:r>
      <w:r>
        <w:rPr>
          <w:rFonts w:ascii="Times New Roman" w:cs="Times New Roman" w:eastAsia="Times New Roman" w:hAnsi="Times New Roman"/>
          <w:sz w:val="18"/>
          <w:szCs w:val="18"/>
          <w:color w:val="auto"/>
        </w:rPr>
        <w:t>. If you plan to attend the Annual Meeting,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by proxy or electronically at the Annual Meeting.</w:t>
      </w:r>
    </w:p>
    <w:p>
      <w:pPr>
        <w:spacing w:after="0" w:line="8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Meeting - go to </w:t>
      </w:r>
      <w:r>
        <w:rPr>
          <w:rFonts w:ascii="Times New Roman" w:cs="Times New Roman" w:eastAsia="Times New Roman" w:hAnsi="Times New Roman"/>
          <w:sz w:val="18"/>
          <w:szCs w:val="18"/>
          <w:b w:val="1"/>
          <w:bCs w:val="1"/>
          <w:u w:val="single" w:color="auto"/>
          <w:color w:val="auto"/>
        </w:rPr>
        <w:t>www.virtualshareholdermeeting.com/SNCY2022</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20" w:right="3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your Notice or proxy card available when you call. You will be asked to provide the control number from your Notice or proxy card.</w:t>
      </w:r>
    </w:p>
    <w:p>
      <w:pPr>
        <w:spacing w:after="0" w:line="49" w:lineRule="exact"/>
        <w:rPr>
          <w:rFonts w:ascii="Times New Roman" w:cs="Times New Roman" w:eastAsia="Times New Roman" w:hAnsi="Times New Roman"/>
          <w:sz w:val="18"/>
          <w:szCs w:val="18"/>
          <w:color w:val="auto"/>
        </w:rPr>
      </w:pPr>
    </w:p>
    <w:p>
      <w:pPr>
        <w:ind w:left="1000" w:right="479" w:hanging="348"/>
        <w:spacing w:after="0" w:line="26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mail</w:t>
      </w:r>
      <w:r>
        <w:rPr>
          <w:rFonts w:ascii="Times New Roman" w:cs="Times New Roman" w:eastAsia="Times New Roman" w:hAnsi="Times New Roman"/>
          <w:sz w:val="18"/>
          <w:szCs w:val="18"/>
          <w:color w:val="auto"/>
        </w:rPr>
        <w:t>. To vote by mail, complete, sign and date the proxy card that accompanies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and return it promptly in the postage-prepaid envelope provided (if you received printed proxy materials). Your completed, signed and dated proxy card must be received prior to the Annual Meeting.</w:t>
      </w:r>
    </w:p>
    <w:p>
      <w:pPr>
        <w:spacing w:after="0" w:line="68" w:lineRule="exact"/>
        <w:rPr>
          <w:rFonts w:ascii="Times New Roman" w:cs="Times New Roman" w:eastAsia="Times New Roman" w:hAnsi="Times New Roman"/>
          <w:sz w:val="18"/>
          <w:szCs w:val="18"/>
          <w:color w:val="auto"/>
        </w:rPr>
      </w:pPr>
    </w:p>
    <w:p>
      <w:pPr>
        <w:ind w:left="1000" w:right="359" w:hanging="348"/>
        <w:spacing w:after="0" w:line="26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telephone</w:t>
      </w:r>
      <w:r>
        <w:rPr>
          <w:rFonts w:ascii="Times New Roman" w:cs="Times New Roman" w:eastAsia="Times New Roman" w:hAnsi="Times New Roman"/>
          <w:sz w:val="18"/>
          <w:szCs w:val="18"/>
          <w:color w:val="auto"/>
        </w:rPr>
        <w:t>. To vote over the telephone, call toll-free 1-800-690-6903 from any touch-tone telephone and follow the instructions. Have your Notice or proxy card available when you call. You will be asked to provide the control number from your Notice or proxy card. Telephone voting is available 24 hours a day, 7 days a week, until 11:59 p.m., Eastern Time, on June 15, 2022.</w:t>
      </w:r>
    </w:p>
    <w:p>
      <w:pPr>
        <w:spacing w:after="0" w:line="68" w:lineRule="exact"/>
        <w:rPr>
          <w:rFonts w:ascii="Times New Roman" w:cs="Times New Roman" w:eastAsia="Times New Roman" w:hAnsi="Times New Roman"/>
          <w:sz w:val="18"/>
          <w:szCs w:val="18"/>
          <w:color w:val="auto"/>
        </w:rPr>
      </w:pPr>
    </w:p>
    <w:p>
      <w:pPr>
        <w:ind w:left="1000" w:right="419" w:hanging="348"/>
        <w:spacing w:after="0" w:line="26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via the Internet</w:t>
      </w:r>
      <w:r>
        <w:rPr>
          <w:rFonts w:ascii="Times New Roman" w:cs="Times New Roman" w:eastAsia="Times New Roman" w:hAnsi="Times New Roman"/>
          <w:sz w:val="18"/>
          <w:szCs w:val="18"/>
          <w:color w:val="auto"/>
        </w:rPr>
        <w:t>. To vote via the Internet, go to www.proxyvote.com to complete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proxy card (have your Notice or proxy card in hand when you visit the website). You will be asked to provide the control number from your Notice or proxy card. Internet voting is available 24 hours a day, 7 days a week, until 11:59 p.m., Eastern Time, on June 15, 2022.</w:t>
      </w:r>
    </w:p>
    <w:p>
      <w:pPr>
        <w:spacing w:after="0" w:line="7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r>
        <w:rPr>
          <w:rFonts w:ascii="Times New Roman" w:cs="Times New Roman" w:eastAsia="Times New Roman" w:hAnsi="Times New Roman"/>
          <w:sz w:val="18"/>
          <w:szCs w:val="18"/>
          <w:color w:val="auto"/>
        </w:rPr>
        <w:t>. If you are a beneficial owner of shares held of record by a broker, bank or other nominee, you will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to their broker, bank or other nominee, or by telephone or via the Internet. However, the availability of telephone or Internet voting will depend on the voting process of your broker, bank or other nominee. As discussed above, if you are a beneficial owner, you may not vote your shares electronically at the Annual Meeting unless you obtain a legal proxy from your broker, bank or other nominee.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or revoke my proxy?</w:t>
      </w:r>
    </w:p>
    <w:p>
      <w:pPr>
        <w:spacing w:after="0" w:line="119" w:lineRule="exact"/>
        <w:rPr>
          <w:sz w:val="20"/>
          <w:szCs w:val="20"/>
          <w:color w:val="auto"/>
        </w:rPr>
      </w:pPr>
    </w:p>
    <w:p>
      <w:pPr>
        <w:ind w:left="300" w:right="6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you can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vote or revoke your proxy by:</w:t>
      </w:r>
    </w:p>
    <w:p>
      <w:pPr>
        <w:spacing w:after="0" w:line="52"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another proxy, or using any of the available methods for voting, with a later date;</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Company’s Secretary in writing before the Annual Meeting that you wish to revoke your proxy; or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electronically. Attendance at the Annual Meeting will not cause your previously granted proxy to be revoked unless you specifically so request or cast your vote electronically.</w:t>
      </w:r>
    </w:p>
    <w:p>
      <w:pPr>
        <w:spacing w:after="0" w:line="66"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r>
        <w:rPr>
          <w:rFonts w:ascii="Times New Roman" w:cs="Times New Roman" w:eastAsia="Times New Roman" w:hAnsi="Times New Roman"/>
          <w:sz w:val="18"/>
          <w:szCs w:val="18"/>
          <w:color w:val="auto"/>
        </w:rPr>
        <w:t>. If you are the beneficial owner of your shares, you must contact the broker, bank or other nominee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shares and follow their instructions to change your vote or revoke your proxy.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is asking me for my vote?</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Company is soliciting your proxy on behalf of the Board of Directors. The Company will bear the cost of soliciting proxies and will reimburse brokerage firms and others for expenses involved in forwarding proxy materials to beneficial owners or soliciting their execution. In addition to solicitations by mail, the Company, through its directors and employees, may solicit proxies in person, by telephone or by electronic means. Such directors and employees will not receive any special remuneration for these efforts.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is the effect of giving a proxy?</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The persons named in the proxy have been designated as proxies for the Annual Meeting by our Board of Directors. When proxies are properly dated, executed and returned, the shares represented by such proxies will be voted at the Annual Meeting in accordance with the instruction of the stockholder on such proxy. If no specific instructions are given, however, the shares will be voted in accordance with the recommendations of our Board of Directors on the proposals as described below and, if any other matters are properly brought before the Annual Meeting, the shares will be voted in accordance with the proxies’ judgment.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rights?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Each share of Common Stock is entitled to one vote on each matter properly presented at the Annual Meeting. At the close of business on April 18, 2022, the Record Date for determining the stockholders entitled to notice of, and to vote at, the Annual Meeting, there were 57,989,990 shares of Common Stock outstanding. A list of all record stockholders as of the Record Date will be available during ordinary business hours at the Company’s principal place of business located at 2005 Cargo Road Minneapolis, MN 55450, from Eric Levenhagen, General Counsel, at least 10 days before the Annual Meeting, and will also be available at the Annual Meeting.</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of Directors recommend that I vote?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7"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director nominees;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the Company’s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discretion on such other business as may properly come before the Annual Meeting or any postponement(s) or adjournment(s) thereof.</w:t>
      </w:r>
    </w:p>
    <w:p>
      <w:pPr>
        <w:spacing w:after="0" w:line="15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Why did I receive a one-page notice in the mail regarding the Internet Availability of Proxy Materials instead of a full printed set?</w:t>
      </w:r>
    </w:p>
    <w:p>
      <w:pPr>
        <w:spacing w:after="0" w:line="5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(the “SEC”), the Company is providing access to its proxy materials via the Internet. Accordingly, the Company is mailing a Notice of Internet Availability of Proxy Materials to stockholders of record and beneficial owners. All stockholders will have the ability to access the proxy materials on a website referred to in the Notice or to request a printed set of the proxy materials. Instructions on how to access the proxy materials via the Internet or to request a printed set may be found in the Notice. In addition, stockholders may request to receive proxy materials in printed form by mail or electronically by email on an ongoing basis.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Where can I view the proxy materials on the Internet?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provides you with instructions on how to:</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proxy materials for the Annual Meeting via the Internet;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Company to send future proxy materials to you by email.</w:t>
      </w:r>
    </w:p>
    <w:p>
      <w:pPr>
        <w:spacing w:after="0" w:line="117" w:lineRule="exact"/>
        <w:rPr>
          <w:sz w:val="20"/>
          <w:szCs w:val="20"/>
          <w:color w:val="auto"/>
        </w:rPr>
      </w:pPr>
    </w:p>
    <w:p>
      <w:pPr>
        <w:ind w:left="300" w:right="1519" w:firstLine="360"/>
        <w:spacing w:after="0" w:line="282" w:lineRule="auto"/>
        <w:rPr>
          <w:sz w:val="20"/>
          <w:szCs w:val="20"/>
          <w:color w:val="auto"/>
        </w:rPr>
      </w:pPr>
      <w:r>
        <w:rPr>
          <w:rFonts w:ascii="Times New Roman" w:cs="Times New Roman" w:eastAsia="Times New Roman" w:hAnsi="Times New Roman"/>
          <w:sz w:val="18"/>
          <w:szCs w:val="18"/>
          <w:color w:val="auto"/>
        </w:rPr>
        <w:t>You can view the proxy materials for the Annual Meeting online at www.proxyvote.com and at ir.suncountry.com.</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is the quorum requirement for the Annual Meeting?</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The presence, represented in person or by proxy, of the holders of a majority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voting power of our outstanding Common Stock entitled to vote at the Annual Meeting will constitute a quorum to transact business at the Annual Meeting. Abstentions, “WITHHOLD” votes, and “broker non-votes” are counted as present and entitled to vote for purposes of determining a quorum. If there is no quorum, the chairman of the meeting may adjourn the meeting to another time or place.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are broker non-votes?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bank or other nominee, as applicable, as to how to vote on matters deemed “non-routine” and there is at least one “routine” matter to be voted upon at the Annual Meeting.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In the event that a broker, bank or other nominee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matters are considered “routine” and “non-routine”?</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KPMG LLP as our independent registered public accounting firm for our fiscal year ending December 31, 2022 (Proposal No. 2) is considered “routine.” The election of Class I directors (Proposal No. 1) is considered “non-routine.”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are the effects of abstentions and broker non-votes?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or if a broker, bank or other nominee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or represented by proxy and entitled to vote at the Annual Meeting (Proposal No. 2). However, because the outcome of Proposal No. 1 (election of directors) will be determined by a plurality vote, you may only vote “FOR” or “WITHHOLD” authority to vote for each of the nominees. If you “withhold” authority to vote with respect to one or more director nominees, your vote will have no effect on the election of such nominees.</w:t>
      </w:r>
    </w:p>
    <w:p>
      <w:pPr>
        <w:spacing w:after="0" w:line="86"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Broker non-votes will be counted for purposes of calculating whether a quorum is present at the Annual Meeting Broker non-votes will not be counted for purposes of determining the number of votes cast on a proposal because they are “not entitled to vote” on “non-routine” matters. Therefore, a broker non-vote will make a quorum more readily attainable but will not otherwise affect the outcome of the vote on any of the proposals.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is the voting requirement to approve each of the proposals?</w:t>
      </w:r>
    </w:p>
    <w:p>
      <w:pPr>
        <w:spacing w:after="0" w:line="119"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Proposal No. 1: Election of Class I Directors</w:t>
      </w:r>
      <w:r>
        <w:rPr>
          <w:rFonts w:ascii="Times New Roman" w:cs="Times New Roman" w:eastAsia="Times New Roman" w:hAnsi="Times New Roman"/>
          <w:sz w:val="18"/>
          <w:szCs w:val="18"/>
          <w:color w:val="auto"/>
        </w:rPr>
        <w:t>. Directors are elected by a plurality of the votes cast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three director nominees who receive the highest number of shares voted “FOR” their election are elected as Class I Directors). You may vote (i) “FOR” for each director nominee or (ii) “WITHHOLD” for each director nominee. Because the outcome of this proposal will be determined by a plurality vote, shares voted “WITHHOLD” will not prevent a director nominee from being elected as a director. Broker non-votes will not affect the outcome of voting on this proposal.</w:t>
      </w:r>
    </w:p>
    <w:p>
      <w:pPr>
        <w:spacing w:after="0" w:line="7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Proposal No. 2: Ratification of Appointment of KPMG LLP</w:t>
      </w:r>
      <w:r>
        <w:rPr>
          <w:rFonts w:ascii="Times New Roman" w:cs="Times New Roman" w:eastAsia="Times New Roman" w:hAnsi="Times New Roman"/>
          <w:sz w:val="18"/>
          <w:szCs w:val="18"/>
          <w:color w:val="auto"/>
        </w:rPr>
        <w:t>. The ratification of the appointment of KPMG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affirmative vote of a majority of the voting power of the shares present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representative of Broadridge Financial Solutions will tabulate the votes and act as inspector of elections.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May I vote confidentially?</w:t>
      </w:r>
    </w:p>
    <w:p>
      <w:pPr>
        <w:spacing w:after="0" w:line="121"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Yes. Our policy is to keep your vote confidential, except as otherwise legally required, to allow for the tabulation and certification of votes and to facilitate proxy solicitation.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if additional matters are presented at the Annual Meeting?</w:t>
      </w:r>
    </w:p>
    <w:p>
      <w:pPr>
        <w:spacing w:after="0" w:line="121"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We do not know of any business to be considered at the Annual Meeting other than the proposals described in this proxy statement. If any other business is presented at the Annual Meeting, your properly executed proxy gives authority to Dave Siegel, our Chairman, and Eric Levenhagen, our General Counsel, to vote on such matters at their discretion.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from the Annual Meeting?</w:t>
      </w:r>
    </w:p>
    <w:p>
      <w:pPr>
        <w:spacing w:after="0" w:line="121" w:lineRule="exact"/>
        <w:rPr>
          <w:sz w:val="20"/>
          <w:szCs w:val="20"/>
          <w:color w:val="auto"/>
        </w:rPr>
      </w:pPr>
    </w:p>
    <w:p>
      <w:pPr>
        <w:jc w:val="both"/>
        <w:ind w:left="300" w:right="479" w:firstLine="360"/>
        <w:spacing w:after="0" w:line="312" w:lineRule="auto"/>
        <w:rPr>
          <w:sz w:val="20"/>
          <w:szCs w:val="20"/>
          <w:color w:val="auto"/>
        </w:rPr>
      </w:pPr>
      <w:r>
        <w:rPr>
          <w:rFonts w:ascii="Times New Roman" w:cs="Times New Roman" w:eastAsia="Times New Roman" w:hAnsi="Times New Roman"/>
          <w:sz w:val="17"/>
          <w:szCs w:val="17"/>
          <w:color w:val="auto"/>
        </w:rPr>
        <w:t>We will announce preliminary voting results at the Annual Meeting and will publish final results in a Current Report on Form 8-K that we will file with the SEC within four business days after the date of the Annual Meeting.</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can I obtain information about the Company?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our fiscal 2021 Annual Report on Form 10-K is available on our website at www.ir.suncountry.com.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Stockholders may also obtain a free copy of our Annual Report on Form 10-K for the fiscal year ended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2021, including the financial statements and the financial statement schedules, by visiting our website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by sending a request in writing to Christopher Allen, Investor Relations, Sun Country Airlines Holdings,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2005 Cargo Road Minneapolis, MN 55450. Capitalized terms used in, but not defined in, this proxy statement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meanings as defined in our fiscal 2021 Annual Report on Form 10-K.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21" w:lineRule="exact"/>
        <w:rPr>
          <w:sz w:val="20"/>
          <w:szCs w:val="20"/>
          <w:color w:val="auto"/>
        </w:rPr>
      </w:pPr>
    </w:p>
    <w:p>
      <w:pPr>
        <w:ind w:left="1300" w:right="1380"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is divided into three classes. The members of each class serve staggered, three-year terms (other than with respect to the initial terms of the Class I and Class II directors following our initial public offering (the “IPO”), which are one and two years, respectively). Upon the expiration of the term of a class of directors, directors in that class will be elected for three-year terms at the annual meeting of stockholders in the year in which their term expires. Under the Company’s bylaws and certificate of incorporation, the Board of Directors can change the number of directors comprising the entire Board of Directors so long as the number is not less than three nor more than fifteen. Any additional directorships resulting from an increase in the number of directors will be distributed among the three classes so that, as nearly as possible, each class will consist of one-third of our directors. The Board of Directors currently consists of eight directors.</w:t>
      </w:r>
    </w:p>
    <w:p>
      <w:pPr>
        <w:spacing w:after="0" w:line="80" w:lineRule="exact"/>
        <w:rPr>
          <w:sz w:val="20"/>
          <w:szCs w:val="20"/>
          <w:color w:val="auto"/>
        </w:rPr>
      </w:pPr>
    </w:p>
    <w:p>
      <w:pPr>
        <w:ind w:left="1300" w:right="1320" w:firstLine="360"/>
        <w:spacing w:after="0" w:line="258" w:lineRule="auto"/>
        <w:rPr>
          <w:sz w:val="20"/>
          <w:szCs w:val="20"/>
          <w:color w:val="auto"/>
        </w:rPr>
      </w:pPr>
      <w:r>
        <w:rPr>
          <w:rFonts w:ascii="Times New Roman" w:cs="Times New Roman" w:eastAsia="Times New Roman" w:hAnsi="Times New Roman"/>
          <w:sz w:val="18"/>
          <w:szCs w:val="18"/>
          <w:color w:val="auto"/>
        </w:rPr>
        <w:t>All of the nominees for Class I directors are members of the current Board of Directors. If any nominee for election to the Board of Directors should be unable to accept nomination or election as a director, which is not expected, your proxy may be voted for a substitute or substitutes designated by the Board of Directors or the number of directors constituting the Board of Directors may be reduced in accordance with the Company’s certificate of incorporation and bylaws.</w:t>
      </w:r>
    </w:p>
    <w:p>
      <w:pPr>
        <w:spacing w:after="0" w:line="3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Certain Stockholder Rights to Nominate Directors</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Under our Stockholders Agreement (as defined below), SCA Horus Holdings, LLC (the “Apollo Stockholder”), which is an affiliate of certain investment funds managed by affiliates of Apollo Global Management, Inc. (“Apollo”),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“Certain Relationships and Related Party Transactions—Stockholders Agreement.”</w:t>
      </w:r>
    </w:p>
    <w:p>
      <w:pPr>
        <w:spacing w:after="0" w:line="86" w:lineRule="exact"/>
        <w:rPr>
          <w:sz w:val="20"/>
          <w:szCs w:val="20"/>
          <w:color w:val="auto"/>
        </w:rPr>
      </w:pPr>
    </w:p>
    <w:p>
      <w:pPr>
        <w:ind w:left="1300" w:right="1320" w:firstLine="360"/>
        <w:spacing w:after="0" w:line="261" w:lineRule="auto"/>
        <w:rPr>
          <w:sz w:val="20"/>
          <w:szCs w:val="20"/>
          <w:color w:val="auto"/>
        </w:rPr>
      </w:pPr>
      <w:r>
        <w:rPr>
          <w:rFonts w:ascii="Times New Roman" w:cs="Times New Roman" w:eastAsia="Times New Roman" w:hAnsi="Times New Roman"/>
          <w:sz w:val="18"/>
          <w:szCs w:val="18"/>
          <w:color w:val="auto"/>
        </w:rPr>
        <w:t>For so long as Amazon.com Services, LLC (together with affiliates,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w:t>
      </w:r>
    </w:p>
    <w:p>
      <w:pPr>
        <w:spacing w:after="0" w:line="72" w:lineRule="exact"/>
        <w:rPr>
          <w:sz w:val="20"/>
          <w:szCs w:val="20"/>
          <w:color w:val="auto"/>
        </w:rPr>
      </w:pPr>
    </w:p>
    <w:p>
      <w:pPr>
        <w:ind w:left="1300" w:right="1940" w:firstLine="360"/>
        <w:spacing w:after="0" w:line="312" w:lineRule="auto"/>
        <w:rPr>
          <w:sz w:val="20"/>
          <w:szCs w:val="20"/>
          <w:color w:val="auto"/>
        </w:rPr>
      </w:pPr>
      <w:r>
        <w:rPr>
          <w:rFonts w:ascii="Times New Roman" w:cs="Times New Roman" w:eastAsia="Times New Roman" w:hAnsi="Times New Roman"/>
          <w:sz w:val="17"/>
          <w:szCs w:val="17"/>
          <w:color w:val="auto"/>
        </w:rPr>
        <w:t>Patrick Kearney and Antoine Munfakh are the Apollo Directors. As of the date of this proxy statement, Amazon has not exercised its right to nominate a member or an observer to our Board of Directors.</w:t>
      </w:r>
    </w:p>
    <w:p>
      <w:pPr>
        <w:spacing w:after="0" w:line="28" w:lineRule="exact"/>
        <w:rPr>
          <w:sz w:val="20"/>
          <w:szCs w:val="20"/>
          <w:color w:val="auto"/>
        </w:rPr>
      </w:pPr>
    </w:p>
    <w:p>
      <w:pPr>
        <w:ind w:left="1300" w:right="136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that the stockholders vote FOR the election of the nominees for Class I directors listed below.</w:t>
      </w:r>
    </w:p>
    <w:p>
      <w:pPr>
        <w:spacing w:after="0" w:line="3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directors as of the date of this proxy statement.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56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130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Jude Bricker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Davis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5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President and Chief Financial Officer; Director</w:t>
            </w:r>
          </w:p>
        </w:tc>
      </w:tr>
      <w:tr>
        <w:trPr>
          <w:trHeight w:val="54"/>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Marion Blakey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Kearney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5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Kennedy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Antoine Munfakh</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5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Kerry Philipovitch</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Siegel</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5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Chairman; Director</w:t>
            </w:r>
          </w:p>
        </w:tc>
      </w:tr>
      <w:tr>
        <w:trPr>
          <w:trHeight w:val="486"/>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0" w:type="dxa"/>
            <w:vAlign w:val="bottom"/>
            <w:gridSpan w:val="2"/>
          </w:tcPr>
          <w:p>
            <w:pPr>
              <w:jc w:val="right"/>
              <w:ind w:right="4108"/>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-2073910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-2073910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term of the following three Class I directors will expire at the Annual Meeting. Messrs. Kearney, Kennedy and Munfakh are the only nominees for election at the Annual Meeting for a term that will expire at the 2025 annual meeting of stockholders and until each of their successors has been duly elected and qualified.</w:t>
      </w:r>
    </w:p>
    <w:p>
      <w:pPr>
        <w:spacing w:after="0" w:line="64"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Kearney </w:t>
      </w:r>
      <w:r>
        <w:rPr>
          <w:rFonts w:ascii="Times New Roman" w:cs="Times New Roman" w:eastAsia="Times New Roman" w:hAnsi="Times New Roman"/>
          <w:sz w:val="18"/>
          <w:szCs w:val="18"/>
          <w:color w:val="auto"/>
        </w:rPr>
        <w:t>has been a member of our board of directors since March 2021. Mr. Kearney joined Apollo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in the Private Equity Group and is responsible for 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74"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Thomas C. Kennedy </w:t>
      </w:r>
      <w:r>
        <w:rPr>
          <w:rFonts w:ascii="Times New Roman" w:cs="Times New Roman" w:eastAsia="Times New Roman" w:hAnsi="Times New Roman"/>
          <w:sz w:val="17"/>
          <w:szCs w:val="17"/>
          <w:color w:val="auto"/>
        </w:rPr>
        <w:t>has been a member of our board of directors since April 2021. Mr. Kennedy currently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serves as President and CFO of SIXT Rent a Car USA. Previously, Mr. Kennedy served as Senior Executive Vice President and Chief Financial Officer of Hertz Global Holdings from 2013 to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7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Antoine Munfakh </w:t>
      </w:r>
      <w:r>
        <w:rPr>
          <w:rFonts w:ascii="Times New Roman" w:cs="Times New Roman" w:eastAsia="Times New Roman" w:hAnsi="Times New Roman"/>
          <w:sz w:val="18"/>
          <w:szCs w:val="18"/>
          <w:color w:val="auto"/>
        </w:rPr>
        <w:t>has been a member of our board of directors since April 2018. Mr. Munfakh is a Partner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Apollo, having joined in 2008. Previously, Mr. Munfakh served as an Associate at the private equity firm Court Square Capital Partners, where he focused on investments into the Business &amp; Industrial Services sectors. Prior thereto, he started his career as an Analyst in the Financial Sponsor Investment Banking group at JPMorgan, where he provided M&amp;A and financing services in support of private equity transactions. Mr. Munfakh currently serves on the board of directors of Aeromexico, Volotea Airlines, Direct ChassisLink Inc, Blume Global, Maxim Crane Works, and Apollo Education Group. He previously served on the board of directors of CH2M HILL Companies, Swissport, and McGraw-Hill Education, Inc. Mr. Munfakh graduated summa cum laude from Duke University with a BS in Economics, where he was elected to Phi Beta Kappa. In 2018, Mr. Munfakh was selected by The M&amp;A Advisor for their Ninth Annual Emerging Leaders Award, commonly referred to as the “40 Under 40” award. In 2021, Mr. Munfakh was selected by Private Equity International for its Future 40 Leaders award.</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of the following two Class II directors will expire at the 2023 annual meeting of stockholders.</w:t>
      </w:r>
    </w:p>
    <w:p>
      <w:pPr>
        <w:spacing w:after="0" w:line="113"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Marion Blakey </w:t>
      </w:r>
      <w:r>
        <w:rPr>
          <w:rFonts w:ascii="Times New Roman" w:cs="Times New Roman" w:eastAsia="Times New Roman" w:hAnsi="Times New Roman"/>
          <w:sz w:val="18"/>
          <w:szCs w:val="18"/>
          <w:color w:val="auto"/>
        </w:rPr>
        <w:t>has been a member of our board of directors since December 2021. Ms. Blakey currently serves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non-executive director for several corporations and organizations, having retired from Rolls-Royce North America Inc. in 2018 as President and Chief Executive Officer. Prior to joining Rolls-Royce, Blakey served as President and Chief Executive Officer of the Aerospace Industries Association for eight years. From 2002 to 2007, Blakey was Administrator of the Federal Aviation Administration. Prior to 2002, she held several senior positions including Chairman of the National Transportation Safety Board and Administrator of the U.S. Department of Transportation’s National Highway Traffic Safety Administration, as well as ran her own consulting firm focusing on transportation and infrastructure issues. Ms. Blakey has received numerous honorary degrees and awards including the National Aeronautic Association’s 2011 Henderson Trophy, Aviation Week &amp; Space Technology’s 2013 Laureate Award, and the National Aeronautic Association’s 2013 Wright Brothers Memorial Trophy, and most recently, the Carol B. Hallett Award from the U.S. Chamber of Commerce and the L. Welch Pogue Award from Aviation Week &amp; Space Technology and the International Aviation Club.</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89" w:lineRule="auto"/>
        <w:rPr>
          <w:sz w:val="20"/>
          <w:szCs w:val="20"/>
          <w:color w:val="auto"/>
        </w:rPr>
      </w:pPr>
      <w:r>
        <w:rPr>
          <w:rFonts w:ascii="Times New Roman" w:cs="Times New Roman" w:eastAsia="Times New Roman" w:hAnsi="Times New Roman"/>
          <w:sz w:val="17"/>
          <w:szCs w:val="17"/>
          <w:color w:val="auto"/>
        </w:rPr>
        <w:t>Blakey’s board experience is vast, and includes recent roles serving on the board of Alaska Airlines Group and NASA’s National Advisory Council. Ms. Blakey graduated from Mary Washington College of the University of Virginia before continuing graduate work at Johns Hopkins University, School of Advanced International Studies.</w:t>
      </w:r>
    </w:p>
    <w:p>
      <w:pPr>
        <w:spacing w:after="0" w:line="46"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Siegel </w:t>
      </w:r>
      <w:r>
        <w:rPr>
          <w:rFonts w:ascii="Times New Roman" w:cs="Times New Roman" w:eastAsia="Times New Roman" w:hAnsi="Times New Roman"/>
          <w:sz w:val="17"/>
          <w:szCs w:val="17"/>
          <w:color w:val="auto"/>
        </w:rPr>
        <w:t>has been a member of our board of directors since April 2018, serving as our Executive Chairman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April 2018 to March 2021, and as our Chairman since March 2021. Prior to joining Sun Country, 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 Mr. Siegel served as Chairman and Chief Executive Officer of XOJET, Inc., and as President, Chief Executive Officer and board member of US Airways Group, Inc. Mr. Siegel currently serves on the board of directors and as Chairman of Volotea, S.A.</w:t>
      </w:r>
    </w:p>
    <w:p>
      <w:pPr>
        <w:spacing w:after="0" w:line="1" w:lineRule="exact"/>
        <w:rPr>
          <w:sz w:val="20"/>
          <w:szCs w:val="20"/>
          <w:color w:val="auto"/>
        </w:rPr>
      </w:pPr>
    </w:p>
    <w:p>
      <w:pPr>
        <w:ind w:left="300" w:right="419"/>
        <w:spacing w:after="0" w:line="260" w:lineRule="auto"/>
        <w:rPr>
          <w:sz w:val="20"/>
          <w:szCs w:val="20"/>
          <w:color w:val="auto"/>
        </w:rPr>
      </w:pPr>
      <w:r>
        <w:rPr>
          <w:rFonts w:ascii="Times New Roman" w:cs="Times New Roman" w:eastAsia="Times New Roman" w:hAnsi="Times New Roman"/>
          <w:sz w:val="18"/>
          <w:szCs w:val="18"/>
          <w:color w:val="auto"/>
        </w:rPr>
        <w:t>Mr. Siegel earned a MBA with honors from Harvard Business School and graduated magna cum laude from Brown University with an Sc.B. in Applied Mathematics—Economics.</w:t>
      </w:r>
    </w:p>
    <w:p>
      <w:pPr>
        <w:spacing w:after="0" w:line="6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O'Keeffe </w:t>
      </w:r>
      <w:r>
        <w:rPr>
          <w:rFonts w:ascii="Times New Roman" w:cs="Times New Roman" w:eastAsia="Times New Roman" w:hAnsi="Times New Roman"/>
          <w:sz w:val="18"/>
          <w:szCs w:val="18"/>
          <w:color w:val="auto"/>
        </w:rPr>
        <w:t>brings more than 30 years of experience in the airline industry at American Airlines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O'Keeffe is the former senior human resources officer for American Airlines. From 2017 to 2020, he led American's global People team, managing talent acquisition and development, compensation, health and wellness, pension and 401(k) management, team member engagement as well as diversity, equity and inclusion. Prior to that, he held multiple leadership positions in IT at American. He serves on the boards of Lambda Legal and the National Gay and Lesbian Chamber of Commerce. He earned an MBA from Rice University in Houston and a BBS in accounting and finance from the University of Limerick in Ireland.</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of the following three Class III directors will expire at the 2024 annual meeting of stockholders.</w:t>
      </w:r>
    </w:p>
    <w:p>
      <w:pPr>
        <w:spacing w:after="0" w:line="113"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Jude Bricker </w:t>
      </w:r>
      <w:r>
        <w:rPr>
          <w:rFonts w:ascii="Times New Roman" w:cs="Times New Roman" w:eastAsia="Times New Roman" w:hAnsi="Times New Roman"/>
          <w:sz w:val="18"/>
          <w:szCs w:val="18"/>
          <w:color w:val="auto"/>
        </w:rPr>
        <w:t>has served as our Chief Executive Officer since July 2017 and as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April 2018. Mr. Bricker has 17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w:t>
      </w:r>
    </w:p>
    <w:p>
      <w:pPr>
        <w:spacing w:after="0" w:line="77"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Dave Davis </w:t>
      </w:r>
      <w:r>
        <w:rPr>
          <w:rFonts w:ascii="Times New Roman" w:cs="Times New Roman" w:eastAsia="Times New Roman" w:hAnsi="Times New Roman"/>
          <w:sz w:val="17"/>
          <w:szCs w:val="17"/>
          <w:color w:val="auto"/>
        </w:rPr>
        <w:t>has served as our Chief Financial Officer and a member of our board of directors since April 2018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as our President since December 2019. Prior thereto, from December 2017 to 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6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Kerry Philipovitch </w:t>
      </w:r>
      <w:r>
        <w:rPr>
          <w:rFonts w:ascii="Times New Roman" w:cs="Times New Roman" w:eastAsia="Times New Roman" w:hAnsi="Times New Roman"/>
          <w:sz w:val="18"/>
          <w:szCs w:val="18"/>
          <w:color w:val="auto"/>
        </w:rPr>
        <w:t>has been a member of our board of directors since December 2020. Ms. Philipovitch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on the boards of Avianca Airlines, hospitality wine management company Intervine, and technology start-up OptIn. She served in aviation management roles for 23 years, most recently as Senior Vice 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was selected as an honoree for the Dallas Business Journal’s 2019 Women in Business Awards, an award that recognizes business leaders for impressive professional achievements and proven track record. Profiles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Class I directors will be elected by a plurality of the votes cast at the Annual Meeting (meaning that the three director nominees who receive the highest number of shares voted “FOR” their election are elected as Class I directors). Shares voted “WITHHOLD” will not prevent a director nominee from being elected as a director. Broker non-votes will not affect the outcome of voting on this proposal. Brokers do not have discretion to vote any uninstructed shares over the election of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Loss of Controlled Company Status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listed on Nasdaq Global Select Market (“Nasdaq”). As of October 19, 2021, the Apollo Stockholder ceased to hold more than 50% of the voting power of our outstanding voting stock and, consequently, we are no longer a “controlled company.” As a result, we are subject to additional corporate governance requirements, including the requirements that:</w:t>
      </w:r>
    </w:p>
    <w:p>
      <w:pPr>
        <w:spacing w:after="0" w:line="72"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Nasdaq rules provide for phase-in periods for these requirements (including that each such committee consist of a majority of independent directors within 90 days of ceasing to be a “controlled company”), but we must be fully compliant with the requirements within one year of the date on which we ceased to be a “controlled company.” Currently, we do not have a majority of independent directors on our Board of Directors and only two of the three members of each of our nominating and corporate governance committee and our compensation committee are independent.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While we were a “controlled company,” we were not required to have a majority of independent directors. As allowed under the applicable rules and regulations of the SEC and Nasdaq, we intend to phase in compliance with the heightened independence requirements prior to the end of the one-year transition period after we cease to be a “controlled company.” Our independent directors, as such term is defined by the applicable rules and regulations of Nasdaq, are Marion Blakey, Thomas C. Kennedy, and Kerry Philipovitch.</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Leadership Structure and Board’s Role in Risk Oversight</w:t>
      </w:r>
    </w:p>
    <w:p>
      <w:pPr>
        <w:spacing w:after="0" w:line="12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Board of Directors has an oversight role, as a whole and also at the committee level, in overseeing management of the Company’s risks. The Board of Directors regularly reviews information regarding our credit, liquidity and operations, as well as the risks associated with each.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will be regularly informed through committee reports about such risks.</w:t>
      </w:r>
    </w:p>
    <w:p>
      <w:pPr>
        <w:spacing w:after="0" w:line="8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Chairman of our Board of Directors and our Chief Executive Officer are currently separate. Our Board of Directors does not currently have a policy as to whether the role of Chairman of our Board of Directors and the Chief Executive Officer should be separate. Our Board of Directors believes that the Company and its stockholders are best served by maintaining the flexibility to determine whether the Chairman and Chief Executive Officer positions should be separated or combined at a given point in time in order to provide appropriate leadership for us at that time. In addition, our Board of Directors does not currently have a policy as to whether an independent director may be appointed as lead director.</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understands that no single approach to board leadership is universally accepted and that the appropriate leadership structure may vary based on several factors, such as a company’s size, industry, operations, history and culture. Accordingly, our Board of Directors, with the assistance of the Nominating and Corporate Governance Committee, assesses its leadership structure in light of these factors and the current environment to achieve the optimal model for us and for our stockholders.</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composition of the Board of Directors, the tenure of the directors with the Company, the overall experience of the directors and the experience that the directors have had with the Chairman and the executive management team permit and encourage each member to take an active role in all discussions, and each member does actively participate in all substantive discussions. We believe that our current Board of Directors leadership structure is serving the Company well at this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Meetings and Committees</w:t>
      </w:r>
    </w:p>
    <w:p>
      <w:pPr>
        <w:spacing w:after="0" w:line="121"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In fiscal 2021, the Board of Directors held nine Board meetings and four meetings for each committee. Our Directors had a 92% attendance rate for the meetings of the Board of Directors and 98% attendance rate for the meetings of the committees on which they served.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has four committees:</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w:t>
      </w:r>
    </w:p>
    <w:p>
      <w:pPr>
        <w:spacing w:after="0" w:line="117"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Audit, Compensation, Nominating and Corporate Governance and Safety committees operate under written charters which are available at the Company’s website at www.ir.suncountry.com. Committee charters are also available in print upon the written request of any stockholder. The current committee membership of our Board of Directors is as follows:</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Safety</w:t>
            </w:r>
          </w:p>
        </w:tc>
        <w:tc>
          <w:tcPr>
            <w:tcW w:w="0" w:type="dxa"/>
            <w:vAlign w:val="bottom"/>
          </w:tcPr>
          <w:p>
            <w:pPr>
              <w:spacing w:after="0"/>
              <w:rPr>
                <w:sz w:val="1"/>
                <w:szCs w:val="1"/>
                <w:color w:val="auto"/>
              </w:rPr>
            </w:pPr>
          </w:p>
        </w:tc>
      </w:tr>
      <w:tr>
        <w:trPr>
          <w:trHeight w:val="148"/>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40" w:type="dxa"/>
            <w:vAlign w:val="bottom"/>
            <w:gridSpan w:val="2"/>
            <w:vMerge w:val="continue"/>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51"/>
        </w:trPr>
        <w:tc>
          <w:tcPr>
            <w:tcW w:w="4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Jude Bricker</w:t>
            </w: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7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Davis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Marion Blakey</w:t>
            </w:r>
          </w:p>
        </w:tc>
        <w:tc>
          <w:tcPr>
            <w:tcW w:w="800" w:type="dxa"/>
            <w:vAlign w:val="bottom"/>
            <w:tcBorders>
              <w:bottom w:val="single" w:sz="8" w:color="CCEEFF"/>
            </w:tcBorders>
            <w:gridSpan w:val="2"/>
            <w:shd w:val="clear" w:color="auto" w:fill="CCEEFF"/>
          </w:tcPr>
          <w:p>
            <w:pPr>
              <w:jc w:val="center"/>
              <w:ind w:right="100"/>
              <w:spacing w:after="0" w:line="181" w:lineRule="exact"/>
              <w:rPr>
                <w:sz w:val="20"/>
                <w:szCs w:val="20"/>
                <w:color w:val="auto"/>
              </w:rPr>
            </w:pPr>
            <w:r>
              <w:rPr>
                <w:rFonts w:ascii="MS PGothic" w:cs="MS PGothic" w:eastAsia="MS PGothic" w:hAnsi="MS PGothic"/>
                <w:sz w:val="18"/>
                <w:szCs w:val="18"/>
                <w:color w:val="auto"/>
                <w:w w:val="77"/>
              </w:rPr>
              <w:t>✔</w:t>
            </w:r>
          </w:p>
        </w:tc>
        <w:tc>
          <w:tcPr>
            <w:tcW w:w="1000" w:type="dxa"/>
            <w:vAlign w:val="bottom"/>
            <w:tcBorders>
              <w:bottom w:val="single" w:sz="8" w:color="CCEEFF"/>
            </w:tcBorders>
            <w:gridSpan w:val="2"/>
            <w:shd w:val="clear" w:color="auto" w:fill="CCEEFF"/>
          </w:tcPr>
          <w:p>
            <w:pPr>
              <w:jc w:val="center"/>
              <w:ind w:right="100"/>
              <w:spacing w:after="0" w:line="181" w:lineRule="exact"/>
              <w:rPr>
                <w:sz w:val="20"/>
                <w:szCs w:val="20"/>
                <w:color w:val="auto"/>
              </w:rPr>
            </w:pPr>
            <w:r>
              <w:rPr>
                <w:rFonts w:ascii="MS PGothic" w:cs="MS PGothic" w:eastAsia="MS PGothic" w:hAnsi="MS PGothic"/>
                <w:sz w:val="18"/>
                <w:szCs w:val="18"/>
                <w:color w:val="auto"/>
                <w:w w:val="77"/>
              </w:rPr>
              <w:t>✔</w:t>
            </w: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Kearney</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Kennedy</w:t>
            </w: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Antoine Munfakh</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Kerry Philipovitch</w:t>
            </w:r>
          </w:p>
        </w:tc>
        <w:tc>
          <w:tcPr>
            <w:tcW w:w="800" w:type="dxa"/>
            <w:vAlign w:val="bottom"/>
            <w:tcBorders>
              <w:bottom w:val="single" w:sz="8" w:color="CCEEFF"/>
            </w:tcBorders>
            <w:gridSpan w:val="2"/>
            <w:shd w:val="clear" w:color="auto" w:fill="CCEEFF"/>
          </w:tcPr>
          <w:p>
            <w:pPr>
              <w:jc w:val="center"/>
              <w:ind w:right="100"/>
              <w:spacing w:after="0" w:line="181" w:lineRule="exact"/>
              <w:rPr>
                <w:sz w:val="20"/>
                <w:szCs w:val="20"/>
                <w:color w:val="auto"/>
              </w:rPr>
            </w:pPr>
            <w:r>
              <w:rPr>
                <w:rFonts w:ascii="MS PGothic" w:cs="MS PGothic" w:eastAsia="MS PGothic" w:hAnsi="MS PGothic"/>
                <w:sz w:val="18"/>
                <w:szCs w:val="18"/>
                <w:color w:val="auto"/>
                <w:w w:val="77"/>
              </w:rPr>
              <w:t>✔</w:t>
            </w:r>
          </w:p>
        </w:tc>
        <w:tc>
          <w:tcPr>
            <w:tcW w:w="1000" w:type="dxa"/>
            <w:vAlign w:val="bottom"/>
            <w:tcBorders>
              <w:bottom w:val="single" w:sz="8" w:color="CCEEFF"/>
            </w:tcBorders>
            <w:gridSpan w:val="2"/>
            <w:shd w:val="clear" w:color="auto" w:fill="CCEEFF"/>
          </w:tcPr>
          <w:p>
            <w:pPr>
              <w:jc w:val="center"/>
              <w:ind w:right="100"/>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tcBorders>
              <w:bottom w:val="single" w:sz="8" w:color="CCEEFF"/>
            </w:tcBorders>
            <w:gridSpan w:val="2"/>
            <w:shd w:val="clear" w:color="auto" w:fill="CCEEFF"/>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Borders>
              <w:bottom w:val="single" w:sz="8" w:color="CCEEFF"/>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Siegel</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-1640840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-1640840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-1640840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-1640840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175895</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C = Chairperson</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held a total of four meetings in 2021. Our Audit Committee consists of Thomas 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Kennedy, as chairperson, Marion Blakey and Kerry Philipovitch.</w:t>
      </w:r>
    </w:p>
    <w:p>
      <w:pPr>
        <w:spacing w:after="0" w:line="9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Mr. Kennedy qualifies as an “audit committee financial expert” as such term is defined in Item 407(d)(5) of Regulation S-K and that each of Mr. Kennedy, Ms. Blakey and</w:t>
      </w:r>
    </w:p>
    <w:p>
      <w:pPr>
        <w:ind w:left="300" w:right="759"/>
        <w:spacing w:after="0" w:line="260" w:lineRule="auto"/>
        <w:rPr>
          <w:sz w:val="20"/>
          <w:szCs w:val="20"/>
          <w:color w:val="auto"/>
        </w:rPr>
      </w:pPr>
      <w:r>
        <w:rPr>
          <w:rFonts w:ascii="Times New Roman" w:cs="Times New Roman" w:eastAsia="Times New Roman" w:hAnsi="Times New Roman"/>
          <w:sz w:val="18"/>
          <w:szCs w:val="18"/>
          <w:color w:val="auto"/>
        </w:rPr>
        <w:t>Ms. Philipovitch are independent as independence is defined in Rule 10A-3 of the Exchange Act and Nasdaq’s listing standards. The principal duties and responsibilities of our Audit Committee are as follows:</w:t>
      </w:r>
    </w:p>
    <w:p>
      <w:pPr>
        <w:spacing w:after="0" w:line="73"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annual audit committee report to be included in our annual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and monitor our accounting and financial reporting processes;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and monitor the integrity of our financial statements and internal control system;</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and monitor the independence, retention, performance and compensation of our independent auditor;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and monitor the performance, appointment and retention of our internal audit department;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discuss, oversee and monitor policies with respect to risk assessment and risk management,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and monitor our compliance with legal and regulatory matters.</w:t>
      </w:r>
    </w:p>
    <w:p>
      <w:pPr>
        <w:spacing w:after="0" w:line="117"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also has the authority to retain counsel and advisors to fulfill its responsibilities and duties and to form and delegate authority to subcommittees.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held a total of four meetings in 2021. Our Compensation Committee consists of Antoine Munfakh, as chairperson, Marion Blakey and Kerry Philipovitch. The principal duties and responsibilities of the Compensation Committee are as follows:</w:t>
      </w:r>
    </w:p>
    <w:p>
      <w:pPr>
        <w:spacing w:after="0" w:line="68" w:lineRule="exact"/>
        <w:rPr>
          <w:sz w:val="20"/>
          <w:szCs w:val="20"/>
          <w:color w:val="auto"/>
        </w:rPr>
      </w:pPr>
    </w:p>
    <w:p>
      <w:pPr>
        <w:ind w:left="1000" w:right="45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evaluate and make recommendations to the full board of directors regarding our compensation policies and programs;</w:t>
      </w:r>
    </w:p>
    <w:p>
      <w:pPr>
        <w:spacing w:after="0" w:line="53" w:lineRule="exact"/>
        <w:rPr>
          <w:rFonts w:ascii="Times New Roman" w:cs="Times New Roman" w:eastAsia="Times New Roman" w:hAnsi="Times New Roman"/>
          <w:sz w:val="18"/>
          <w:szCs w:val="18"/>
          <w:color w:val="auto"/>
        </w:rPr>
      </w:pPr>
    </w:p>
    <w:p>
      <w:pPr>
        <w:jc w:val="both"/>
        <w:ind w:left="1000" w:right="57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make recommendations to the board of directors with respect to our incentive compensation plans and equity-based compensation plans and pension plans;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incentive compensation and equity-related plans and pension plans;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make recommendations to the board of directors with respect to the financial and other performance targets that must be met; and</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an annual compensation committee report and take such other actions as are necessary and consistent with the governing law and our organizational documents.</w:t>
      </w:r>
    </w:p>
    <w:p>
      <w:pPr>
        <w:spacing w:after="0" w:line="5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engaged Pay Governance as a compensation consultant to assist the Compensation Committee in making recommendation with respect to our compensation plans and compensation for our executive officers for the year ended December 31, 2021. Our Compensation Committee has assessed the independence of Pay Governance consistent with Nasdaq listing standards and has concluded that their engagement does not raise any conflict of interest.</w:t>
      </w:r>
    </w:p>
    <w:p>
      <w:pPr>
        <w:spacing w:after="0" w:line="7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had previously availed ourselves of the “controlled company” exception under the Nasdaq rules which exempted us from the requirement that we have a compensation committee composed entirely of independent directors. As of October 19, 2021, we ceased to be a “controlled company” and must now comply with the independent board committee requirements under the Nasdaq rules as they relate to compensation committees within the phase-in periods specified under the Nasdaq rules.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held a total of four meetings in 2021. Our Nominating and Corporate Governance Committee consists of David Siegel, as chairperson, Thomas C. Kennedy and Kerry Philipovitch. The principal duties and responsibilities of the Nominating and Corporate Governance Committee are as follows:</w:t>
      </w:r>
    </w:p>
    <w:p>
      <w:pPr>
        <w:spacing w:after="0" w:line="72" w:lineRule="exact"/>
        <w:rPr>
          <w:sz w:val="20"/>
          <w:szCs w:val="20"/>
          <w:color w:val="auto"/>
        </w:rPr>
      </w:pPr>
    </w:p>
    <w:p>
      <w:pPr>
        <w:ind w:left="1000" w:right="4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candidates qualified to become directors of the Company, consistent with criteria approved by our board of directors;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our board of directors candidates to fill vacancies and newly created directorships on the board of directors;</w:t>
      </w:r>
    </w:p>
    <w:p>
      <w:pPr>
        <w:spacing w:after="0" w:line="53" w:lineRule="exact"/>
        <w:rPr>
          <w:rFonts w:ascii="Times New Roman" w:cs="Times New Roman" w:eastAsia="Times New Roman" w:hAnsi="Times New Roman"/>
          <w:sz w:val="18"/>
          <w:szCs w:val="18"/>
          <w:color w:val="auto"/>
        </w:rPr>
      </w:pPr>
    </w:p>
    <w:p>
      <w:pPr>
        <w:jc w:val="both"/>
        <w:ind w:left="1000" w:right="919" w:hanging="348"/>
        <w:spacing w:after="0" w:line="312"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identify best practices and recommend corporate governance principles, including giving proper attention and making effective responses to stockholder concerns regarding corporate governance;</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and review the compensation of the non-executive members of the board of directors;</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and recommend to our board of directors guidelines setting forth corporate governance principles applicable to the Company;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the evaluation of our board of directors.</w:t>
      </w:r>
    </w:p>
    <w:p>
      <w:pPr>
        <w:spacing w:after="0" w:line="117"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We had previously availed ourselves of the “controlled company” exception under the Nasdaq rules which exempted us from the requirement that we have a nominating and corporate governance committee composed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entirely of independent directors. As of October 19, 2021, we ceased to be a “controlled company” and must now comply with the independent board committee requirements under the Nasdaq rules as they relate to nominating and corporate governance committees within the phase-in periods specified under the Nasdaq rules.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Safety Committee</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Our Safety Committee consists of Jude Bricker, as chairperson, Marion Blakey, Kerry Philipovitch and David Siegel. The principal duties and responsibilities of the Safety Committee are as follows:</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the board with overseeing the Company’s safety and security processes, procedures and reporting;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management’s efforts to ensure the safety of our passengers and employees;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our policies, procedures and investments and monitor our activities with respect to information security;</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and assist management in creating a uniform safety culture that achieves the highest possible industry standards; and</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periodically review all aspects of airline safety and security with management and outside experts as necessary.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Members of our Compensation Committee during 2021 included Antoine Munfakh, Kerry Philipovitch, David Siegel and Juan Carlos Zuazua. Other than David Siegel, our Chairman, none of these directors has ever served as an officer or employee of the Company. During 2021,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Identifying and Evaluating Candidates for the Board of Directors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In considering possible candidates to serve on the Board of Directors, the Nominating and Corporate Governance Committee will take into account all appropriate qualifications, qualities and skills in the context of the current make-up of the Board of Directors and will consider the entirety of each candidate’s credentials.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Ethics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conduct and ethics that applies to all of our directors, officers and employees and is intended to comply with the relevant listing requirements for a code of conduct as well as qualify as a “code of ethics” as defined by the rules of the SEC. The code of conduct and ethics contains general guidelines for conducting our business consistent with the highest standards of business ethics. We intend to disclose future amendments to certain provisions of our code of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is available on our website.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 of Non-Management Directors</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The non-management directors of the Company meet in executive sessions without management on a regular basis.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Apollo Rights to Nominate Certain Directors</w:t>
      </w:r>
    </w:p>
    <w:p>
      <w:pPr>
        <w:spacing w:after="0" w:line="121" w:lineRule="exact"/>
        <w:rPr>
          <w:sz w:val="20"/>
          <w:szCs w:val="20"/>
          <w:color w:val="auto"/>
        </w:rPr>
      </w:pPr>
    </w:p>
    <w:p>
      <w:pPr>
        <w:ind w:left="300" w:right="779" w:firstLine="360"/>
        <w:spacing w:after="0" w:line="258" w:lineRule="auto"/>
        <w:rPr>
          <w:sz w:val="20"/>
          <w:szCs w:val="20"/>
          <w:color w:val="auto"/>
        </w:rPr>
      </w:pPr>
      <w:r>
        <w:rPr>
          <w:rFonts w:ascii="Times New Roman" w:cs="Times New Roman" w:eastAsia="Times New Roman" w:hAnsi="Times New Roman"/>
          <w:sz w:val="18"/>
          <w:szCs w:val="18"/>
          <w:color w:val="auto"/>
        </w:rPr>
        <w:t>The Apollo Stockholder has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believe that the performance goals and incentive plan structures generally established under the Company’s executive, annual and long-term incentive programs would not contribute to excessive risk taking by our senior executives or employees. The approved goals under our incentive programs are consistent with our financial operating plans and strategies, and these programs are discussed and reviewed by the Compensation Committee. The Company’s compensation systems are balanced, rewarding both short-term and long-term performance, and its performance goals are team oriented, rather than individually focused, and include measurable factors and objective criteria. The Compensation Committee is actively engaged in setting compensation systems, monitoring those systems during the year and using discretion in making rewards, as necessary. As a result of the procedures and practices described above, the Compensation Committee believes that the Company’s compensation policies and practices for its employees do not encourage risk taking that is reasonably likely to have a material adverse effect on the Company.</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 of Directors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desiring to communicate directly with the full Board of Directors, the Audit Committee, the non-management directors as a group or with any individual director or directors may do so by sending such communication in writing, addressed to the attention of the intended recipient(s), c/o Eric Levenhagen, General Counsel, Sun Country Airlines Holdings, Inc., 2005 Cargo Road Minneapolis, MN 55450. Interested parties may communicate anonymously and/or confidentially if they desire. All communications received that relate to accounting, internal accounting controls or auditing matters will be referred to the chairman of the Audit Committee unless the communication is otherwise addressed. All other communications received will be forwarded to the appropriate director or directors.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Attendance at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encourages all of our directors to attend each annual meeting of stockholders.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Prohibition on Hedging</w:t>
      </w:r>
    </w:p>
    <w:p>
      <w:pPr>
        <w:spacing w:after="0" w:line="121"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securities trading policy, which prohibits our directors, executive officers and other designated employees from, among other things, purchasing any financial instruments (including prepaid variable forward contracts, equity swaps, collars and exchange funds) or otherwise engaging in transactions that are designed to or have the effect of hedging or offsetting any decrease in market value of our equity securities. Our securities trading policy also prohibits directors, officers, and employees from engaging in the following activities with respect to our securities: (i) short sales, (ii) buying or selling puts, calls, options or other derivatives, and</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(iii) purchases of securities on margin.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names of the current executive officers of the Company (and their respective ages as of the date of this proxy statement) are set forth below.</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74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3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311"/>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Jude Bricker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7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Davis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Financial Officer; Director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304"/>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Mays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 and Executive Vice President</w:t>
            </w:r>
          </w:p>
        </w:tc>
      </w:tr>
      <w:tr>
        <w:trPr>
          <w:trHeight w:val="27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Levenhagen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Administrative Officer, General Counsel and Secretary</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304"/>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Mader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Information Officer and Executive Vice President</w:t>
            </w:r>
          </w:p>
        </w:tc>
      </w:tr>
      <w:tr>
        <w:trPr>
          <w:trHeight w:val="27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Davis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Marketing Officer and Senior Vice President</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304"/>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Whitney</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Revenue Officer and Executive Vice President</w:t>
            </w:r>
          </w:p>
        </w:tc>
      </w:tr>
      <w:tr>
        <w:trPr>
          <w:trHeight w:val="27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Gyurci</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Chief Accounting Officer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27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 Trousdale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Financial Planning &amp; Analysis, and Treasurer</w:t>
            </w:r>
          </w:p>
        </w:tc>
      </w:tr>
      <w:tr>
        <w:trPr>
          <w:trHeight w:val="54"/>
        </w:trPr>
        <w:tc>
          <w:tcPr>
            <w:tcW w:w="3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-1868170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-1868170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660" w:right="599"/>
        <w:spacing w:after="0" w:line="430" w:lineRule="auto"/>
        <w:rPr>
          <w:sz w:val="20"/>
          <w:szCs w:val="20"/>
          <w:color w:val="auto"/>
        </w:rPr>
      </w:pPr>
      <w:r>
        <w:rPr>
          <w:rFonts w:ascii="Times New Roman" w:cs="Times New Roman" w:eastAsia="Times New Roman" w:hAnsi="Times New Roman"/>
          <w:sz w:val="17"/>
          <w:szCs w:val="17"/>
          <w:b w:val="1"/>
          <w:bCs w:val="1"/>
          <w:color w:val="auto"/>
        </w:rPr>
        <w:t>Jude Bricker</w:t>
      </w:r>
      <w:r>
        <w:rPr>
          <w:rFonts w:ascii="Times New Roman" w:cs="Times New Roman" w:eastAsia="Times New Roman" w:hAnsi="Times New Roman"/>
          <w:sz w:val="17"/>
          <w:szCs w:val="17"/>
          <w:color w:val="auto"/>
        </w:rPr>
        <w:t>. For the biography of Jude Bricker, please see “The Board of Directors—Class III Directors.”</w:t>
      </w:r>
      <w:r>
        <w:rPr>
          <w:rFonts w:ascii="Times New Roman" w:cs="Times New Roman" w:eastAsia="Times New Roman" w:hAnsi="Times New Roman"/>
          <w:sz w:val="17"/>
          <w:szCs w:val="17"/>
          <w:b w:val="1"/>
          <w:bCs w:val="1"/>
          <w:color w:val="auto"/>
        </w:rPr>
        <w:t xml:space="preserve"> Dave Davis</w:t>
      </w:r>
      <w:r>
        <w:rPr>
          <w:rFonts w:ascii="Times New Roman" w:cs="Times New Roman" w:eastAsia="Times New Roman" w:hAnsi="Times New Roman"/>
          <w:sz w:val="17"/>
          <w:szCs w:val="17"/>
          <w:color w:val="auto"/>
        </w:rPr>
        <w:t>. For the biography of Dave Davis, please see “The Board of Directors—Class III Directors.”</w:t>
      </w:r>
    </w:p>
    <w:p>
      <w:pPr>
        <w:spacing w:after="0" w:line="2"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Gregory Mays </w:t>
      </w:r>
      <w:r>
        <w:rPr>
          <w:rFonts w:ascii="Times New Roman" w:cs="Times New Roman" w:eastAsia="Times New Roman" w:hAnsi="Times New Roman"/>
          <w:sz w:val="17"/>
          <w:szCs w:val="17"/>
          <w:color w:val="auto"/>
        </w:rPr>
        <w:t>has served as our Chief Operating Officer since June 2019. Mr. Mays has 29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September 2018 to December 2018. Prior to that</w:t>
      </w: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 operations, cargo operations, labor relations, and design/test engineering. Mr. Mays earned a BS in Aerospace Engineering from the University of Alabama and an MBA from Emory University.</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Eric Levenhagen </w:t>
      </w:r>
      <w:r>
        <w:rPr>
          <w:rFonts w:ascii="Times New Roman" w:cs="Times New Roman" w:eastAsia="Times New Roman" w:hAnsi="Times New Roman"/>
          <w:sz w:val="18"/>
          <w:szCs w:val="18"/>
          <w:color w:val="auto"/>
        </w:rPr>
        <w:t>has served as our Chief Administrative Officer since April 2018 and has served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of Legal since 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77" w:lineRule="exact"/>
        <w:rPr>
          <w:sz w:val="20"/>
          <w:szCs w:val="20"/>
          <w:color w:val="auto"/>
        </w:rPr>
      </w:pPr>
    </w:p>
    <w:p>
      <w:pPr>
        <w:ind w:left="300" w:right="5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Jeffrey Mader </w:t>
      </w:r>
      <w:r>
        <w:rPr>
          <w:rFonts w:ascii="Times New Roman" w:cs="Times New Roman" w:eastAsia="Times New Roman" w:hAnsi="Times New Roman"/>
          <w:sz w:val="18"/>
          <w:szCs w:val="18"/>
          <w:color w:val="auto"/>
        </w:rPr>
        <w:t>has served as our Chief Information Officer since April 2018. He previously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Officer at Imagine! Print Solutions from August 2015 to June 2017. From January 1991 to August 2014, Mr. Mader held various senior leadership positions on the technology team at Target. Since 2009,</w:t>
      </w:r>
    </w:p>
    <w:p>
      <w:pPr>
        <w:jc w:val="both"/>
        <w:ind w:left="300" w:right="399"/>
        <w:spacing w:after="0" w:line="255" w:lineRule="auto"/>
        <w:rPr>
          <w:sz w:val="20"/>
          <w:szCs w:val="20"/>
          <w:color w:val="auto"/>
        </w:rPr>
      </w:pPr>
      <w:r>
        <w:rPr>
          <w:rFonts w:ascii="Times New Roman" w:cs="Times New Roman" w:eastAsia="Times New Roman" w:hAnsi="Times New Roman"/>
          <w:sz w:val="18"/>
          <w:szCs w:val="18"/>
          <w:color w:val="auto"/>
        </w:rPr>
        <w:t>Mr. Mader has been on the board of United Through Reading, a nonprofit organization. He holds a BS in Computer Science, Finance and Management from Minnesota State University, Mankato and an MBA from the University of St. Thomas (St. Paul).</w:t>
      </w:r>
    </w:p>
    <w:p>
      <w:pPr>
        <w:spacing w:after="0" w:line="74" w:lineRule="exact"/>
        <w:rPr>
          <w:sz w:val="20"/>
          <w:szCs w:val="20"/>
          <w:color w:val="auto"/>
        </w:rPr>
      </w:pPr>
    </w:p>
    <w:p>
      <w:pPr>
        <w:jc w:val="both"/>
        <w:ind w:left="300" w:right="6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Brian Davis </w:t>
      </w:r>
      <w:r>
        <w:rPr>
          <w:rFonts w:ascii="Times New Roman" w:cs="Times New Roman" w:eastAsia="Times New Roman" w:hAnsi="Times New Roman"/>
          <w:sz w:val="18"/>
          <w:szCs w:val="18"/>
          <w:color w:val="auto"/>
        </w:rPr>
        <w:t>has served as our Chief Marketing Officer since January 2018. Mr. Davis previously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74"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Grant Whitney </w:t>
      </w:r>
      <w:r>
        <w:rPr>
          <w:rFonts w:ascii="Times New Roman" w:cs="Times New Roman" w:eastAsia="Times New Roman" w:hAnsi="Times New Roman"/>
          <w:sz w:val="18"/>
          <w:szCs w:val="18"/>
          <w:color w:val="auto"/>
        </w:rPr>
        <w:t>has served as our Chief Revenue Officer since May 2019. Prior thereto, he spent nine years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John Gyurci </w:t>
      </w:r>
      <w:r>
        <w:rPr>
          <w:rFonts w:ascii="Times New Roman" w:cs="Times New Roman" w:eastAsia="Times New Roman" w:hAnsi="Times New Roman"/>
          <w:sz w:val="18"/>
          <w:szCs w:val="18"/>
          <w:color w:val="auto"/>
        </w:rPr>
        <w:t>has served as our Chief Accounting Officer since October 2018. Mr. Gyurci previously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Controller at MTS Systems Corporation, a global manufacturing company, from October 2017 to October 2018. Prior thereto, Mr. Gyurci served as Vice President of Financial Accounting &amp; 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74"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Bill Trousdale </w:t>
      </w:r>
      <w:r>
        <w:rPr>
          <w:rFonts w:ascii="Times New Roman" w:cs="Times New Roman" w:eastAsia="Times New Roman" w:hAnsi="Times New Roman"/>
          <w:sz w:val="18"/>
          <w:szCs w:val="18"/>
          <w:color w:val="auto"/>
        </w:rPr>
        <w:t>has served as our Vice President of Financial Planning &amp; Analysis and Treasurer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2018. Previously, he served as Vice President of Corporate Finance and Treasurer at Global Eagle Entertainment from May 2016 to October 2017. Prior thereto, Mr. Trousdale worked at Laureate Education from 2009 to 2016, most recently in the role of Vice President of Financial Transformation from October 2014 to March 2016. Prior thereto, he held senior finance positions at Northwest Airlines and US Airways. Mr. Trousdale received a BS in Mechanical Engineering from MIT and an MBA from Northwestern University.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300" w:right="399" w:firstLine="360"/>
        <w:spacing w:after="0" w:line="269" w:lineRule="auto"/>
        <w:rPr>
          <w:sz w:val="20"/>
          <w:szCs w:val="20"/>
          <w:color w:val="auto"/>
        </w:rPr>
      </w:pPr>
      <w:r>
        <w:rPr>
          <w:rFonts w:ascii="Times New Roman" w:cs="Times New Roman" w:eastAsia="Times New Roman" w:hAnsi="Times New Roman"/>
          <w:sz w:val="17"/>
          <w:szCs w:val="17"/>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w:t>
      </w:r>
    </w:p>
    <w:p>
      <w:pPr>
        <w:spacing w:after="0" w:line="3" w:lineRule="exact"/>
        <w:rPr>
          <w:sz w:val="20"/>
          <w:szCs w:val="20"/>
          <w:color w:val="auto"/>
        </w:rPr>
      </w:pPr>
    </w:p>
    <w:p>
      <w:pPr>
        <w:ind w:left="300" w:right="379" w:hanging="8"/>
        <w:spacing w:after="0" w:line="255" w:lineRule="auto"/>
        <w:tabs>
          <w:tab w:leader="none" w:pos="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or awarded to our named executive officers, or NEOs, by the Company and its affiliates for services rendered in all capacities to the Company and its affiliates in fiscal years 2020 and 2021: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40" w:type="dxa"/>
            <w:vAlign w:val="bottom"/>
            <w:gridSpan w:val="2"/>
            <w:vMerge w:val="continue"/>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00" w:type="dxa"/>
            <w:vAlign w:val="bottom"/>
            <w:vMerge w:val="restart"/>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Bonus ($)</w:t>
            </w:r>
            <w:r>
              <w:rPr>
                <w:rFonts w:ascii="Times New Roman" w:cs="Times New Roman" w:eastAsia="Times New Roman" w:hAnsi="Times New Roman"/>
                <w:sz w:val="23"/>
                <w:szCs w:val="23"/>
                <w:b w:val="1"/>
                <w:bCs w:val="1"/>
                <w:color w:val="auto"/>
                <w:w w:val="95"/>
                <w:vertAlign w:val="superscript"/>
              </w:rPr>
              <w:t>(1)</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gridSpan w:val="2"/>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7"/>
              </w:rPr>
              <w:t>Awards ($)</w:t>
            </w:r>
            <w:r>
              <w:rPr>
                <w:rFonts w:ascii="Times New Roman" w:cs="Times New Roman" w:eastAsia="Times New Roman" w:hAnsi="Times New Roman"/>
                <w:sz w:val="23"/>
                <w:szCs w:val="23"/>
                <w:b w:val="1"/>
                <w:bCs w:val="1"/>
                <w:color w:val="auto"/>
                <w:w w:val="97"/>
                <w:vertAlign w:val="superscript"/>
              </w:rPr>
              <w:t>(2)</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(3)</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Jude Bricker</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9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$345,500</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$21,592</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$567,092</w:t>
            </w:r>
          </w:p>
        </w:tc>
        <w:tc>
          <w:tcPr>
            <w:tcW w:w="0" w:type="dxa"/>
            <w:vAlign w:val="bottom"/>
          </w:tcPr>
          <w:p>
            <w:pPr>
              <w:spacing w:after="0"/>
              <w:rPr>
                <w:sz w:val="1"/>
                <w:szCs w:val="1"/>
                <w:color w:val="auto"/>
              </w:rPr>
            </w:pPr>
          </w:p>
        </w:tc>
      </w:tr>
      <w:tr>
        <w:trPr>
          <w:trHeight w:val="25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$340,000</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$23,777</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$563,777</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Davis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9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$360,000</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$315,314</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$16,492</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$691,806</w:t>
            </w:r>
          </w:p>
        </w:tc>
        <w:tc>
          <w:tcPr>
            <w:tcW w:w="0" w:type="dxa"/>
            <w:vAlign w:val="bottom"/>
          </w:tcPr>
          <w:p>
            <w:pPr>
              <w:spacing w:after="0"/>
              <w:rPr>
                <w:sz w:val="1"/>
                <w:szCs w:val="1"/>
                <w:color w:val="auto"/>
              </w:rPr>
            </w:pPr>
          </w:p>
        </w:tc>
      </w:tr>
      <w:tr>
        <w:trPr>
          <w:trHeight w:val="25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Officer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$360,000</w:t>
            </w:r>
          </w:p>
        </w:tc>
        <w:tc>
          <w:tcPr>
            <w:tcW w:w="20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$270,000</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$14,456</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$644,456</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Gregory Mays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9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$262,500</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$20,389</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$582,889</w:t>
            </w:r>
          </w:p>
        </w:tc>
        <w:tc>
          <w:tcPr>
            <w:tcW w:w="0" w:type="dxa"/>
            <w:vAlign w:val="bottom"/>
          </w:tcPr>
          <w:p>
            <w:pPr>
              <w:spacing w:after="0"/>
              <w:rPr>
                <w:sz w:val="1"/>
                <w:szCs w:val="1"/>
                <w:color w:val="auto"/>
              </w:rPr>
            </w:pPr>
          </w:p>
        </w:tc>
      </w:tr>
      <w:tr>
        <w:trPr>
          <w:trHeight w:val="25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$ 56,250</w:t>
            </w:r>
          </w:p>
        </w:tc>
        <w:tc>
          <w:tcPr>
            <w:tcW w:w="220" w:type="dxa"/>
            <w:vAlign w:val="bottom"/>
          </w:tcPr>
          <w:p>
            <w:pPr>
              <w:spacing w:after="0"/>
              <w:rPr>
                <w:sz w:val="20"/>
                <w:szCs w:val="20"/>
                <w:color w:val="auto"/>
              </w:rPr>
            </w:pPr>
          </w:p>
        </w:tc>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$56,194</w:t>
            </w:r>
          </w:p>
        </w:tc>
        <w:tc>
          <w:tcPr>
            <w:tcW w:w="2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$14,663</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$427,107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-1628140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-1628140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-1628140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-1628140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-1628140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-1628140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-1628140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right="399" w:hanging="348"/>
        <w:spacing w:after="0" w:line="236"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fiscal year 2021 reflect (i) for Mr. Bricker, a discretionary annual cash bonus of $245,500 for performance in respect of fiscal year 2021 (reflecting 122.8% of his base salary) and a one-time special performance bonus of $100,000, and (ii) for Messrs. Davis and Mays, discretionary annual cash bonuses for performance in respect of fiscal year 2021 (reflecting 87.6% and 87.6% of base salary for Messrs. Davis and Mays, respectively).</w:t>
      </w:r>
    </w:p>
    <w:p>
      <w:pPr>
        <w:spacing w:after="0" w:line="28"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fiscal year 2020 reflect discretionary annual cash bonuses for performance in respect of fiscal year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aggregate grant date fair value of an award of fully vested stock.</w:t>
      </w:r>
    </w:p>
    <w:p>
      <w:pPr>
        <w:spacing w:after="0" w:line="41" w:lineRule="exact"/>
        <w:rPr>
          <w:rFonts w:ascii="Times New Roman" w:cs="Times New Roman" w:eastAsia="Times New Roman" w:hAnsi="Times New Roman"/>
          <w:sz w:val="14"/>
          <w:szCs w:val="14"/>
          <w:color w:val="auto"/>
        </w:rPr>
      </w:pPr>
    </w:p>
    <w:p>
      <w:pPr>
        <w:ind w:left="640" w:right="299" w:hanging="348"/>
        <w:spacing w:after="0" w:line="227"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our NEOs, the amounts under “All Other Compensation” for fiscal year 2021 represent the Company’s contributions in respect of life insurance and our 401(k) Plan ($11,662 for Messrs. Bricker, Davis and Mays), annual cell phone allowance ($780 for Messrs. Bricker, Davis and Mays), executive physical reimbursement ($822 for Mr. 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2021, each NEO received a travel bank under the ATP ($15,000 for Mr. Bricker, $12,500 for Mr. Davis and $12,500 for Mr. Mays). As the ATP benefit utilized by the executive is taxable income to the NEOs and the Company pays such taxes on a grossed up basis, the amounts reflected under “All Other Compensation” in respect of the ATP benefit utilized for fiscal 2021 were adjusted to $9,150, $4,050 and $7,125 for Messrs, Bricker, Davis and Mays, respectively.</w:t>
      </w:r>
    </w:p>
    <w:p>
      <w:pPr>
        <w:spacing w:after="0" w:line="20"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fiscal year 2020 represent the Company’s contributions in respect of life insurance and our 401(k) Plan ($11,258 for</w:t>
      </w:r>
    </w:p>
    <w:p>
      <w:pPr>
        <w:spacing w:after="0" w:line="3" w:lineRule="exact"/>
        <w:rPr>
          <w:rFonts w:ascii="Times New Roman" w:cs="Times New Roman" w:eastAsia="Times New Roman" w:hAnsi="Times New Roman"/>
          <w:sz w:val="14"/>
          <w:szCs w:val="14"/>
          <w:color w:val="auto"/>
        </w:rPr>
      </w:pPr>
    </w:p>
    <w:p>
      <w:pPr>
        <w:ind w:left="660" w:right="45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Bricker, $11,458 for Mr. Davis and $11,210 for Mr. Mays), annual cell phone allowance ($720 for Messrs. Bricker, Davis and Mays) and flight benefits under our ATP. For fiscal 2020, each NEO received a travel bank under the ATP ($15,000 for Mr. Bricker and $12,500 for Messrs, Davis and Mays). Amounts reflected under “All Other Compensation” in respect of the ATP benefit utilized for fiscal 2020 were adjusted to $11,799, $2,278 and $2,733 for Messrs, Bricker, Davis and Mays, respectively.</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Jude Bricker Employment Agreement</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one-year periods, unless either party provides written notice of non-renewal at least 90 days prior to the expiration of</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initial term or any extended term. Pursuant to the employment agreement, Mr. Bricker’s annual base salary shall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 no less than $200,000 and Mr. Bricker shall be eligible to receive a non-discretionary annual bonus equal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$60,000, and a discretionary performance-based annual bonus with a target equal to 200% of his annual base salary.</w:t>
      </w:r>
    </w:p>
    <w:p>
      <w:pPr>
        <w:spacing w:after="0" w:line="9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Mr. Bricker is also entitled to travel benefits, including an annual credit of $15,000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79"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Times New Roman" w:cs="Times New Roman" w:eastAsia="Times New Roman" w:hAnsi="Times New Roman"/>
          <w:sz w:val="18"/>
          <w:szCs w:val="18"/>
          <w:i w:val="1"/>
          <w:iCs w:val="1"/>
          <w:color w:val="auto"/>
        </w:rPr>
        <w:t>Potential Payments upon Termination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Bricker is subject to restrictive covenants, including non-competition during employment and for</w:t>
      </w:r>
    </w:p>
    <w:p>
      <w:pPr>
        <w:spacing w:after="0" w:line="27" w:lineRule="exact"/>
        <w:rPr>
          <w:sz w:val="20"/>
          <w:szCs w:val="20"/>
          <w:color w:val="auto"/>
        </w:rPr>
      </w:pPr>
    </w:p>
    <w:p>
      <w:pPr>
        <w:jc w:val="both"/>
        <w:ind w:left="300" w:right="379"/>
        <w:spacing w:after="0" w:line="255" w:lineRule="auto"/>
        <w:rPr>
          <w:sz w:val="20"/>
          <w:szCs w:val="20"/>
          <w:color w:val="auto"/>
        </w:rPr>
      </w:pPr>
      <w:r>
        <w:rPr>
          <w:rFonts w:ascii="Times New Roman" w:cs="Times New Roman" w:eastAsia="Times New Roman" w:hAnsi="Times New Roman"/>
          <w:sz w:val="18"/>
          <w:szCs w:val="18"/>
          <w:color w:val="auto"/>
        </w:rPr>
        <w:t>18 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Dave Davis Employment Agreement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Sun Country, Inc. entered into an employment agreement with Dave Davis to serve as Chief Financial Officer,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effective as of April 11, 2018. Mr. Davis was thereafter promoted to President and Chief Financial Officer effective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November 5, 2019. The agreement extends for a term of five years, until April 11, 2023.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Mr. Davis’ annual base salary beginning April 1, 2019 shall be no less than $360,000.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Davis is also eligible to receive a discretionary annual bonus with a target equal to 75% of his base salary,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Davis may request, subject to approval by the chief executive officer and the board of directors, a portion of 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discretionary annual bonus to become guaranteed and payable.</w:t>
      </w:r>
    </w:p>
    <w:p>
      <w:pPr>
        <w:spacing w:after="0" w:line="99"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56"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79"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Times New Roman" w:cs="Times New Roman" w:eastAsia="Times New Roman" w:hAnsi="Times New Roman"/>
          <w:sz w:val="18"/>
          <w:szCs w:val="18"/>
          <w:i w:val="1"/>
          <w:iCs w:val="1"/>
          <w:color w:val="auto"/>
        </w:rPr>
        <w:t>Potential Payments upon Termination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Mr. Davis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Gregory Mays Employment Agreement</w:t>
      </w:r>
    </w:p>
    <w:p>
      <w:pPr>
        <w:spacing w:after="0" w:line="121" w:lineRule="exact"/>
        <w:rPr>
          <w:sz w:val="20"/>
          <w:szCs w:val="20"/>
          <w:color w:val="auto"/>
        </w:rPr>
      </w:pPr>
    </w:p>
    <w:p>
      <w:pPr>
        <w:ind w:left="300" w:right="499" w:firstLine="360"/>
        <w:spacing w:after="0" w:line="269" w:lineRule="auto"/>
        <w:rPr>
          <w:sz w:val="20"/>
          <w:szCs w:val="20"/>
          <w:color w:val="auto"/>
        </w:rPr>
      </w:pPr>
      <w:r>
        <w:rPr>
          <w:rFonts w:ascii="Times New Roman" w:cs="Times New Roman" w:eastAsia="Times New Roman" w:hAnsi="Times New Roman"/>
          <w:sz w:val="17"/>
          <w:szCs w:val="17"/>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w:t>
      </w:r>
    </w:p>
    <w:p>
      <w:pPr>
        <w:spacing w:after="0" w:line="3" w:lineRule="exact"/>
        <w:rPr>
          <w:sz w:val="20"/>
          <w:szCs w:val="20"/>
          <w:color w:val="auto"/>
        </w:rPr>
      </w:pPr>
    </w:p>
    <w:p>
      <w:pPr>
        <w:jc w:val="both"/>
        <w:ind w:left="300" w:right="339"/>
        <w:spacing w:after="0" w:line="253" w:lineRule="auto"/>
        <w:rPr>
          <w:sz w:val="20"/>
          <w:szCs w:val="20"/>
          <w:color w:val="auto"/>
        </w:rPr>
      </w:pPr>
      <w:r>
        <w:rPr>
          <w:rFonts w:ascii="Times New Roman" w:cs="Times New Roman" w:eastAsia="Times New Roman" w:hAnsi="Times New Roman"/>
          <w:sz w:val="18"/>
          <w:szCs w:val="18"/>
          <w:color w:val="auto"/>
        </w:rPr>
        <w:t>Mr. Mays shall also be eligible to receive a discretionary annual bonus with a target equal to 75% of his annual base salary. Mr. Mays also received a relocation bonus of $52,000 for his relocation to the Minneapolis, Minnesota area; however, had Mr. Mays resigned from employment for any reason prior to June 3, 2021, he would have had to repay to the Company within 30 days of his termination a prorated portion of the relocation bonus.</w:t>
      </w:r>
    </w:p>
    <w:p>
      <w:pPr>
        <w:spacing w:after="0" w:line="8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Mr. Mays is also entitled to travel benefits, including an annual credit of $12,500 in his ATP account for personal travel on Company scheduled flights for him and certain qualifying friends and family. Mr. Mays may also travel on scheduled Company flights in accordance with the Company’s general employee travel policy, the cost of which is not deducted from Mr. Mays’ ATP account. Upon the earlier of June 3, 2024 or a Change in Control (as defined in the SCA Acquisition Equity Plan), Mr. Mays’ travel benefits will vest for his lifetime and be useable by Mr. Mays for the remainder of his life.</w:t>
      </w:r>
    </w:p>
    <w:p>
      <w:pPr>
        <w:spacing w:after="0" w:line="79"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Times New Roman" w:cs="Times New Roman" w:eastAsia="Times New Roman" w:hAnsi="Times New Roman"/>
          <w:sz w:val="18"/>
          <w:szCs w:val="18"/>
          <w:i w:val="1"/>
          <w:iCs w:val="1"/>
          <w:color w:val="auto"/>
        </w:rPr>
        <w:t>Potential Payments upon Termination.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2021 Outstanding Equity Awards at Fiscal Year-End Table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each NEO’s outstanding equity awards at the end of fiscal 2021.</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2021 Year-End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vMerge w:val="continue"/>
          </w:tcPr>
          <w:p>
            <w:pPr>
              <w:spacing w:after="0"/>
              <w:rPr>
                <w:sz w:val="12"/>
                <w:szCs w:val="12"/>
                <w:color w:val="auto"/>
              </w:rPr>
            </w:pPr>
          </w:p>
        </w:tc>
        <w:tc>
          <w:tcPr>
            <w:tcW w:w="10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1"/>
                <w:szCs w:val="11"/>
                <w:b w:val="1"/>
                <w:bCs w:val="1"/>
                <w:color w:val="auto"/>
              </w:rPr>
              <w:t>Unexercisable</w:t>
            </w:r>
            <w:r>
              <w:rPr>
                <w:rFonts w:ascii="Times New Roman" w:cs="Times New Roman" w:eastAsia="Times New Roman" w:hAnsi="Times New Roman"/>
                <w:sz w:val="17"/>
                <w:szCs w:val="17"/>
                <w:b w:val="1"/>
                <w:bCs w:val="1"/>
                <w:color w:val="auto"/>
                <w:vertAlign w:val="superscript"/>
              </w:rPr>
              <w:t>(2)</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1"/>
                <w:szCs w:val="11"/>
                <w:b w:val="1"/>
                <w:bCs w:val="1"/>
                <w:color w:val="auto"/>
              </w:rPr>
              <w:t>Options (#)</w:t>
            </w:r>
            <w:r>
              <w:rPr>
                <w:rFonts w:ascii="Times New Roman" w:cs="Times New Roman" w:eastAsia="Times New Roman" w:hAnsi="Times New Roman"/>
                <w:sz w:val="17"/>
                <w:szCs w:val="17"/>
                <w:b w:val="1"/>
                <w:bCs w:val="1"/>
                <w:color w:val="auto"/>
                <w:vertAlign w:val="superscript"/>
              </w:rPr>
              <w:t>(2)</w:t>
            </w: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240" w:type="dxa"/>
            <w:vAlign w:val="bottom"/>
            <w:gridSpan w:val="2"/>
            <w:vMerge w:val="continue"/>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8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6"/>
        </w:trPr>
        <w:tc>
          <w:tcPr>
            <w:tcW w:w="3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Jude Bricker</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302,710</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155,160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991,409</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$ 5.30</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11/21/2028</w:t>
            </w:r>
          </w:p>
        </w:tc>
        <w:tc>
          <w:tcPr>
            <w:tcW w:w="0" w:type="dxa"/>
            <w:vAlign w:val="bottom"/>
          </w:tcPr>
          <w:p>
            <w:pPr>
              <w:spacing w:after="0"/>
              <w:rPr>
                <w:sz w:val="1"/>
                <w:szCs w:val="1"/>
                <w:color w:val="auto"/>
              </w:rPr>
            </w:pPr>
          </w:p>
        </w:tc>
      </w:tr>
      <w:tr>
        <w:trPr>
          <w:trHeight w:val="27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Davis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3"/>
                <w:szCs w:val="23"/>
                <w:color w:val="auto"/>
              </w:rPr>
            </w:pPr>
          </w:p>
        </w:tc>
        <w:tc>
          <w:tcPr>
            <w:tcW w:w="1120" w:type="dxa"/>
            <w:vAlign w:val="bottom"/>
          </w:tcPr>
          <w:p>
            <w:pPr>
              <w:jc w:val="right"/>
              <w:ind w:right="204"/>
              <w:spacing w:after="0"/>
              <w:rPr>
                <w:sz w:val="20"/>
                <w:szCs w:val="20"/>
                <w:color w:val="auto"/>
              </w:rPr>
            </w:pPr>
            <w:r>
              <w:rPr>
                <w:rFonts w:ascii="Times New Roman" w:cs="Times New Roman" w:eastAsia="Times New Roman" w:hAnsi="Times New Roman"/>
                <w:sz w:val="18"/>
                <w:szCs w:val="18"/>
                <w:color w:val="auto"/>
              </w:rPr>
              <w:t>62,064</w:t>
            </w:r>
          </w:p>
        </w:tc>
        <w:tc>
          <w:tcPr>
            <w:tcW w:w="1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396,563</w:t>
            </w:r>
          </w:p>
        </w:tc>
        <w:tc>
          <w:tcPr>
            <w:tcW w:w="18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$ 5.30</w:t>
            </w:r>
          </w:p>
        </w:tc>
        <w:tc>
          <w:tcPr>
            <w:tcW w:w="200" w:type="dxa"/>
            <w:vAlign w:val="bottom"/>
          </w:tcPr>
          <w:p>
            <w:pPr>
              <w:spacing w:after="0"/>
              <w:rPr>
                <w:sz w:val="23"/>
                <w:szCs w:val="23"/>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4/17/2029</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12,930</w:t>
            </w:r>
          </w:p>
        </w:tc>
        <w:tc>
          <w:tcPr>
            <w:tcW w:w="200" w:type="dxa"/>
            <w:vAlign w:val="bottom"/>
          </w:tcPr>
          <w:p>
            <w:pPr>
              <w:spacing w:after="0"/>
              <w:rPr>
                <w:sz w:val="24"/>
                <w:szCs w:val="24"/>
                <w:color w:val="auto"/>
              </w:rPr>
            </w:pPr>
          </w:p>
        </w:tc>
        <w:tc>
          <w:tcPr>
            <w:tcW w:w="1120" w:type="dxa"/>
            <w:vAlign w:val="bottom"/>
          </w:tcPr>
          <w:p>
            <w:pPr>
              <w:jc w:val="right"/>
              <w:ind w:right="204"/>
              <w:spacing w:after="0"/>
              <w:rPr>
                <w:sz w:val="20"/>
                <w:szCs w:val="20"/>
                <w:color w:val="auto"/>
              </w:rPr>
            </w:pPr>
            <w:r>
              <w:rPr>
                <w:rFonts w:ascii="Times New Roman" w:cs="Times New Roman" w:eastAsia="Times New Roman" w:hAnsi="Times New Roman"/>
                <w:sz w:val="18"/>
                <w:szCs w:val="18"/>
                <w:color w:val="auto"/>
              </w:rPr>
              <w:t>25,860</w:t>
            </w:r>
          </w:p>
        </w:tc>
        <w:tc>
          <w:tcPr>
            <w:tcW w:w="180" w:type="dxa"/>
            <w:vAlign w:val="bottom"/>
          </w:tcPr>
          <w:p>
            <w:pPr>
              <w:spacing w:after="0"/>
              <w:rPr>
                <w:sz w:val="24"/>
                <w:szCs w:val="24"/>
                <w:color w:val="auto"/>
              </w:rPr>
            </w:pP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8"/>
                <w:szCs w:val="18"/>
                <w:color w:val="auto"/>
              </w:rPr>
              <w:t>82,616</w:t>
            </w:r>
          </w:p>
        </w:tc>
        <w:tc>
          <w:tcPr>
            <w:tcW w:w="18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$15.17</w:t>
            </w:r>
          </w:p>
        </w:tc>
        <w:tc>
          <w:tcPr>
            <w:tcW w:w="200" w:type="dxa"/>
            <w:vAlign w:val="bottom"/>
          </w:tcPr>
          <w:p>
            <w:pPr>
              <w:spacing w:after="0"/>
              <w:rPr>
                <w:sz w:val="24"/>
                <w:szCs w:val="2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11/19/2029</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Mays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103,438</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103,439</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330,465</w:t>
            </w: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$ 5.30</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7/1/2029</w:t>
            </w:r>
          </w:p>
        </w:tc>
        <w:tc>
          <w:tcPr>
            <w:tcW w:w="0" w:type="dxa"/>
            <w:vAlign w:val="bottom"/>
          </w:tcPr>
          <w:p>
            <w:pPr>
              <w:spacing w:after="0"/>
              <w:rPr>
                <w:sz w:val="1"/>
                <w:szCs w:val="1"/>
                <w:color w:val="auto"/>
              </w:rPr>
            </w:pPr>
          </w:p>
        </w:tc>
      </w:tr>
      <w:tr>
        <w:trPr>
          <w:trHeight w:val="54"/>
        </w:trPr>
        <w:tc>
          <w:tcPr>
            <w:tcW w:w="30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-839470</wp:posOffset>
            </wp:positionV>
            <wp:extent cx="1200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-839470</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-839470</wp:posOffset>
            </wp:positionV>
            <wp:extent cx="120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-839470</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-839470</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59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19, 2019, Mr. Davis was granted additional options with an exercise price of $15.17 in connection with his promotion to President and Chief Financial Officer.</w:t>
      </w:r>
    </w:p>
    <w:p>
      <w:pPr>
        <w:ind w:left="640" w:right="43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were originally granted as options to purchase SCA common stock and were converted into options to purchase common stock in connection with the Reorganization Transactions.</w:t>
      </w:r>
    </w:p>
    <w:p>
      <w:pPr>
        <w:jc w:val="both"/>
        <w:ind w:left="640" w:right="51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299"/>
        <w:spacing w:after="0" w:line="236" w:lineRule="auto"/>
        <w:rPr>
          <w:sz w:val="20"/>
          <w:szCs w:val="20"/>
          <w:color w:val="auto"/>
        </w:rPr>
      </w:pPr>
      <w:r>
        <w:rPr>
          <w:rFonts w:ascii="Times New Roman" w:cs="Times New Roman" w:eastAsia="Times New Roman" w:hAnsi="Times New Roman"/>
          <w:sz w:val="14"/>
          <w:szCs w:val="14"/>
          <w:color w:val="auto"/>
        </w:rPr>
        <w:t>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spacing w:after="0" w:line="15" w:lineRule="exact"/>
        <w:rPr>
          <w:sz w:val="20"/>
          <w:szCs w:val="20"/>
          <w:color w:val="auto"/>
        </w:rPr>
      </w:pPr>
    </w:p>
    <w:p>
      <w:pPr>
        <w:ind w:left="640" w:right="319" w:hanging="348"/>
        <w:spacing w:after="0" w:line="226"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our initial public offering, on certain “MOIC Test Dates” (i.e., months following our initial public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Months Post-IPO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Performance</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Vested Amount Based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Amount Based</w:t>
            </w:r>
          </w:p>
        </w:tc>
        <w:tc>
          <w:tcPr>
            <w:tcW w:w="0" w:type="dxa"/>
            <w:vAlign w:val="bottom"/>
          </w:tcPr>
          <w:p>
            <w:pPr>
              <w:spacing w:after="0"/>
              <w:rPr>
                <w:sz w:val="1"/>
                <w:szCs w:val="1"/>
                <w:color w:val="auto"/>
              </w:rPr>
            </w:pPr>
          </w:p>
        </w:tc>
      </w:tr>
      <w:tr>
        <w:trPr>
          <w:trHeight w:val="148"/>
        </w:trPr>
        <w:tc>
          <w:tcPr>
            <w:tcW w:w="410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Based Options</w:t>
            </w:r>
          </w:p>
        </w:tc>
        <w:tc>
          <w:tcPr>
            <w:tcW w:w="1580" w:type="dxa"/>
            <w:vAlign w:val="bottom"/>
            <w:gridSpan w:val="2"/>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(“MOIC Test Date”)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Eligible to Vest</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3.0x TRMOIC</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5.0x TRMOIC</w:t>
            </w:r>
          </w:p>
        </w:tc>
        <w:tc>
          <w:tcPr>
            <w:tcW w:w="0" w:type="dxa"/>
            <w:vAlign w:val="bottom"/>
          </w:tcPr>
          <w:p>
            <w:pPr>
              <w:spacing w:after="0"/>
              <w:rPr>
                <w:sz w:val="1"/>
                <w:szCs w:val="1"/>
                <w:color w:val="auto"/>
              </w:rPr>
            </w:pPr>
          </w:p>
        </w:tc>
      </w:tr>
      <w:tr>
        <w:trPr>
          <w:trHeight w:val="50"/>
        </w:trPr>
        <w:tc>
          <w:tcPr>
            <w:tcW w:w="38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880" w:type="dxa"/>
            <w:vAlign w:val="bottom"/>
            <w:tcBorders>
              <w:bottom w:val="single" w:sz="8" w:color="CCEEFF"/>
            </w:tcBorders>
            <w:shd w:val="clear" w:color="auto" w:fill="CCEEFF"/>
          </w:tcPr>
          <w:p>
            <w:pPr>
              <w:jc w:val="right"/>
              <w:ind w:right="3615"/>
              <w:spacing w:after="0"/>
              <w:rPr>
                <w:sz w:val="20"/>
                <w:szCs w:val="20"/>
                <w:color w:val="auto"/>
              </w:rPr>
            </w:pPr>
            <w:r>
              <w:rPr>
                <w:rFonts w:ascii="Times New Roman" w:cs="Times New Roman" w:eastAsia="Times New Roman" w:hAnsi="Times New Roman"/>
                <w:sz w:val="18"/>
                <w:szCs w:val="18"/>
                <w:color w:val="auto"/>
                <w:w w:val="88"/>
              </w:rPr>
              <w:t>12</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7.5%</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3880" w:type="dxa"/>
            <w:vAlign w:val="bottom"/>
          </w:tcPr>
          <w:p>
            <w:pPr>
              <w:jc w:val="right"/>
              <w:ind w:right="3615"/>
              <w:spacing w:after="0"/>
              <w:rPr>
                <w:sz w:val="20"/>
                <w:szCs w:val="20"/>
                <w:color w:val="auto"/>
              </w:rPr>
            </w:pPr>
            <w:r>
              <w:rPr>
                <w:rFonts w:ascii="Times New Roman" w:cs="Times New Roman" w:eastAsia="Times New Roman" w:hAnsi="Times New Roman"/>
                <w:sz w:val="18"/>
                <w:szCs w:val="18"/>
                <w:color w:val="auto"/>
                <w:w w:val="88"/>
              </w:rPr>
              <w:t>18</w:t>
            </w:r>
          </w:p>
        </w:tc>
        <w:tc>
          <w:tcPr>
            <w:tcW w:w="2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2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shd w:val="clear" w:color="auto" w:fill="CCEEFF"/>
          </w:tcPr>
          <w:p>
            <w:pPr>
              <w:jc w:val="right"/>
              <w:ind w:right="3615"/>
              <w:spacing w:after="0"/>
              <w:rPr>
                <w:sz w:val="20"/>
                <w:szCs w:val="20"/>
                <w:color w:val="auto"/>
              </w:rPr>
            </w:pPr>
            <w:r>
              <w:rPr>
                <w:rFonts w:ascii="Times New Roman" w:cs="Times New Roman" w:eastAsia="Times New Roman" w:hAnsi="Times New Roman"/>
                <w:sz w:val="18"/>
                <w:szCs w:val="18"/>
                <w:color w:val="auto"/>
                <w:w w:val="88"/>
              </w:rPr>
              <w:t>24</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3880" w:type="dxa"/>
            <w:vAlign w:val="bottom"/>
          </w:tcPr>
          <w:p>
            <w:pPr>
              <w:jc w:val="right"/>
              <w:ind w:right="3615"/>
              <w:spacing w:after="0"/>
              <w:rPr>
                <w:sz w:val="20"/>
                <w:szCs w:val="20"/>
                <w:color w:val="auto"/>
              </w:rPr>
            </w:pPr>
            <w:r>
              <w:rPr>
                <w:rFonts w:ascii="Times New Roman" w:cs="Times New Roman" w:eastAsia="Times New Roman" w:hAnsi="Times New Roman"/>
                <w:sz w:val="18"/>
                <w:szCs w:val="18"/>
                <w:color w:val="auto"/>
                <w:w w:val="88"/>
              </w:rPr>
              <w:t>30</w:t>
            </w:r>
          </w:p>
        </w:tc>
        <w:tc>
          <w:tcPr>
            <w:tcW w:w="2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2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jc w:val="right"/>
              <w:ind w:right="3615"/>
              <w:spacing w:after="0"/>
              <w:rPr>
                <w:sz w:val="20"/>
                <w:szCs w:val="20"/>
                <w:color w:val="auto"/>
              </w:rPr>
            </w:pPr>
            <w:r>
              <w:rPr>
                <w:rFonts w:ascii="Times New Roman" w:cs="Times New Roman" w:eastAsia="Times New Roman" w:hAnsi="Times New Roman"/>
                <w:sz w:val="18"/>
                <w:szCs w:val="18"/>
                <w:color w:val="auto"/>
                <w:w w:val="88"/>
              </w:rPr>
              <w:t>36</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-1045210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-1045210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-1045210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Vesting in respect of achievement between a TRMOIC of 3.0x and a TRMOIC of 5.0x will be linearly interpolated. On each MOIC Test Date, the percentage of the performance-based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 (iv) 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81" w:lineRule="exact"/>
        <w:rPr>
          <w:sz w:val="20"/>
          <w:szCs w:val="20"/>
          <w:color w:val="auto"/>
        </w:rPr>
      </w:pPr>
    </w:p>
    <w:p>
      <w:pPr>
        <w:ind w:left="300" w:right="459" w:firstLine="360"/>
        <w:spacing w:after="0" w:line="273" w:lineRule="auto"/>
        <w:rPr>
          <w:sz w:val="20"/>
          <w:szCs w:val="20"/>
          <w:color w:val="auto"/>
        </w:rPr>
      </w:pPr>
      <w:r>
        <w:rPr>
          <w:rFonts w:ascii="Times New Roman" w:cs="Times New Roman" w:eastAsia="Times New Roman" w:hAnsi="Times New Roman"/>
          <w:sz w:val="17"/>
          <w:szCs w:val="17"/>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63" w:lineRule="exact"/>
        <w:rPr>
          <w:sz w:val="20"/>
          <w:szCs w:val="20"/>
          <w:color w:val="auto"/>
        </w:rPr>
      </w:pPr>
    </w:p>
    <w:p>
      <w:pPr>
        <w:ind w:left="300" w:right="399" w:firstLine="360"/>
        <w:spacing w:after="0" w:line="276" w:lineRule="auto"/>
        <w:rPr>
          <w:sz w:val="20"/>
          <w:szCs w:val="20"/>
          <w:color w:val="auto"/>
        </w:rPr>
      </w:pPr>
      <w:r>
        <w:rPr>
          <w:rFonts w:ascii="Times New Roman" w:cs="Times New Roman" w:eastAsia="Times New Roman" w:hAnsi="Times New Roman"/>
          <w:sz w:val="17"/>
          <w:szCs w:val="17"/>
          <w:color w:val="auto"/>
        </w:rPr>
        <w:t>For purposes of each NEO’s employment agreement, Cause shall mean: (i) the NEO’s indictment for, conviction of, or plea of guilty or nolo contendere to, any (x) felony, (y) misdemeanor involving moral turpitude, or</w:t>
      </w:r>
    </w:p>
    <w:p>
      <w:pPr>
        <w:spacing w:after="0" w:line="1" w:lineRule="exact"/>
        <w:rPr>
          <w:sz w:val="20"/>
          <w:szCs w:val="20"/>
          <w:color w:val="auto"/>
        </w:rPr>
      </w:pPr>
    </w:p>
    <w:p>
      <w:pPr>
        <w:ind w:left="300" w:right="359" w:hanging="8"/>
        <w:spacing w:after="0" w:line="251" w:lineRule="auto"/>
        <w:tabs>
          <w:tab w:leader="none" w:pos="5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of alcohol that interferes with the performance of the NEO’s duties or use of illegal drugs, if either (A) 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89"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For purposes of Mr. Bricker’s employment agreement, Good Reason shall mean any of the following actions are taken by the Company without his express written consent: (i) a material reduction of 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 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86"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left="300" w:right="479" w:firstLine="360"/>
        <w:spacing w:after="0" w:line="312" w:lineRule="auto"/>
        <w:rPr>
          <w:sz w:val="20"/>
          <w:szCs w:val="20"/>
          <w:color w:val="auto"/>
        </w:rPr>
      </w:pPr>
      <w:r>
        <w:rPr>
          <w:rFonts w:ascii="Times New Roman" w:cs="Times New Roman" w:eastAsia="Times New Roman" w:hAnsi="Times New Roman"/>
          <w:sz w:val="17"/>
          <w:szCs w:val="17"/>
          <w:color w:val="auto"/>
        </w:rPr>
        <w:t>We currently maintain the SCA Acquisition Equity Plan. In connection with the Reorganization Transactions, all outstanding options to purchase SCA common stock were converted into options to purchase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2021 Omnibus Incentive Plan</w:t>
      </w:r>
    </w:p>
    <w:p>
      <w:pPr>
        <w:spacing w:after="0" w:line="121"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In connection with our initial public offering, our board of directors adopted, and our stockholders approved, our 2021 Omnibus Incentive Plan (the “Omnibus Incentive Plan”), which became effective in connection with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19"/>
        <w:spacing w:after="0" w:line="312" w:lineRule="auto"/>
        <w:rPr>
          <w:sz w:val="20"/>
          <w:szCs w:val="20"/>
          <w:color w:val="auto"/>
        </w:rPr>
      </w:pPr>
      <w:r>
        <w:rPr>
          <w:rFonts w:ascii="Times New Roman" w:cs="Times New Roman" w:eastAsia="Times New Roman" w:hAnsi="Times New Roman"/>
          <w:sz w:val="17"/>
          <w:szCs w:val="17"/>
          <w:color w:val="auto"/>
        </w:rPr>
        <w:t>the consummation of our initial public offering. As a result, we will not issue additional options under the SCA Acquisition Equity Plan. This summary is qualified in its entirety by reference to the Omnibus Incentive Plan.</w:t>
      </w:r>
    </w:p>
    <w:p>
      <w:pPr>
        <w:spacing w:after="0" w:line="30"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of our board of directors administers the Omnibus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Any current or prospective employees, directors, officers, consultants or advisors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affiliates who are selected by the compensation committee will be eligible for awards under the Omnibus Incentive Plan. The compensation committee has the sole and complete authority to determine who will be granted an award under the Omnibus Incentive Plan.</w:t>
      </w:r>
    </w:p>
    <w:p>
      <w:pPr>
        <w:spacing w:after="0" w:line="72" w:lineRule="exact"/>
        <w:rPr>
          <w:sz w:val="20"/>
          <w:szCs w:val="20"/>
          <w:color w:val="auto"/>
        </w:rPr>
      </w:pPr>
    </w:p>
    <w:p>
      <w:pPr>
        <w:ind w:left="300" w:right="79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Number of Shares Authorized</w:t>
      </w:r>
      <w:r>
        <w:rPr>
          <w:rFonts w:ascii="Times New Roman" w:cs="Times New Roman" w:eastAsia="Times New Roman" w:hAnsi="Times New Roman"/>
          <w:sz w:val="18"/>
          <w:szCs w:val="18"/>
          <w:color w:val="auto"/>
        </w:rPr>
        <w:t>. Pursuant to the Omnibus Incentive Plan, we have reserved an aggregate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3,600,000 shares of our common stock for issuance of awards to be granted thereunder. No more than</w:t>
      </w: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 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8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 in Capitalization. </w:t>
      </w:r>
      <w:r>
        <w:rPr>
          <w:rFonts w:ascii="Times New Roman" w:cs="Times New Roman" w:eastAsia="Times New Roman" w:hAnsi="Times New Roman"/>
          <w:sz w:val="18"/>
          <w:szCs w:val="18"/>
          <w:color w:val="auto"/>
        </w:rPr>
        <w:t>If there is a change in our capitalization in the event of a stock or extraordinary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8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Awards Available for Grant. </w:t>
      </w:r>
      <w:r>
        <w:rPr>
          <w:rFonts w:ascii="Times New Roman" w:cs="Times New Roman" w:eastAsia="Times New Roman" w:hAnsi="Times New Roman"/>
          <w:sz w:val="18"/>
          <w:szCs w:val="18"/>
          <w:color w:val="auto"/>
        </w:rPr>
        <w:t>The compensation committee may grant awards of non-qualified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75" w:lineRule="exact"/>
        <w:rPr>
          <w:sz w:val="20"/>
          <w:szCs w:val="20"/>
          <w:color w:val="auto"/>
        </w:rPr>
      </w:pPr>
    </w:p>
    <w:p>
      <w:pPr>
        <w:jc w:val="both"/>
        <w:ind w:left="300" w:right="4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compensation committee is authorized to grant options to purchase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are either “qualified,” meaning they are intended to satisfy the requirements of Section 422 of the Code for incentive stock options, or “non-qualified,” meaning they are not intended to satisfy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93"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compensation committee is authorized to award SARs under the Omnibus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8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compensation committee is authorized to grant restricted stock under the Omnibus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The compensation committee is authorized to grant restricted stock unit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39"/>
        <w:spacing w:after="0" w:line="261" w:lineRule="auto"/>
        <w:rPr>
          <w:sz w:val="20"/>
          <w:szCs w:val="20"/>
          <w:color w:val="auto"/>
        </w:rPr>
      </w:pPr>
      <w:r>
        <w:rPr>
          <w:rFonts w:ascii="Times New Roman" w:cs="Times New Roman" w:eastAsia="Times New Roman" w:hAnsi="Times New Roman"/>
          <w:sz w:val="18"/>
          <w:szCs w:val="18"/>
          <w:color w:val="auto"/>
        </w:rPr>
        <w:t>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70"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and Other Cash-Based Awards. </w:t>
      </w:r>
      <w:r>
        <w:rPr>
          <w:rFonts w:ascii="Times New Roman" w:cs="Times New Roman" w:eastAsia="Times New Roman" w:hAnsi="Times New Roman"/>
          <w:sz w:val="18"/>
          <w:szCs w:val="18"/>
          <w:color w:val="auto"/>
        </w:rPr>
        <w:t>The compensation committee is authorized to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75"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Effect of Termination of Service a Change in Control. </w:t>
      </w:r>
      <w:r>
        <w:rPr>
          <w:rFonts w:ascii="Times New Roman" w:cs="Times New Roman" w:eastAsia="Times New Roman" w:hAnsi="Times New Roman"/>
          <w:sz w:val="18"/>
          <w:szCs w:val="18"/>
          <w:color w:val="auto"/>
        </w:rPr>
        <w:t>To the extent permitted under Section 409A of the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79"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Nontransferability. </w:t>
      </w:r>
      <w:r>
        <w:rPr>
          <w:rFonts w:ascii="Times New Roman" w:cs="Times New Roman" w:eastAsia="Times New Roman" w:hAnsi="Times New Roman"/>
          <w:sz w:val="18"/>
          <w:szCs w:val="18"/>
          <w:color w:val="auto"/>
        </w:rPr>
        <w:t>Each award may be exercised during the participant’s lifetime by the participant or,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7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The Omnibus Incentive Plan has a term of ten years. The board of directors may amend, suspend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terminate the Omnibus 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77" w:lineRule="exact"/>
        <w:rPr>
          <w:sz w:val="20"/>
          <w:szCs w:val="20"/>
          <w:color w:val="auto"/>
        </w:rPr>
      </w:pPr>
    </w:p>
    <w:p>
      <w:pPr>
        <w:ind w:left="300" w:right="399" w:firstLine="360"/>
        <w:spacing w:after="0" w:line="268" w:lineRule="auto"/>
        <w:rPr>
          <w:sz w:val="20"/>
          <w:szCs w:val="20"/>
          <w:color w:val="auto"/>
        </w:rPr>
      </w:pPr>
      <w:r>
        <w:rPr>
          <w:rFonts w:ascii="Times New Roman" w:cs="Times New Roman" w:eastAsia="Times New Roman" w:hAnsi="Times New Roman"/>
          <w:sz w:val="17"/>
          <w:szCs w:val="17"/>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w:t>
      </w:r>
    </w:p>
    <w:p>
      <w:pPr>
        <w:spacing w:after="0" w:line="5" w:lineRule="exact"/>
        <w:rPr>
          <w:sz w:val="20"/>
          <w:szCs w:val="20"/>
          <w:color w:val="auto"/>
        </w:rPr>
      </w:pPr>
    </w:p>
    <w:p>
      <w:pPr>
        <w:ind w:left="300" w:right="319" w:hanging="8"/>
        <w:spacing w:after="0" w:line="253" w:lineRule="auto"/>
        <w:tabs>
          <w:tab w:leader="none" w:pos="5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56" w:lineRule="auto"/>
        <w:rPr>
          <w:sz w:val="20"/>
          <w:szCs w:val="20"/>
          <w:color w:val="auto"/>
        </w:rPr>
      </w:pPr>
      <w:r>
        <w:rPr>
          <w:rFonts w:ascii="Times New Roman" w:cs="Times New Roman" w:eastAsia="Times New Roman" w:hAnsi="Times New Roman"/>
          <w:sz w:val="18"/>
          <w:szCs w:val="18"/>
          <w:color w:val="auto"/>
        </w:rPr>
        <w:t>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77"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Clawback/Forfeiture. </w:t>
      </w:r>
      <w:r>
        <w:rPr>
          <w:rFonts w:ascii="Times New Roman" w:cs="Times New Roman" w:eastAsia="Times New Roman" w:hAnsi="Times New Roman"/>
          <w:sz w:val="18"/>
          <w:szCs w:val="18"/>
          <w:color w:val="auto"/>
        </w:rPr>
        <w:t>Awards may be subject to clawback or forfeiture to the extent required by applicable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7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Whistleblower Acknowledgments</w:t>
      </w:r>
      <w:r>
        <w:rPr>
          <w:rFonts w:ascii="Times New Roman" w:cs="Times New Roman" w:eastAsia="Times New Roman" w:hAnsi="Times New Roman"/>
          <w:sz w:val="18"/>
          <w:szCs w:val="18"/>
          <w:color w:val="auto"/>
        </w:rPr>
        <w:t>. Nothing in the Omnibus Incentive Plan or award agreement will (i) prohibit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Federal Income Tax Consequences</w:t>
      </w:r>
    </w:p>
    <w:p>
      <w:pPr>
        <w:spacing w:after="0" w:line="11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7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Holders of incentive stock options will generally incur no federal income tax liability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8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No income will be realized by a participant upon grant or vesting of a SAR. Upon the exercise of a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participant will not be subject to tax upon the grant of an award of restricted stock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77" w:lineRule="exact"/>
        <w:rPr>
          <w:sz w:val="20"/>
          <w:szCs w:val="20"/>
          <w:color w:val="auto"/>
        </w:rPr>
      </w:pPr>
    </w:p>
    <w:p>
      <w:pPr>
        <w:ind w:left="30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participant will not be subject to tax upon the grant or vesting of a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7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162(m). </w:t>
      </w:r>
      <w:r>
        <w:rPr>
          <w:rFonts w:ascii="Times New Roman" w:cs="Times New Roman" w:eastAsia="Times New Roman" w:hAnsi="Times New Roman"/>
          <w:sz w:val="18"/>
          <w:szCs w:val="18"/>
          <w:color w:val="auto"/>
        </w:rPr>
        <w:t>In general, Section 162(m) of the Code denies a publicly held corporation a deduction for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 Section 162(m) may provide us, as a new publicly traded company, transition relief from the $1,000,000 deduction limitation until our first stockholders meeting at which directors are elected in 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During 2021, none of the members of our board of directors received any compensation from the Company for their services on the board, except as set forth below.</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9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20" w:type="dxa"/>
            <w:vAlign w:val="bottom"/>
          </w:tcPr>
          <w:p>
            <w:pPr>
              <w:spacing w:after="0"/>
              <w:rPr>
                <w:sz w:val="12"/>
                <w:szCs w:val="12"/>
                <w:color w:val="auto"/>
              </w:rPr>
            </w:pPr>
          </w:p>
        </w:tc>
        <w:tc>
          <w:tcPr>
            <w:tcW w:w="90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206"/>
              <w:spacing w:after="0" w:line="230" w:lineRule="exact"/>
              <w:rPr>
                <w:sz w:val="20"/>
                <w:szCs w:val="20"/>
                <w:color w:val="auto"/>
              </w:rPr>
            </w:pPr>
            <w:r>
              <w:rPr>
                <w:rFonts w:ascii="Times New Roman" w:cs="Times New Roman" w:eastAsia="Times New Roman" w:hAnsi="Times New Roman"/>
                <w:sz w:val="26"/>
                <w:szCs w:val="26"/>
                <w:b w:val="1"/>
                <w:bCs w:val="1"/>
                <w:color w:val="auto"/>
                <w:w w:val="90"/>
                <w:vertAlign w:val="subscript"/>
              </w:rPr>
              <w:t>($)</w:t>
            </w:r>
            <w:r>
              <w:rPr>
                <w:rFonts w:ascii="Times New Roman" w:cs="Times New Roman" w:eastAsia="Times New Roman" w:hAnsi="Times New Roman"/>
                <w:sz w:val="11"/>
                <w:szCs w:val="11"/>
                <w:b w:val="1"/>
                <w:bCs w:val="1"/>
                <w:color w:val="auto"/>
                <w:w w:val="90"/>
              </w:rPr>
              <w:t>(1)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40"/>
              <w:spacing w:after="0" w:line="230"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11"/>
                <w:szCs w:val="11"/>
                <w:b w:val="1"/>
                <w:bCs w:val="1"/>
                <w:color w:val="auto"/>
                <w:w w:val="96"/>
              </w:rPr>
              <w:t>(2)</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0"/>
                <w:vertAlign w:val="subscript"/>
              </w:rPr>
              <w:t>($)</w:t>
            </w:r>
            <w:r>
              <w:rPr>
                <w:rFonts w:ascii="Times New Roman" w:cs="Times New Roman" w:eastAsia="Times New Roman" w:hAnsi="Times New Roman"/>
                <w:sz w:val="11"/>
                <w:szCs w:val="11"/>
                <w:b w:val="1"/>
                <w:bCs w:val="1"/>
                <w:color w:val="auto"/>
                <w:w w:val="90"/>
              </w:rPr>
              <w:t>(3)</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0"/>
        </w:trPr>
        <w:tc>
          <w:tcPr>
            <w:tcW w:w="4560" w:type="dxa"/>
            <w:vAlign w:val="bottom"/>
            <w:gridSpan w:val="2"/>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David Siegel</w:t>
            </w:r>
            <w:r>
              <w:rPr>
                <w:rFonts w:ascii="Times New Roman" w:cs="Times New Roman" w:eastAsia="Times New Roman" w:hAnsi="Times New Roman"/>
                <w:sz w:val="29"/>
                <w:szCs w:val="29"/>
                <w:color w:val="auto"/>
                <w:vertAlign w:val="superscript"/>
              </w:rPr>
              <w:t>(4)</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13,012</w:t>
            </w:r>
          </w:p>
        </w:tc>
        <w:tc>
          <w:tcPr>
            <w:tcW w:w="0" w:type="dxa"/>
            <w:vAlign w:val="bottom"/>
          </w:tcPr>
          <w:p>
            <w:pPr>
              <w:spacing w:after="0"/>
              <w:rPr>
                <w:sz w:val="1"/>
                <w:szCs w:val="1"/>
                <w:color w:val="auto"/>
              </w:rPr>
            </w:pPr>
          </w:p>
        </w:tc>
      </w:tr>
      <w:tr>
        <w:trPr>
          <w:trHeight w:val="270"/>
        </w:trPr>
        <w:tc>
          <w:tcPr>
            <w:tcW w:w="45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Juan Carlos ZuaZua</w:t>
            </w:r>
            <w:r>
              <w:rPr>
                <w:rFonts w:ascii="Times New Roman" w:cs="Times New Roman" w:eastAsia="Times New Roman" w:hAnsi="Times New Roman"/>
                <w:sz w:val="29"/>
                <w:szCs w:val="29"/>
                <w:color w:val="auto"/>
                <w:vertAlign w:val="superscript"/>
              </w:rPr>
              <w:t>(5)</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$37,000</w:t>
            </w:r>
          </w:p>
        </w:tc>
        <w:tc>
          <w:tcPr>
            <w:tcW w:w="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7"/>
              </w:rPr>
              <w:t>$120,000</w:t>
            </w:r>
          </w:p>
        </w:tc>
        <w:tc>
          <w:tcPr>
            <w:tcW w:w="220" w:type="dxa"/>
            <w:vAlign w:val="bottom"/>
          </w:tcPr>
          <w:p>
            <w:pPr>
              <w:spacing w:after="0"/>
              <w:rPr>
                <w:sz w:val="23"/>
                <w:szCs w:val="23"/>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$157,000</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Kerry Philipovitch</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$108,671</w:t>
            </w: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Kennedy</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$52,500</w:t>
            </w:r>
          </w:p>
        </w:tc>
        <w:tc>
          <w:tcPr>
            <w:tcW w:w="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7"/>
              </w:rPr>
              <w:t>$120,000</w:t>
            </w:r>
          </w:p>
        </w:tc>
        <w:tc>
          <w:tcPr>
            <w:tcW w:w="220" w:type="dxa"/>
            <w:vAlign w:val="bottom"/>
          </w:tcPr>
          <w:p>
            <w:pPr>
              <w:spacing w:after="0"/>
              <w:rPr>
                <w:sz w:val="21"/>
                <w:szCs w:val="21"/>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Marion Blakey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-899795</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-899795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-899795</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-899795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reflects an annual cash retainer amount. Mr. Kennedy and Ms. Blakey joined our board of directors on April 27, 2021 and</w:t>
      </w:r>
    </w:p>
    <w:p>
      <w:pPr>
        <w:spacing w:after="0" w:line="3" w:lineRule="exact"/>
        <w:rPr>
          <w:rFonts w:ascii="Times New Roman" w:cs="Times New Roman" w:eastAsia="Times New Roman" w:hAnsi="Times New Roman"/>
          <w:sz w:val="14"/>
          <w:szCs w:val="14"/>
          <w:color w:val="auto"/>
        </w:rPr>
      </w:pPr>
    </w:p>
    <w:p>
      <w:pPr>
        <w:ind w:left="640" w:right="3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December 17, 2021, respectively. Each of Mr. Kennedy’s and Ms. Blakey’s annual cash retainer amount will be $50,000, payable quarterly in arrears.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59" w:hanging="348"/>
        <w:spacing w:after="0" w:line="228"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aggregate grant date fair value of each award granted in 2021. In 2021, certain directors were granted restricted stock units which were scheduled to vest on April 27, 2022, subject to continued service on the board as follows: Mr. ZuaZua – 2,955; Ms. Philipovitch – 1,724 and Mr. Kennedy – 2,955. Mr. ZuaZua’s restricted stock units were forfeited in connection with his resignation from the Board on November 12, 2021.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 Mr. ZuaZua was granted an award of options to purchase 4,722 shares of SCA common stock, which fully vested on April 17, 2020.</w:t>
      </w:r>
    </w:p>
    <w:p>
      <w:pPr>
        <w:spacing w:after="0" w:line="18"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under “All Other Compensation” represent the Company’s contributions in respect of life insurance, AD&amp;D and our 401(k) Plan. The value of this benefit is reported as taxable income with taxes on such income paid for by the Company.</w:t>
      </w:r>
    </w:p>
    <w:p>
      <w:pPr>
        <w:ind w:left="640" w:right="6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upon his termination of service without cause, Mr. Siegel shall be eligible to receive certain Post Termination Health Care Benefits, as approved by our board of directors on March 6, 2021.</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November 12, 2021, Mr. ZuaZua resigned from our board of directors.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1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Other than compensation arrangements for our executive officers and directors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 discussion of compensation arrangements for our named executive officers and directors) and the transactions discussed below, there were no transactions since the beginning of our 2021 fiscal year, or any currently proposed transaction, to which we were a party or will be a party, in which:</w:t>
      </w:r>
    </w:p>
    <w:p>
      <w:pPr>
        <w:spacing w:after="0" w:line="74"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72"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General Counsel and Audit Committee.</w:t>
      </w:r>
    </w:p>
    <w:p>
      <w:pPr>
        <w:spacing w:after="0" w:line="8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The policy requires that notice of a proposed related person transaction be provided to the General Counsel prior to entry into such transaction. If the General Counsel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8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Offerings</w:t>
      </w:r>
    </w:p>
    <w:p>
      <w:pPr>
        <w:spacing w:after="0" w:line="121"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An affiliate of Apollo, Apollo Global Securities, LLC, was an underwriter in our initial public offering and received underwriting discounts and commissions in connection with our initial public offering of approximately $1.0 million.</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Apollo Global Securities, LLC was an underwriter in a secondary offering of our Common Stock by the Apollo Stockholder, which closed in May 2021, and received underwriting discounts and commissions in connection with such offering of approximately $704,727.</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Apollo Global Securities, LLC was an underwriter in a secondary offering of our Common Stock, which closed in October 2021, and received underwriting discounts and commissions in connection with such offering of approximately $707,843.</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Swissport</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use Swissport International Ltd. (“Swissport”), an aviation services company providing airport ground and cargo handling services headquartered in Opfikon, Switzerland, for certain ground services. Swissport is partially owned by investment funds managed by affiliates of Apollo and David Siegel, our Chairman serves on Swissport’s Board of Directors. We expensed approximately $2.7 million of ground handling services with Swissport in 2021, which services were provided on an arms’ length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86"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8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the Stockholders Agreement sets forth certain information rights granted to the Apollo Stockholder.</w:t>
      </w:r>
    </w:p>
    <w:p>
      <w:pPr>
        <w:spacing w:after="0" w:line="117"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68" w:lineRule="exact"/>
        <w:rPr>
          <w:sz w:val="20"/>
          <w:szCs w:val="20"/>
          <w:color w:val="auto"/>
        </w:rPr>
      </w:pPr>
    </w:p>
    <w:p>
      <w:pPr>
        <w:ind w:left="1000" w:right="53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75"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any liquidation, dissolution or winding up of the Company, Sun Country, Inc. or any other material subsidiary of the Company;</w:t>
      </w:r>
    </w:p>
    <w:p>
      <w:pPr>
        <w:spacing w:after="0" w:line="53" w:lineRule="exact"/>
        <w:rPr>
          <w:rFonts w:ascii="Times New Roman" w:cs="Times New Roman" w:eastAsia="Times New Roman" w:hAnsi="Times New Roman"/>
          <w:sz w:val="18"/>
          <w:szCs w:val="18"/>
          <w:color w:val="auto"/>
        </w:rPr>
      </w:pPr>
    </w:p>
    <w:p>
      <w:pPr>
        <w:ind w:left="1000" w:right="539" w:hanging="34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 (ii) intercompany indebtedness or (iii) financing arrangements for aircraft and engines permitted to be acquired under the Stockholders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or terminating any executive officer of our Company or designating any new executive officer of the Company;</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any material change in the nature of the business of the Company and its subsidiaries, taken as a whole;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size of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On March 19, 2021, we entered into a registration rights agreement (the “Registration Rights Agreement”) with the Apollo Stockholder, Amazon, PAR Investment Partners, L.P. (“PAR Capital”)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6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we become eligible to register the sale of our securities on Form S-3 under the Securities Act, which will not be until at least twelve calendar months after the date of our initial public offering,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75"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All expenses of registration under the Registration Rights Agreement, including the legal fees of counsel chosen by stockholders participating in a registration, will be paid by us.</w:t>
      </w:r>
    </w:p>
    <w:p>
      <w:pPr>
        <w:spacing w:after="0" w:line="54" w:lineRule="exact"/>
        <w:rPr>
          <w:sz w:val="20"/>
          <w:szCs w:val="20"/>
          <w:color w:val="auto"/>
        </w:rPr>
      </w:pPr>
    </w:p>
    <w:p>
      <w:pPr>
        <w:ind w:left="300" w:right="799" w:firstLine="360"/>
        <w:spacing w:after="0" w:line="258" w:lineRule="auto"/>
        <w:rPr>
          <w:sz w:val="20"/>
          <w:szCs w:val="20"/>
          <w:color w:val="auto"/>
        </w:rPr>
      </w:pPr>
      <w:r>
        <w:rPr>
          <w:rFonts w:ascii="Times New Roman" w:cs="Times New Roman" w:eastAsia="Times New Roman" w:hAnsi="Times New Roman"/>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Income Tax Receivable Agreement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March 19, 2021, we entered into an income tax receivable agreement pursuant to which our pre-IPO stockholders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80"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We expect to be able to utilize the Pre-IPO Tax Attributes. We expect that the Pre-IPO Tax Attributes will reduce the amount of tax that we and our subsidiaries would otherwise be required to pay in the future.</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Any future changes in the realizability of our Pre-IPO Tax Attributes in each case, attributable to periods prior to our initial public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$98.8 million as of December 31, 2021.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8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80"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88"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75" w:lineRule="exact"/>
        <w:rPr>
          <w:sz w:val="20"/>
          <w:szCs w:val="20"/>
          <w:color w:val="auto"/>
        </w:rPr>
      </w:pPr>
    </w:p>
    <w:p>
      <w:pPr>
        <w:ind w:left="300" w:right="619" w:firstLine="360"/>
        <w:spacing w:after="0" w:line="289" w:lineRule="auto"/>
        <w:rPr>
          <w:sz w:val="20"/>
          <w:szCs w:val="20"/>
          <w:color w:val="auto"/>
        </w:rPr>
      </w:pPr>
      <w:r>
        <w:rPr>
          <w:rFonts w:ascii="Times New Roman" w:cs="Times New Roman" w:eastAsia="Times New Roman" w:hAnsi="Times New Roman"/>
          <w:sz w:val="17"/>
          <w:szCs w:val="17"/>
          <w:color w:val="auto"/>
        </w:rPr>
        <w:t>No payments under the income tax receivable agreement will be required until at least 12 months after the closing date of our initial public offering. Our first obligations to pay amounts owed to our pre-IPO stockholders under the income tax receivable agreement will not arise until 2023 at the earliest. In addition, if we 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and discussed with the Company’s management and with KPMG LLP (“KPMG”) the audited financial statements of the Company for the fiscal year ended December 31, 2021. The Audit Committee has discussed with KPMG the matters required to be discussed under the standards of the Public Company Accounting Oversight Board (“PCAOB”) and the SEC.</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also received the written disclosures and the letter from KPMG required by the applicable requirements of the PCAOB regarding the independent accountant’s communication with the Audit Committee concerning independence and the Audit Committee has discussed the independence of KPMG with that firm.</w:t>
      </w:r>
    </w:p>
    <w:p>
      <w:pPr>
        <w:spacing w:after="0" w:line="72" w:lineRule="exact"/>
        <w:rPr>
          <w:sz w:val="20"/>
          <w:szCs w:val="20"/>
          <w:color w:val="auto"/>
        </w:rPr>
      </w:pPr>
    </w:p>
    <w:p>
      <w:pPr>
        <w:ind w:left="300" w:right="739" w:firstLine="360"/>
        <w:spacing w:after="0" w:line="289" w:lineRule="auto"/>
        <w:rPr>
          <w:sz w:val="20"/>
          <w:szCs w:val="20"/>
          <w:color w:val="auto"/>
        </w:rPr>
      </w:pPr>
      <w:r>
        <w:rPr>
          <w:rFonts w:ascii="Times New Roman" w:cs="Times New Roman" w:eastAsia="Times New Roman" w:hAnsi="Times New Roman"/>
          <w:sz w:val="17"/>
          <w:szCs w:val="17"/>
          <w:color w:val="auto"/>
        </w:rPr>
        <w:t>Based on the Audit Committee’s review and discussions of the matters noted above, the Audit Committee recommended to the Board of Directors that the Company’s audited financial statements be included in the Company’s Annual Report on Form 10-K for the fiscal year ended December 31, 2021 for filing with the SEC.</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Thomas C. Kennedy, Chairman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Marion Blakey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Kerry Philipovitch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AUDIT-RELATED FEES, TAX FEES AND ALL OTHER FEES</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Fees paid or accrued for professional services provided by our independent auditors in each of the categories listed are as follows for the periods presented. All such fees are in accordance with our approval policies described below.</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50"/>
        </w:trPr>
        <w:tc>
          <w:tcPr>
            <w:tcW w:w="6480" w:type="dxa"/>
            <w:vAlign w:val="bottom"/>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7"/>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9"/>
                <w:szCs w:val="19"/>
                <w:color w:val="auto"/>
              </w:rPr>
            </w:pPr>
          </w:p>
        </w:tc>
      </w:tr>
      <w:tr>
        <w:trPr>
          <w:trHeight w:val="50"/>
        </w:trPr>
        <w:tc>
          <w:tcPr>
            <w:tcW w:w="606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601,800</w:t>
            </w:r>
          </w:p>
        </w:tc>
        <w:tc>
          <w:tcPr>
            <w:tcW w:w="4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$597,000</w:t>
            </w:r>
          </w:p>
        </w:tc>
      </w:tr>
      <w:tr>
        <w:trPr>
          <w:trHeight w:val="27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543,978</w:t>
            </w:r>
          </w:p>
        </w:tc>
        <w:tc>
          <w:tcPr>
            <w:tcW w:w="400" w:type="dxa"/>
            <w:vAlign w:val="bottom"/>
          </w:tcPr>
          <w:p>
            <w:pPr>
              <w:spacing w:after="0"/>
              <w:rPr>
                <w:sz w:val="23"/>
                <w:szCs w:val="23"/>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173,780</w:t>
            </w:r>
          </w:p>
        </w:tc>
      </w:tr>
      <w:tr>
        <w:trPr>
          <w:trHeight w:val="54"/>
        </w:trPr>
        <w:tc>
          <w:tcPr>
            <w:tcW w:w="6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14,890</w:t>
            </w:r>
          </w:p>
        </w:tc>
        <w:tc>
          <w:tcPr>
            <w:tcW w:w="4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75,646</w:t>
            </w:r>
          </w:p>
        </w:tc>
      </w:tr>
      <w:tr>
        <w:trPr>
          <w:trHeight w:val="25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22"/>
                <w:szCs w:val="22"/>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6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
        </w:trPr>
        <w:tc>
          <w:tcPr>
            <w:tcW w:w="6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11"/>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1,160,668</w:t>
            </w:r>
          </w:p>
        </w:tc>
        <w:tc>
          <w:tcPr>
            <w:tcW w:w="4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846,426</w:t>
            </w:r>
          </w:p>
        </w:tc>
      </w:tr>
      <w:tr>
        <w:trPr>
          <w:trHeight w:val="54"/>
        </w:trPr>
        <w:tc>
          <w:tcPr>
            <w:tcW w:w="6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-1096645</wp:posOffset>
            </wp:positionV>
            <wp:extent cx="257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-1096645</wp:posOffset>
            </wp:positionV>
            <wp:extent cx="257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68"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—primarily represent amounts for services related to the audit of our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reviews of our interim condensed consolidated financial statements, and the issuance of consents and for other periodic reports or documents filed with the SEC.</w:t>
      </w:r>
    </w:p>
    <w:p>
      <w:pPr>
        <w:spacing w:after="0" w:line="65" w:lineRule="exact"/>
        <w:rPr>
          <w:sz w:val="20"/>
          <w:szCs w:val="20"/>
          <w:color w:val="auto"/>
        </w:rPr>
      </w:pPr>
    </w:p>
    <w:p>
      <w:pPr>
        <w:ind w:left="300" w:right="45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Audit-Related Fees</w:t>
      </w:r>
      <w:r>
        <w:rPr>
          <w:rFonts w:ascii="Times New Roman" w:cs="Times New Roman" w:eastAsia="Times New Roman" w:hAnsi="Times New Roman"/>
          <w:sz w:val="17"/>
          <w:szCs w:val="17"/>
          <w:color w:val="auto"/>
        </w:rPr>
        <w:t>—represent amounts for assurance and related services that are reasonably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of the audit or review of our financial statements, including fees related to the Company's filings with the SEC and related comfort letters for its initial public offering and secondary offerings, and annual PFC audit.</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—represent amounts for tax compliance, tax advice, and tax planning services.</w:t>
      </w:r>
    </w:p>
    <w:p>
      <w:pPr>
        <w:spacing w:after="0" w:line="117" w:lineRule="exact"/>
        <w:rPr>
          <w:sz w:val="20"/>
          <w:szCs w:val="20"/>
          <w:color w:val="auto"/>
        </w:rPr>
      </w:pPr>
    </w:p>
    <w:p>
      <w:pPr>
        <w:ind w:left="300" w:right="6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—consist of all other fees for services other than those in the above categories and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non-audit due diligence procedures in connection with our mergers and acquisitions.</w:t>
      </w:r>
    </w:p>
    <w:p>
      <w:pPr>
        <w:spacing w:after="0" w:line="52" w:lineRule="exact"/>
        <w:rPr>
          <w:sz w:val="20"/>
          <w:szCs w:val="20"/>
          <w:color w:val="auto"/>
        </w:rPr>
      </w:pPr>
    </w:p>
    <w:p>
      <w:pPr>
        <w:jc w:val="both"/>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adopted a pre-approval policy that provides guidelines for the audit, audit-related, tax, and other permissible non-audit services that may be provided by the independent auditors. The policy identifies the guiding principles that must be considered by the Audit Committee in approving services to ensure that the auditors’ independence is not impaired. Under the policy, the Audit Committee annually, and from time to time, pre-approves the audit engagement fees and terms of all audit and permitted non-audit services to be provided by the independent auditor.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1780" w:right="220"/>
        <w:spacing w:after="0" w:line="286" w:lineRule="auto"/>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5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has appointed KPMG LLP to be the Company’s independent registered public accounting firm for the fiscal year ending December 31, 2022. KPMG LLP has served as the Company’s or its predecessor’s independent registered public accounting firm since fiscal year 2018 and is considered by the Audit Committee and the Board of Directors to be well qualified. Representatives of KPMG LLP are expected to be present at the Annual Meeting. Such representatives will have the opportunity to make a statement if they desire to do so and will be available to respond to appropriate questions.</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proposal will be approved by the affirmative vote of a majority of the shares of our Common Stock present in person or by proxy at the Annual Meeting and entitled to vote. Abstentions will have the effect of voting “against” the proposal. Brokers have discretion to vote any uninstructed shares over the ratification of appointment of accountants.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that the stockholders vote FOR such ratification.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the Record Date (or such other date indicated in the footnotes below), by:</w:t>
      </w:r>
    </w:p>
    <w:p>
      <w:pPr>
        <w:spacing w:after="0" w:line="54" w:lineRule="exact"/>
        <w:rPr>
          <w:sz w:val="20"/>
          <w:szCs w:val="20"/>
          <w:color w:val="auto"/>
        </w:rPr>
      </w:pPr>
    </w:p>
    <w:p>
      <w:pPr>
        <w:ind w:left="1000" w:right="9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we know to beneficially own more than 5% of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for fiscal year 2021;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7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r>
      <w:tr>
        <w:trPr>
          <w:trHeight w:val="190"/>
        </w:trPr>
        <w:tc>
          <w:tcPr>
            <w:tcW w:w="6700" w:type="dxa"/>
            <w:vAlign w:val="bottom"/>
          </w:tcPr>
          <w:p>
            <w:pPr>
              <w:spacing w:after="0"/>
              <w:rPr>
                <w:sz w:val="16"/>
                <w:szCs w:val="16"/>
                <w:color w:val="auto"/>
              </w:rPr>
            </w:pPr>
          </w:p>
        </w:tc>
        <w:tc>
          <w:tcPr>
            <w:tcW w:w="172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37"/>
        </w:trPr>
        <w:tc>
          <w:tcPr>
            <w:tcW w:w="670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13"/>
        </w:trPr>
        <w:tc>
          <w:tcPr>
            <w:tcW w:w="67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67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84"/>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9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r>
      <w:tr>
        <w:trPr>
          <w:trHeight w:val="297"/>
        </w:trPr>
        <w:tc>
          <w:tcPr>
            <w:tcW w:w="67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SCA Horus Holdings, LLC</w:t>
            </w:r>
            <w:r>
              <w:rPr>
                <w:rFonts w:ascii="Times New Roman" w:cs="Times New Roman" w:eastAsia="Times New Roman" w:hAnsi="Times New Roman"/>
                <w:sz w:val="29"/>
                <w:szCs w:val="29"/>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24,869,997</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97"/>
        </w:trPr>
        <w:tc>
          <w:tcPr>
            <w:tcW w:w="67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U.S. Global Jets ETF</w:t>
            </w:r>
            <w:r>
              <w:rPr>
                <w:rFonts w:ascii="Times New Roman" w:cs="Times New Roman" w:eastAsia="Times New Roman" w:hAnsi="Times New Roman"/>
                <w:sz w:val="29"/>
                <w:szCs w:val="29"/>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3,612,469</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7"/>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41"/>
        </w:trPr>
        <w:tc>
          <w:tcPr>
            <w:tcW w:w="6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97"/>
        </w:trPr>
        <w:tc>
          <w:tcPr>
            <w:tcW w:w="67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Jude Bricker</w:t>
            </w:r>
            <w:r>
              <w:rPr>
                <w:rFonts w:ascii="Times New Roman" w:cs="Times New Roman" w:eastAsia="Times New Roman" w:hAnsi="Times New Roman"/>
                <w:sz w:val="29"/>
                <w:szCs w:val="29"/>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782,955</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67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Dave Davis</w:t>
            </w:r>
            <w:r>
              <w:rPr>
                <w:rFonts w:ascii="Times New Roman" w:cs="Times New Roman" w:eastAsia="Times New Roman" w:hAnsi="Times New Roman"/>
                <w:sz w:val="29"/>
                <w:szCs w:val="29"/>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194,789</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Gregory Mays</w:t>
            </w:r>
            <w:r>
              <w:rPr>
                <w:rFonts w:ascii="Times New Roman" w:cs="Times New Roman" w:eastAsia="Times New Roman" w:hAnsi="Times New Roman"/>
                <w:sz w:val="29"/>
                <w:szCs w:val="29"/>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240,029</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Marion Blakey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97"/>
        </w:trPr>
        <w:tc>
          <w:tcPr>
            <w:tcW w:w="67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Thomas C. Kennedy</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Patrick Kearney</w:t>
            </w:r>
            <w:r>
              <w:rPr>
                <w:rFonts w:ascii="Times New Roman" w:cs="Times New Roman" w:eastAsia="Times New Roman" w:hAnsi="Times New Roman"/>
                <w:sz w:val="29"/>
                <w:szCs w:val="29"/>
                <w:color w:val="auto"/>
                <w:vertAlign w:val="superscript"/>
              </w:rPr>
              <w:t>(1)(7)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Antoine Munfakh</w:t>
            </w:r>
            <w:r>
              <w:rPr>
                <w:rFonts w:ascii="Times New Roman" w:cs="Times New Roman" w:eastAsia="Times New Roman" w:hAnsi="Times New Roman"/>
                <w:sz w:val="29"/>
                <w:szCs w:val="29"/>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Kerry Philipovitch</w:t>
            </w:r>
            <w:r>
              <w:rPr>
                <w:rFonts w:ascii="Times New Roman" w:cs="Times New Roman" w:eastAsia="Times New Roman" w:hAnsi="Times New Roman"/>
                <w:sz w:val="29"/>
                <w:szCs w:val="29"/>
                <w:color w:val="auto"/>
                <w:vertAlign w:val="superscript"/>
              </w:rPr>
              <w:t>(8)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David Siegel</w:t>
            </w:r>
            <w:r>
              <w:rPr>
                <w:rFonts w:ascii="Times New Roman" w:cs="Times New Roman" w:eastAsia="Times New Roman" w:hAnsi="Times New Roman"/>
                <w:sz w:val="29"/>
                <w:szCs w:val="29"/>
                <w:color w:val="auto"/>
                <w:vertAlign w:val="superscript"/>
              </w:rPr>
              <w:t>(9)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392,461</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All current directors and executive officers as a group </w:t>
            </w:r>
            <w:r>
              <w:rPr>
                <w:rFonts w:ascii="Times New Roman" w:cs="Times New Roman" w:eastAsia="Times New Roman" w:hAnsi="Times New Roman"/>
                <w:sz w:val="18"/>
                <w:szCs w:val="18"/>
                <w:color w:val="auto"/>
              </w:rPr>
              <w:t>(15 persons)</w:t>
            </w:r>
            <w:r>
              <w:rPr>
                <w:rFonts w:ascii="Times New Roman" w:cs="Times New Roman" w:eastAsia="Times New Roman" w:hAnsi="Times New Roman"/>
                <w:sz w:val="29"/>
                <w:szCs w:val="29"/>
                <w:color w:val="auto"/>
                <w:vertAlign w:val="superscript"/>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1,988,200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-2726055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-2726055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59055</wp:posOffset>
            </wp:positionV>
            <wp:extent cx="8229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18" w:lineRule="exact"/>
        <w:rPr>
          <w:sz w:val="20"/>
          <w:szCs w:val="20"/>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jc w:val="both"/>
        <w:ind w:left="640" w:right="5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Apollo Stockholder is managed by a board of directors consisting of Patrick Kearney and Antoine Munfakh.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14"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beneficial ownership of our common stock by U.S. Global Jets ETF is included herein based on a Schedule 13G filed with the SEC on February 3, 2022, relating to such shares beneficially owned as of December 31, 2021. The address for U.S. Global Jets ETF is 615 East Michigan Street, Milwaukee, Wisconsin 53202.</w:t>
      </w:r>
    </w:p>
    <w:p>
      <w:pPr>
        <w:spacing w:after="0" w:line="14"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beneficially owned includes 705,723 shares of common stock issuable upon the exercise of options within 60 days.</w:t>
      </w:r>
    </w:p>
    <w:p>
      <w:pPr>
        <w:ind w:left="640" w:right="57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beneficially owned includes 194,789 shares of common stock issuable upon the exercise of options within 60 days.</w:t>
      </w:r>
    </w:p>
    <w:p>
      <w:pPr>
        <w:ind w:left="640" w:right="57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beneficially owned includes 237,774 shares of common stock issuable upon the exercise of options within 60 days.</w:t>
      </w:r>
    </w:p>
    <w:p>
      <w:pPr>
        <w:ind w:left="640" w:right="31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beneficially owned includes 2,955 shares of common stock issuable upon the vesting of restricted stock units within 60 days.</w:t>
      </w:r>
    </w:p>
    <w:p>
      <w:pPr>
        <w:ind w:left="640" w:right="399" w:hanging="348"/>
        <w:spacing w:after="0" w:line="236"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Patrick Kearney and Antoine Munfakh is affiliated with Apollo Management, L.P. and its affiliated investment managers and advisors. Each of Messrs. Kearney and 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beneficially owned includes 1,724 shares of common stock issuable upon the vesting of restricted stock units within 60 days.</w:t>
      </w:r>
    </w:p>
    <w:p>
      <w:pPr>
        <w:ind w:left="640" w:right="57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beneficially owned includes 217,120 shares of common stock issuable upon the exercise of options within 60 days.</w:t>
      </w:r>
    </w:p>
    <w:p>
      <w:pPr>
        <w:ind w:left="640" w:right="47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beneficially owned includes 1,717,171 shares of common stock issuable upon the exercise of options within 60 days.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the Company’s executive officers, directors, and persons who own more than 10% of a registered class of the Company’s equity securities (the “10% Stockholders”) to file reports of ownership and changes of ownership with the SEC. The Company assists its directors, officers and certain 10% Stockholders by assisting in their completion of Section 16 reports and filing these reports on their behalf. Based solely on a review of Section 16(a) reports filed electronically with the SEC during or with respect to the fiscal year ended 2021, or written representations that no other reports were required, the Company believes that our Section 16(a) reporting persons complied with all applicable filing requirements during the fiscal year ended 2021, except that each of the Form 3 filed for Brian Davis on April 15, 2021 and the Form 4 filed for Thomas C. Kennedy on May 4, 2021 were not filed on a timely basis.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A holder of the Company’s Common Stock who wishes to present a proposal for inclusion in the Company’s proxy statement for the 2023 annual meeting of stockholders (the “2023 Annual Meeting”) pursuant to Rule 14a-8 under the Securities Exchange Act of 1934 (“Rule 14a-8” and “Exchange Act”, respectively) must deliver the proposal to our principal executive offices (Sun Country Airlines Holdings, Inc., 2005 Cargo Road, Minneapolis, MN 55450) to the attention of our Secretary no later than the close of business on December 30, 2022 unless the date of the 2023 Annual Meeting is more than 30 days before or after June 16, 2023, in which case the stockholder proposal must be received a reasonable time before we begin to print and mail our proxy materials.</w:t>
      </w:r>
    </w:p>
    <w:p>
      <w:pPr>
        <w:spacing w:after="0" w:line="8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For any stockholder proposal or director nomination that is not submitted for inclusion in our proxy statement pursuant to the process set forth above but is instead sought to be presented directly at the 2023 Annual Meeting, stockholders are advised to review our bylaws as they contain requirements with respect to advance notice of stockholder proposals and director nominations. 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w:t>
      </w:r>
    </w:p>
    <w:p>
      <w:pPr>
        <w:spacing w:after="0" w:line="88"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68"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In addition to satisfying the advance notice procedures in our bylaws and other requirements under the Exchange Act, stockholders who intend to solicit proxies in support of director nominees other than our nominees must provide notice that sets forth the information required by Rule 14a-19 under the Exchange Act no later than April 17, 2023.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MATTERS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to deliver a single Notice of Internet Availability of Proxy Materials or a single copy of proxy materials to multiple stockholders sharing an address unless a company has received contrary instructions from one or more of the stockholders at that address. This means that only one copy of the Annual Report, this proxy statement and Notice of Internet Availability of Proxy Materials may have been sent to multiple stockholders in your household. If you would prefer to receive separate copies of the Notice of Internet Availability of Proxy Materials and/or proxy statement, either now or in the future, please contact the Legal Department by mailing a request to Sun Country Airlines Holdings, Inc., 2005 Cargo Road Minneapolis, MN 55450, or by calling our telephone number at 651-681-3900. Upon written or oral request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Legal Department, we will promptly provide a separate copy of the Annual Report and this proxy statement and Notice of Internet Availability of Proxy Materials. In addition, stockholders at a shared address who receive multiple Notices of Internet Availability of Proxy Materials or multiple copies of proxy statements may request to receive a single Notice of Internet Availability of Proxy Materials or a single copy of proxy statements in the future in the same manner as described above.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at the time of the preparation of this proxy statement, knows of no business to come before the Annual Meeting other than that referred to herein. If any other business should properly come before the Annual Meeting or any adjournment or postponement thereof, the persons named in the enclosed proxy will have authority to vote, in their discretion, all shares represented by such proxies that have been received and not theretofore properly revoked.</w:t>
      </w:r>
    </w:p>
    <w:p>
      <w:pPr>
        <w:spacing w:after="0" w:line="75"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We file our annual reports on Form 10-K, quarterly reports on Form 10-Q, current reports on Form 8-K, proxy statements, and other documents electronically with the SEC under the Exchange Act. You may obtain such reports from the SEC’s website at www.sec.gov.</w:t>
      </w:r>
    </w:p>
    <w:p>
      <w:pPr>
        <w:spacing w:after="0" w:line="68"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Our Investor Relations website address is www.ir.suncountry.com. We make available, free of charge through our Investor Relations website, our annual reports on Form 10-K, quarterly reports on Form 10-Q, current reports on Form 8-K, and amendments to those reports filed or furnished pursuant to Sections 13(a) or 15(d) of the Exchange Act as soon as reasonably practicable after such material is electronically filed with, or furnished to, the SEC.</w:t>
      </w:r>
    </w:p>
    <w:p>
      <w:pPr>
        <w:spacing w:after="0" w:line="52"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Upon the written request of any record holder or beneficial owner of Common Stock entitled to vote at the Annual Meeting, we will, without charge, provide a copy of our Annual Report on Form 10-K, including the financial statements and the financial statement schedules, for the fiscal year ended December 31, 2021, as filed with the SEC. Requests should be directed to Investor Relations, Sun Country Airlines Holdings, Inc., 2005 Cargo Road Minneapolis, MN 55450.</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proxy statement that are not clearly historical in nature are forward-looking. Without limiting the generality of the preceding sentence,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we intend to clearly express that the information deals with possible future events and is forward-looking in nature. However, the absence of these words or similar expressions does not mean that a statement is not forward-looking.</w:t>
      </w:r>
    </w:p>
    <w:p>
      <w:pPr>
        <w:spacing w:after="0" w:line="86"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Forward-looking information involves risks, uncertainties and other factors that could cause actual results to differ materially from those expressed or implied in, or reasonably inferred from, such statements. Therefore, caution should be taken not to place undue reliance on any such forward-looking statements. Much of the information in this proxy statement that looks towards future performance of the Company is based on various factors and important assumptions about future events that may or may not actually occur. As a result, our operations and financial results in the future could differ materially and substantially from those we have included in this proxy statement. We assume no obligation (and specifically disclaim any such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Roman"/>
      <w:start w:val="3"/>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lowerLetter"/>
      <w:start w:val="26"/>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2"/>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2022-04-29T22:55:28Z</dcterms:created>
  <dcterms:modified xsi:type="dcterms:W3CDTF">2022-04-29T22:55:28Z</dcterms:modified>
</cp:coreProperties>
</file>