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5, 2022</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1" w:right="339" w:bottom="1440" w:gutter="0" w:footer="0" w:header="0"/>
        </w:sectPr>
      </w:pPr>
    </w:p>
    <w:p>
      <w:pPr>
        <w:spacing w:after="0" w:line="203"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color w:val="auto"/>
        </w:rPr>
        <w:t>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001-40217</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82-4092570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1" w:right="339" w:bottom="1440" w:gutter="0" w:footer="0" w:header="0"/>
          <w:type w:val="continuous"/>
        </w:sectPr>
      </w:pPr>
    </w:p>
    <w:p>
      <w:pPr>
        <w:spacing w:after="0" w:line="1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2005 Cargo Road</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55450</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1"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9"/>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May 5, 2022, Sun Country Airlines Holdings, Inc. issued a press release announcing its financial results for the fiscal quarter ended March 31, 2022. A copy of the press release is attached hereto as Exhibit 99.1 and incorporated by reference herein.</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spacing w:after="0" w:line="13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3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976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May 5, 2022</w:t>
            </w: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54"/>
        </w:trPr>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6180" w:val="left"/>
        </w:tabs>
        <w:rPr>
          <w:sz w:val="20"/>
          <w:szCs w:val="20"/>
          <w:color w:val="auto"/>
        </w:rPr>
      </w:pPr>
      <w:r>
        <w:rPr>
          <w:rFonts w:ascii="Times New Roman" w:cs="Times New Roman" w:eastAsia="Times New Roman" w:hAnsi="Times New Roman"/>
          <w:sz w:val="18"/>
          <w:szCs w:val="18"/>
          <w:color w:val="auto"/>
        </w:rPr>
        <w:t>Date: May 5, 2022</w:t>
      </w:r>
      <w:r>
        <w:rPr>
          <w:sz w:val="20"/>
          <w:szCs w:val="20"/>
          <w:color w:val="auto"/>
        </w:rPr>
        <w:tab/>
      </w:r>
      <w:r>
        <w:rPr>
          <w:rFonts w:ascii="Times New Roman" w:cs="Times New Roman" w:eastAsia="Times New Roman" w:hAnsi="Times New Roman"/>
          <w:sz w:val="17"/>
          <w:szCs w:val="17"/>
          <w:b w:val="1"/>
          <w:bCs w:val="1"/>
          <w:color w:val="auto"/>
        </w:rPr>
        <w:t>Sun Country Airlines Holdings, Inc.</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134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Eric Levenhagen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Administrative Officer, General</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Reports First Quarter 2022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Q1 2022 GAAP diluted EPS of $0.06 and operating income of $22 million</w:t>
      </w:r>
    </w:p>
    <w:p>
      <w:pPr>
        <w:jc w:val="center"/>
        <w:spacing w:after="0"/>
        <w:rPr>
          <w:sz w:val="20"/>
          <w:szCs w:val="20"/>
          <w:color w:val="auto"/>
        </w:rPr>
      </w:pPr>
      <w:r>
        <w:rPr>
          <w:rFonts w:ascii="Arial" w:cs="Arial" w:eastAsia="Arial" w:hAnsi="Arial"/>
          <w:sz w:val="18"/>
          <w:szCs w:val="18"/>
          <w:color w:val="auto"/>
        </w:rPr>
        <w:t>Q1 2022 Adjusted diluted EPS of $0.20</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and adjusted operating income of $23 million</w:t>
      </w:r>
      <w:r>
        <w:rPr>
          <w:rFonts w:ascii="Arial" w:cs="Arial" w:eastAsia="Arial" w:hAnsi="Arial"/>
          <w:sz w:val="29"/>
          <w:szCs w:val="29"/>
          <w:color w:val="auto"/>
          <w:vertAlign w:val="superscript"/>
        </w:rPr>
        <w:t>(1)</w:t>
      </w:r>
    </w:p>
    <w:p>
      <w:pPr>
        <w:spacing w:after="0" w:line="9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MINNEAPOLIS. May 5, 2022. Sun Country Airlines Holdings, Inc. (“Sun Country Airlines”, “Sun Country”, the “Company”) (</w:t>
      </w:r>
      <w:r>
        <w:rPr>
          <w:rFonts w:ascii="Arial" w:cs="Arial" w:eastAsia="Arial" w:hAnsi="Arial"/>
          <w:sz w:val="18"/>
          <w:szCs w:val="18"/>
          <w:color w:val="0563C1"/>
        </w:rPr>
        <w:t>NASDAQ: SNCY</w:t>
      </w:r>
      <w:r>
        <w:rPr>
          <w:rFonts w:ascii="Arial" w:cs="Arial" w:eastAsia="Arial" w:hAnsi="Arial"/>
          <w:sz w:val="18"/>
          <w:szCs w:val="18"/>
          <w:color w:val="auto"/>
        </w:rPr>
        <w:t>) today reported financial results for its first quarter ended March 31, 2022.</w:t>
      </w:r>
    </w:p>
    <w:p>
      <w:pPr>
        <w:spacing w:after="0" w:line="140" w:lineRule="exact"/>
        <w:rPr>
          <w:sz w:val="20"/>
          <w:szCs w:val="20"/>
          <w:color w:val="auto"/>
        </w:rPr>
      </w:pPr>
    </w:p>
    <w:p>
      <w:pPr>
        <w:ind w:right="20"/>
        <w:spacing w:after="0"/>
        <w:rPr>
          <w:sz w:val="20"/>
          <w:szCs w:val="20"/>
          <w:color w:val="auto"/>
        </w:rPr>
      </w:pPr>
      <w:r>
        <w:rPr>
          <w:rFonts w:ascii="Arial" w:cs="Arial" w:eastAsia="Arial" w:hAnsi="Arial"/>
          <w:sz w:val="18"/>
          <w:szCs w:val="18"/>
          <w:color w:val="0A0A0A"/>
        </w:rPr>
        <w:t>“We are very happy to report another profitable quarter,” said Jude Bricker, Chief Executive Officer of Sun Country. “I am proud of all the people at Sun Country who, once again, delivered quarterly profitable growth despite the challenging macro-economic and pandemic backdrop. Very strong bookings and unit revenue trends, combined with solid cost control, drove a first quarter net income, adjusted net income and adjusted net income per share of approximately $4 million, $12 million and $0.20 per share, respectively. These results came despite much higher-than-expected fuel prices and Omicron-driven headwinds earlier in the quarter. We anticipate passenger demand to remain strong with second quarter scheduled service TRASM expected to increase between 25% and 34% versus second quarter 2019. Sun Country’s uniquely resilient model has now generated our fourth consecutive quarter of profitability and our sixth consecutive quarter of greater than 15% EBITDAR margins.”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340" w:type="dxa"/>
            <w:vAlign w:val="bottom"/>
          </w:tcPr>
          <w:p>
            <w:pPr>
              <w:spacing w:after="0"/>
              <w:rPr>
                <w:sz w:val="20"/>
                <w:szCs w:val="20"/>
                <w:color w:val="auto"/>
              </w:rPr>
            </w:pPr>
            <w:r>
              <w:rPr>
                <w:rFonts w:ascii="Arial" w:cs="Arial" w:eastAsia="Arial" w:hAnsi="Arial"/>
                <w:sz w:val="18"/>
                <w:szCs w:val="18"/>
                <w:b w:val="1"/>
                <w:bCs w:val="1"/>
                <w:color w:val="auto"/>
              </w:rPr>
              <w:t>Overview of First Quarter</w:t>
            </w:r>
          </w:p>
        </w:tc>
        <w:tc>
          <w:tcPr>
            <w:tcW w:w="1240" w:type="dxa"/>
            <w:vAlign w:val="bottom"/>
          </w:tcPr>
          <w:p>
            <w:pPr>
              <w:spacing w:after="0"/>
              <w:rPr>
                <w:sz w:val="21"/>
                <w:szCs w:val="21"/>
                <w:color w:val="auto"/>
              </w:rPr>
            </w:pPr>
          </w:p>
        </w:tc>
        <w:tc>
          <w:tcPr>
            <w:tcW w:w="3200" w:type="dxa"/>
            <w:vAlign w:val="bottom"/>
            <w:gridSpan w:val="3"/>
            <w:vMerge w:val="restart"/>
          </w:tcPr>
          <w:p>
            <w:pPr>
              <w:jc w:val="center"/>
              <w:ind w:right="490"/>
              <w:spacing w:after="0"/>
              <w:rPr>
                <w:sz w:val="20"/>
                <w:szCs w:val="20"/>
                <w:color w:val="auto"/>
              </w:rPr>
            </w:pPr>
            <w:r>
              <w:rPr>
                <w:rFonts w:ascii="Arial" w:cs="Arial" w:eastAsia="Arial" w:hAnsi="Arial"/>
                <w:sz w:val="18"/>
                <w:szCs w:val="18"/>
                <w:b w:val="1"/>
                <w:bCs w:val="1"/>
                <w:color w:val="0A0A0A"/>
                <w:w w:val="99"/>
              </w:rPr>
              <w:t>Three Months Ended</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5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0" w:type="dxa"/>
            <w:vAlign w:val="bottom"/>
            <w:gridSpan w:val="3"/>
            <w:vMerge w:val="continue"/>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60" w:type="dxa"/>
            <w:vAlign w:val="bottom"/>
            <w:gridSpan w:val="2"/>
          </w:tcPr>
          <w:p>
            <w:pPr>
              <w:jc w:val="center"/>
              <w:ind w:left="670"/>
              <w:spacing w:after="0" w:line="202" w:lineRule="exact"/>
              <w:rPr>
                <w:sz w:val="20"/>
                <w:szCs w:val="20"/>
                <w:color w:val="auto"/>
              </w:rPr>
            </w:pPr>
            <w:r>
              <w:rPr>
                <w:rFonts w:ascii="Arial" w:cs="Arial" w:eastAsia="Arial" w:hAnsi="Arial"/>
                <w:sz w:val="18"/>
                <w:szCs w:val="18"/>
                <w:b w:val="1"/>
                <w:bCs w:val="1"/>
                <w:color w:val="0A0A0A"/>
                <w:w w:val="98"/>
              </w:rPr>
              <w:t>March 31,</w:t>
            </w:r>
          </w:p>
        </w:tc>
        <w:tc>
          <w:tcPr>
            <w:tcW w:w="1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A0A0A"/>
              </w:rPr>
              <w:t>(unaudited) (in millions, except per share amounts)</w:t>
            </w:r>
          </w:p>
        </w:tc>
        <w:tc>
          <w:tcPr>
            <w:tcW w:w="1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0A0A0A"/>
              </w:rPr>
              <w:t>2022</w:t>
            </w:r>
          </w:p>
        </w:tc>
        <w:tc>
          <w:tcPr>
            <w:tcW w:w="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0A0A0A"/>
              </w:rPr>
              <w:t>2021</w:t>
            </w: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0A0A0A"/>
              </w:rPr>
              <w:t>% Change</w:t>
            </w:r>
          </w:p>
        </w:tc>
        <w:tc>
          <w:tcPr>
            <w:tcW w:w="0" w:type="dxa"/>
            <w:vAlign w:val="bottom"/>
          </w:tcPr>
          <w:p>
            <w:pPr>
              <w:spacing w:after="0"/>
              <w:rPr>
                <w:sz w:val="1"/>
                <w:szCs w:val="1"/>
                <w:color w:val="auto"/>
              </w:rPr>
            </w:pPr>
          </w:p>
        </w:tc>
      </w:tr>
      <w:tr>
        <w:trPr>
          <w:trHeight w:val="196"/>
        </w:trPr>
        <w:tc>
          <w:tcPr>
            <w:tcW w:w="534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Total operating revenue</w:t>
            </w:r>
          </w:p>
        </w:tc>
        <w:tc>
          <w:tcPr>
            <w:tcW w:w="1240" w:type="dxa"/>
            <w:vAlign w:val="bottom"/>
            <w:shd w:val="clear" w:color="auto" w:fill="C6F4F9"/>
          </w:tcPr>
          <w:p>
            <w:pPr>
              <w:jc w:val="right"/>
              <w:ind w:right="70"/>
              <w:spacing w:after="0" w:line="196" w:lineRule="exact"/>
              <w:rPr>
                <w:sz w:val="20"/>
                <w:szCs w:val="20"/>
                <w:color w:val="auto"/>
              </w:rPr>
            </w:pPr>
            <w:r>
              <w:rPr>
                <w:rFonts w:ascii="Arial" w:cs="Arial" w:eastAsia="Arial" w:hAnsi="Arial"/>
                <w:sz w:val="18"/>
                <w:szCs w:val="18"/>
                <w:color w:val="0A0A0A"/>
              </w:rPr>
              <w:t>$</w:t>
            </w:r>
          </w:p>
        </w:tc>
        <w:tc>
          <w:tcPr>
            <w:tcW w:w="1240" w:type="dxa"/>
            <w:vAlign w:val="bottom"/>
            <w:shd w:val="clear" w:color="auto" w:fill="C6F4F9"/>
          </w:tcPr>
          <w:p>
            <w:pPr>
              <w:jc w:val="right"/>
              <w:ind w:right="170"/>
              <w:spacing w:after="0" w:line="196" w:lineRule="exact"/>
              <w:rPr>
                <w:sz w:val="20"/>
                <w:szCs w:val="20"/>
                <w:color w:val="auto"/>
              </w:rPr>
            </w:pPr>
            <w:r>
              <w:rPr>
                <w:rFonts w:ascii="Arial" w:cs="Arial" w:eastAsia="Arial" w:hAnsi="Arial"/>
                <w:sz w:val="18"/>
                <w:szCs w:val="18"/>
                <w:color w:val="0A0A0A"/>
              </w:rPr>
              <w:t>226.5</w:t>
            </w:r>
          </w:p>
        </w:tc>
        <w:tc>
          <w:tcPr>
            <w:tcW w:w="620" w:type="dxa"/>
            <w:vAlign w:val="bottom"/>
            <w:shd w:val="clear" w:color="auto" w:fill="C6F4F9"/>
          </w:tcPr>
          <w:p>
            <w:pPr>
              <w:jc w:val="right"/>
              <w:ind w:right="130"/>
              <w:spacing w:after="0" w:line="196" w:lineRule="exact"/>
              <w:rPr>
                <w:sz w:val="20"/>
                <w:szCs w:val="20"/>
                <w:color w:val="auto"/>
              </w:rPr>
            </w:pPr>
            <w:r>
              <w:rPr>
                <w:rFonts w:ascii="Arial" w:cs="Arial" w:eastAsia="Arial" w:hAnsi="Arial"/>
                <w:sz w:val="18"/>
                <w:szCs w:val="18"/>
                <w:color w:val="0A0A0A"/>
              </w:rPr>
              <w:t>$</w:t>
            </w:r>
          </w:p>
        </w:tc>
        <w:tc>
          <w:tcPr>
            <w:tcW w:w="1340" w:type="dxa"/>
            <w:vAlign w:val="bottom"/>
            <w:shd w:val="clear" w:color="auto" w:fill="C6F4F9"/>
          </w:tcPr>
          <w:p>
            <w:pPr>
              <w:jc w:val="right"/>
              <w:ind w:right="330"/>
              <w:spacing w:after="0" w:line="196" w:lineRule="exact"/>
              <w:rPr>
                <w:sz w:val="20"/>
                <w:szCs w:val="20"/>
                <w:color w:val="auto"/>
              </w:rPr>
            </w:pPr>
            <w:r>
              <w:rPr>
                <w:rFonts w:ascii="Arial" w:cs="Arial" w:eastAsia="Arial" w:hAnsi="Arial"/>
                <w:sz w:val="18"/>
                <w:szCs w:val="18"/>
                <w:color w:val="0A0A0A"/>
              </w:rPr>
              <w:t>127.6</w:t>
            </w:r>
          </w:p>
        </w:tc>
        <w:tc>
          <w:tcPr>
            <w:tcW w:w="1460" w:type="dxa"/>
            <w:vAlign w:val="bottom"/>
            <w:shd w:val="clear" w:color="auto" w:fill="C6F4F9"/>
          </w:tcPr>
          <w:p>
            <w:pPr>
              <w:jc w:val="right"/>
              <w:ind w:right="10"/>
              <w:spacing w:after="0" w:line="196" w:lineRule="exact"/>
              <w:rPr>
                <w:sz w:val="20"/>
                <w:szCs w:val="20"/>
                <w:color w:val="auto"/>
              </w:rPr>
            </w:pPr>
            <w:r>
              <w:rPr>
                <w:rFonts w:ascii="Arial" w:cs="Arial" w:eastAsia="Arial" w:hAnsi="Arial"/>
                <w:sz w:val="18"/>
                <w:szCs w:val="18"/>
                <w:color w:val="0A0A0A"/>
              </w:rPr>
              <w:t>77.5</w:t>
            </w:r>
          </w:p>
        </w:tc>
        <w:tc>
          <w:tcPr>
            <w:tcW w:w="0" w:type="dxa"/>
            <w:vAlign w:val="bottom"/>
          </w:tcPr>
          <w:p>
            <w:pPr>
              <w:spacing w:after="0"/>
              <w:rPr>
                <w:sz w:val="1"/>
                <w:szCs w:val="1"/>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0A0A0A"/>
              </w:rPr>
              <w:t>Operating income</w:t>
            </w:r>
          </w:p>
        </w:tc>
        <w:tc>
          <w:tcPr>
            <w:tcW w:w="1240" w:type="dxa"/>
            <w:vAlign w:val="bottom"/>
          </w:tcPr>
          <w:p>
            <w:pPr>
              <w:spacing w:after="0"/>
              <w:rPr>
                <w:sz w:val="17"/>
                <w:szCs w:val="17"/>
                <w:color w:val="auto"/>
              </w:rPr>
            </w:pPr>
          </w:p>
        </w:tc>
        <w:tc>
          <w:tcPr>
            <w:tcW w:w="1240" w:type="dxa"/>
            <w:vAlign w:val="bottom"/>
          </w:tcPr>
          <w:p>
            <w:pPr>
              <w:jc w:val="right"/>
              <w:ind w:right="170"/>
              <w:spacing w:after="0" w:line="202" w:lineRule="exact"/>
              <w:rPr>
                <w:sz w:val="20"/>
                <w:szCs w:val="20"/>
                <w:color w:val="auto"/>
              </w:rPr>
            </w:pPr>
            <w:r>
              <w:rPr>
                <w:rFonts w:ascii="Arial" w:cs="Arial" w:eastAsia="Arial" w:hAnsi="Arial"/>
                <w:sz w:val="18"/>
                <w:szCs w:val="18"/>
                <w:color w:val="0A0A0A"/>
              </w:rPr>
              <w:t>21.8</w:t>
            </w:r>
          </w:p>
        </w:tc>
        <w:tc>
          <w:tcPr>
            <w:tcW w:w="620" w:type="dxa"/>
            <w:vAlign w:val="bottom"/>
          </w:tcPr>
          <w:p>
            <w:pPr>
              <w:spacing w:after="0"/>
              <w:rPr>
                <w:sz w:val="17"/>
                <w:szCs w:val="17"/>
                <w:color w:val="auto"/>
              </w:rPr>
            </w:pPr>
          </w:p>
        </w:tc>
        <w:tc>
          <w:tcPr>
            <w:tcW w:w="1340" w:type="dxa"/>
            <w:vAlign w:val="bottom"/>
          </w:tcPr>
          <w:p>
            <w:pPr>
              <w:jc w:val="right"/>
              <w:ind w:right="330"/>
              <w:spacing w:after="0" w:line="202" w:lineRule="exact"/>
              <w:rPr>
                <w:sz w:val="20"/>
                <w:szCs w:val="20"/>
                <w:color w:val="auto"/>
              </w:rPr>
            </w:pPr>
            <w:r>
              <w:rPr>
                <w:rFonts w:ascii="Arial" w:cs="Arial" w:eastAsia="Arial" w:hAnsi="Arial"/>
                <w:sz w:val="18"/>
                <w:szCs w:val="18"/>
                <w:color w:val="0A0A0A"/>
              </w:rPr>
              <w:t>24.9</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0A0A0A"/>
              </w:rPr>
              <w:t>(12.4)</w:t>
            </w:r>
          </w:p>
        </w:tc>
        <w:tc>
          <w:tcPr>
            <w:tcW w:w="0" w:type="dxa"/>
            <w:vAlign w:val="bottom"/>
          </w:tcPr>
          <w:p>
            <w:pPr>
              <w:spacing w:after="0"/>
              <w:rPr>
                <w:sz w:val="1"/>
                <w:szCs w:val="1"/>
                <w:color w:val="auto"/>
              </w:rPr>
            </w:pPr>
          </w:p>
        </w:tc>
      </w:tr>
      <w:tr>
        <w:trPr>
          <w:trHeight w:val="202"/>
        </w:trPr>
        <w:tc>
          <w:tcPr>
            <w:tcW w:w="53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Income before income tax</w:t>
            </w:r>
          </w:p>
        </w:tc>
        <w:tc>
          <w:tcPr>
            <w:tcW w:w="1240" w:type="dxa"/>
            <w:vAlign w:val="bottom"/>
            <w:shd w:val="clear" w:color="auto" w:fill="C6F4F9"/>
          </w:tcPr>
          <w:p>
            <w:pPr>
              <w:spacing w:after="0"/>
              <w:rPr>
                <w:sz w:val="17"/>
                <w:szCs w:val="17"/>
                <w:color w:val="auto"/>
              </w:rPr>
            </w:pPr>
          </w:p>
        </w:tc>
        <w:tc>
          <w:tcPr>
            <w:tcW w:w="124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0A0A0A"/>
              </w:rPr>
              <w:t>6.4</w:t>
            </w:r>
          </w:p>
        </w:tc>
        <w:tc>
          <w:tcPr>
            <w:tcW w:w="62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330"/>
              <w:spacing w:after="0" w:line="202" w:lineRule="exact"/>
              <w:rPr>
                <w:sz w:val="20"/>
                <w:szCs w:val="20"/>
                <w:color w:val="auto"/>
              </w:rPr>
            </w:pPr>
            <w:r>
              <w:rPr>
                <w:rFonts w:ascii="Arial" w:cs="Arial" w:eastAsia="Arial" w:hAnsi="Arial"/>
                <w:sz w:val="18"/>
                <w:szCs w:val="18"/>
                <w:color w:val="0A0A0A"/>
              </w:rPr>
              <w:t>17.8</w:t>
            </w:r>
          </w:p>
        </w:tc>
        <w:tc>
          <w:tcPr>
            <w:tcW w:w="14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(64.0)</w:t>
            </w:r>
          </w:p>
        </w:tc>
        <w:tc>
          <w:tcPr>
            <w:tcW w:w="0" w:type="dxa"/>
            <w:vAlign w:val="bottom"/>
          </w:tcPr>
          <w:p>
            <w:pPr>
              <w:spacing w:after="0"/>
              <w:rPr>
                <w:sz w:val="1"/>
                <w:szCs w:val="1"/>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0A0A0A"/>
              </w:rPr>
              <w:t>Net income</w:t>
            </w:r>
          </w:p>
        </w:tc>
        <w:tc>
          <w:tcPr>
            <w:tcW w:w="1240" w:type="dxa"/>
            <w:vAlign w:val="bottom"/>
          </w:tcPr>
          <w:p>
            <w:pPr>
              <w:spacing w:after="0"/>
              <w:rPr>
                <w:sz w:val="17"/>
                <w:szCs w:val="17"/>
                <w:color w:val="auto"/>
              </w:rPr>
            </w:pPr>
          </w:p>
        </w:tc>
        <w:tc>
          <w:tcPr>
            <w:tcW w:w="1240" w:type="dxa"/>
            <w:vAlign w:val="bottom"/>
          </w:tcPr>
          <w:p>
            <w:pPr>
              <w:jc w:val="right"/>
              <w:ind w:right="170"/>
              <w:spacing w:after="0" w:line="202" w:lineRule="exact"/>
              <w:rPr>
                <w:sz w:val="20"/>
                <w:szCs w:val="20"/>
                <w:color w:val="auto"/>
              </w:rPr>
            </w:pPr>
            <w:r>
              <w:rPr>
                <w:rFonts w:ascii="Arial" w:cs="Arial" w:eastAsia="Arial" w:hAnsi="Arial"/>
                <w:sz w:val="18"/>
                <w:szCs w:val="18"/>
                <w:color w:val="0A0A0A"/>
              </w:rPr>
              <w:t>3.6</w:t>
            </w:r>
          </w:p>
        </w:tc>
        <w:tc>
          <w:tcPr>
            <w:tcW w:w="620" w:type="dxa"/>
            <w:vAlign w:val="bottom"/>
          </w:tcPr>
          <w:p>
            <w:pPr>
              <w:spacing w:after="0"/>
              <w:rPr>
                <w:sz w:val="17"/>
                <w:szCs w:val="17"/>
                <w:color w:val="auto"/>
              </w:rPr>
            </w:pPr>
          </w:p>
        </w:tc>
        <w:tc>
          <w:tcPr>
            <w:tcW w:w="1340" w:type="dxa"/>
            <w:vAlign w:val="bottom"/>
          </w:tcPr>
          <w:p>
            <w:pPr>
              <w:jc w:val="right"/>
              <w:ind w:right="330"/>
              <w:spacing w:after="0" w:line="202" w:lineRule="exact"/>
              <w:rPr>
                <w:sz w:val="20"/>
                <w:szCs w:val="20"/>
                <w:color w:val="auto"/>
              </w:rPr>
            </w:pPr>
            <w:r>
              <w:rPr>
                <w:rFonts w:ascii="Arial" w:cs="Arial" w:eastAsia="Arial" w:hAnsi="Arial"/>
                <w:sz w:val="18"/>
                <w:szCs w:val="18"/>
                <w:color w:val="0A0A0A"/>
              </w:rPr>
              <w:t>12.4</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0A0A0A"/>
              </w:rPr>
              <w:t>(70.7)</w:t>
            </w:r>
          </w:p>
        </w:tc>
        <w:tc>
          <w:tcPr>
            <w:tcW w:w="0" w:type="dxa"/>
            <w:vAlign w:val="bottom"/>
          </w:tcPr>
          <w:p>
            <w:pPr>
              <w:spacing w:after="0"/>
              <w:rPr>
                <w:sz w:val="1"/>
                <w:szCs w:val="1"/>
                <w:color w:val="auto"/>
              </w:rPr>
            </w:pPr>
          </w:p>
        </w:tc>
      </w:tr>
      <w:tr>
        <w:trPr>
          <w:trHeight w:val="203"/>
        </w:trPr>
        <w:tc>
          <w:tcPr>
            <w:tcW w:w="534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Diluted earnings per share</w:t>
            </w:r>
          </w:p>
        </w:tc>
        <w:tc>
          <w:tcPr>
            <w:tcW w:w="124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0A0A0A"/>
              </w:rPr>
              <w:t>$</w:t>
            </w:r>
          </w:p>
        </w:tc>
        <w:tc>
          <w:tcPr>
            <w:tcW w:w="1240" w:type="dxa"/>
            <w:vAlign w:val="bottom"/>
            <w:shd w:val="clear" w:color="auto" w:fill="C6F4F9"/>
          </w:tcPr>
          <w:p>
            <w:pPr>
              <w:jc w:val="right"/>
              <w:ind w:right="170"/>
              <w:spacing w:after="0" w:line="202" w:lineRule="exact"/>
              <w:rPr>
                <w:sz w:val="20"/>
                <w:szCs w:val="20"/>
                <w:color w:val="auto"/>
              </w:rPr>
            </w:pPr>
            <w:r>
              <w:rPr>
                <w:rFonts w:ascii="Arial" w:cs="Arial" w:eastAsia="Arial" w:hAnsi="Arial"/>
                <w:sz w:val="18"/>
                <w:szCs w:val="18"/>
                <w:color w:val="0A0A0A"/>
              </w:rPr>
              <w:t>0.06</w:t>
            </w:r>
          </w:p>
        </w:tc>
        <w:tc>
          <w:tcPr>
            <w:tcW w:w="62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0A0A0A"/>
              </w:rPr>
              <w:t>$</w:t>
            </w:r>
          </w:p>
        </w:tc>
        <w:tc>
          <w:tcPr>
            <w:tcW w:w="1340" w:type="dxa"/>
            <w:vAlign w:val="bottom"/>
            <w:shd w:val="clear" w:color="auto" w:fill="C6F4F9"/>
          </w:tcPr>
          <w:p>
            <w:pPr>
              <w:jc w:val="right"/>
              <w:ind w:right="330"/>
              <w:spacing w:after="0" w:line="202" w:lineRule="exact"/>
              <w:rPr>
                <w:sz w:val="20"/>
                <w:szCs w:val="20"/>
                <w:color w:val="auto"/>
              </w:rPr>
            </w:pPr>
            <w:r>
              <w:rPr>
                <w:rFonts w:ascii="Arial" w:cs="Arial" w:eastAsia="Arial" w:hAnsi="Arial"/>
                <w:sz w:val="18"/>
                <w:szCs w:val="18"/>
                <w:color w:val="0A0A0A"/>
              </w:rPr>
              <w:t>0.24</w:t>
            </w:r>
          </w:p>
        </w:tc>
        <w:tc>
          <w:tcPr>
            <w:tcW w:w="1460" w:type="dxa"/>
            <w:vAlign w:val="bottom"/>
            <w:shd w:val="clear" w:color="auto" w:fill="C6F4F9"/>
          </w:tcPr>
          <w:p>
            <w:pPr>
              <w:jc w:val="right"/>
              <w:spacing w:after="0" w:line="202" w:lineRule="exact"/>
              <w:rPr>
                <w:sz w:val="20"/>
                <w:szCs w:val="20"/>
                <w:color w:val="auto"/>
              </w:rPr>
            </w:pPr>
            <w:r>
              <w:rPr>
                <w:rFonts w:ascii="Arial" w:cs="Arial" w:eastAsia="Arial" w:hAnsi="Arial"/>
                <w:sz w:val="18"/>
                <w:szCs w:val="18"/>
                <w:color w:val="0A0A0A"/>
              </w:rPr>
              <w:t>(75.0)</w:t>
            </w:r>
          </w:p>
        </w:tc>
        <w:tc>
          <w:tcPr>
            <w:tcW w:w="0" w:type="dxa"/>
            <w:vAlign w:val="bottom"/>
          </w:tcPr>
          <w:p>
            <w:pPr>
              <w:spacing w:after="0"/>
              <w:rPr>
                <w:sz w:val="1"/>
                <w:szCs w:val="1"/>
                <w:color w:val="auto"/>
              </w:rPr>
            </w:pPr>
          </w:p>
        </w:tc>
      </w:tr>
      <w:tr>
        <w:trPr>
          <w:trHeight w:val="386"/>
        </w:trPr>
        <w:tc>
          <w:tcPr>
            <w:tcW w:w="5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0" w:type="dxa"/>
            <w:vAlign w:val="bottom"/>
            <w:gridSpan w:val="3"/>
          </w:tcPr>
          <w:p>
            <w:pPr>
              <w:jc w:val="center"/>
              <w:ind w:right="530"/>
              <w:spacing w:after="0"/>
              <w:rPr>
                <w:sz w:val="20"/>
                <w:szCs w:val="20"/>
                <w:color w:val="auto"/>
              </w:rPr>
            </w:pPr>
            <w:r>
              <w:rPr>
                <w:rFonts w:ascii="Arial" w:cs="Arial" w:eastAsia="Arial" w:hAnsi="Arial"/>
                <w:sz w:val="18"/>
                <w:szCs w:val="18"/>
                <w:b w:val="1"/>
                <w:bCs w:val="1"/>
                <w:color w:val="0A0A0A"/>
                <w:w w:val="99"/>
              </w:rPr>
              <w:t>Three Months Ended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60" w:type="dxa"/>
            <w:vAlign w:val="bottom"/>
            <w:gridSpan w:val="2"/>
          </w:tcPr>
          <w:p>
            <w:pPr>
              <w:jc w:val="center"/>
              <w:ind w:left="630"/>
              <w:spacing w:after="0" w:line="202" w:lineRule="exact"/>
              <w:rPr>
                <w:sz w:val="20"/>
                <w:szCs w:val="20"/>
                <w:color w:val="auto"/>
              </w:rPr>
            </w:pPr>
            <w:r>
              <w:rPr>
                <w:rFonts w:ascii="Arial" w:cs="Arial" w:eastAsia="Arial" w:hAnsi="Arial"/>
                <w:sz w:val="18"/>
                <w:szCs w:val="18"/>
                <w:b w:val="1"/>
                <w:bCs w:val="1"/>
                <w:color w:val="0A0A0A"/>
                <w:w w:val="98"/>
              </w:rPr>
              <w:t>March 31,</w:t>
            </w:r>
          </w:p>
        </w:tc>
        <w:tc>
          <w:tcPr>
            <w:tcW w:w="1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A0A0A"/>
              </w:rPr>
              <w:t>(unaudited) (in millions, except per share amounts)</w:t>
            </w:r>
          </w:p>
        </w:tc>
        <w:tc>
          <w:tcPr>
            <w:tcW w:w="1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0A0A0A"/>
              </w:rPr>
              <w:t>2022</w:t>
            </w:r>
          </w:p>
        </w:tc>
        <w:tc>
          <w:tcPr>
            <w:tcW w:w="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0A0A0A"/>
              </w:rPr>
              <w:t>2021</w:t>
            </w: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0A0A0A"/>
              </w:rPr>
              <w:t>% Change</w:t>
            </w:r>
          </w:p>
        </w:tc>
        <w:tc>
          <w:tcPr>
            <w:tcW w:w="0" w:type="dxa"/>
            <w:vAlign w:val="bottom"/>
          </w:tcPr>
          <w:p>
            <w:pPr>
              <w:spacing w:after="0"/>
              <w:rPr>
                <w:sz w:val="1"/>
                <w:szCs w:val="1"/>
                <w:color w:val="auto"/>
              </w:rPr>
            </w:pPr>
          </w:p>
        </w:tc>
      </w:tr>
      <w:tr>
        <w:trPr>
          <w:trHeight w:val="236"/>
        </w:trPr>
        <w:tc>
          <w:tcPr>
            <w:tcW w:w="5340" w:type="dxa"/>
            <w:vAlign w:val="bottom"/>
            <w:shd w:val="clear" w:color="auto" w:fill="C6F4F9"/>
          </w:tcPr>
          <w:p>
            <w:pPr>
              <w:spacing w:after="0" w:line="236" w:lineRule="exact"/>
              <w:rPr>
                <w:sz w:val="20"/>
                <w:szCs w:val="20"/>
                <w:color w:val="auto"/>
              </w:rPr>
            </w:pPr>
            <w:r>
              <w:rPr>
                <w:rFonts w:ascii="Arial" w:cs="Arial" w:eastAsia="Arial" w:hAnsi="Arial"/>
                <w:sz w:val="17"/>
                <w:szCs w:val="17"/>
                <w:color w:val="0A0A0A"/>
              </w:rPr>
              <w:t xml:space="preserve">Adjusted operating income </w:t>
            </w:r>
            <w:r>
              <w:rPr>
                <w:rFonts w:ascii="Arial" w:cs="Arial" w:eastAsia="Arial" w:hAnsi="Arial"/>
                <w:sz w:val="27"/>
                <w:szCs w:val="27"/>
                <w:color w:val="0A0A0A"/>
                <w:vertAlign w:val="superscript"/>
              </w:rPr>
              <w:t>(1)</w:t>
            </w:r>
          </w:p>
        </w:tc>
        <w:tc>
          <w:tcPr>
            <w:tcW w:w="1240" w:type="dxa"/>
            <w:vAlign w:val="bottom"/>
            <w:shd w:val="clear" w:color="auto" w:fill="C6F4F9"/>
          </w:tcPr>
          <w:p>
            <w:pPr>
              <w:jc w:val="right"/>
              <w:ind w:right="110"/>
              <w:spacing w:after="0"/>
              <w:rPr>
                <w:sz w:val="20"/>
                <w:szCs w:val="20"/>
                <w:color w:val="auto"/>
              </w:rPr>
            </w:pPr>
            <w:r>
              <w:rPr>
                <w:rFonts w:ascii="Arial" w:cs="Arial" w:eastAsia="Arial" w:hAnsi="Arial"/>
                <w:sz w:val="18"/>
                <w:szCs w:val="18"/>
                <w:color w:val="0A0A0A"/>
              </w:rPr>
              <w:t>$</w:t>
            </w:r>
          </w:p>
        </w:tc>
        <w:tc>
          <w:tcPr>
            <w:tcW w:w="1240" w:type="dxa"/>
            <w:vAlign w:val="bottom"/>
            <w:shd w:val="clear" w:color="auto" w:fill="C6F4F9"/>
          </w:tcPr>
          <w:p>
            <w:pPr>
              <w:jc w:val="right"/>
              <w:ind w:right="210"/>
              <w:spacing w:after="0"/>
              <w:rPr>
                <w:sz w:val="20"/>
                <w:szCs w:val="20"/>
                <w:color w:val="auto"/>
              </w:rPr>
            </w:pPr>
            <w:r>
              <w:rPr>
                <w:rFonts w:ascii="Arial" w:cs="Arial" w:eastAsia="Arial" w:hAnsi="Arial"/>
                <w:sz w:val="18"/>
                <w:szCs w:val="18"/>
                <w:color w:val="0A0A0A"/>
              </w:rPr>
              <w:t>22.8</w:t>
            </w:r>
          </w:p>
        </w:tc>
        <w:tc>
          <w:tcPr>
            <w:tcW w:w="620" w:type="dxa"/>
            <w:vAlign w:val="bottom"/>
            <w:shd w:val="clear" w:color="auto" w:fill="C6F4F9"/>
          </w:tcPr>
          <w:p>
            <w:pPr>
              <w:jc w:val="right"/>
              <w:ind w:right="190"/>
              <w:spacing w:after="0"/>
              <w:rPr>
                <w:sz w:val="20"/>
                <w:szCs w:val="20"/>
                <w:color w:val="auto"/>
              </w:rPr>
            </w:pPr>
            <w:r>
              <w:rPr>
                <w:rFonts w:ascii="Arial" w:cs="Arial" w:eastAsia="Arial" w:hAnsi="Arial"/>
                <w:sz w:val="18"/>
                <w:szCs w:val="18"/>
                <w:color w:val="0A0A0A"/>
              </w:rPr>
              <w:t>$</w:t>
            </w:r>
          </w:p>
        </w:tc>
        <w:tc>
          <w:tcPr>
            <w:tcW w:w="1340" w:type="dxa"/>
            <w:vAlign w:val="bottom"/>
            <w:shd w:val="clear" w:color="auto" w:fill="C6F4F9"/>
          </w:tcPr>
          <w:p>
            <w:pPr>
              <w:jc w:val="right"/>
              <w:ind w:right="330"/>
              <w:spacing w:after="0"/>
              <w:rPr>
                <w:sz w:val="20"/>
                <w:szCs w:val="20"/>
                <w:color w:val="auto"/>
              </w:rPr>
            </w:pPr>
            <w:r>
              <w:rPr>
                <w:rFonts w:ascii="Arial" w:cs="Arial" w:eastAsia="Arial" w:hAnsi="Arial"/>
                <w:sz w:val="18"/>
                <w:szCs w:val="18"/>
                <w:color w:val="0A0A0A"/>
              </w:rPr>
              <w:t>1.2</w:t>
            </w:r>
          </w:p>
        </w:tc>
        <w:tc>
          <w:tcPr>
            <w:tcW w:w="1460" w:type="dxa"/>
            <w:vAlign w:val="bottom"/>
            <w:shd w:val="clear" w:color="auto" w:fill="C6F4F9"/>
          </w:tcPr>
          <w:p>
            <w:pPr>
              <w:jc w:val="right"/>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43"/>
        </w:trPr>
        <w:tc>
          <w:tcPr>
            <w:tcW w:w="5340" w:type="dxa"/>
            <w:vAlign w:val="bottom"/>
          </w:tcPr>
          <w:p>
            <w:pPr>
              <w:spacing w:after="0" w:line="243" w:lineRule="exact"/>
              <w:rPr>
                <w:sz w:val="20"/>
                <w:szCs w:val="20"/>
                <w:color w:val="auto"/>
              </w:rPr>
            </w:pPr>
            <w:r>
              <w:rPr>
                <w:rFonts w:ascii="Arial" w:cs="Arial" w:eastAsia="Arial" w:hAnsi="Arial"/>
                <w:sz w:val="17"/>
                <w:szCs w:val="17"/>
                <w:color w:val="0A0A0A"/>
              </w:rPr>
              <w:t xml:space="preserve">Adjusted income (loss) before income tax </w:t>
            </w:r>
            <w:r>
              <w:rPr>
                <w:rFonts w:ascii="Arial" w:cs="Arial" w:eastAsia="Arial" w:hAnsi="Arial"/>
                <w:sz w:val="28"/>
                <w:szCs w:val="28"/>
                <w:color w:val="0A0A0A"/>
                <w:vertAlign w:val="superscript"/>
              </w:rPr>
              <w:t>(1)</w:t>
            </w:r>
          </w:p>
        </w:tc>
        <w:tc>
          <w:tcPr>
            <w:tcW w:w="1240" w:type="dxa"/>
            <w:vAlign w:val="bottom"/>
          </w:tcPr>
          <w:p>
            <w:pPr>
              <w:spacing w:after="0"/>
              <w:rPr>
                <w:sz w:val="21"/>
                <w:szCs w:val="21"/>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0A0A0A"/>
              </w:rPr>
              <w:t>15.7</w:t>
            </w:r>
          </w:p>
        </w:tc>
        <w:tc>
          <w:tcPr>
            <w:tcW w:w="620" w:type="dxa"/>
            <w:vAlign w:val="bottom"/>
          </w:tcPr>
          <w:p>
            <w:pPr>
              <w:spacing w:after="0"/>
              <w:rPr>
                <w:sz w:val="21"/>
                <w:szCs w:val="21"/>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color w:val="0A0A0A"/>
              </w:rPr>
              <w:t>(4.7)</w:t>
            </w:r>
          </w:p>
        </w:tc>
        <w:tc>
          <w:tcPr>
            <w:tcW w:w="1460" w:type="dxa"/>
            <w:vAlign w:val="bottom"/>
          </w:tcPr>
          <w:p>
            <w:pPr>
              <w:jc w:val="right"/>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43"/>
        </w:trPr>
        <w:tc>
          <w:tcPr>
            <w:tcW w:w="5340" w:type="dxa"/>
            <w:vAlign w:val="bottom"/>
            <w:shd w:val="clear" w:color="auto" w:fill="C6F4F9"/>
          </w:tcPr>
          <w:p>
            <w:pPr>
              <w:spacing w:after="0" w:line="243" w:lineRule="exact"/>
              <w:rPr>
                <w:sz w:val="20"/>
                <w:szCs w:val="20"/>
                <w:color w:val="auto"/>
              </w:rPr>
            </w:pPr>
            <w:r>
              <w:rPr>
                <w:rFonts w:ascii="Arial" w:cs="Arial" w:eastAsia="Arial" w:hAnsi="Arial"/>
                <w:sz w:val="17"/>
                <w:szCs w:val="17"/>
                <w:color w:val="0A0A0A"/>
              </w:rPr>
              <w:t xml:space="preserve">Adjusted net income (loss) </w:t>
            </w:r>
            <w:r>
              <w:rPr>
                <w:rFonts w:ascii="Arial" w:cs="Arial" w:eastAsia="Arial" w:hAnsi="Arial"/>
                <w:sz w:val="28"/>
                <w:szCs w:val="28"/>
                <w:color w:val="0A0A0A"/>
                <w:vertAlign w:val="superscript"/>
              </w:rPr>
              <w:t>(1)</w:t>
            </w:r>
          </w:p>
        </w:tc>
        <w:tc>
          <w:tcPr>
            <w:tcW w:w="1240" w:type="dxa"/>
            <w:vAlign w:val="bottom"/>
            <w:shd w:val="clear" w:color="auto" w:fill="C6F4F9"/>
          </w:tcPr>
          <w:p>
            <w:pPr>
              <w:spacing w:after="0"/>
              <w:rPr>
                <w:sz w:val="21"/>
                <w:szCs w:val="21"/>
                <w:color w:val="auto"/>
              </w:rPr>
            </w:pPr>
          </w:p>
        </w:tc>
        <w:tc>
          <w:tcPr>
            <w:tcW w:w="1240" w:type="dxa"/>
            <w:vAlign w:val="bottom"/>
            <w:shd w:val="clear" w:color="auto" w:fill="C6F4F9"/>
          </w:tcPr>
          <w:p>
            <w:pPr>
              <w:jc w:val="right"/>
              <w:ind w:right="210"/>
              <w:spacing w:after="0"/>
              <w:rPr>
                <w:sz w:val="20"/>
                <w:szCs w:val="20"/>
                <w:color w:val="auto"/>
              </w:rPr>
            </w:pPr>
            <w:r>
              <w:rPr>
                <w:rFonts w:ascii="Arial" w:cs="Arial" w:eastAsia="Arial" w:hAnsi="Arial"/>
                <w:sz w:val="18"/>
                <w:szCs w:val="18"/>
                <w:color w:val="0A0A0A"/>
              </w:rPr>
              <w:t>12.3</w:t>
            </w:r>
          </w:p>
        </w:tc>
        <w:tc>
          <w:tcPr>
            <w:tcW w:w="620" w:type="dxa"/>
            <w:vAlign w:val="bottom"/>
            <w:shd w:val="clear" w:color="auto" w:fill="C6F4F9"/>
          </w:tcPr>
          <w:p>
            <w:pPr>
              <w:spacing w:after="0"/>
              <w:rPr>
                <w:sz w:val="21"/>
                <w:szCs w:val="21"/>
                <w:color w:val="auto"/>
              </w:rPr>
            </w:pPr>
          </w:p>
        </w:tc>
        <w:tc>
          <w:tcPr>
            <w:tcW w:w="1340" w:type="dxa"/>
            <w:vAlign w:val="bottom"/>
            <w:shd w:val="clear" w:color="auto" w:fill="C6F4F9"/>
          </w:tcPr>
          <w:p>
            <w:pPr>
              <w:jc w:val="right"/>
              <w:ind w:right="270"/>
              <w:spacing w:after="0"/>
              <w:rPr>
                <w:sz w:val="20"/>
                <w:szCs w:val="20"/>
                <w:color w:val="auto"/>
              </w:rPr>
            </w:pPr>
            <w:r>
              <w:rPr>
                <w:rFonts w:ascii="Arial" w:cs="Arial" w:eastAsia="Arial" w:hAnsi="Arial"/>
                <w:sz w:val="18"/>
                <w:szCs w:val="18"/>
                <w:color w:val="0A0A0A"/>
              </w:rPr>
              <w:t>(4.9)</w:t>
            </w:r>
          </w:p>
        </w:tc>
        <w:tc>
          <w:tcPr>
            <w:tcW w:w="1460" w:type="dxa"/>
            <w:vAlign w:val="bottom"/>
            <w:shd w:val="clear" w:color="auto" w:fill="C6F4F9"/>
          </w:tcPr>
          <w:p>
            <w:pPr>
              <w:jc w:val="right"/>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24"/>
        </w:trPr>
        <w:tc>
          <w:tcPr>
            <w:tcW w:w="5340" w:type="dxa"/>
            <w:vAlign w:val="bottom"/>
          </w:tcPr>
          <w:p>
            <w:pPr>
              <w:spacing w:after="0" w:line="224" w:lineRule="exact"/>
              <w:rPr>
                <w:sz w:val="20"/>
                <w:szCs w:val="20"/>
                <w:color w:val="auto"/>
              </w:rPr>
            </w:pPr>
            <w:r>
              <w:rPr>
                <w:rFonts w:ascii="Arial" w:cs="Arial" w:eastAsia="Arial" w:hAnsi="Arial"/>
                <w:sz w:val="16"/>
                <w:szCs w:val="16"/>
                <w:color w:val="0A0A0A"/>
              </w:rPr>
              <w:t xml:space="preserve">Adjusted diluted earnings (loss) per share </w:t>
            </w:r>
            <w:r>
              <w:rPr>
                <w:rFonts w:ascii="Arial" w:cs="Arial" w:eastAsia="Arial" w:hAnsi="Arial"/>
                <w:sz w:val="25"/>
                <w:szCs w:val="25"/>
                <w:color w:val="0A0A0A"/>
                <w:vertAlign w:val="superscript"/>
              </w:rPr>
              <w:t>(1)</w:t>
            </w:r>
          </w:p>
        </w:tc>
        <w:tc>
          <w:tcPr>
            <w:tcW w:w="1240" w:type="dxa"/>
            <w:vAlign w:val="bottom"/>
          </w:tcPr>
          <w:p>
            <w:pPr>
              <w:jc w:val="right"/>
              <w:ind w:right="110"/>
              <w:spacing w:after="0"/>
              <w:rPr>
                <w:sz w:val="20"/>
                <w:szCs w:val="20"/>
                <w:color w:val="auto"/>
              </w:rPr>
            </w:pPr>
            <w:r>
              <w:rPr>
                <w:rFonts w:ascii="Arial" w:cs="Arial" w:eastAsia="Arial" w:hAnsi="Arial"/>
                <w:sz w:val="18"/>
                <w:szCs w:val="18"/>
                <w:color w:val="0A0A0A"/>
              </w:rPr>
              <w:t>$</w:t>
            </w:r>
          </w:p>
        </w:tc>
        <w:tc>
          <w:tcPr>
            <w:tcW w:w="1240" w:type="dxa"/>
            <w:vAlign w:val="bottom"/>
          </w:tcPr>
          <w:p>
            <w:pPr>
              <w:jc w:val="right"/>
              <w:ind w:right="210"/>
              <w:spacing w:after="0"/>
              <w:rPr>
                <w:sz w:val="20"/>
                <w:szCs w:val="20"/>
                <w:color w:val="auto"/>
              </w:rPr>
            </w:pPr>
            <w:r>
              <w:rPr>
                <w:rFonts w:ascii="Arial" w:cs="Arial" w:eastAsia="Arial" w:hAnsi="Arial"/>
                <w:sz w:val="18"/>
                <w:szCs w:val="18"/>
                <w:color w:val="0A0A0A"/>
              </w:rPr>
              <w:t>0.20</w:t>
            </w:r>
          </w:p>
        </w:tc>
        <w:tc>
          <w:tcPr>
            <w:tcW w:w="620" w:type="dxa"/>
            <w:vAlign w:val="bottom"/>
          </w:tcPr>
          <w:p>
            <w:pPr>
              <w:jc w:val="right"/>
              <w:ind w:right="130"/>
              <w:spacing w:after="0"/>
              <w:rPr>
                <w:sz w:val="20"/>
                <w:szCs w:val="20"/>
                <w:color w:val="auto"/>
              </w:rPr>
            </w:pPr>
            <w:r>
              <w:rPr>
                <w:rFonts w:ascii="Arial" w:cs="Arial" w:eastAsia="Arial" w:hAnsi="Arial"/>
                <w:sz w:val="18"/>
                <w:szCs w:val="18"/>
                <w:color w:val="0A0A0A"/>
              </w:rPr>
              <w:t>($</w:t>
            </w:r>
          </w:p>
        </w:tc>
        <w:tc>
          <w:tcPr>
            <w:tcW w:w="1340" w:type="dxa"/>
            <w:vAlign w:val="bottom"/>
          </w:tcPr>
          <w:p>
            <w:pPr>
              <w:jc w:val="right"/>
              <w:ind w:right="270"/>
              <w:spacing w:after="0"/>
              <w:rPr>
                <w:sz w:val="20"/>
                <w:szCs w:val="20"/>
                <w:color w:val="auto"/>
              </w:rPr>
            </w:pPr>
            <w:r>
              <w:rPr>
                <w:rFonts w:ascii="Arial" w:cs="Arial" w:eastAsia="Arial" w:hAnsi="Arial"/>
                <w:sz w:val="18"/>
                <w:szCs w:val="18"/>
                <w:color w:val="0A0A0A"/>
              </w:rPr>
              <w:t>0.09)</w:t>
            </w:r>
          </w:p>
        </w:tc>
        <w:tc>
          <w:tcPr>
            <w:tcW w:w="1460" w:type="dxa"/>
            <w:vAlign w:val="bottom"/>
          </w:tcPr>
          <w:p>
            <w:pPr>
              <w:jc w:val="right"/>
              <w:spacing w:after="0"/>
              <w:rPr>
                <w:sz w:val="20"/>
                <w:szCs w:val="20"/>
                <w:color w:val="auto"/>
              </w:rPr>
            </w:pPr>
            <w:r>
              <w:rPr>
                <w:rFonts w:ascii="Arial" w:cs="Arial" w:eastAsia="Arial" w:hAnsi="Arial"/>
                <w:sz w:val="18"/>
                <w:szCs w:val="18"/>
                <w:color w:val="0A0A0A"/>
              </w:rPr>
              <w:t>NM</w:t>
            </w:r>
          </w:p>
        </w:tc>
        <w:tc>
          <w:tcPr>
            <w:tcW w:w="0" w:type="dxa"/>
            <w:vAlign w:val="bottom"/>
          </w:tcPr>
          <w:p>
            <w:pPr>
              <w:spacing w:after="0"/>
              <w:rPr>
                <w:sz w:val="1"/>
                <w:szCs w:val="1"/>
                <w:color w:val="auto"/>
              </w:rPr>
            </w:pPr>
          </w:p>
        </w:tc>
      </w:tr>
      <w:tr>
        <w:trPr>
          <w:trHeight w:val="239"/>
        </w:trPr>
        <w:tc>
          <w:tcPr>
            <w:tcW w:w="5340" w:type="dxa"/>
            <w:vAlign w:val="bottom"/>
          </w:tcPr>
          <w:p>
            <w:pPr>
              <w:spacing w:after="0"/>
              <w:rPr>
                <w:sz w:val="20"/>
                <w:szCs w:val="20"/>
                <w:color w:val="auto"/>
              </w:rPr>
            </w:pPr>
            <w:r>
              <w:rPr>
                <w:rFonts w:ascii="Arial" w:cs="Arial" w:eastAsia="Arial" w:hAnsi="Arial"/>
                <w:sz w:val="18"/>
                <w:szCs w:val="18"/>
                <w:color w:val="0A0A0A"/>
              </w:rPr>
              <w:t>“NM” stands for not meaningful</w:t>
            </w: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line="217" w:lineRule="auto"/>
        <w:rPr>
          <w:sz w:val="20"/>
          <w:szCs w:val="20"/>
          <w:color w:val="auto"/>
        </w:rPr>
      </w:pPr>
      <w:r>
        <w:rPr>
          <w:rFonts w:ascii="Arial" w:cs="Arial" w:eastAsia="Arial" w:hAnsi="Arial"/>
          <w:sz w:val="18"/>
          <w:szCs w:val="18"/>
          <w:color w:val="0A0A0A"/>
        </w:rPr>
        <w:t>For the quarter ended March 31, 2022, Sun Country reported net income of $4 million and income before income tax of $6 million, on $227 million of revenue. Adjusted income before income tax for the quarter was $16 million</w:t>
      </w:r>
      <w:r>
        <w:rPr>
          <w:rFonts w:ascii="Arial" w:cs="Arial" w:eastAsia="Arial" w:hAnsi="Arial"/>
          <w:sz w:val="29"/>
          <w:szCs w:val="29"/>
          <w:color w:val="0A0A0A"/>
          <w:vertAlign w:val="superscript"/>
        </w:rPr>
        <w:t>(1)</w:t>
      </w:r>
      <w:r>
        <w:rPr>
          <w:rFonts w:ascii="Arial" w:cs="Arial" w:eastAsia="Arial" w:hAnsi="Arial"/>
          <w:sz w:val="18"/>
          <w:szCs w:val="18"/>
          <w:color w:val="0A0A0A"/>
        </w:rPr>
        <w:t>. GAAP operating income during the quarter was $22 million, producing an operating margin of 9.6%, while adjusted operating income was $23 million</w:t>
      </w:r>
      <w:r>
        <w:rPr>
          <w:rFonts w:ascii="Arial" w:cs="Arial" w:eastAsia="Arial" w:hAnsi="Arial"/>
          <w:sz w:val="29"/>
          <w:szCs w:val="29"/>
          <w:color w:val="0A0A0A"/>
          <w:vertAlign w:val="superscript"/>
        </w:rPr>
        <w:t>(1)</w:t>
      </w:r>
      <w:r>
        <w:rPr>
          <w:rFonts w:ascii="Arial" w:cs="Arial" w:eastAsia="Arial" w:hAnsi="Arial"/>
          <w:sz w:val="18"/>
          <w:szCs w:val="18"/>
          <w:color w:val="0A0A0A"/>
        </w:rPr>
        <w:t>, resulting in an adjusted operating income margin of 10.0%</w:t>
      </w:r>
      <w:r>
        <w:rPr>
          <w:rFonts w:ascii="Arial" w:cs="Arial" w:eastAsia="Arial" w:hAnsi="Arial"/>
          <w:sz w:val="29"/>
          <w:szCs w:val="29"/>
          <w:color w:val="0A0A0A"/>
          <w:vertAlign w:val="superscript"/>
        </w:rPr>
        <w:t>(1)</w:t>
      </w:r>
      <w:r>
        <w:rPr>
          <w:rFonts w:ascii="Arial" w:cs="Arial" w:eastAsia="Arial" w:hAnsi="Arial"/>
          <w:sz w:val="18"/>
          <w:szCs w:val="18"/>
          <w:color w:val="0A0A0A"/>
        </w:rPr>
        <w:t>.</w:t>
      </w:r>
    </w:p>
    <w:p>
      <w:pPr>
        <w:spacing w:after="0" w:line="42"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0A0A0A"/>
        </w:rPr>
        <w:t>“We were able to produce an adjusted operating margin of 10% on $227 million in total revenue during the quarter. This revenue is a record quarterly high for Sun Country,” said Dave Davis, President and Chief Financial Officer. “Our results were accomplished despite paying $3.20 per gallon for jet fuel during the quarter. In March, traditionally our strongest month, we paid $3.58 per gallon while generating an operating margin well in excess of 20%. Demand in the quarter materially picked up starting in February as demonstrated by our March scheduled service TRASM increasing 4% versus the same time period in 2019 on 8% capacity growth. Our charter and cargo operations, which were 33% of our block hours in the first quarter, include pass-through fuel economics, providing a natural cost-hedge against volatile fuel prices.”</w:t>
      </w:r>
    </w:p>
    <w:p>
      <w:pPr>
        <w:spacing w:after="0" w:line="57" w:lineRule="exact"/>
        <w:rPr>
          <w:sz w:val="20"/>
          <w:szCs w:val="20"/>
          <w:color w:val="auto"/>
        </w:rPr>
      </w:pPr>
    </w:p>
    <w:p>
      <w:pPr>
        <w:jc w:val="right"/>
        <w:spacing w:after="0"/>
        <w:tabs>
          <w:tab w:leader="none" w:pos="2920" w:val="left"/>
        </w:tabs>
        <w:rPr>
          <w:sz w:val="20"/>
          <w:szCs w:val="20"/>
          <w:color w:val="auto"/>
        </w:rPr>
      </w:pPr>
      <w:r>
        <w:rPr>
          <w:rFonts w:ascii="Times New Roman" w:cs="Times New Roman" w:eastAsia="Times New Roman" w:hAnsi="Times New Roman"/>
          <w:sz w:val="18"/>
          <w:szCs w:val="18"/>
          <w:color w:val="auto"/>
        </w:rPr>
        <w:t>Page 1</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11"/>
          <w:szCs w:val="11"/>
          <w:color w:val="7671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0A0A0A"/>
        </w:rPr>
        <w:drawing>
          <wp:anchor simplePos="0" relativeHeight="251657728" behindDoc="1" locked="0" layoutInCell="0" allowOverlap="1">
            <wp:simplePos x="0" y="0"/>
            <wp:positionH relativeFrom="page">
              <wp:posOffset>5171440</wp:posOffset>
            </wp:positionH>
            <wp:positionV relativeFrom="page">
              <wp:posOffset>157480</wp:posOffset>
            </wp:positionV>
            <wp:extent cx="2134235"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134235" cy="531495"/>
                    </a:xfrm>
                    <a:prstGeom prst="rect">
                      <a:avLst/>
                    </a:prstGeom>
                    <a:noFill/>
                  </pic:spPr>
                </pic:pic>
              </a:graphicData>
            </a:graphic>
          </wp:anchor>
        </w:drawing>
        <w:t>Notable Highlights</w:t>
      </w:r>
    </w:p>
    <w:p>
      <w:pPr>
        <w:spacing w:after="0" w:line="185" w:lineRule="exact"/>
        <w:rPr>
          <w:sz w:val="20"/>
          <w:szCs w:val="20"/>
          <w:color w:val="auto"/>
        </w:rPr>
      </w:pPr>
    </w:p>
    <w:p>
      <w:pPr>
        <w:ind w:left="660" w:right="240" w:hanging="328"/>
        <w:spacing w:after="0" w:line="255" w:lineRule="auto"/>
        <w:tabs>
          <w:tab w:leader="none" w:pos="660" w:val="left"/>
        </w:tabs>
        <w:numPr>
          <w:ilvl w:val="0"/>
          <w:numId w:val="3"/>
        </w:numPr>
        <w:rPr>
          <w:rFonts w:ascii="Times New Roman" w:cs="Times New Roman" w:eastAsia="Times New Roman" w:hAnsi="Times New Roman"/>
          <w:sz w:val="18"/>
          <w:szCs w:val="18"/>
          <w:color w:val="0A0A0A"/>
        </w:rPr>
      </w:pPr>
      <w:r>
        <w:rPr>
          <w:rFonts w:ascii="Arial" w:cs="Arial" w:eastAsia="Arial" w:hAnsi="Arial"/>
          <w:sz w:val="18"/>
          <w:szCs w:val="18"/>
          <w:color w:val="0A0A0A"/>
        </w:rPr>
        <w:t>Announced four new routes that will begin service later this year. Two of the routes will serve Las Vegas, NV from both Green Bay, WI and Madison, WI. The others will connect Minneapolis, MN with Reno, NV and Harlingen, TX to Cancun, Mexico</w:t>
      </w:r>
    </w:p>
    <w:p>
      <w:pPr>
        <w:ind w:left="660" w:hanging="328"/>
        <w:spacing w:after="0" w:line="180" w:lineRule="auto"/>
        <w:tabs>
          <w:tab w:leader="none" w:pos="660" w:val="left"/>
        </w:tabs>
        <w:numPr>
          <w:ilvl w:val="0"/>
          <w:numId w:val="3"/>
        </w:numPr>
        <w:rPr>
          <w:rFonts w:ascii="Times New Roman" w:cs="Times New Roman" w:eastAsia="Times New Roman" w:hAnsi="Times New Roman"/>
          <w:sz w:val="26"/>
          <w:szCs w:val="26"/>
          <w:color w:val="0A0A0A"/>
          <w:vertAlign w:val="superscript"/>
        </w:rPr>
      </w:pPr>
      <w:r>
        <w:rPr>
          <w:rFonts w:ascii="Arial" w:cs="Arial" w:eastAsia="Arial" w:hAnsi="Arial"/>
          <w:sz w:val="15"/>
          <w:szCs w:val="15"/>
          <w:color w:val="0A0A0A"/>
        </w:rPr>
        <w:t>New service to Reno, NV will be the 81</w:t>
      </w:r>
      <w:r>
        <w:rPr>
          <w:rFonts w:ascii="Arial" w:cs="Arial" w:eastAsia="Arial" w:hAnsi="Arial"/>
          <w:sz w:val="22"/>
          <w:szCs w:val="22"/>
          <w:color w:val="0A0A0A"/>
          <w:vertAlign w:val="superscript"/>
        </w:rPr>
        <w:t>st</w:t>
      </w:r>
      <w:r>
        <w:rPr>
          <w:rFonts w:ascii="Arial" w:cs="Arial" w:eastAsia="Arial" w:hAnsi="Arial"/>
          <w:sz w:val="15"/>
          <w:szCs w:val="15"/>
          <w:color w:val="0A0A0A"/>
        </w:rPr>
        <w:t xml:space="preserve"> airport that Sun Country flies to</w:t>
      </w:r>
    </w:p>
    <w:p>
      <w:pPr>
        <w:ind w:left="660" w:right="280" w:hanging="328"/>
        <w:spacing w:after="0" w:line="234" w:lineRule="auto"/>
        <w:tabs>
          <w:tab w:leader="none" w:pos="660" w:val="left"/>
        </w:tabs>
        <w:numPr>
          <w:ilvl w:val="0"/>
          <w:numId w:val="3"/>
        </w:numPr>
        <w:rPr>
          <w:rFonts w:ascii="Times New Roman" w:cs="Times New Roman" w:eastAsia="Times New Roman" w:hAnsi="Times New Roman"/>
          <w:sz w:val="18"/>
          <w:szCs w:val="18"/>
          <w:color w:val="0A0A0A"/>
        </w:rPr>
      </w:pPr>
      <w:r>
        <w:rPr>
          <w:rFonts w:ascii="Arial" w:cs="Arial" w:eastAsia="Arial" w:hAnsi="Arial"/>
          <w:sz w:val="18"/>
          <w:szCs w:val="18"/>
          <w:color w:val="0A0A0A"/>
        </w:rPr>
        <w:t>In April 2022, the Company purchased five 737-800 aircraft (one of which was the buyout of an aircraft previously on lease to Sun Country)</w:t>
      </w:r>
    </w:p>
    <w:p>
      <w:pPr>
        <w:ind w:left="660" w:right="80" w:hanging="328"/>
        <w:spacing w:after="0" w:line="207" w:lineRule="auto"/>
        <w:tabs>
          <w:tab w:leader="none" w:pos="660" w:val="left"/>
        </w:tabs>
        <w:numPr>
          <w:ilvl w:val="0"/>
          <w:numId w:val="3"/>
        </w:numPr>
        <w:rPr>
          <w:rFonts w:ascii="Times New Roman" w:cs="Times New Roman" w:eastAsia="Times New Roman" w:hAnsi="Times New Roman"/>
          <w:sz w:val="18"/>
          <w:szCs w:val="18"/>
          <w:color w:val="0A0A0A"/>
        </w:rPr>
      </w:pPr>
      <w:r>
        <w:rPr>
          <w:rFonts w:ascii="Arial" w:cs="Arial" w:eastAsia="Arial" w:hAnsi="Arial"/>
          <w:sz w:val="18"/>
          <w:szCs w:val="18"/>
          <w:color w:val="0A0A0A"/>
        </w:rPr>
        <w:t>Completed a private Enhanced Equipment Trust Certificate (EETC) offering raising $188 million secured by 13 737-800 at a weighted average interest rate of 5.06%. Of this $188 million, $15.8 million is a delayed draw mechanism to be funded in September 2022 upon completing the lease buyout of the 13</w:t>
      </w:r>
      <w:r>
        <w:rPr>
          <w:rFonts w:ascii="Arial" w:cs="Arial" w:eastAsia="Arial" w:hAnsi="Arial"/>
          <w:sz w:val="29"/>
          <w:szCs w:val="29"/>
          <w:color w:val="0A0A0A"/>
          <w:vertAlign w:val="superscript"/>
        </w:rPr>
        <w:t>th</w:t>
      </w:r>
      <w:r>
        <w:rPr>
          <w:rFonts w:ascii="Arial" w:cs="Arial" w:eastAsia="Arial" w:hAnsi="Arial"/>
          <w:sz w:val="18"/>
          <w:szCs w:val="18"/>
          <w:color w:val="0A0A0A"/>
        </w:rPr>
        <w:t xml:space="preserve"> aircraft</w:t>
      </w:r>
    </w:p>
    <w:p>
      <w:pPr>
        <w:spacing w:after="0" w:line="2" w:lineRule="exact"/>
        <w:rPr>
          <w:rFonts w:ascii="Times New Roman" w:cs="Times New Roman" w:eastAsia="Times New Roman" w:hAnsi="Times New Roman"/>
          <w:sz w:val="18"/>
          <w:szCs w:val="18"/>
          <w:color w:val="0A0A0A"/>
        </w:rPr>
      </w:pPr>
    </w:p>
    <w:p>
      <w:pPr>
        <w:ind w:left="660" w:right="640" w:hanging="328"/>
        <w:spacing w:after="0" w:line="249" w:lineRule="auto"/>
        <w:tabs>
          <w:tab w:leader="none" w:pos="660" w:val="left"/>
        </w:tabs>
        <w:numPr>
          <w:ilvl w:val="0"/>
          <w:numId w:val="3"/>
        </w:numPr>
        <w:rPr>
          <w:rFonts w:ascii="Times New Roman" w:cs="Times New Roman" w:eastAsia="Times New Roman" w:hAnsi="Times New Roman"/>
          <w:sz w:val="18"/>
          <w:szCs w:val="18"/>
          <w:color w:val="0A0A0A"/>
        </w:rPr>
      </w:pPr>
      <w:r>
        <w:rPr>
          <w:rFonts w:ascii="Arial" w:cs="Arial" w:eastAsia="Arial" w:hAnsi="Arial"/>
          <w:sz w:val="18"/>
          <w:szCs w:val="18"/>
          <w:color w:val="0A0A0A"/>
        </w:rPr>
        <w:t>Welcomed Patrick O’Keeffe to the Board of Directors. He brings more than 30 years of experience in the airline industry most recently leading American Airline’s global People team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Capacity</w:t>
      </w:r>
    </w:p>
    <w:p>
      <w:pPr>
        <w:spacing w:after="0" w:line="17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0A0A0A"/>
        </w:rPr>
        <w:t>System block hours during the first quarter of 2022 grew by 30% versus first quarter 2019 due largely to the addition of the cargo segment in 2020. First quarter total available seat miles (“ASM”) grew 6% versus the first quarter of 2019 while scheduled service ASMs grew 10% when compared to the same time period. The difference between the levels of capacity demonstrates the variable nature of the business model. The first quarter is traditionally dominated by heavy leisure demand for vacations which drove growth in scheduled service capacity.</w:t>
      </w:r>
    </w:p>
    <w:p>
      <w:pPr>
        <w:spacing w:after="0" w:line="147"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0A0A0A"/>
        </w:rPr>
        <w:t>Last year, the Company signed two new long-term charter contracts with both Caesars Entertainment and Major League Soccer. As such, flying done under long term contracts made up over 70% of the charter flying in the quarter. The most variable nature of the business is ad-hoc charter flying. This part of the business is mostly bid within the month of flying and only if there are resources to successfully operate it. Due to staffing constraints, total charter block hours decreased 14% versus the first quarter of 2019. As labor resources start to normalize later in the year, ad-hoc charter flying is the quickest flying to add back.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Revenue</w:t>
      </w:r>
    </w:p>
    <w:p>
      <w:pPr>
        <w:spacing w:after="0" w:line="17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0A0A0A"/>
        </w:rPr>
        <w:t>For the first quarter of 2022, the Company reported total revenue of $227 million, which was $30 million, or 15%, more than the first quarter of 2019. Excluding the $21 million in cargo revenue that did not exist in 2019, revenue still exceeded first quarter 2019 by $9 million. The</w:t>
      </w:r>
    </w:p>
    <w:p>
      <w:pPr>
        <w:spacing w:after="0" w:line="1" w:lineRule="exact"/>
        <w:rPr>
          <w:sz w:val="20"/>
          <w:szCs w:val="20"/>
          <w:color w:val="auto"/>
        </w:rPr>
      </w:pPr>
    </w:p>
    <w:p>
      <w:pPr>
        <w:ind w:right="480"/>
        <w:spacing w:after="0" w:line="213" w:lineRule="auto"/>
        <w:rPr>
          <w:sz w:val="20"/>
          <w:szCs w:val="20"/>
          <w:color w:val="auto"/>
        </w:rPr>
      </w:pPr>
      <w:r>
        <w:rPr>
          <w:rFonts w:ascii="Arial" w:cs="Arial" w:eastAsia="Arial" w:hAnsi="Arial"/>
          <w:sz w:val="18"/>
          <w:szCs w:val="18"/>
          <w:color w:val="0A0A0A"/>
        </w:rPr>
        <w:t xml:space="preserve">Company’s scheduled service TRASM </w:t>
      </w:r>
      <w:r>
        <w:rPr>
          <w:rFonts w:ascii="Arial" w:cs="Arial" w:eastAsia="Arial" w:hAnsi="Arial"/>
          <w:sz w:val="29"/>
          <w:szCs w:val="29"/>
          <w:color w:val="0A0A0A"/>
          <w:vertAlign w:val="superscript"/>
        </w:rPr>
        <w:t>(3)</w:t>
      </w:r>
      <w:r>
        <w:rPr>
          <w:rFonts w:ascii="Arial" w:cs="Arial" w:eastAsia="Arial" w:hAnsi="Arial"/>
          <w:sz w:val="18"/>
          <w:szCs w:val="18"/>
          <w:color w:val="0A0A0A"/>
        </w:rPr>
        <w:t xml:space="preserve"> of 10.3 cents in the first quarter of 2022 decreased 1% from the first quarter of 2019 while scheduled service capacity grew 10%. The first quarter 2022 total fare of $183 exceeded the first quarter 2019 by 7% driven by another record ancillary revenue per passenger of $49.</w:t>
      </w:r>
    </w:p>
    <w:p>
      <w:pPr>
        <w:spacing w:after="0" w:line="15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0A0A0A"/>
        </w:rPr>
        <w:t>Charter service revenue is primarily generated through service provided to professional and collegiate sports teams, the U.S. Department of Defense, casinos, and other customers. In the first quarter of 2022, the Company’s charter service revenue was $33 million, a decrease of 14% versus first quarter of 2019 as ad-hoc charter flying was meaningfully lower than 2019 levels due to staffing challenges. On a rate basis, first quarter 2022 charter revenue per block hour was 1% higher than the rate in the first quarter of 2019.</w:t>
      </w:r>
    </w:p>
    <w:p>
      <w:pPr>
        <w:spacing w:after="0" w:line="13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0A0A0A"/>
        </w:rPr>
        <w:t>Cargo revenue consists of revenue earned from flying cargo aircraft under the Air Transportation Services Agreement (“ATSA”) with Amazon. In the first quarter of 2022, cargo revenue was $21 million, a 2% decrease versus the first quarter of 2021 due to the timing of planned heavy maintenance events.</w:t>
      </w:r>
    </w:p>
    <w:p>
      <w:pPr>
        <w:spacing w:after="0" w:line="128" w:lineRule="exact"/>
        <w:rPr>
          <w:sz w:val="20"/>
          <w:szCs w:val="20"/>
          <w:color w:val="auto"/>
        </w:rPr>
      </w:pPr>
    </w:p>
    <w:p>
      <w:pPr>
        <w:jc w:val="right"/>
        <w:spacing w:after="0"/>
        <w:tabs>
          <w:tab w:leader="none" w:pos="2920" w:val="left"/>
        </w:tabs>
        <w:rPr>
          <w:sz w:val="20"/>
          <w:szCs w:val="20"/>
          <w:color w:val="auto"/>
        </w:rPr>
      </w:pPr>
      <w:r>
        <w:rPr>
          <w:rFonts w:ascii="Times New Roman" w:cs="Times New Roman" w:eastAsia="Times New Roman" w:hAnsi="Times New Roman"/>
          <w:sz w:val="18"/>
          <w:szCs w:val="18"/>
          <w:color w:val="auto"/>
        </w:rPr>
        <w:t>Page 2</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11"/>
          <w:szCs w:val="11"/>
          <w:color w:val="7671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A0A0A"/>
        </w:rPr>
        <w:drawing>
          <wp:anchor simplePos="0" relativeHeight="251657728" behindDoc="1" locked="0" layoutInCell="0" allowOverlap="1">
            <wp:simplePos x="0" y="0"/>
            <wp:positionH relativeFrom="page">
              <wp:posOffset>5171440</wp:posOffset>
            </wp:positionH>
            <wp:positionV relativeFrom="page">
              <wp:posOffset>157480</wp:posOffset>
            </wp:positionV>
            <wp:extent cx="2134235"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134235" cy="531495"/>
                    </a:xfrm>
                    <a:prstGeom prst="rect">
                      <a:avLst/>
                    </a:prstGeom>
                    <a:noFill/>
                  </pic:spPr>
                </pic:pic>
              </a:graphicData>
            </a:graphic>
          </wp:anchor>
        </w:drawing>
        <w:t>Cost</w:t>
      </w:r>
    </w:p>
    <w:p>
      <w:pPr>
        <w:spacing w:after="0" w:line="185"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0A0A0A"/>
        </w:rPr>
        <w:t>For the first quarter of 2022, total GAAP operating expenses increased 36% versus the first quarter of 2019, primarily due to a 76% increase in aircraft fuel expense in the quarter. Operating expense, excluding aircraft fuel expense and special items per total block hour</w:t>
      </w:r>
      <w:r>
        <w:rPr>
          <w:rFonts w:ascii="Arial" w:cs="Arial" w:eastAsia="Arial" w:hAnsi="Arial"/>
          <w:sz w:val="29"/>
          <w:szCs w:val="29"/>
          <w:color w:val="0A0A0A"/>
          <w:vertAlign w:val="superscript"/>
        </w:rPr>
        <w:t>(1)</w:t>
      </w:r>
      <w:r>
        <w:rPr>
          <w:rFonts w:ascii="Arial" w:cs="Arial" w:eastAsia="Arial" w:hAnsi="Arial"/>
          <w:sz w:val="18"/>
          <w:szCs w:val="18"/>
          <w:color w:val="0A0A0A"/>
        </w:rPr>
        <w:t xml:space="preserve"> declined 6% in the first quarter 2022 versus the first quarter 2019. While total block hours increased 30% for the same period, first quarter 2022 was the first full quarter impacted by the new pilot agreement that was signed at the end of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Balance Sheet and Liquidity</w:t>
      </w:r>
    </w:p>
    <w:p>
      <w:pPr>
        <w:spacing w:after="0" w:line="175" w:lineRule="exact"/>
        <w:rPr>
          <w:sz w:val="20"/>
          <w:szCs w:val="20"/>
          <w:color w:val="auto"/>
        </w:rPr>
      </w:pPr>
    </w:p>
    <w:p>
      <w:pPr>
        <w:ind w:right="700"/>
        <w:spacing w:after="0" w:line="231" w:lineRule="auto"/>
        <w:rPr>
          <w:sz w:val="20"/>
          <w:szCs w:val="20"/>
          <w:color w:val="auto"/>
        </w:rPr>
      </w:pPr>
      <w:r>
        <w:rPr>
          <w:rFonts w:ascii="Arial" w:cs="Arial" w:eastAsia="Arial" w:hAnsi="Arial"/>
          <w:sz w:val="18"/>
          <w:szCs w:val="18"/>
          <w:color w:val="0A0A0A"/>
        </w:rPr>
        <w:t>The Company’s net debt</w:t>
      </w:r>
      <w:r>
        <w:rPr>
          <w:rFonts w:ascii="Arial" w:cs="Arial" w:eastAsia="Arial" w:hAnsi="Arial"/>
          <w:sz w:val="29"/>
          <w:szCs w:val="29"/>
          <w:color w:val="0A0A0A"/>
          <w:vertAlign w:val="superscript"/>
        </w:rPr>
        <w:t>(5)</w:t>
      </w:r>
      <w:r>
        <w:rPr>
          <w:rFonts w:ascii="Arial" w:cs="Arial" w:eastAsia="Arial" w:hAnsi="Arial"/>
          <w:sz w:val="18"/>
          <w:szCs w:val="18"/>
          <w:color w:val="0A0A0A"/>
        </w:rPr>
        <w:t xml:space="preserve"> on March 31, 2022 was $309 million, due to the EETC that was completed at the end of the quarter. Total liquidity</w:t>
      </w:r>
      <w:r>
        <w:rPr>
          <w:rFonts w:ascii="Arial" w:cs="Arial" w:eastAsia="Arial" w:hAnsi="Arial"/>
          <w:sz w:val="29"/>
          <w:szCs w:val="29"/>
          <w:color w:val="0A0A0A"/>
          <w:vertAlign w:val="superscript"/>
        </w:rPr>
        <w:t>(6)</w:t>
      </w:r>
      <w:r>
        <w:rPr>
          <w:rFonts w:ascii="Arial" w:cs="Arial" w:eastAsia="Arial" w:hAnsi="Arial"/>
          <w:sz w:val="18"/>
          <w:szCs w:val="18"/>
          <w:color w:val="0A0A0A"/>
        </w:rPr>
        <w:t xml:space="preserve"> at the end of the first quarter was $297 million.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Fleet</w:t>
      </w:r>
    </w:p>
    <w:p>
      <w:pPr>
        <w:spacing w:after="0" w:line="17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0A0A0A"/>
        </w:rPr>
        <w:t>As of March 31, 2022, the Company had 38 aircraft in its passenger service fleet, an increase of two from December 31, 2021. In addition to the two aircraft that entered into service in the first quarter of 2022, Sun Country completed the purchase of four aircraft in April 2022 and is under a letter of intent for a seventh aircraft for delivery in 2022. In April, the Company completed a lease buyout and anticipates a second lease buyout to occur in the third quarter (both of which were financed by the EETC). It currently operates twelve freighter aircraft in its cargo operation.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400" w:type="dxa"/>
            <w:vAlign w:val="bottom"/>
          </w:tcPr>
          <w:p>
            <w:pPr>
              <w:spacing w:after="0"/>
              <w:rPr>
                <w:sz w:val="20"/>
                <w:szCs w:val="20"/>
                <w:color w:val="auto"/>
              </w:rPr>
            </w:pPr>
            <w:r>
              <w:rPr>
                <w:rFonts w:ascii="Arial" w:cs="Arial" w:eastAsia="Arial" w:hAnsi="Arial"/>
                <w:sz w:val="18"/>
                <w:szCs w:val="18"/>
                <w:b w:val="1"/>
                <w:bCs w:val="1"/>
                <w:color w:val="0A0A0A"/>
              </w:rPr>
              <w:t>Guidance for Second Quarter 2022</w:t>
            </w:r>
          </w:p>
        </w:tc>
        <w:tc>
          <w:tcPr>
            <w:tcW w:w="3200" w:type="dxa"/>
            <w:vAlign w:val="bottom"/>
          </w:tcPr>
          <w:p>
            <w:pPr>
              <w:spacing w:after="0"/>
              <w:rPr>
                <w:sz w:val="21"/>
                <w:szCs w:val="21"/>
                <w:color w:val="auto"/>
              </w:rPr>
            </w:pPr>
          </w:p>
        </w:tc>
        <w:tc>
          <w:tcPr>
            <w:tcW w:w="2640" w:type="dxa"/>
            <w:vAlign w:val="bottom"/>
          </w:tcPr>
          <w:p>
            <w:pPr>
              <w:spacing w:after="0"/>
              <w:rPr>
                <w:sz w:val="21"/>
                <w:szCs w:val="21"/>
                <w:color w:val="auto"/>
              </w:rPr>
            </w:pPr>
          </w:p>
        </w:tc>
      </w:tr>
      <w:tr>
        <w:trPr>
          <w:trHeight w:val="379"/>
        </w:trPr>
        <w:tc>
          <w:tcPr>
            <w:tcW w:w="5400" w:type="dxa"/>
            <w:vAlign w:val="bottom"/>
          </w:tcPr>
          <w:p>
            <w:pPr>
              <w:spacing w:after="0"/>
              <w:rPr>
                <w:sz w:val="24"/>
                <w:szCs w:val="24"/>
                <w:color w:val="auto"/>
              </w:rPr>
            </w:pPr>
          </w:p>
        </w:tc>
        <w:tc>
          <w:tcPr>
            <w:tcW w:w="3200" w:type="dxa"/>
            <w:vAlign w:val="bottom"/>
          </w:tcPr>
          <w:p>
            <w:pPr>
              <w:jc w:val="center"/>
              <w:ind w:left="870"/>
              <w:spacing w:after="0"/>
              <w:rPr>
                <w:sz w:val="20"/>
                <w:szCs w:val="20"/>
                <w:color w:val="auto"/>
              </w:rPr>
            </w:pPr>
            <w:r>
              <w:rPr>
                <w:rFonts w:ascii="Arial" w:cs="Arial" w:eastAsia="Arial" w:hAnsi="Arial"/>
                <w:sz w:val="18"/>
                <w:szCs w:val="18"/>
                <w:b w:val="1"/>
                <w:bCs w:val="1"/>
                <w:color w:val="0A0A0A"/>
                <w:w w:val="98"/>
              </w:rPr>
              <w:t>Q2 2022</w:t>
            </w:r>
          </w:p>
        </w:tc>
        <w:tc>
          <w:tcPr>
            <w:tcW w:w="2640" w:type="dxa"/>
            <w:vAlign w:val="bottom"/>
          </w:tcPr>
          <w:p>
            <w:pPr>
              <w:ind w:left="600"/>
              <w:spacing w:after="0"/>
              <w:rPr>
                <w:sz w:val="20"/>
                <w:szCs w:val="20"/>
                <w:color w:val="auto"/>
              </w:rPr>
            </w:pPr>
            <w:r>
              <w:rPr>
                <w:rFonts w:ascii="Arial" w:cs="Arial" w:eastAsia="Arial" w:hAnsi="Arial"/>
                <w:sz w:val="18"/>
                <w:szCs w:val="18"/>
                <w:b w:val="1"/>
                <w:bCs w:val="1"/>
                <w:color w:val="0A0A0A"/>
              </w:rPr>
              <w:t>H/(L) vs Q2 2019</w:t>
            </w:r>
          </w:p>
        </w:tc>
      </w:tr>
      <w:tr>
        <w:trPr>
          <w:trHeight w:val="203"/>
        </w:trPr>
        <w:tc>
          <w:tcPr>
            <w:tcW w:w="54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Total revenue - millions</w:t>
            </w:r>
          </w:p>
        </w:tc>
        <w:tc>
          <w:tcPr>
            <w:tcW w:w="3200" w:type="dxa"/>
            <w:vAlign w:val="bottom"/>
            <w:shd w:val="clear" w:color="auto" w:fill="C6F4F9"/>
          </w:tcPr>
          <w:p>
            <w:pPr>
              <w:jc w:val="center"/>
              <w:ind w:left="870"/>
              <w:spacing w:after="0" w:line="202" w:lineRule="exact"/>
              <w:rPr>
                <w:sz w:val="20"/>
                <w:szCs w:val="20"/>
                <w:color w:val="auto"/>
              </w:rPr>
            </w:pPr>
            <w:r>
              <w:rPr>
                <w:rFonts w:ascii="Arial" w:cs="Arial" w:eastAsia="Arial" w:hAnsi="Arial"/>
                <w:sz w:val="18"/>
                <w:szCs w:val="18"/>
                <w:color w:val="0A0A0A"/>
                <w:w w:val="98"/>
              </w:rPr>
              <w:t>$210 to $220</w:t>
            </w:r>
          </w:p>
        </w:tc>
        <w:tc>
          <w:tcPr>
            <w:tcW w:w="2640" w:type="dxa"/>
            <w:vAlign w:val="bottom"/>
            <w:shd w:val="clear" w:color="auto" w:fill="C6F4F9"/>
          </w:tcPr>
          <w:p>
            <w:pPr>
              <w:jc w:val="center"/>
              <w:spacing w:after="0" w:line="202" w:lineRule="exact"/>
              <w:rPr>
                <w:sz w:val="20"/>
                <w:szCs w:val="20"/>
                <w:color w:val="auto"/>
              </w:rPr>
            </w:pPr>
            <w:r>
              <w:rPr>
                <w:rFonts w:ascii="Arial" w:cs="Arial" w:eastAsia="Arial" w:hAnsi="Arial"/>
                <w:sz w:val="18"/>
                <w:szCs w:val="18"/>
                <w:color w:val="0A0A0A"/>
              </w:rPr>
              <w:t>24% to 30%</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0A0A0A"/>
              </w:rPr>
              <w:t>Economic fuel cost per gallon</w:t>
            </w:r>
          </w:p>
        </w:tc>
        <w:tc>
          <w:tcPr>
            <w:tcW w:w="3200" w:type="dxa"/>
            <w:vAlign w:val="bottom"/>
          </w:tcPr>
          <w:p>
            <w:pPr>
              <w:jc w:val="center"/>
              <w:ind w:left="870"/>
              <w:spacing w:after="0" w:line="202" w:lineRule="exact"/>
              <w:rPr>
                <w:sz w:val="20"/>
                <w:szCs w:val="20"/>
                <w:color w:val="auto"/>
              </w:rPr>
            </w:pPr>
            <w:r>
              <w:rPr>
                <w:rFonts w:ascii="Arial" w:cs="Arial" w:eastAsia="Arial" w:hAnsi="Arial"/>
                <w:sz w:val="18"/>
                <w:szCs w:val="18"/>
                <w:color w:val="0A0A0A"/>
                <w:w w:val="97"/>
              </w:rPr>
              <w:t>$3.50</w:t>
            </w:r>
          </w:p>
        </w:tc>
        <w:tc>
          <w:tcPr>
            <w:tcW w:w="2640" w:type="dxa"/>
            <w:vAlign w:val="bottom"/>
          </w:tcPr>
          <w:p>
            <w:pPr>
              <w:jc w:val="center"/>
              <w:spacing w:after="0" w:line="202" w:lineRule="exact"/>
              <w:rPr>
                <w:sz w:val="20"/>
                <w:szCs w:val="20"/>
                <w:color w:val="auto"/>
              </w:rPr>
            </w:pPr>
            <w:r>
              <w:rPr>
                <w:rFonts w:ascii="Arial" w:cs="Arial" w:eastAsia="Arial" w:hAnsi="Arial"/>
                <w:sz w:val="18"/>
                <w:szCs w:val="18"/>
                <w:color w:val="0A0A0A"/>
                <w:w w:val="99"/>
              </w:rPr>
              <w:t>53%</w:t>
            </w:r>
          </w:p>
        </w:tc>
      </w:tr>
      <w:tr>
        <w:trPr>
          <w:trHeight w:val="203"/>
        </w:trPr>
        <w:tc>
          <w:tcPr>
            <w:tcW w:w="54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Adjusted Operating income margin - percentage</w:t>
            </w:r>
          </w:p>
        </w:tc>
        <w:tc>
          <w:tcPr>
            <w:tcW w:w="3200" w:type="dxa"/>
            <w:vAlign w:val="bottom"/>
            <w:shd w:val="clear" w:color="auto" w:fill="C6F4F9"/>
          </w:tcPr>
          <w:p>
            <w:pPr>
              <w:jc w:val="center"/>
              <w:ind w:left="870"/>
              <w:spacing w:after="0" w:line="202" w:lineRule="exact"/>
              <w:rPr>
                <w:sz w:val="20"/>
                <w:szCs w:val="20"/>
                <w:color w:val="auto"/>
              </w:rPr>
            </w:pPr>
            <w:r>
              <w:rPr>
                <w:rFonts w:ascii="Arial" w:cs="Arial" w:eastAsia="Arial" w:hAnsi="Arial"/>
                <w:sz w:val="18"/>
                <w:szCs w:val="18"/>
                <w:color w:val="0A0A0A"/>
                <w:w w:val="99"/>
              </w:rPr>
              <w:t>5% - 9%</w:t>
            </w:r>
          </w:p>
        </w:tc>
        <w:tc>
          <w:tcPr>
            <w:tcW w:w="2640" w:type="dxa"/>
            <w:vAlign w:val="bottom"/>
            <w:shd w:val="clear" w:color="auto" w:fill="C6F4F9"/>
          </w:tcPr>
          <w:p>
            <w:pPr>
              <w:jc w:val="center"/>
              <w:spacing w:after="0" w:line="202" w:lineRule="exact"/>
              <w:rPr>
                <w:sz w:val="20"/>
                <w:szCs w:val="20"/>
                <w:color w:val="auto"/>
              </w:rPr>
            </w:pPr>
            <w:r>
              <w:rPr>
                <w:rFonts w:ascii="Arial" w:cs="Arial" w:eastAsia="Arial" w:hAnsi="Arial"/>
                <w:sz w:val="18"/>
                <w:szCs w:val="18"/>
                <w:color w:val="0A0A0A"/>
              </w:rPr>
              <w:t>(5)pp to (1)pp</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0A0A0A"/>
              </w:rPr>
              <w:t>Effective tax rate</w:t>
            </w:r>
          </w:p>
        </w:tc>
        <w:tc>
          <w:tcPr>
            <w:tcW w:w="3200" w:type="dxa"/>
            <w:vAlign w:val="bottom"/>
          </w:tcPr>
          <w:p>
            <w:pPr>
              <w:jc w:val="center"/>
              <w:ind w:left="870"/>
              <w:spacing w:after="0" w:line="202" w:lineRule="exact"/>
              <w:rPr>
                <w:sz w:val="20"/>
                <w:szCs w:val="20"/>
                <w:color w:val="auto"/>
              </w:rPr>
            </w:pPr>
            <w:r>
              <w:rPr>
                <w:rFonts w:ascii="Arial" w:cs="Arial" w:eastAsia="Arial" w:hAnsi="Arial"/>
                <w:sz w:val="18"/>
                <w:szCs w:val="18"/>
                <w:color w:val="0A0A0A"/>
                <w:w w:val="99"/>
              </w:rPr>
              <w:t>23%</w:t>
            </w:r>
          </w:p>
        </w:tc>
        <w:tc>
          <w:tcPr>
            <w:tcW w:w="2640" w:type="dxa"/>
            <w:vAlign w:val="bottom"/>
          </w:tcPr>
          <w:p>
            <w:pPr>
              <w:spacing w:after="0"/>
              <w:rPr>
                <w:sz w:val="17"/>
                <w:szCs w:val="17"/>
                <w:color w:val="auto"/>
              </w:rPr>
            </w:pPr>
          </w:p>
        </w:tc>
      </w:tr>
      <w:tr>
        <w:trPr>
          <w:trHeight w:val="203"/>
        </w:trPr>
        <w:tc>
          <w:tcPr>
            <w:tcW w:w="540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Total system block hours - thousands</w:t>
            </w:r>
          </w:p>
        </w:tc>
        <w:tc>
          <w:tcPr>
            <w:tcW w:w="3200" w:type="dxa"/>
            <w:vAlign w:val="bottom"/>
            <w:shd w:val="clear" w:color="auto" w:fill="C6F4F9"/>
          </w:tcPr>
          <w:p>
            <w:pPr>
              <w:jc w:val="center"/>
              <w:ind w:left="870"/>
              <w:spacing w:after="0" w:line="202" w:lineRule="exact"/>
              <w:rPr>
                <w:sz w:val="20"/>
                <w:szCs w:val="20"/>
                <w:color w:val="auto"/>
              </w:rPr>
            </w:pPr>
            <w:r>
              <w:rPr>
                <w:rFonts w:ascii="Arial" w:cs="Arial" w:eastAsia="Arial" w:hAnsi="Arial"/>
                <w:sz w:val="18"/>
                <w:szCs w:val="18"/>
                <w:color w:val="0A0A0A"/>
              </w:rPr>
              <w:t>30.5 to 31.5</w:t>
            </w:r>
          </w:p>
        </w:tc>
        <w:tc>
          <w:tcPr>
            <w:tcW w:w="2640" w:type="dxa"/>
            <w:vAlign w:val="bottom"/>
            <w:shd w:val="clear" w:color="auto" w:fill="C6F4F9"/>
          </w:tcPr>
          <w:p>
            <w:pPr>
              <w:jc w:val="center"/>
              <w:spacing w:after="0" w:line="202" w:lineRule="exact"/>
              <w:rPr>
                <w:sz w:val="20"/>
                <w:szCs w:val="20"/>
                <w:color w:val="auto"/>
              </w:rPr>
            </w:pPr>
            <w:r>
              <w:rPr>
                <w:rFonts w:ascii="Arial" w:cs="Arial" w:eastAsia="Arial" w:hAnsi="Arial"/>
                <w:sz w:val="18"/>
                <w:szCs w:val="18"/>
                <w:color w:val="0A0A0A"/>
              </w:rPr>
              <w:t>22% to 26%</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Conference Call &amp; Webcast Details</w:t>
      </w:r>
    </w:p>
    <w:p>
      <w:pPr>
        <w:spacing w:after="0" w:line="19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0A0A0A"/>
        </w:rPr>
        <w:t xml:space="preserve">Sun Country Airlines will host a conference call to discuss its first quarter 2022 results at 3:30 p.m. Eastern Time on Thursday, May 5, 2022. A live broadcast of the conference call will be available via the investor relations section of Sun Country Airlines’ website at </w:t>
      </w:r>
      <w:r>
        <w:rPr>
          <w:rFonts w:ascii="Arial" w:cs="Arial" w:eastAsia="Arial" w:hAnsi="Arial"/>
          <w:sz w:val="18"/>
          <w:szCs w:val="18"/>
          <w:u w:val="single" w:color="auto"/>
          <w:color w:val="0563C1"/>
        </w:rPr>
        <w:t>https://ir.suncountry.com/news-events/events-and-presentations</w:t>
      </w:r>
      <w:r>
        <w:rPr>
          <w:rFonts w:ascii="Arial" w:cs="Arial" w:eastAsia="Arial" w:hAnsi="Arial"/>
          <w:sz w:val="18"/>
          <w:szCs w:val="18"/>
          <w:color w:val="0A0A0A"/>
        </w:rPr>
        <w:t>. The online replay will be available on the same website approximately one</w:t>
      </w:r>
      <w:r>
        <w:rPr>
          <w:rFonts w:ascii="Arial" w:cs="Arial" w:eastAsia="Arial" w:hAnsi="Arial"/>
          <w:sz w:val="18"/>
          <w:szCs w:val="18"/>
          <w:color w:val="0563C1"/>
        </w:rPr>
        <w:t xml:space="preserve"> </w:t>
      </w:r>
      <w:r>
        <w:rPr>
          <w:rFonts w:ascii="Arial" w:cs="Arial" w:eastAsia="Arial" w:hAnsi="Arial"/>
          <w:sz w:val="18"/>
          <w:szCs w:val="18"/>
          <w:color w:val="0A0A0A"/>
        </w:rPr>
        <w:t>hour after the call. The conference call can also be listened to live by dialing 1 (833) 458-0947 (U.S. toll free) or 1 (914) 987-7750 (U.S. toll).</w:t>
      </w:r>
    </w:p>
    <w:p>
      <w:pPr>
        <w:spacing w:after="0" w:line="147" w:lineRule="exact"/>
        <w:rPr>
          <w:sz w:val="20"/>
          <w:szCs w:val="20"/>
          <w:color w:val="auto"/>
        </w:rPr>
      </w:pPr>
    </w:p>
    <w:p>
      <w:pPr>
        <w:jc w:val="right"/>
        <w:spacing w:after="0"/>
        <w:tabs>
          <w:tab w:leader="none" w:pos="2920" w:val="left"/>
        </w:tabs>
        <w:rPr>
          <w:sz w:val="20"/>
          <w:szCs w:val="20"/>
          <w:color w:val="auto"/>
        </w:rPr>
      </w:pPr>
      <w:r>
        <w:rPr>
          <w:rFonts w:ascii="Times New Roman" w:cs="Times New Roman" w:eastAsia="Times New Roman" w:hAnsi="Times New Roman"/>
          <w:sz w:val="18"/>
          <w:szCs w:val="18"/>
          <w:color w:val="auto"/>
        </w:rPr>
        <w:t>Page 3</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11"/>
          <w:szCs w:val="11"/>
          <w:color w:val="7671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0A0A0A"/>
        </w:rPr>
        <w:drawing>
          <wp:anchor simplePos="0" relativeHeight="251657728" behindDoc="1" locked="0" layoutInCell="0" allowOverlap="1">
            <wp:simplePos x="0" y="0"/>
            <wp:positionH relativeFrom="page">
              <wp:posOffset>5171440</wp:posOffset>
            </wp:positionH>
            <wp:positionV relativeFrom="page">
              <wp:posOffset>157480</wp:posOffset>
            </wp:positionV>
            <wp:extent cx="2134235"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134235" cy="531495"/>
                    </a:xfrm>
                    <a:prstGeom prst="rect">
                      <a:avLst/>
                    </a:prstGeom>
                    <a:noFill/>
                  </pic:spPr>
                </pic:pic>
              </a:graphicData>
            </a:graphic>
          </wp:anchor>
        </w:drawing>
        <w:t>About Sun Country Airlines</w:t>
      </w:r>
    </w:p>
    <w:p>
      <w:pPr>
        <w:spacing w:after="0" w:line="185" w:lineRule="exact"/>
        <w:rPr>
          <w:sz w:val="20"/>
          <w:szCs w:val="20"/>
          <w:color w:val="auto"/>
        </w:rPr>
      </w:pPr>
    </w:p>
    <w:p>
      <w:pPr>
        <w:spacing w:after="0" w:line="247" w:lineRule="auto"/>
        <w:rPr>
          <w:sz w:val="20"/>
          <w:szCs w:val="20"/>
          <w:color w:val="auto"/>
        </w:rPr>
      </w:pPr>
      <w:r>
        <w:rPr>
          <w:rFonts w:ascii="Arial" w:cs="Arial" w:eastAsia="Arial" w:hAnsi="Arial"/>
          <w:sz w:val="18"/>
          <w:szCs w:val="18"/>
          <w:color w:val="0A0A0A"/>
        </w:rPr>
        <w:t>Sun Country Airlines is a new breed of hybrid low-cost air carrier that dynamically deploys shared resources across our synergistic scheduled service, charter and cargo businesses. Based in Minnesota, we focus on serving leisure and visiting friends and relatives ("VFR") passengers and charter customers and providing cargo CMI services, with flights throughout the United States and to destinations in Mexico, Central America, Canada, and the Caribbean.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End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0A0A0A"/>
        </w:rPr>
        <w:t>1 – See additional details in the tables below in the section titled “</w:t>
      </w:r>
      <w:r>
        <w:rPr>
          <w:rFonts w:ascii="Arial" w:cs="Arial" w:eastAsia="Arial" w:hAnsi="Arial"/>
          <w:sz w:val="18"/>
          <w:szCs w:val="18"/>
          <w:color w:val="000000"/>
        </w:rPr>
        <w:t>Non-GAAP financial measures”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 xml:space="preserve">2 – </w:t>
      </w:r>
      <w:r>
        <w:rPr>
          <w:rFonts w:ascii="Arial" w:cs="Arial" w:eastAsia="Arial" w:hAnsi="Arial"/>
          <w:sz w:val="18"/>
          <w:szCs w:val="18"/>
          <w:color w:val="000000"/>
        </w:rPr>
        <w:t>Total system TRASM = total revenue – cargo revenue / system ASMs</w:t>
      </w:r>
    </w:p>
    <w:p>
      <w:pPr>
        <w:spacing w:after="0" w:line="234" w:lineRule="auto"/>
        <w:rPr>
          <w:sz w:val="20"/>
          <w:szCs w:val="20"/>
          <w:color w:val="auto"/>
        </w:rPr>
      </w:pPr>
      <w:r>
        <w:rPr>
          <w:rFonts w:ascii="Arial" w:cs="Arial" w:eastAsia="Arial" w:hAnsi="Arial"/>
          <w:sz w:val="18"/>
          <w:szCs w:val="18"/>
          <w:color w:val="auto"/>
        </w:rPr>
        <w:t>3 – Scheduled service TRASM = scheduled service revenue + ancillary revenue + other revenue / scheduled service ASMs</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 xml:space="preserve">4 – </w:t>
      </w:r>
      <w:r>
        <w:rPr>
          <w:rFonts w:ascii="Arial" w:cs="Arial" w:eastAsia="Arial" w:hAnsi="Arial"/>
          <w:sz w:val="18"/>
          <w:szCs w:val="18"/>
          <w:color w:val="0A0A0A"/>
        </w:rPr>
        <w:t>Adjusted CASM is a non-GAAP measure derived from CASM by excluding fuel costs, Special Items, non-cash management stock</w:t>
      </w:r>
      <w:r>
        <w:rPr>
          <w:rFonts w:ascii="Arial" w:cs="Arial" w:eastAsia="Arial" w:hAnsi="Arial"/>
          <w:sz w:val="18"/>
          <w:szCs w:val="18"/>
          <w:color w:val="auto"/>
        </w:rPr>
        <w:t xml:space="preserve"> </w:t>
      </w:r>
      <w:r>
        <w:rPr>
          <w:rFonts w:ascii="Arial" w:cs="Arial" w:eastAsia="Arial" w:hAnsi="Arial"/>
          <w:sz w:val="18"/>
          <w:szCs w:val="18"/>
          <w:color w:val="0A0A0A"/>
        </w:rPr>
        <w:t>compensation expense, costs arising from its cargo operations (starting in 2020 when the Company launched cargo operations), certain commissions, and other costs of selling its vacations product from this measure. See table titled “</w:t>
      </w:r>
      <w:r>
        <w:rPr>
          <w:rFonts w:ascii="Arial" w:cs="Arial" w:eastAsia="Arial" w:hAnsi="Arial"/>
          <w:sz w:val="18"/>
          <w:szCs w:val="18"/>
          <w:color w:val="000000"/>
        </w:rPr>
        <w:t>Reconciliation of Adjusted CASM to CASM”</w:t>
      </w:r>
      <w:r>
        <w:rPr>
          <w:rFonts w:ascii="Arial" w:cs="Arial" w:eastAsia="Arial" w:hAnsi="Arial"/>
          <w:sz w:val="18"/>
          <w:szCs w:val="18"/>
          <w:color w:val="0A0A0A"/>
        </w:rPr>
        <w:t xml:space="preserve"> </w:t>
      </w:r>
      <w:r>
        <w:rPr>
          <w:rFonts w:ascii="Arial" w:cs="Arial" w:eastAsia="Arial" w:hAnsi="Arial"/>
          <w:sz w:val="18"/>
          <w:szCs w:val="18"/>
          <w:color w:val="000000"/>
        </w:rPr>
        <w:t>5 – Net debt = current portion of long-term debt + long-term debt + finance lease obligations + operating lease obligations – cash and cash equivalents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6 – Total liquidity = cash and cash equivalents + amount of undrawn revolver</w:t>
      </w:r>
    </w:p>
    <w:p>
      <w:pPr>
        <w:sectPr>
          <w:pgSz w:w="11900" w:h="16838" w:orient="portrait"/>
          <w:cols w:equalWidth="0" w:num="1">
            <w:col w:w="11240"/>
          </w:cols>
          <w:pgMar w:left="320" w:top="1295" w:right="339"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Chris Allen</w:t>
      </w:r>
    </w:p>
    <w:p>
      <w:pPr>
        <w:spacing w:after="0" w:line="234" w:lineRule="auto"/>
        <w:rPr>
          <w:sz w:val="20"/>
          <w:szCs w:val="20"/>
          <w:color w:val="auto"/>
        </w:rPr>
      </w:pPr>
      <w:r>
        <w:rPr>
          <w:rFonts w:ascii="Arial" w:cs="Arial" w:eastAsia="Arial" w:hAnsi="Arial"/>
          <w:sz w:val="18"/>
          <w:szCs w:val="18"/>
          <w:color w:val="0A0A0A"/>
        </w:rPr>
        <w:t>651-681-4810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IR@suncountry.com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A0A0A"/>
        </w:rPr>
        <w:t>Wendy Burt</w:t>
      </w:r>
    </w:p>
    <w:p>
      <w:pPr>
        <w:spacing w:after="0" w:line="234" w:lineRule="auto"/>
        <w:rPr>
          <w:sz w:val="20"/>
          <w:szCs w:val="20"/>
          <w:color w:val="auto"/>
        </w:rPr>
      </w:pPr>
      <w:r>
        <w:rPr>
          <w:rFonts w:ascii="Arial" w:cs="Arial" w:eastAsia="Arial" w:hAnsi="Arial"/>
          <w:sz w:val="18"/>
          <w:szCs w:val="18"/>
          <w:color w:val="0A0A0A"/>
        </w:rPr>
        <w:t>651-900-8400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167"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11"/>
          <w:szCs w:val="11"/>
          <w:color w:val="767171"/>
        </w:rPr>
        <w:t>®</w:t>
      </w:r>
    </w:p>
    <w:p>
      <w:pPr>
        <w:sectPr>
          <w:pgSz w:w="11900" w:h="16838" w:orient="portrait"/>
          <w:cols w:equalWidth="0" w:num="2">
            <w:col w:w="7580" w:space="720"/>
            <w:col w:w="2940"/>
          </w:cols>
          <w:pgMar w:left="320" w:top="129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0A0A0A"/>
        </w:rPr>
        <w:drawing>
          <wp:anchor simplePos="0" relativeHeight="251657728" behindDoc="1" locked="0" layoutInCell="0" allowOverlap="1">
            <wp:simplePos x="0" y="0"/>
            <wp:positionH relativeFrom="page">
              <wp:posOffset>5171440</wp:posOffset>
            </wp:positionH>
            <wp:positionV relativeFrom="page">
              <wp:posOffset>157480</wp:posOffset>
            </wp:positionV>
            <wp:extent cx="213423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134235" cy="531495"/>
                    </a:xfrm>
                    <a:prstGeom prst="rect">
                      <a:avLst/>
                    </a:prstGeom>
                    <a:noFill/>
                  </pic:spPr>
                </pic:pic>
              </a:graphicData>
            </a:graphic>
          </wp:anchor>
        </w:drawing>
        <w:t>Forward Looking Statements</w:t>
      </w:r>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0A0A0A"/>
        </w:rPr>
        <w:t>This press release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press release, including statements regarding our strategy, future operations, future financial position, future revenue, projected costs, prospects, plans, objectives of management, and expected market growth are forward-looking statements. The forward-looking statements are relating to:</w:t>
      </w:r>
    </w:p>
    <w:p>
      <w:pPr>
        <w:spacing w:after="0" w:line="125"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our strategy, outlook and growth prospects;</w:t>
      </w:r>
    </w:p>
    <w:p>
      <w:pPr>
        <w:spacing w:after="0" w:line="13" w:lineRule="exact"/>
        <w:rPr>
          <w:rFonts w:ascii="Arial" w:cs="Arial" w:eastAsia="Arial" w:hAnsi="Arial"/>
          <w:sz w:val="18"/>
          <w:szCs w:val="18"/>
          <w:color w:val="0A0A0A"/>
        </w:rPr>
      </w:pPr>
    </w:p>
    <w:p>
      <w:pPr>
        <w:ind w:left="120" w:hanging="112"/>
        <w:spacing w:after="0" w:line="234" w:lineRule="auto"/>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our operational and financial targets and dividend policy;</w:t>
      </w:r>
    </w:p>
    <w:p>
      <w:pPr>
        <w:ind w:left="120" w:hanging="112"/>
        <w:spacing w:after="0" w:line="234" w:lineRule="auto"/>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general economic trends and trends in the industry and markets; and</w:t>
      </w: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the competitive environment in which we operate.</w:t>
      </w:r>
    </w:p>
    <w:p>
      <w:pPr>
        <w:spacing w:after="0" w:line="153"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0A0A0A"/>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4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0A0A0A"/>
        </w:rPr>
        <w:t>These forward-looking statements reflect our views with respect to future events as of the date of this press release and are based on assumptions and subject to risks and uncertainties. Given these uncertainties, you should not place undue reliance on these forward-looking statements. These forward-looking statements represent our estimates and assumptions only as of the date of this press release and, except as required by law, we undertake</w:t>
      </w:r>
    </w:p>
    <w:p>
      <w:pPr>
        <w:spacing w:after="0" w:line="133" w:lineRule="exact"/>
        <w:rPr>
          <w:sz w:val="20"/>
          <w:szCs w:val="20"/>
          <w:color w:val="auto"/>
        </w:rPr>
      </w:pPr>
    </w:p>
    <w:p>
      <w:pPr>
        <w:ind w:right="20"/>
        <w:spacing w:after="0"/>
        <w:rPr>
          <w:sz w:val="20"/>
          <w:szCs w:val="20"/>
          <w:color w:val="auto"/>
        </w:rPr>
      </w:pPr>
      <w:r>
        <w:rPr>
          <w:rFonts w:ascii="Arial" w:cs="Arial" w:eastAsia="Arial" w:hAnsi="Arial"/>
          <w:sz w:val="18"/>
          <w:szCs w:val="18"/>
          <w:color w:val="0A0A0A"/>
        </w:rPr>
        <w:t>no obligation to update or review publicly any forward-looking statements, whether as a result of new information, future events or otherwise after the date of this press release. We anticipate that subsequent events and developments will cause our views to change. You should read this press release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Annual Reports on Form 10-K, Quarterly Report on Form 10-Q, and Current Reports on Form 8-K.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Non-GAAP Financial Measures</w:t>
      </w:r>
    </w:p>
    <w:p>
      <w:pPr>
        <w:spacing w:after="0" w:line="185" w:lineRule="exact"/>
        <w:rPr>
          <w:sz w:val="20"/>
          <w:szCs w:val="20"/>
          <w:color w:val="auto"/>
        </w:rPr>
      </w:pPr>
    </w:p>
    <w:p>
      <w:pPr>
        <w:ind w:right="60"/>
        <w:spacing w:after="0"/>
        <w:rPr>
          <w:sz w:val="20"/>
          <w:szCs w:val="20"/>
          <w:color w:val="auto"/>
        </w:rPr>
      </w:pPr>
      <w:r>
        <w:rPr>
          <w:rFonts w:ascii="Arial" w:cs="Arial" w:eastAsia="Arial" w:hAnsi="Arial"/>
          <w:sz w:val="18"/>
          <w:szCs w:val="18"/>
          <w:color w:val="0A0A0A"/>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w:t>
      </w:r>
    </w:p>
    <w:p>
      <w:pPr>
        <w:ind w:right="120"/>
        <w:spacing w:after="0" w:line="242" w:lineRule="auto"/>
        <w:rPr>
          <w:sz w:val="20"/>
          <w:szCs w:val="20"/>
          <w:color w:val="auto"/>
        </w:rPr>
      </w:pPr>
      <w:r>
        <w:rPr>
          <w:rFonts w:ascii="Arial" w:cs="Arial" w:eastAsia="Arial" w:hAnsi="Arial"/>
          <w:sz w:val="18"/>
          <w:szCs w:val="18"/>
          <w:color w:val="0A0A0A"/>
        </w:rPr>
        <w:t>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document to the most directly comparable GAAP financial measures.</w:t>
      </w:r>
    </w:p>
    <w:p>
      <w:pPr>
        <w:spacing w:after="0" w:line="139" w:lineRule="exact"/>
        <w:rPr>
          <w:sz w:val="20"/>
          <w:szCs w:val="20"/>
          <w:color w:val="auto"/>
        </w:rPr>
      </w:pPr>
    </w:p>
    <w:p>
      <w:pPr>
        <w:jc w:val="right"/>
        <w:spacing w:after="0"/>
        <w:tabs>
          <w:tab w:leader="none" w:pos="2920" w:val="left"/>
        </w:tabs>
        <w:rPr>
          <w:sz w:val="20"/>
          <w:szCs w:val="20"/>
          <w:color w:val="auto"/>
        </w:rPr>
      </w:pPr>
      <w:r>
        <w:rPr>
          <w:rFonts w:ascii="Times New Roman" w:cs="Times New Roman" w:eastAsia="Times New Roman" w:hAnsi="Times New Roman"/>
          <w:sz w:val="18"/>
          <w:szCs w:val="18"/>
          <w:color w:val="auto"/>
        </w:rPr>
        <w:t>Page 5</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11"/>
          <w:szCs w:val="11"/>
          <w:color w:val="7671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5171440</wp:posOffset>
            </wp:positionH>
            <wp:positionV relativeFrom="page">
              <wp:posOffset>157480</wp:posOffset>
            </wp:positionV>
            <wp:extent cx="213423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134235" cy="531495"/>
                    </a:xfrm>
                    <a:prstGeom prst="rect">
                      <a:avLst/>
                    </a:prstGeom>
                    <a:noFill/>
                  </pic:spPr>
                </pic:pic>
              </a:graphicData>
            </a:graphic>
          </wp:anchor>
        </w:drawing>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5"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360" w:type="dxa"/>
            <w:vAlign w:val="bottom"/>
            <w:tcBorders>
              <w:top w:val="single" w:sz="8" w:color="auto"/>
            </w:tcBorders>
            <w:gridSpan w:val="6"/>
          </w:tcPr>
          <w:p>
            <w:pPr>
              <w:jc w:val="right"/>
              <w:ind w:right="1120"/>
              <w:spacing w:after="0" w:line="191" w:lineRule="exact"/>
              <w:rPr>
                <w:sz w:val="20"/>
                <w:szCs w:val="20"/>
                <w:color w:val="auto"/>
              </w:rPr>
            </w:pPr>
            <w:r>
              <w:rPr>
                <w:rFonts w:ascii="Arial" w:cs="Arial" w:eastAsia="Arial" w:hAnsi="Arial"/>
                <w:sz w:val="18"/>
                <w:szCs w:val="18"/>
                <w:b w:val="1"/>
                <w:bCs w:val="1"/>
                <w:color w:val="0A0A0A"/>
              </w:rPr>
              <w:t>Three Months Ended</w:t>
            </w: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03"/>
        </w:trPr>
        <w:tc>
          <w:tcPr>
            <w:tcW w:w="4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0A0A0A"/>
              </w:rPr>
              <w:t>March 31,</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45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0A0A0A"/>
              </w:rPr>
              <w:t>2022</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0A0A0A"/>
              </w:rPr>
              <w:t>2021</w:t>
            </w: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18"/>
                <w:szCs w:val="18"/>
                <w:b w:val="1"/>
                <w:bCs w:val="1"/>
                <w:color w:val="0A0A0A"/>
              </w:rPr>
              <w:t>% Change</w:t>
            </w:r>
          </w:p>
        </w:tc>
      </w:tr>
      <w:tr>
        <w:trPr>
          <w:trHeight w:val="196"/>
        </w:trPr>
        <w:tc>
          <w:tcPr>
            <w:tcW w:w="4580" w:type="dxa"/>
            <w:vAlign w:val="bottom"/>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Operating Revenues:</w:t>
            </w:r>
          </w:p>
        </w:tc>
        <w:tc>
          <w:tcPr>
            <w:tcW w:w="174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02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1040" w:type="dxa"/>
            <w:vAlign w:val="bottom"/>
            <w:shd w:val="clear" w:color="auto" w:fill="C6F4F9"/>
          </w:tcPr>
          <w:p>
            <w:pPr>
              <w:spacing w:after="0"/>
              <w:rPr>
                <w:sz w:val="17"/>
                <w:szCs w:val="17"/>
                <w:color w:val="auto"/>
              </w:rPr>
            </w:pPr>
          </w:p>
        </w:tc>
        <w:tc>
          <w:tcPr>
            <w:tcW w:w="560" w:type="dxa"/>
            <w:vAlign w:val="bottom"/>
            <w:shd w:val="clear" w:color="auto" w:fill="C6F4F9"/>
          </w:tcPr>
          <w:p>
            <w:pPr>
              <w:spacing w:after="0"/>
              <w:rPr>
                <w:sz w:val="17"/>
                <w:szCs w:val="17"/>
                <w:color w:val="auto"/>
              </w:rPr>
            </w:pPr>
          </w:p>
        </w:tc>
        <w:tc>
          <w:tcPr>
            <w:tcW w:w="1240" w:type="dxa"/>
            <w:vAlign w:val="bottom"/>
            <w:shd w:val="clear" w:color="auto" w:fill="C6F4F9"/>
          </w:tcPr>
          <w:p>
            <w:pPr>
              <w:spacing w:after="0"/>
              <w:rPr>
                <w:sz w:val="17"/>
                <w:szCs w:val="17"/>
                <w:color w:val="auto"/>
              </w:rPr>
            </w:pPr>
          </w:p>
        </w:tc>
        <w:tc>
          <w:tcPr>
            <w:tcW w:w="100" w:type="dxa"/>
            <w:vAlign w:val="bottom"/>
            <w:shd w:val="clear" w:color="auto" w:fill="C6F4F9"/>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0A0A0A"/>
              </w:rPr>
              <w:t>Scheduled Service</w:t>
            </w:r>
          </w:p>
        </w:tc>
        <w:tc>
          <w:tcPr>
            <w:tcW w:w="19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0A0A0A"/>
              </w:rPr>
              <w:t>$</w:t>
            </w: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0A0A0A"/>
              </w:rPr>
              <w:t>124,068</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0A0A0A"/>
              </w:rPr>
              <w:t>$</w:t>
            </w:r>
          </w:p>
        </w:tc>
        <w:tc>
          <w:tcPr>
            <w:tcW w:w="16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0A0A0A"/>
              </w:rPr>
              <w:t>54,620</w:t>
            </w:r>
          </w:p>
        </w:tc>
        <w:tc>
          <w:tcPr>
            <w:tcW w:w="134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0A0A0A"/>
              </w:rPr>
              <w:t>127.1</w:t>
            </w:r>
          </w:p>
        </w:tc>
      </w:tr>
      <w:tr>
        <w:trPr>
          <w:trHeight w:val="203"/>
        </w:trPr>
        <w:tc>
          <w:tcPr>
            <w:tcW w:w="45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Charter Service</w:t>
            </w:r>
          </w:p>
        </w:tc>
        <w:tc>
          <w:tcPr>
            <w:tcW w:w="174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340" w:type="dxa"/>
            <w:vAlign w:val="bottom"/>
            <w:gridSpan w:val="2"/>
            <w:shd w:val="clear" w:color="auto" w:fill="C6F4F9"/>
          </w:tcPr>
          <w:p>
            <w:pPr>
              <w:jc w:val="right"/>
              <w:ind w:right="320"/>
              <w:spacing w:after="0" w:line="202" w:lineRule="exact"/>
              <w:rPr>
                <w:sz w:val="20"/>
                <w:szCs w:val="20"/>
                <w:color w:val="auto"/>
              </w:rPr>
            </w:pPr>
            <w:r>
              <w:rPr>
                <w:rFonts w:ascii="Arial" w:cs="Arial" w:eastAsia="Arial" w:hAnsi="Arial"/>
                <w:sz w:val="18"/>
                <w:szCs w:val="18"/>
                <w:color w:val="0A0A0A"/>
              </w:rPr>
              <w:t>32,879</w:t>
            </w:r>
          </w:p>
        </w:tc>
        <w:tc>
          <w:tcPr>
            <w:tcW w:w="24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1600" w:type="dxa"/>
            <w:vAlign w:val="bottom"/>
            <w:gridSpan w:val="2"/>
            <w:shd w:val="clear" w:color="auto" w:fill="C6F4F9"/>
          </w:tcPr>
          <w:p>
            <w:pPr>
              <w:jc w:val="right"/>
              <w:ind w:right="540"/>
              <w:spacing w:after="0" w:line="202" w:lineRule="exact"/>
              <w:rPr>
                <w:sz w:val="20"/>
                <w:szCs w:val="20"/>
                <w:color w:val="auto"/>
              </w:rPr>
            </w:pPr>
            <w:r>
              <w:rPr>
                <w:rFonts w:ascii="Arial" w:cs="Arial" w:eastAsia="Arial" w:hAnsi="Arial"/>
                <w:sz w:val="18"/>
                <w:szCs w:val="18"/>
                <w:color w:val="0A0A0A"/>
              </w:rPr>
              <w:t>25,805</w:t>
            </w:r>
          </w:p>
        </w:tc>
        <w:tc>
          <w:tcPr>
            <w:tcW w:w="1340" w:type="dxa"/>
            <w:vAlign w:val="bottom"/>
            <w:gridSpan w:val="2"/>
            <w:shd w:val="clear" w:color="auto" w:fill="C6F4F9"/>
          </w:tcPr>
          <w:p>
            <w:pPr>
              <w:jc w:val="right"/>
              <w:ind w:right="21"/>
              <w:spacing w:after="0" w:line="202" w:lineRule="exact"/>
              <w:rPr>
                <w:sz w:val="20"/>
                <w:szCs w:val="20"/>
                <w:color w:val="auto"/>
              </w:rPr>
            </w:pPr>
            <w:r>
              <w:rPr>
                <w:rFonts w:ascii="Arial" w:cs="Arial" w:eastAsia="Arial" w:hAnsi="Arial"/>
                <w:sz w:val="18"/>
                <w:szCs w:val="18"/>
                <w:color w:val="0A0A0A"/>
              </w:rPr>
              <w:t>27.4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0A0A0A"/>
              </w:rPr>
              <w:t>Ancillary</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0A0A0A"/>
              </w:rPr>
              <w:t>45,086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0A0A0A"/>
              </w:rPr>
              <w:t>23,770</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0A0A0A"/>
              </w:rPr>
              <w:t>89.7</w:t>
            </w:r>
          </w:p>
        </w:tc>
      </w:tr>
      <w:tr>
        <w:trPr>
          <w:trHeight w:val="196"/>
        </w:trPr>
        <w:tc>
          <w:tcPr>
            <w:tcW w:w="4580" w:type="dxa"/>
            <w:vAlign w:val="bottom"/>
            <w:tcBorders>
              <w:top w:val="single" w:sz="8" w:color="C6F4F9"/>
            </w:tcBorders>
            <w:shd w:val="clear" w:color="auto" w:fill="C6F4F9"/>
          </w:tcPr>
          <w:p>
            <w:pPr>
              <w:spacing w:after="0" w:line="196" w:lineRule="exact"/>
              <w:rPr>
                <w:sz w:val="20"/>
                <w:szCs w:val="20"/>
                <w:color w:val="auto"/>
              </w:rPr>
            </w:pPr>
            <w:r>
              <w:rPr>
                <w:rFonts w:ascii="Arial" w:cs="Arial" w:eastAsia="Arial" w:hAnsi="Arial"/>
                <w:sz w:val="18"/>
                <w:szCs w:val="18"/>
                <w:color w:val="0A0A0A"/>
              </w:rPr>
              <w:t>Passenger</w:t>
            </w:r>
          </w:p>
        </w:tc>
        <w:tc>
          <w:tcPr>
            <w:tcW w:w="1740" w:type="dxa"/>
            <w:vAlign w:val="bottom"/>
            <w:tcBorders>
              <w:top w:val="single" w:sz="8" w:color="C6F4F9"/>
            </w:tcBorders>
            <w:shd w:val="clear" w:color="auto" w:fill="C6F4F9"/>
          </w:tcPr>
          <w:p>
            <w:pPr>
              <w:spacing w:after="0"/>
              <w:rPr>
                <w:sz w:val="17"/>
                <w:szCs w:val="17"/>
                <w:color w:val="auto"/>
              </w:rPr>
            </w:pPr>
          </w:p>
        </w:tc>
        <w:tc>
          <w:tcPr>
            <w:tcW w:w="220" w:type="dxa"/>
            <w:vAlign w:val="bottom"/>
            <w:tcBorders>
              <w:top w:val="single" w:sz="8" w:color="auto"/>
            </w:tcBorders>
            <w:shd w:val="clear" w:color="auto" w:fill="C6F4F9"/>
          </w:tcPr>
          <w:p>
            <w:pPr>
              <w:spacing w:after="0"/>
              <w:rPr>
                <w:sz w:val="17"/>
                <w:szCs w:val="17"/>
                <w:color w:val="auto"/>
              </w:rPr>
            </w:pPr>
          </w:p>
        </w:tc>
        <w:tc>
          <w:tcPr>
            <w:tcW w:w="1020" w:type="dxa"/>
            <w:vAlign w:val="bottom"/>
            <w:tcBorders>
              <w:top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202,033</w:t>
            </w:r>
          </w:p>
        </w:tc>
        <w:tc>
          <w:tcPr>
            <w:tcW w:w="320" w:type="dxa"/>
            <w:vAlign w:val="bottom"/>
            <w:tcBorders>
              <w:top w:val="single" w:sz="8" w:color="C6F4F9"/>
            </w:tcBorders>
            <w:shd w:val="clear" w:color="auto" w:fill="C6F4F9"/>
          </w:tcPr>
          <w:p>
            <w:pPr>
              <w:spacing w:after="0"/>
              <w:rPr>
                <w:sz w:val="17"/>
                <w:szCs w:val="17"/>
                <w:color w:val="auto"/>
              </w:rPr>
            </w:pPr>
          </w:p>
        </w:tc>
        <w:tc>
          <w:tcPr>
            <w:tcW w:w="240" w:type="dxa"/>
            <w:vAlign w:val="bottom"/>
            <w:tcBorders>
              <w:top w:val="single" w:sz="8" w:color="C6F4F9"/>
            </w:tcBorders>
            <w:shd w:val="clear" w:color="auto" w:fill="C6F4F9"/>
          </w:tcPr>
          <w:p>
            <w:pPr>
              <w:spacing w:after="0"/>
              <w:rPr>
                <w:sz w:val="17"/>
                <w:szCs w:val="17"/>
                <w:color w:val="auto"/>
              </w:rPr>
            </w:pPr>
          </w:p>
        </w:tc>
        <w:tc>
          <w:tcPr>
            <w:tcW w:w="180" w:type="dxa"/>
            <w:vAlign w:val="bottom"/>
            <w:tcBorders>
              <w:top w:val="single" w:sz="8" w:color="auto"/>
            </w:tcBorders>
            <w:shd w:val="clear" w:color="auto" w:fill="C6F4F9"/>
          </w:tcPr>
          <w:p>
            <w:pPr>
              <w:spacing w:after="0"/>
              <w:rPr>
                <w:sz w:val="17"/>
                <w:szCs w:val="17"/>
                <w:color w:val="auto"/>
              </w:rPr>
            </w:pPr>
          </w:p>
        </w:tc>
        <w:tc>
          <w:tcPr>
            <w:tcW w:w="1040" w:type="dxa"/>
            <w:vAlign w:val="bottom"/>
            <w:tcBorders>
              <w:top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104,195</w:t>
            </w:r>
          </w:p>
        </w:tc>
        <w:tc>
          <w:tcPr>
            <w:tcW w:w="560" w:type="dxa"/>
            <w:vAlign w:val="bottom"/>
            <w:tcBorders>
              <w:top w:val="single" w:sz="8" w:color="C6F4F9"/>
            </w:tcBorders>
            <w:shd w:val="clear" w:color="auto" w:fill="C6F4F9"/>
          </w:tcPr>
          <w:p>
            <w:pPr>
              <w:spacing w:after="0"/>
              <w:rPr>
                <w:sz w:val="17"/>
                <w:szCs w:val="17"/>
                <w:color w:val="auto"/>
              </w:rPr>
            </w:pPr>
          </w:p>
        </w:tc>
        <w:tc>
          <w:tcPr>
            <w:tcW w:w="1240" w:type="dxa"/>
            <w:vAlign w:val="bottom"/>
            <w:tcBorders>
              <w:top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93.9</w:t>
            </w:r>
          </w:p>
        </w:tc>
        <w:tc>
          <w:tcPr>
            <w:tcW w:w="100" w:type="dxa"/>
            <w:vAlign w:val="bottom"/>
            <w:tcBorders>
              <w:top w:val="single" w:sz="8" w:color="C6F4F9"/>
            </w:tcBorders>
            <w:shd w:val="clear" w:color="auto" w:fill="C6F4F9"/>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0A0A0A"/>
              </w:rPr>
              <w:t>Cargo</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0A0A0A"/>
              </w:rPr>
              <w:t>21,053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0A0A0A"/>
              </w:rPr>
              <w:t>21,585</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0A0A0A"/>
              </w:rPr>
              <w:t>(2.5)</w:t>
            </w:r>
          </w:p>
        </w:tc>
      </w:tr>
      <w:tr>
        <w:trPr>
          <w:trHeight w:val="216"/>
        </w:trPr>
        <w:tc>
          <w:tcPr>
            <w:tcW w:w="4580" w:type="dxa"/>
            <w:vAlign w:val="bottom"/>
            <w:shd w:val="clear" w:color="auto" w:fill="C6F4F9"/>
          </w:tcPr>
          <w:p>
            <w:pPr>
              <w:spacing w:after="0"/>
              <w:rPr>
                <w:sz w:val="20"/>
                <w:szCs w:val="20"/>
                <w:color w:val="auto"/>
              </w:rPr>
            </w:pPr>
            <w:r>
              <w:rPr>
                <w:rFonts w:ascii="Arial" w:cs="Arial" w:eastAsia="Arial" w:hAnsi="Arial"/>
                <w:sz w:val="18"/>
                <w:szCs w:val="18"/>
                <w:color w:val="0A0A0A"/>
              </w:rPr>
              <w:t>Other</w:t>
            </w:r>
          </w:p>
        </w:tc>
        <w:tc>
          <w:tcPr>
            <w:tcW w:w="174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340" w:type="dxa"/>
            <w:vAlign w:val="bottom"/>
            <w:gridSpan w:val="2"/>
            <w:shd w:val="clear" w:color="auto" w:fill="C6F4F9"/>
          </w:tcPr>
          <w:p>
            <w:pPr>
              <w:jc w:val="right"/>
              <w:ind w:right="320"/>
              <w:spacing w:after="0"/>
              <w:rPr>
                <w:sz w:val="20"/>
                <w:szCs w:val="20"/>
                <w:color w:val="auto"/>
              </w:rPr>
            </w:pPr>
            <w:r>
              <w:rPr>
                <w:rFonts w:ascii="Arial" w:cs="Arial" w:eastAsia="Arial" w:hAnsi="Arial"/>
                <w:sz w:val="18"/>
                <w:szCs w:val="18"/>
                <w:color w:val="0A0A0A"/>
              </w:rPr>
              <w:t>3,439</w:t>
            </w:r>
          </w:p>
        </w:tc>
        <w:tc>
          <w:tcPr>
            <w:tcW w:w="240" w:type="dxa"/>
            <w:vAlign w:val="bottom"/>
            <w:shd w:val="clear" w:color="auto" w:fill="C6F4F9"/>
          </w:tcPr>
          <w:p>
            <w:pPr>
              <w:spacing w:after="0"/>
              <w:rPr>
                <w:sz w:val="18"/>
                <w:szCs w:val="18"/>
                <w:color w:val="auto"/>
              </w:rPr>
            </w:pPr>
          </w:p>
        </w:tc>
        <w:tc>
          <w:tcPr>
            <w:tcW w:w="180" w:type="dxa"/>
            <w:vAlign w:val="bottom"/>
            <w:shd w:val="clear" w:color="auto" w:fill="C6F4F9"/>
          </w:tcPr>
          <w:p>
            <w:pPr>
              <w:spacing w:after="0"/>
              <w:rPr>
                <w:sz w:val="18"/>
                <w:szCs w:val="18"/>
                <w:color w:val="auto"/>
              </w:rPr>
            </w:pPr>
          </w:p>
        </w:tc>
        <w:tc>
          <w:tcPr>
            <w:tcW w:w="1600" w:type="dxa"/>
            <w:vAlign w:val="bottom"/>
            <w:gridSpan w:val="2"/>
            <w:shd w:val="clear" w:color="auto" w:fill="C6F4F9"/>
          </w:tcPr>
          <w:p>
            <w:pPr>
              <w:jc w:val="right"/>
              <w:ind w:right="540"/>
              <w:spacing w:after="0"/>
              <w:rPr>
                <w:sz w:val="20"/>
                <w:szCs w:val="20"/>
                <w:color w:val="auto"/>
              </w:rPr>
            </w:pPr>
            <w:r>
              <w:rPr>
                <w:rFonts w:ascii="Arial" w:cs="Arial" w:eastAsia="Arial" w:hAnsi="Arial"/>
                <w:sz w:val="18"/>
                <w:szCs w:val="18"/>
                <w:color w:val="0A0A0A"/>
              </w:rPr>
              <w:t>1,831</w:t>
            </w:r>
          </w:p>
        </w:tc>
        <w:tc>
          <w:tcPr>
            <w:tcW w:w="134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0A0A0A"/>
              </w:rPr>
              <w:t>87.8</w:t>
            </w:r>
          </w:p>
        </w:tc>
      </w:tr>
      <w:tr>
        <w:trPr>
          <w:trHeight w:val="196"/>
        </w:trPr>
        <w:tc>
          <w:tcPr>
            <w:tcW w:w="4580" w:type="dxa"/>
            <w:vAlign w:val="bottom"/>
            <w:tcBorders>
              <w:bottom w:val="single" w:sz="8" w:color="C6F4F9"/>
            </w:tcBorders>
          </w:tcPr>
          <w:p>
            <w:pPr>
              <w:spacing w:after="0" w:line="196" w:lineRule="exact"/>
              <w:rPr>
                <w:sz w:val="20"/>
                <w:szCs w:val="20"/>
                <w:color w:val="auto"/>
              </w:rPr>
            </w:pPr>
            <w:r>
              <w:rPr>
                <w:rFonts w:ascii="Arial" w:cs="Arial" w:eastAsia="Arial" w:hAnsi="Arial"/>
                <w:sz w:val="18"/>
                <w:szCs w:val="18"/>
                <w:color w:val="0A0A0A"/>
              </w:rPr>
              <w:t>Total Operating Revenue</w:t>
            </w:r>
          </w:p>
        </w:tc>
        <w:tc>
          <w:tcPr>
            <w:tcW w:w="1740" w:type="dxa"/>
            <w:vAlign w:val="bottom"/>
            <w:tcBorders>
              <w:bottom w:val="single" w:sz="8" w:color="C6F4F9"/>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0A0A0A"/>
              </w:rPr>
              <w:t>226,525</w:t>
            </w:r>
          </w:p>
        </w:tc>
        <w:tc>
          <w:tcPr>
            <w:tcW w:w="320" w:type="dxa"/>
            <w:vAlign w:val="bottom"/>
            <w:tcBorders>
              <w:bottom w:val="single" w:sz="8" w:color="C6F4F9"/>
            </w:tcBorders>
          </w:tcPr>
          <w:p>
            <w:pPr>
              <w:spacing w:after="0"/>
              <w:rPr>
                <w:sz w:val="17"/>
                <w:szCs w:val="17"/>
                <w:color w:val="auto"/>
              </w:rPr>
            </w:pPr>
          </w:p>
        </w:tc>
        <w:tc>
          <w:tcPr>
            <w:tcW w:w="240" w:type="dxa"/>
            <w:vAlign w:val="bottom"/>
            <w:tcBorders>
              <w:bottom w:val="single" w:sz="8" w:color="C6F4F9"/>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0A0A0A"/>
              </w:rPr>
              <w:t>127,611</w:t>
            </w:r>
          </w:p>
        </w:tc>
        <w:tc>
          <w:tcPr>
            <w:tcW w:w="560" w:type="dxa"/>
            <w:vAlign w:val="bottom"/>
            <w:tcBorders>
              <w:bottom w:val="single" w:sz="8" w:color="C6F4F9"/>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0A0A0A"/>
              </w:rPr>
              <w:t>77.5</w:t>
            </w:r>
          </w:p>
        </w:tc>
        <w:tc>
          <w:tcPr>
            <w:tcW w:w="100" w:type="dxa"/>
            <w:vAlign w:val="bottom"/>
            <w:tcBorders>
              <w:bottom w:val="single" w:sz="8" w:color="C6F4F9"/>
            </w:tcBorders>
          </w:tcPr>
          <w:p>
            <w:pPr>
              <w:spacing w:after="0"/>
              <w:rPr>
                <w:sz w:val="17"/>
                <w:szCs w:val="17"/>
                <w:color w:val="auto"/>
              </w:rPr>
            </w:pPr>
          </w:p>
        </w:tc>
      </w:tr>
      <w:tr>
        <w:trPr>
          <w:trHeight w:val="156"/>
        </w:trPr>
        <w:tc>
          <w:tcPr>
            <w:tcW w:w="4580" w:type="dxa"/>
            <w:vAlign w:val="bottom"/>
            <w:shd w:val="clear" w:color="auto" w:fill="C6F4F9"/>
          </w:tcPr>
          <w:p>
            <w:pPr>
              <w:spacing w:after="0"/>
              <w:rPr>
                <w:sz w:val="13"/>
                <w:szCs w:val="13"/>
                <w:color w:val="auto"/>
              </w:rPr>
            </w:pPr>
          </w:p>
        </w:tc>
        <w:tc>
          <w:tcPr>
            <w:tcW w:w="1740" w:type="dxa"/>
            <w:vAlign w:val="bottom"/>
            <w:shd w:val="clear" w:color="auto" w:fill="C6F4F9"/>
          </w:tcPr>
          <w:p>
            <w:pPr>
              <w:spacing w:after="0"/>
              <w:rPr>
                <w:sz w:val="13"/>
                <w:szCs w:val="13"/>
                <w:color w:val="auto"/>
              </w:rPr>
            </w:pPr>
          </w:p>
        </w:tc>
        <w:tc>
          <w:tcPr>
            <w:tcW w:w="220" w:type="dxa"/>
            <w:vAlign w:val="bottom"/>
            <w:shd w:val="clear" w:color="auto" w:fill="C6F4F9"/>
          </w:tcPr>
          <w:p>
            <w:pPr>
              <w:spacing w:after="0"/>
              <w:rPr>
                <w:sz w:val="13"/>
                <w:szCs w:val="13"/>
                <w:color w:val="auto"/>
              </w:rPr>
            </w:pPr>
          </w:p>
        </w:tc>
        <w:tc>
          <w:tcPr>
            <w:tcW w:w="1020" w:type="dxa"/>
            <w:vAlign w:val="bottom"/>
            <w:shd w:val="clear" w:color="auto" w:fill="C6F4F9"/>
          </w:tcPr>
          <w:p>
            <w:pPr>
              <w:spacing w:after="0"/>
              <w:rPr>
                <w:sz w:val="13"/>
                <w:szCs w:val="13"/>
                <w:color w:val="auto"/>
              </w:rPr>
            </w:pPr>
          </w:p>
        </w:tc>
        <w:tc>
          <w:tcPr>
            <w:tcW w:w="320" w:type="dxa"/>
            <w:vAlign w:val="bottom"/>
            <w:shd w:val="clear" w:color="auto" w:fill="C6F4F9"/>
          </w:tcPr>
          <w:p>
            <w:pPr>
              <w:spacing w:after="0"/>
              <w:rPr>
                <w:sz w:val="13"/>
                <w:szCs w:val="13"/>
                <w:color w:val="auto"/>
              </w:rPr>
            </w:pPr>
          </w:p>
        </w:tc>
        <w:tc>
          <w:tcPr>
            <w:tcW w:w="240" w:type="dxa"/>
            <w:vAlign w:val="bottom"/>
            <w:shd w:val="clear" w:color="auto" w:fill="C6F4F9"/>
          </w:tcPr>
          <w:p>
            <w:pPr>
              <w:spacing w:after="0"/>
              <w:rPr>
                <w:sz w:val="13"/>
                <w:szCs w:val="13"/>
                <w:color w:val="auto"/>
              </w:rPr>
            </w:pPr>
          </w:p>
        </w:tc>
        <w:tc>
          <w:tcPr>
            <w:tcW w:w="180" w:type="dxa"/>
            <w:vAlign w:val="bottom"/>
            <w:shd w:val="clear" w:color="auto" w:fill="C6F4F9"/>
          </w:tcPr>
          <w:p>
            <w:pPr>
              <w:spacing w:after="0"/>
              <w:rPr>
                <w:sz w:val="13"/>
                <w:szCs w:val="13"/>
                <w:color w:val="auto"/>
              </w:rPr>
            </w:pPr>
          </w:p>
        </w:tc>
        <w:tc>
          <w:tcPr>
            <w:tcW w:w="1040" w:type="dxa"/>
            <w:vAlign w:val="bottom"/>
            <w:shd w:val="clear" w:color="auto" w:fill="C6F4F9"/>
          </w:tcPr>
          <w:p>
            <w:pPr>
              <w:spacing w:after="0"/>
              <w:rPr>
                <w:sz w:val="13"/>
                <w:szCs w:val="13"/>
                <w:color w:val="auto"/>
              </w:rPr>
            </w:pPr>
          </w:p>
        </w:tc>
        <w:tc>
          <w:tcPr>
            <w:tcW w:w="560" w:type="dxa"/>
            <w:vAlign w:val="bottom"/>
            <w:shd w:val="clear" w:color="auto" w:fill="C6F4F9"/>
          </w:tcPr>
          <w:p>
            <w:pPr>
              <w:spacing w:after="0"/>
              <w:rPr>
                <w:sz w:val="13"/>
                <w:szCs w:val="13"/>
                <w:color w:val="auto"/>
              </w:rPr>
            </w:pPr>
          </w:p>
        </w:tc>
        <w:tc>
          <w:tcPr>
            <w:tcW w:w="1240" w:type="dxa"/>
            <w:vAlign w:val="bottom"/>
            <w:shd w:val="clear" w:color="auto" w:fill="C6F4F9"/>
          </w:tcPr>
          <w:p>
            <w:pPr>
              <w:spacing w:after="0"/>
              <w:rPr>
                <w:sz w:val="13"/>
                <w:szCs w:val="13"/>
                <w:color w:val="auto"/>
              </w:rPr>
            </w:pPr>
          </w:p>
        </w:tc>
        <w:tc>
          <w:tcPr>
            <w:tcW w:w="100" w:type="dxa"/>
            <w:vAlign w:val="bottom"/>
            <w:shd w:val="clear" w:color="auto" w:fill="C6F4F9"/>
          </w:tcPr>
          <w:p>
            <w:pPr>
              <w:spacing w:after="0"/>
              <w:rPr>
                <w:sz w:val="13"/>
                <w:szCs w:val="13"/>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b w:val="1"/>
                <w:bCs w:val="1"/>
                <w:color w:val="0A0A0A"/>
              </w:rPr>
              <w:t>Operating Expenses:</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Aircraft Fuel</w:t>
            </w:r>
          </w:p>
        </w:tc>
        <w:tc>
          <w:tcPr>
            <w:tcW w:w="174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340" w:type="dxa"/>
            <w:vAlign w:val="bottom"/>
            <w:gridSpan w:val="2"/>
            <w:shd w:val="clear" w:color="auto" w:fill="C6F4F9"/>
          </w:tcPr>
          <w:p>
            <w:pPr>
              <w:jc w:val="right"/>
              <w:ind w:right="320"/>
              <w:spacing w:after="0" w:line="202" w:lineRule="exact"/>
              <w:rPr>
                <w:sz w:val="20"/>
                <w:szCs w:val="20"/>
                <w:color w:val="auto"/>
              </w:rPr>
            </w:pPr>
            <w:r>
              <w:rPr>
                <w:rFonts w:ascii="Arial" w:cs="Arial" w:eastAsia="Arial" w:hAnsi="Arial"/>
                <w:sz w:val="18"/>
                <w:szCs w:val="18"/>
                <w:color w:val="0A0A0A"/>
              </w:rPr>
              <w:t>64,544</w:t>
            </w:r>
          </w:p>
        </w:tc>
        <w:tc>
          <w:tcPr>
            <w:tcW w:w="24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1600" w:type="dxa"/>
            <w:vAlign w:val="bottom"/>
            <w:gridSpan w:val="2"/>
            <w:shd w:val="clear" w:color="auto" w:fill="C6F4F9"/>
          </w:tcPr>
          <w:p>
            <w:pPr>
              <w:jc w:val="right"/>
              <w:ind w:right="540"/>
              <w:spacing w:after="0" w:line="202" w:lineRule="exact"/>
              <w:rPr>
                <w:sz w:val="20"/>
                <w:szCs w:val="20"/>
                <w:color w:val="auto"/>
              </w:rPr>
            </w:pPr>
            <w:r>
              <w:rPr>
                <w:rFonts w:ascii="Arial" w:cs="Arial" w:eastAsia="Arial" w:hAnsi="Arial"/>
                <w:sz w:val="18"/>
                <w:szCs w:val="18"/>
                <w:color w:val="0A0A0A"/>
              </w:rPr>
              <w:t>24,274</w:t>
            </w:r>
          </w:p>
        </w:tc>
        <w:tc>
          <w:tcPr>
            <w:tcW w:w="1340" w:type="dxa"/>
            <w:vAlign w:val="bottom"/>
            <w:gridSpan w:val="2"/>
            <w:shd w:val="clear" w:color="auto" w:fill="C6F4F9"/>
          </w:tcPr>
          <w:p>
            <w:pPr>
              <w:jc w:val="right"/>
              <w:ind w:right="21"/>
              <w:spacing w:after="0" w:line="202" w:lineRule="exact"/>
              <w:rPr>
                <w:sz w:val="20"/>
                <w:szCs w:val="20"/>
                <w:color w:val="auto"/>
              </w:rPr>
            </w:pPr>
            <w:r>
              <w:rPr>
                <w:rFonts w:ascii="Arial" w:cs="Arial" w:eastAsia="Arial" w:hAnsi="Arial"/>
                <w:sz w:val="18"/>
                <w:szCs w:val="18"/>
                <w:color w:val="0A0A0A"/>
              </w:rPr>
              <w:t>165.9</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0A0A0A"/>
              </w:rPr>
              <w:t>Salaries, Wages, and Benefits</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0A0A0A"/>
              </w:rPr>
              <w:t>59,617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0A0A0A"/>
              </w:rPr>
              <w:t>44,075</w:t>
            </w:r>
          </w:p>
        </w:tc>
        <w:tc>
          <w:tcPr>
            <w:tcW w:w="134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0A0A0A"/>
              </w:rPr>
              <w:t>35.3</w:t>
            </w:r>
          </w:p>
        </w:tc>
      </w:tr>
      <w:tr>
        <w:trPr>
          <w:trHeight w:val="202"/>
        </w:trPr>
        <w:tc>
          <w:tcPr>
            <w:tcW w:w="45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Aircraft Rent</w:t>
            </w:r>
          </w:p>
        </w:tc>
        <w:tc>
          <w:tcPr>
            <w:tcW w:w="174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340" w:type="dxa"/>
            <w:vAlign w:val="bottom"/>
            <w:gridSpan w:val="2"/>
            <w:shd w:val="clear" w:color="auto" w:fill="C6F4F9"/>
          </w:tcPr>
          <w:p>
            <w:pPr>
              <w:jc w:val="right"/>
              <w:ind w:right="320"/>
              <w:spacing w:after="0" w:line="202" w:lineRule="exact"/>
              <w:rPr>
                <w:sz w:val="20"/>
                <w:szCs w:val="20"/>
                <w:color w:val="auto"/>
              </w:rPr>
            </w:pPr>
            <w:r>
              <w:rPr>
                <w:rFonts w:ascii="Arial" w:cs="Arial" w:eastAsia="Arial" w:hAnsi="Arial"/>
                <w:sz w:val="18"/>
                <w:szCs w:val="18"/>
                <w:color w:val="0A0A0A"/>
              </w:rPr>
              <w:t>3,186</w:t>
            </w:r>
          </w:p>
        </w:tc>
        <w:tc>
          <w:tcPr>
            <w:tcW w:w="24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1600" w:type="dxa"/>
            <w:vAlign w:val="bottom"/>
            <w:gridSpan w:val="2"/>
            <w:shd w:val="clear" w:color="auto" w:fill="C6F4F9"/>
          </w:tcPr>
          <w:p>
            <w:pPr>
              <w:jc w:val="right"/>
              <w:ind w:right="540"/>
              <w:spacing w:after="0" w:line="202" w:lineRule="exact"/>
              <w:rPr>
                <w:sz w:val="20"/>
                <w:szCs w:val="20"/>
                <w:color w:val="auto"/>
              </w:rPr>
            </w:pPr>
            <w:r>
              <w:rPr>
                <w:rFonts w:ascii="Arial" w:cs="Arial" w:eastAsia="Arial" w:hAnsi="Arial"/>
                <w:sz w:val="18"/>
                <w:szCs w:val="18"/>
                <w:color w:val="0A0A0A"/>
              </w:rPr>
              <w:t>5,599</w:t>
            </w:r>
          </w:p>
        </w:tc>
        <w:tc>
          <w:tcPr>
            <w:tcW w:w="1340" w:type="dxa"/>
            <w:vAlign w:val="bottom"/>
            <w:gridSpan w:val="2"/>
            <w:shd w:val="clear" w:color="auto" w:fill="C6F4F9"/>
          </w:tcPr>
          <w:p>
            <w:pPr>
              <w:jc w:val="right"/>
              <w:spacing w:after="0" w:line="202" w:lineRule="exact"/>
              <w:rPr>
                <w:sz w:val="20"/>
                <w:szCs w:val="20"/>
                <w:color w:val="auto"/>
              </w:rPr>
            </w:pPr>
            <w:r>
              <w:rPr>
                <w:rFonts w:ascii="Arial" w:cs="Arial" w:eastAsia="Arial" w:hAnsi="Arial"/>
                <w:sz w:val="18"/>
                <w:szCs w:val="18"/>
                <w:color w:val="0A0A0A"/>
              </w:rPr>
              <w:t>(43.1)</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0A0A0A"/>
              </w:rPr>
              <w:t>Maintenance</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0A0A0A"/>
              </w:rPr>
              <w:t>11,995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0A0A0A"/>
              </w:rPr>
              <w:t>9,210</w:t>
            </w:r>
          </w:p>
        </w:tc>
        <w:tc>
          <w:tcPr>
            <w:tcW w:w="134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0A0A0A"/>
              </w:rPr>
              <w:t>30.2</w:t>
            </w:r>
          </w:p>
        </w:tc>
      </w:tr>
      <w:tr>
        <w:trPr>
          <w:trHeight w:val="203"/>
        </w:trPr>
        <w:tc>
          <w:tcPr>
            <w:tcW w:w="45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Sales and Marketing</w:t>
            </w:r>
          </w:p>
        </w:tc>
        <w:tc>
          <w:tcPr>
            <w:tcW w:w="174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340" w:type="dxa"/>
            <w:vAlign w:val="bottom"/>
            <w:gridSpan w:val="2"/>
            <w:shd w:val="clear" w:color="auto" w:fill="C6F4F9"/>
          </w:tcPr>
          <w:p>
            <w:pPr>
              <w:jc w:val="right"/>
              <w:ind w:right="320"/>
              <w:spacing w:after="0" w:line="202" w:lineRule="exact"/>
              <w:rPr>
                <w:sz w:val="20"/>
                <w:szCs w:val="20"/>
                <w:color w:val="auto"/>
              </w:rPr>
            </w:pPr>
            <w:r>
              <w:rPr>
                <w:rFonts w:ascii="Arial" w:cs="Arial" w:eastAsia="Arial" w:hAnsi="Arial"/>
                <w:sz w:val="18"/>
                <w:szCs w:val="18"/>
                <w:color w:val="0A0A0A"/>
              </w:rPr>
              <w:t>8,628</w:t>
            </w:r>
          </w:p>
        </w:tc>
        <w:tc>
          <w:tcPr>
            <w:tcW w:w="24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1600" w:type="dxa"/>
            <w:vAlign w:val="bottom"/>
            <w:gridSpan w:val="2"/>
            <w:shd w:val="clear" w:color="auto" w:fill="C6F4F9"/>
          </w:tcPr>
          <w:p>
            <w:pPr>
              <w:jc w:val="right"/>
              <w:ind w:right="540"/>
              <w:spacing w:after="0" w:line="202" w:lineRule="exact"/>
              <w:rPr>
                <w:sz w:val="20"/>
                <w:szCs w:val="20"/>
                <w:color w:val="auto"/>
              </w:rPr>
            </w:pPr>
            <w:r>
              <w:rPr>
                <w:rFonts w:ascii="Arial" w:cs="Arial" w:eastAsia="Arial" w:hAnsi="Arial"/>
                <w:sz w:val="18"/>
                <w:szCs w:val="18"/>
                <w:color w:val="0A0A0A"/>
              </w:rPr>
              <w:t>5,110</w:t>
            </w:r>
          </w:p>
        </w:tc>
        <w:tc>
          <w:tcPr>
            <w:tcW w:w="1340" w:type="dxa"/>
            <w:vAlign w:val="bottom"/>
            <w:gridSpan w:val="2"/>
            <w:shd w:val="clear" w:color="auto" w:fill="C6F4F9"/>
          </w:tcPr>
          <w:p>
            <w:pPr>
              <w:jc w:val="right"/>
              <w:ind w:right="21"/>
              <w:spacing w:after="0" w:line="202" w:lineRule="exact"/>
              <w:rPr>
                <w:sz w:val="20"/>
                <w:szCs w:val="20"/>
                <w:color w:val="auto"/>
              </w:rPr>
            </w:pPr>
            <w:r>
              <w:rPr>
                <w:rFonts w:ascii="Arial" w:cs="Arial" w:eastAsia="Arial" w:hAnsi="Arial"/>
                <w:sz w:val="18"/>
                <w:szCs w:val="18"/>
                <w:color w:val="0A0A0A"/>
              </w:rPr>
              <w:t>68.8</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0A0A0A"/>
              </w:rPr>
              <w:t>Depreciation and Amortization</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0A0A0A"/>
              </w:rPr>
              <w:t>15,328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0A0A0A"/>
              </w:rPr>
              <w:t>12,615</w:t>
            </w:r>
          </w:p>
        </w:tc>
        <w:tc>
          <w:tcPr>
            <w:tcW w:w="134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0A0A0A"/>
              </w:rPr>
              <w:t>21.5</w:t>
            </w:r>
          </w:p>
        </w:tc>
      </w:tr>
      <w:tr>
        <w:trPr>
          <w:trHeight w:val="203"/>
        </w:trPr>
        <w:tc>
          <w:tcPr>
            <w:tcW w:w="45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Ground Handling</w:t>
            </w:r>
          </w:p>
        </w:tc>
        <w:tc>
          <w:tcPr>
            <w:tcW w:w="174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340" w:type="dxa"/>
            <w:vAlign w:val="bottom"/>
            <w:gridSpan w:val="2"/>
            <w:shd w:val="clear" w:color="auto" w:fill="C6F4F9"/>
          </w:tcPr>
          <w:p>
            <w:pPr>
              <w:jc w:val="right"/>
              <w:ind w:right="320"/>
              <w:spacing w:after="0" w:line="202" w:lineRule="exact"/>
              <w:rPr>
                <w:sz w:val="20"/>
                <w:szCs w:val="20"/>
                <w:color w:val="auto"/>
              </w:rPr>
            </w:pPr>
            <w:r>
              <w:rPr>
                <w:rFonts w:ascii="Arial" w:cs="Arial" w:eastAsia="Arial" w:hAnsi="Arial"/>
                <w:sz w:val="18"/>
                <w:szCs w:val="18"/>
                <w:color w:val="0A0A0A"/>
              </w:rPr>
              <w:t>7,958</w:t>
            </w:r>
          </w:p>
        </w:tc>
        <w:tc>
          <w:tcPr>
            <w:tcW w:w="24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1600" w:type="dxa"/>
            <w:vAlign w:val="bottom"/>
            <w:gridSpan w:val="2"/>
            <w:shd w:val="clear" w:color="auto" w:fill="C6F4F9"/>
          </w:tcPr>
          <w:p>
            <w:pPr>
              <w:jc w:val="right"/>
              <w:ind w:right="540"/>
              <w:spacing w:after="0" w:line="202" w:lineRule="exact"/>
              <w:rPr>
                <w:sz w:val="20"/>
                <w:szCs w:val="20"/>
                <w:color w:val="auto"/>
              </w:rPr>
            </w:pPr>
            <w:r>
              <w:rPr>
                <w:rFonts w:ascii="Arial" w:cs="Arial" w:eastAsia="Arial" w:hAnsi="Arial"/>
                <w:sz w:val="18"/>
                <w:szCs w:val="18"/>
                <w:color w:val="0A0A0A"/>
              </w:rPr>
              <w:t>5,230</w:t>
            </w:r>
          </w:p>
        </w:tc>
        <w:tc>
          <w:tcPr>
            <w:tcW w:w="1340" w:type="dxa"/>
            <w:vAlign w:val="bottom"/>
            <w:gridSpan w:val="2"/>
            <w:shd w:val="clear" w:color="auto" w:fill="C6F4F9"/>
          </w:tcPr>
          <w:p>
            <w:pPr>
              <w:jc w:val="right"/>
              <w:ind w:right="21"/>
              <w:spacing w:after="0" w:line="202" w:lineRule="exact"/>
              <w:rPr>
                <w:sz w:val="20"/>
                <w:szCs w:val="20"/>
                <w:color w:val="auto"/>
              </w:rPr>
            </w:pPr>
            <w:r>
              <w:rPr>
                <w:rFonts w:ascii="Arial" w:cs="Arial" w:eastAsia="Arial" w:hAnsi="Arial"/>
                <w:sz w:val="18"/>
                <w:szCs w:val="18"/>
                <w:color w:val="0A0A0A"/>
              </w:rPr>
              <w:t>52.2</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0A0A0A"/>
              </w:rPr>
              <w:t>Landing Fees and Airport Rent</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0A0A0A"/>
              </w:rPr>
              <w:t>10,286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0A0A0A"/>
              </w:rPr>
              <w:t>8,785</w:t>
            </w:r>
          </w:p>
        </w:tc>
        <w:tc>
          <w:tcPr>
            <w:tcW w:w="134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0A0A0A"/>
              </w:rPr>
              <w:t>17.1</w:t>
            </w:r>
          </w:p>
        </w:tc>
      </w:tr>
      <w:tr>
        <w:trPr>
          <w:trHeight w:val="203"/>
        </w:trPr>
        <w:tc>
          <w:tcPr>
            <w:tcW w:w="45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Special Items, net</w:t>
            </w:r>
          </w:p>
        </w:tc>
        <w:tc>
          <w:tcPr>
            <w:tcW w:w="174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340" w:type="dxa"/>
            <w:vAlign w:val="bottom"/>
            <w:gridSpan w:val="2"/>
            <w:shd w:val="clear" w:color="auto" w:fill="C6F4F9"/>
          </w:tcPr>
          <w:p>
            <w:pPr>
              <w:jc w:val="right"/>
              <w:ind w:right="420"/>
              <w:spacing w:after="0" w:line="202" w:lineRule="exact"/>
              <w:rPr>
                <w:sz w:val="20"/>
                <w:szCs w:val="20"/>
                <w:color w:val="auto"/>
              </w:rPr>
            </w:pPr>
            <w:r>
              <w:rPr>
                <w:rFonts w:ascii="Arial" w:cs="Arial" w:eastAsia="Arial" w:hAnsi="Arial"/>
                <w:sz w:val="18"/>
                <w:szCs w:val="18"/>
                <w:color w:val="0A0A0A"/>
              </w:rPr>
              <w:t>—</w:t>
            </w:r>
          </w:p>
        </w:tc>
        <w:tc>
          <w:tcPr>
            <w:tcW w:w="24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1600" w:type="dxa"/>
            <w:vAlign w:val="bottom"/>
            <w:gridSpan w:val="2"/>
            <w:shd w:val="clear" w:color="auto" w:fill="C6F4F9"/>
          </w:tcPr>
          <w:p>
            <w:pPr>
              <w:jc w:val="right"/>
              <w:ind w:right="480"/>
              <w:spacing w:after="0" w:line="202" w:lineRule="exact"/>
              <w:rPr>
                <w:sz w:val="20"/>
                <w:szCs w:val="20"/>
                <w:color w:val="auto"/>
              </w:rPr>
            </w:pPr>
            <w:r>
              <w:rPr>
                <w:rFonts w:ascii="Arial" w:cs="Arial" w:eastAsia="Arial" w:hAnsi="Arial"/>
                <w:sz w:val="18"/>
                <w:szCs w:val="18"/>
                <w:color w:val="0A0A0A"/>
              </w:rPr>
              <w:t>(26,871)</w:t>
            </w:r>
          </w:p>
        </w:tc>
        <w:tc>
          <w:tcPr>
            <w:tcW w:w="1340" w:type="dxa"/>
            <w:vAlign w:val="bottom"/>
            <w:gridSpan w:val="2"/>
            <w:shd w:val="clear" w:color="auto" w:fill="C6F4F9"/>
          </w:tcPr>
          <w:p>
            <w:pPr>
              <w:jc w:val="right"/>
              <w:ind w:right="21"/>
              <w:spacing w:after="0" w:line="202" w:lineRule="exact"/>
              <w:rPr>
                <w:sz w:val="20"/>
                <w:szCs w:val="20"/>
                <w:color w:val="auto"/>
              </w:rPr>
            </w:pPr>
            <w:r>
              <w:rPr>
                <w:rFonts w:ascii="Arial" w:cs="Arial" w:eastAsia="Arial" w:hAnsi="Arial"/>
                <w:sz w:val="18"/>
                <w:szCs w:val="18"/>
                <w:color w:val="0A0A0A"/>
              </w:rPr>
              <w:t>NM</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0A0A0A"/>
              </w:rPr>
              <w:t>Other Operating, net</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0A0A0A"/>
              </w:rPr>
              <w:t>23,150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0A0A0A"/>
              </w:rPr>
              <w:t>14,651</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0A0A0A"/>
              </w:rPr>
              <w:t>58.0</w:t>
            </w:r>
          </w:p>
        </w:tc>
      </w:tr>
      <w:tr>
        <w:trPr>
          <w:trHeight w:val="196"/>
        </w:trPr>
        <w:tc>
          <w:tcPr>
            <w:tcW w:w="4580" w:type="dxa"/>
            <w:vAlign w:val="bottom"/>
            <w:tcBorders>
              <w:top w:val="single" w:sz="8" w:color="C6F4F9"/>
            </w:tcBorders>
            <w:shd w:val="clear" w:color="auto" w:fill="C6F4F9"/>
          </w:tcPr>
          <w:p>
            <w:pPr>
              <w:spacing w:after="0" w:line="196" w:lineRule="exact"/>
              <w:rPr>
                <w:sz w:val="20"/>
                <w:szCs w:val="20"/>
                <w:color w:val="auto"/>
              </w:rPr>
            </w:pPr>
            <w:r>
              <w:rPr>
                <w:rFonts w:ascii="Arial" w:cs="Arial" w:eastAsia="Arial" w:hAnsi="Arial"/>
                <w:sz w:val="18"/>
                <w:szCs w:val="18"/>
                <w:color w:val="0A0A0A"/>
              </w:rPr>
              <w:t>Total Operating Expenses</w:t>
            </w:r>
          </w:p>
        </w:tc>
        <w:tc>
          <w:tcPr>
            <w:tcW w:w="1740" w:type="dxa"/>
            <w:vAlign w:val="bottom"/>
            <w:tcBorders>
              <w:top w:val="single" w:sz="8" w:color="C6F4F9"/>
            </w:tcBorders>
            <w:shd w:val="clear" w:color="auto" w:fill="C6F4F9"/>
          </w:tcPr>
          <w:p>
            <w:pPr>
              <w:spacing w:after="0"/>
              <w:rPr>
                <w:sz w:val="17"/>
                <w:szCs w:val="17"/>
                <w:color w:val="auto"/>
              </w:rPr>
            </w:pPr>
          </w:p>
        </w:tc>
        <w:tc>
          <w:tcPr>
            <w:tcW w:w="220" w:type="dxa"/>
            <w:vAlign w:val="bottom"/>
            <w:tcBorders>
              <w:top w:val="single" w:sz="8" w:color="auto"/>
              <w:bottom w:val="single" w:sz="8" w:color="auto"/>
            </w:tcBorders>
            <w:shd w:val="clear" w:color="auto" w:fill="C6F4F9"/>
          </w:tcPr>
          <w:p>
            <w:pPr>
              <w:spacing w:after="0"/>
              <w:rPr>
                <w:sz w:val="17"/>
                <w:szCs w:val="17"/>
                <w:color w:val="auto"/>
              </w:rPr>
            </w:pPr>
          </w:p>
        </w:tc>
        <w:tc>
          <w:tcPr>
            <w:tcW w:w="1020" w:type="dxa"/>
            <w:vAlign w:val="bottom"/>
            <w:tcBorders>
              <w:top w:val="single" w:sz="8" w:color="auto"/>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204,692</w:t>
            </w:r>
          </w:p>
        </w:tc>
        <w:tc>
          <w:tcPr>
            <w:tcW w:w="320" w:type="dxa"/>
            <w:vAlign w:val="bottom"/>
            <w:tcBorders>
              <w:top w:val="single" w:sz="8" w:color="C6F4F9"/>
            </w:tcBorders>
            <w:shd w:val="clear" w:color="auto" w:fill="C6F4F9"/>
          </w:tcPr>
          <w:p>
            <w:pPr>
              <w:spacing w:after="0"/>
              <w:rPr>
                <w:sz w:val="17"/>
                <w:szCs w:val="17"/>
                <w:color w:val="auto"/>
              </w:rPr>
            </w:pPr>
          </w:p>
        </w:tc>
        <w:tc>
          <w:tcPr>
            <w:tcW w:w="240" w:type="dxa"/>
            <w:vAlign w:val="bottom"/>
            <w:tcBorders>
              <w:top w:val="single" w:sz="8" w:color="C6F4F9"/>
            </w:tcBorders>
            <w:shd w:val="clear" w:color="auto" w:fill="C6F4F9"/>
          </w:tcPr>
          <w:p>
            <w:pPr>
              <w:spacing w:after="0"/>
              <w:rPr>
                <w:sz w:val="17"/>
                <w:szCs w:val="17"/>
                <w:color w:val="auto"/>
              </w:rPr>
            </w:pPr>
          </w:p>
        </w:tc>
        <w:tc>
          <w:tcPr>
            <w:tcW w:w="180" w:type="dxa"/>
            <w:vAlign w:val="bottom"/>
            <w:tcBorders>
              <w:top w:val="single" w:sz="8" w:color="auto"/>
              <w:bottom w:val="single" w:sz="8" w:color="auto"/>
            </w:tcBorders>
            <w:shd w:val="clear" w:color="auto" w:fill="C6F4F9"/>
          </w:tcPr>
          <w:p>
            <w:pPr>
              <w:spacing w:after="0"/>
              <w:rPr>
                <w:sz w:val="17"/>
                <w:szCs w:val="17"/>
                <w:color w:val="auto"/>
              </w:rPr>
            </w:pPr>
          </w:p>
        </w:tc>
        <w:tc>
          <w:tcPr>
            <w:tcW w:w="1040" w:type="dxa"/>
            <w:vAlign w:val="bottom"/>
            <w:tcBorders>
              <w:top w:val="single" w:sz="8" w:color="auto"/>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102,678</w:t>
            </w:r>
          </w:p>
        </w:tc>
        <w:tc>
          <w:tcPr>
            <w:tcW w:w="560" w:type="dxa"/>
            <w:vAlign w:val="bottom"/>
            <w:tcBorders>
              <w:top w:val="single" w:sz="8" w:color="C6F4F9"/>
            </w:tcBorders>
            <w:shd w:val="clear" w:color="auto" w:fill="C6F4F9"/>
          </w:tcPr>
          <w:p>
            <w:pPr>
              <w:spacing w:after="0"/>
              <w:rPr>
                <w:sz w:val="17"/>
                <w:szCs w:val="17"/>
                <w:color w:val="auto"/>
              </w:rPr>
            </w:pPr>
          </w:p>
        </w:tc>
        <w:tc>
          <w:tcPr>
            <w:tcW w:w="1240" w:type="dxa"/>
            <w:vAlign w:val="bottom"/>
            <w:tcBorders>
              <w:top w:val="single" w:sz="8" w:color="auto"/>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99.4</w:t>
            </w:r>
          </w:p>
        </w:tc>
        <w:tc>
          <w:tcPr>
            <w:tcW w:w="100" w:type="dxa"/>
            <w:vAlign w:val="bottom"/>
            <w:tcBorders>
              <w:top w:val="single" w:sz="8" w:color="C6F4F9"/>
            </w:tcBorders>
            <w:shd w:val="clear" w:color="auto" w:fill="C6F4F9"/>
          </w:tcPr>
          <w:p>
            <w:pPr>
              <w:spacing w:after="0"/>
              <w:rPr>
                <w:sz w:val="17"/>
                <w:szCs w:val="17"/>
                <w:color w:val="auto"/>
              </w:rPr>
            </w:pPr>
          </w:p>
        </w:tc>
      </w:tr>
      <w:tr>
        <w:trPr>
          <w:trHeight w:val="196"/>
        </w:trPr>
        <w:tc>
          <w:tcPr>
            <w:tcW w:w="4580" w:type="dxa"/>
            <w:vAlign w:val="bottom"/>
            <w:tcBorders>
              <w:bottom w:val="single" w:sz="8" w:color="C6F4F9"/>
            </w:tcBorders>
          </w:tcPr>
          <w:p>
            <w:pPr>
              <w:spacing w:after="0" w:line="196" w:lineRule="exact"/>
              <w:rPr>
                <w:sz w:val="20"/>
                <w:szCs w:val="20"/>
                <w:color w:val="auto"/>
              </w:rPr>
            </w:pPr>
            <w:r>
              <w:rPr>
                <w:rFonts w:ascii="Arial" w:cs="Arial" w:eastAsia="Arial" w:hAnsi="Arial"/>
                <w:sz w:val="18"/>
                <w:szCs w:val="18"/>
                <w:color w:val="0A0A0A"/>
              </w:rPr>
              <w:t>Operating Income</w:t>
            </w:r>
          </w:p>
        </w:tc>
        <w:tc>
          <w:tcPr>
            <w:tcW w:w="1740" w:type="dxa"/>
            <w:vAlign w:val="bottom"/>
            <w:tcBorders>
              <w:bottom w:val="single" w:sz="8" w:color="C6F4F9"/>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0A0A0A"/>
              </w:rPr>
              <w:t>21,833</w:t>
            </w:r>
          </w:p>
        </w:tc>
        <w:tc>
          <w:tcPr>
            <w:tcW w:w="320" w:type="dxa"/>
            <w:vAlign w:val="bottom"/>
            <w:tcBorders>
              <w:bottom w:val="single" w:sz="8" w:color="C6F4F9"/>
            </w:tcBorders>
          </w:tcPr>
          <w:p>
            <w:pPr>
              <w:spacing w:after="0"/>
              <w:rPr>
                <w:sz w:val="17"/>
                <w:szCs w:val="17"/>
                <w:color w:val="auto"/>
              </w:rPr>
            </w:pPr>
          </w:p>
        </w:tc>
        <w:tc>
          <w:tcPr>
            <w:tcW w:w="240" w:type="dxa"/>
            <w:vAlign w:val="bottom"/>
            <w:tcBorders>
              <w:bottom w:val="single" w:sz="8" w:color="C6F4F9"/>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0A0A0A"/>
              </w:rPr>
              <w:t>24,933</w:t>
            </w:r>
          </w:p>
        </w:tc>
        <w:tc>
          <w:tcPr>
            <w:tcW w:w="560" w:type="dxa"/>
            <w:vAlign w:val="bottom"/>
            <w:tcBorders>
              <w:bottom w:val="single" w:sz="8" w:color="C6F4F9"/>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0A0A0A"/>
              </w:rPr>
              <w:t>(12.4</w:t>
            </w:r>
          </w:p>
        </w:tc>
        <w:tc>
          <w:tcPr>
            <w:tcW w:w="100" w:type="dxa"/>
            <w:vAlign w:val="bottom"/>
            <w:tcBorders>
              <w:bottom w:val="single" w:sz="8" w:color="C6F4F9"/>
            </w:tcBorders>
          </w:tcPr>
          <w:p>
            <w:pPr>
              <w:jc w:val="right"/>
              <w:spacing w:after="0"/>
              <w:rPr>
                <w:sz w:val="20"/>
                <w:szCs w:val="20"/>
                <w:color w:val="auto"/>
              </w:rPr>
            </w:pPr>
            <w:r>
              <w:rPr>
                <w:rFonts w:ascii="Arial" w:cs="Arial" w:eastAsia="Arial" w:hAnsi="Arial"/>
                <w:sz w:val="16"/>
                <w:szCs w:val="16"/>
                <w:color w:val="0A0A0A"/>
                <w:w w:val="74"/>
              </w:rPr>
              <w:t>)</w:t>
            </w:r>
          </w:p>
        </w:tc>
      </w:tr>
      <w:tr>
        <w:trPr>
          <w:trHeight w:val="155"/>
        </w:trPr>
        <w:tc>
          <w:tcPr>
            <w:tcW w:w="4580" w:type="dxa"/>
            <w:vAlign w:val="bottom"/>
            <w:shd w:val="clear" w:color="auto" w:fill="C6F4F9"/>
          </w:tcPr>
          <w:p>
            <w:pPr>
              <w:spacing w:after="0"/>
              <w:rPr>
                <w:sz w:val="13"/>
                <w:szCs w:val="13"/>
                <w:color w:val="auto"/>
              </w:rPr>
            </w:pPr>
          </w:p>
        </w:tc>
        <w:tc>
          <w:tcPr>
            <w:tcW w:w="1740" w:type="dxa"/>
            <w:vAlign w:val="bottom"/>
            <w:shd w:val="clear" w:color="auto" w:fill="C6F4F9"/>
          </w:tcPr>
          <w:p>
            <w:pPr>
              <w:spacing w:after="0"/>
              <w:rPr>
                <w:sz w:val="13"/>
                <w:szCs w:val="13"/>
                <w:color w:val="auto"/>
              </w:rPr>
            </w:pPr>
          </w:p>
        </w:tc>
        <w:tc>
          <w:tcPr>
            <w:tcW w:w="220" w:type="dxa"/>
            <w:vAlign w:val="bottom"/>
            <w:shd w:val="clear" w:color="auto" w:fill="C6F4F9"/>
          </w:tcPr>
          <w:p>
            <w:pPr>
              <w:spacing w:after="0"/>
              <w:rPr>
                <w:sz w:val="13"/>
                <w:szCs w:val="13"/>
                <w:color w:val="auto"/>
              </w:rPr>
            </w:pPr>
          </w:p>
        </w:tc>
        <w:tc>
          <w:tcPr>
            <w:tcW w:w="1020" w:type="dxa"/>
            <w:vAlign w:val="bottom"/>
            <w:shd w:val="clear" w:color="auto" w:fill="C6F4F9"/>
          </w:tcPr>
          <w:p>
            <w:pPr>
              <w:spacing w:after="0"/>
              <w:rPr>
                <w:sz w:val="13"/>
                <w:szCs w:val="13"/>
                <w:color w:val="auto"/>
              </w:rPr>
            </w:pPr>
          </w:p>
        </w:tc>
        <w:tc>
          <w:tcPr>
            <w:tcW w:w="320" w:type="dxa"/>
            <w:vAlign w:val="bottom"/>
            <w:shd w:val="clear" w:color="auto" w:fill="C6F4F9"/>
          </w:tcPr>
          <w:p>
            <w:pPr>
              <w:spacing w:after="0"/>
              <w:rPr>
                <w:sz w:val="13"/>
                <w:szCs w:val="13"/>
                <w:color w:val="auto"/>
              </w:rPr>
            </w:pPr>
          </w:p>
        </w:tc>
        <w:tc>
          <w:tcPr>
            <w:tcW w:w="240" w:type="dxa"/>
            <w:vAlign w:val="bottom"/>
            <w:shd w:val="clear" w:color="auto" w:fill="C6F4F9"/>
          </w:tcPr>
          <w:p>
            <w:pPr>
              <w:spacing w:after="0"/>
              <w:rPr>
                <w:sz w:val="13"/>
                <w:szCs w:val="13"/>
                <w:color w:val="auto"/>
              </w:rPr>
            </w:pPr>
          </w:p>
        </w:tc>
        <w:tc>
          <w:tcPr>
            <w:tcW w:w="180" w:type="dxa"/>
            <w:vAlign w:val="bottom"/>
            <w:shd w:val="clear" w:color="auto" w:fill="C6F4F9"/>
          </w:tcPr>
          <w:p>
            <w:pPr>
              <w:spacing w:after="0"/>
              <w:rPr>
                <w:sz w:val="13"/>
                <w:szCs w:val="13"/>
                <w:color w:val="auto"/>
              </w:rPr>
            </w:pPr>
          </w:p>
        </w:tc>
        <w:tc>
          <w:tcPr>
            <w:tcW w:w="1040" w:type="dxa"/>
            <w:vAlign w:val="bottom"/>
            <w:shd w:val="clear" w:color="auto" w:fill="C6F4F9"/>
          </w:tcPr>
          <w:p>
            <w:pPr>
              <w:spacing w:after="0"/>
              <w:rPr>
                <w:sz w:val="13"/>
                <w:szCs w:val="13"/>
                <w:color w:val="auto"/>
              </w:rPr>
            </w:pPr>
          </w:p>
        </w:tc>
        <w:tc>
          <w:tcPr>
            <w:tcW w:w="560" w:type="dxa"/>
            <w:vAlign w:val="bottom"/>
            <w:shd w:val="clear" w:color="auto" w:fill="C6F4F9"/>
          </w:tcPr>
          <w:p>
            <w:pPr>
              <w:spacing w:after="0"/>
              <w:rPr>
                <w:sz w:val="13"/>
                <w:szCs w:val="13"/>
                <w:color w:val="auto"/>
              </w:rPr>
            </w:pPr>
          </w:p>
        </w:tc>
        <w:tc>
          <w:tcPr>
            <w:tcW w:w="1240" w:type="dxa"/>
            <w:vAlign w:val="bottom"/>
            <w:shd w:val="clear" w:color="auto" w:fill="C6F4F9"/>
          </w:tcPr>
          <w:p>
            <w:pPr>
              <w:spacing w:after="0"/>
              <w:rPr>
                <w:sz w:val="13"/>
                <w:szCs w:val="13"/>
                <w:color w:val="auto"/>
              </w:rPr>
            </w:pPr>
          </w:p>
        </w:tc>
        <w:tc>
          <w:tcPr>
            <w:tcW w:w="100" w:type="dxa"/>
            <w:vAlign w:val="bottom"/>
            <w:shd w:val="clear" w:color="auto" w:fill="C6F4F9"/>
          </w:tcPr>
          <w:p>
            <w:pPr>
              <w:spacing w:after="0"/>
              <w:rPr>
                <w:sz w:val="13"/>
                <w:szCs w:val="13"/>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b w:val="1"/>
                <w:bCs w:val="1"/>
                <w:color w:val="0A0A0A"/>
              </w:rPr>
              <w:t>Non-operating Income (Expense):</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Interest Income</w:t>
            </w:r>
          </w:p>
        </w:tc>
        <w:tc>
          <w:tcPr>
            <w:tcW w:w="174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340" w:type="dxa"/>
            <w:vAlign w:val="bottom"/>
            <w:gridSpan w:val="2"/>
            <w:shd w:val="clear" w:color="auto" w:fill="C6F4F9"/>
          </w:tcPr>
          <w:p>
            <w:pPr>
              <w:jc w:val="right"/>
              <w:ind w:right="320"/>
              <w:spacing w:after="0" w:line="202" w:lineRule="exact"/>
              <w:rPr>
                <w:sz w:val="20"/>
                <w:szCs w:val="20"/>
                <w:color w:val="auto"/>
              </w:rPr>
            </w:pPr>
            <w:r>
              <w:rPr>
                <w:rFonts w:ascii="Arial" w:cs="Arial" w:eastAsia="Arial" w:hAnsi="Arial"/>
                <w:sz w:val="18"/>
                <w:szCs w:val="18"/>
                <w:color w:val="0A0A0A"/>
              </w:rPr>
              <w:t>24</w:t>
            </w:r>
          </w:p>
        </w:tc>
        <w:tc>
          <w:tcPr>
            <w:tcW w:w="24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1600" w:type="dxa"/>
            <w:vAlign w:val="bottom"/>
            <w:gridSpan w:val="2"/>
            <w:shd w:val="clear" w:color="auto" w:fill="C6F4F9"/>
          </w:tcPr>
          <w:p>
            <w:pPr>
              <w:jc w:val="right"/>
              <w:ind w:right="540"/>
              <w:spacing w:after="0" w:line="202" w:lineRule="exact"/>
              <w:rPr>
                <w:sz w:val="20"/>
                <w:szCs w:val="20"/>
                <w:color w:val="auto"/>
              </w:rPr>
            </w:pPr>
            <w:r>
              <w:rPr>
                <w:rFonts w:ascii="Arial" w:cs="Arial" w:eastAsia="Arial" w:hAnsi="Arial"/>
                <w:sz w:val="18"/>
                <w:szCs w:val="18"/>
                <w:color w:val="0A0A0A"/>
              </w:rPr>
              <w:t>15</w:t>
            </w:r>
          </w:p>
        </w:tc>
        <w:tc>
          <w:tcPr>
            <w:tcW w:w="1340" w:type="dxa"/>
            <w:vAlign w:val="bottom"/>
            <w:gridSpan w:val="2"/>
            <w:shd w:val="clear" w:color="auto" w:fill="C6F4F9"/>
          </w:tcPr>
          <w:p>
            <w:pPr>
              <w:jc w:val="right"/>
              <w:ind w:right="21"/>
              <w:spacing w:after="0" w:line="202" w:lineRule="exact"/>
              <w:rPr>
                <w:sz w:val="20"/>
                <w:szCs w:val="20"/>
                <w:color w:val="auto"/>
              </w:rPr>
            </w:pPr>
            <w:r>
              <w:rPr>
                <w:rFonts w:ascii="Arial" w:cs="Arial" w:eastAsia="Arial" w:hAnsi="Arial"/>
                <w:sz w:val="18"/>
                <w:szCs w:val="18"/>
                <w:color w:val="0A0A0A"/>
              </w:rPr>
              <w:t>60.0</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0A0A0A"/>
              </w:rPr>
              <w:t>Interest Expense</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0A0A0A"/>
              </w:rPr>
              <w:t>(8,562)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0A0A0A"/>
              </w:rPr>
              <w:t>(7,121)</w:t>
            </w:r>
          </w:p>
        </w:tc>
        <w:tc>
          <w:tcPr>
            <w:tcW w:w="134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0A0A0A"/>
              </w:rPr>
              <w:t>20.2</w:t>
            </w:r>
          </w:p>
        </w:tc>
      </w:tr>
      <w:tr>
        <w:trPr>
          <w:trHeight w:val="216"/>
        </w:trPr>
        <w:tc>
          <w:tcPr>
            <w:tcW w:w="4580" w:type="dxa"/>
            <w:vAlign w:val="bottom"/>
            <w:shd w:val="clear" w:color="auto" w:fill="C6F4F9"/>
          </w:tcPr>
          <w:p>
            <w:pPr>
              <w:spacing w:after="0"/>
              <w:rPr>
                <w:sz w:val="20"/>
                <w:szCs w:val="20"/>
                <w:color w:val="auto"/>
              </w:rPr>
            </w:pPr>
            <w:r>
              <w:rPr>
                <w:rFonts w:ascii="Arial" w:cs="Arial" w:eastAsia="Arial" w:hAnsi="Arial"/>
                <w:sz w:val="18"/>
                <w:szCs w:val="18"/>
                <w:color w:val="0A0A0A"/>
              </w:rPr>
              <w:t>Other, net</w:t>
            </w:r>
          </w:p>
        </w:tc>
        <w:tc>
          <w:tcPr>
            <w:tcW w:w="174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1340" w:type="dxa"/>
            <w:vAlign w:val="bottom"/>
            <w:gridSpan w:val="2"/>
            <w:shd w:val="clear" w:color="auto" w:fill="C6F4F9"/>
          </w:tcPr>
          <w:p>
            <w:pPr>
              <w:jc w:val="right"/>
              <w:ind w:right="260"/>
              <w:spacing w:after="0"/>
              <w:rPr>
                <w:sz w:val="20"/>
                <w:szCs w:val="20"/>
                <w:color w:val="auto"/>
              </w:rPr>
            </w:pPr>
            <w:r>
              <w:rPr>
                <w:rFonts w:ascii="Arial" w:cs="Arial" w:eastAsia="Arial" w:hAnsi="Arial"/>
                <w:sz w:val="18"/>
                <w:szCs w:val="18"/>
                <w:color w:val="0A0A0A"/>
              </w:rPr>
              <w:t>(6,876)</w:t>
            </w:r>
          </w:p>
        </w:tc>
        <w:tc>
          <w:tcPr>
            <w:tcW w:w="240" w:type="dxa"/>
            <w:vAlign w:val="bottom"/>
            <w:shd w:val="clear" w:color="auto" w:fill="C6F4F9"/>
          </w:tcPr>
          <w:p>
            <w:pPr>
              <w:spacing w:after="0"/>
              <w:rPr>
                <w:sz w:val="18"/>
                <w:szCs w:val="18"/>
                <w:color w:val="auto"/>
              </w:rPr>
            </w:pPr>
          </w:p>
        </w:tc>
        <w:tc>
          <w:tcPr>
            <w:tcW w:w="180" w:type="dxa"/>
            <w:vAlign w:val="bottom"/>
            <w:shd w:val="clear" w:color="auto" w:fill="C6F4F9"/>
          </w:tcPr>
          <w:p>
            <w:pPr>
              <w:spacing w:after="0"/>
              <w:rPr>
                <w:sz w:val="18"/>
                <w:szCs w:val="18"/>
                <w:color w:val="auto"/>
              </w:rPr>
            </w:pPr>
          </w:p>
        </w:tc>
        <w:tc>
          <w:tcPr>
            <w:tcW w:w="1600" w:type="dxa"/>
            <w:vAlign w:val="bottom"/>
            <w:gridSpan w:val="2"/>
            <w:shd w:val="clear" w:color="auto" w:fill="C6F4F9"/>
          </w:tcPr>
          <w:p>
            <w:pPr>
              <w:jc w:val="right"/>
              <w:ind w:right="480"/>
              <w:spacing w:after="0"/>
              <w:rPr>
                <w:sz w:val="20"/>
                <w:szCs w:val="20"/>
                <w:color w:val="auto"/>
              </w:rPr>
            </w:pPr>
            <w:r>
              <w:rPr>
                <w:rFonts w:ascii="Arial" w:cs="Arial" w:eastAsia="Arial" w:hAnsi="Arial"/>
                <w:sz w:val="18"/>
                <w:szCs w:val="18"/>
                <w:color w:val="0A0A0A"/>
              </w:rPr>
              <w:t>(5)</w:t>
            </w:r>
          </w:p>
        </w:tc>
        <w:tc>
          <w:tcPr>
            <w:tcW w:w="134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0A0A0A"/>
              </w:rPr>
              <w:t>NM</w:t>
            </w:r>
          </w:p>
        </w:tc>
      </w:tr>
      <w:tr>
        <w:trPr>
          <w:trHeight w:val="196"/>
        </w:trPr>
        <w:tc>
          <w:tcPr>
            <w:tcW w:w="4580" w:type="dxa"/>
            <w:vAlign w:val="bottom"/>
          </w:tcPr>
          <w:p>
            <w:pPr>
              <w:spacing w:after="0" w:line="196" w:lineRule="exact"/>
              <w:rPr>
                <w:sz w:val="20"/>
                <w:szCs w:val="20"/>
                <w:color w:val="auto"/>
              </w:rPr>
            </w:pPr>
            <w:r>
              <w:rPr>
                <w:rFonts w:ascii="Arial" w:cs="Arial" w:eastAsia="Arial" w:hAnsi="Arial"/>
                <w:sz w:val="18"/>
                <w:szCs w:val="18"/>
                <w:color w:val="0A0A0A"/>
              </w:rPr>
              <w:t>Total Non-operating Income (Expense), net</w:t>
            </w:r>
          </w:p>
        </w:tc>
        <w:tc>
          <w:tcPr>
            <w:tcW w:w="17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0A0A0A"/>
              </w:rPr>
              <w:t>(15,414)</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0A0A0A"/>
              </w:rPr>
              <w:t>(7,111)</w:t>
            </w:r>
          </w:p>
        </w:tc>
        <w:tc>
          <w:tcPr>
            <w:tcW w:w="560" w:type="dxa"/>
            <w:vAlign w:val="bottom"/>
          </w:tcPr>
          <w:p>
            <w:pPr>
              <w:spacing w:after="0"/>
              <w:rPr>
                <w:sz w:val="17"/>
                <w:szCs w:val="17"/>
                <w:color w:val="auto"/>
              </w:rPr>
            </w:pPr>
          </w:p>
        </w:tc>
        <w:tc>
          <w:tcPr>
            <w:tcW w:w="1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0A0A0A"/>
              </w:rPr>
              <w:t>116.8</w:t>
            </w:r>
          </w:p>
        </w:tc>
        <w:tc>
          <w:tcPr>
            <w:tcW w:w="100" w:type="dxa"/>
            <w:vAlign w:val="bottom"/>
          </w:tcPr>
          <w:p>
            <w:pPr>
              <w:spacing w:after="0"/>
              <w:rPr>
                <w:sz w:val="17"/>
                <w:szCs w:val="17"/>
                <w:color w:val="auto"/>
              </w:rPr>
            </w:pPr>
          </w:p>
        </w:tc>
      </w:tr>
      <w:tr>
        <w:trPr>
          <w:trHeight w:val="175"/>
        </w:trPr>
        <w:tc>
          <w:tcPr>
            <w:tcW w:w="4580" w:type="dxa"/>
            <w:vAlign w:val="bottom"/>
            <w:shd w:val="clear" w:color="auto" w:fill="C6F4F9"/>
          </w:tcPr>
          <w:p>
            <w:pPr>
              <w:spacing w:after="0"/>
              <w:rPr>
                <w:sz w:val="15"/>
                <w:szCs w:val="15"/>
                <w:color w:val="auto"/>
              </w:rPr>
            </w:pPr>
          </w:p>
        </w:tc>
        <w:tc>
          <w:tcPr>
            <w:tcW w:w="1740" w:type="dxa"/>
            <w:vAlign w:val="bottom"/>
            <w:shd w:val="clear" w:color="auto" w:fill="C6F4F9"/>
          </w:tcPr>
          <w:p>
            <w:pPr>
              <w:spacing w:after="0"/>
              <w:rPr>
                <w:sz w:val="15"/>
                <w:szCs w:val="15"/>
                <w:color w:val="auto"/>
              </w:rPr>
            </w:pPr>
          </w:p>
        </w:tc>
        <w:tc>
          <w:tcPr>
            <w:tcW w:w="220" w:type="dxa"/>
            <w:vAlign w:val="bottom"/>
            <w:tcBorders>
              <w:bottom w:val="single" w:sz="8" w:color="auto"/>
            </w:tcBorders>
            <w:shd w:val="clear" w:color="auto" w:fill="C6F4F9"/>
          </w:tcPr>
          <w:p>
            <w:pPr>
              <w:spacing w:after="0"/>
              <w:rPr>
                <w:sz w:val="15"/>
                <w:szCs w:val="15"/>
                <w:color w:val="auto"/>
              </w:rPr>
            </w:pPr>
          </w:p>
        </w:tc>
        <w:tc>
          <w:tcPr>
            <w:tcW w:w="1020" w:type="dxa"/>
            <w:vAlign w:val="bottom"/>
            <w:tcBorders>
              <w:bottom w:val="single" w:sz="8" w:color="auto"/>
            </w:tcBorders>
            <w:shd w:val="clear" w:color="auto" w:fill="C6F4F9"/>
          </w:tcPr>
          <w:p>
            <w:pPr>
              <w:spacing w:after="0"/>
              <w:rPr>
                <w:sz w:val="15"/>
                <w:szCs w:val="15"/>
                <w:color w:val="auto"/>
              </w:rPr>
            </w:pPr>
          </w:p>
        </w:tc>
        <w:tc>
          <w:tcPr>
            <w:tcW w:w="320" w:type="dxa"/>
            <w:vAlign w:val="bottom"/>
            <w:shd w:val="clear" w:color="auto" w:fill="C6F4F9"/>
          </w:tcPr>
          <w:p>
            <w:pPr>
              <w:spacing w:after="0"/>
              <w:rPr>
                <w:sz w:val="15"/>
                <w:szCs w:val="15"/>
                <w:color w:val="auto"/>
              </w:rPr>
            </w:pPr>
          </w:p>
        </w:tc>
        <w:tc>
          <w:tcPr>
            <w:tcW w:w="240" w:type="dxa"/>
            <w:vAlign w:val="bottom"/>
            <w:shd w:val="clear" w:color="auto" w:fill="C6F4F9"/>
          </w:tcPr>
          <w:p>
            <w:pPr>
              <w:spacing w:after="0"/>
              <w:rPr>
                <w:sz w:val="15"/>
                <w:szCs w:val="15"/>
                <w:color w:val="auto"/>
              </w:rPr>
            </w:pPr>
          </w:p>
        </w:tc>
        <w:tc>
          <w:tcPr>
            <w:tcW w:w="180" w:type="dxa"/>
            <w:vAlign w:val="bottom"/>
            <w:tcBorders>
              <w:bottom w:val="single" w:sz="8" w:color="auto"/>
            </w:tcBorders>
            <w:shd w:val="clear" w:color="auto" w:fill="C6F4F9"/>
          </w:tcPr>
          <w:p>
            <w:pPr>
              <w:spacing w:after="0"/>
              <w:rPr>
                <w:sz w:val="15"/>
                <w:szCs w:val="15"/>
                <w:color w:val="auto"/>
              </w:rPr>
            </w:pPr>
          </w:p>
        </w:tc>
        <w:tc>
          <w:tcPr>
            <w:tcW w:w="1040" w:type="dxa"/>
            <w:vAlign w:val="bottom"/>
            <w:tcBorders>
              <w:bottom w:val="single" w:sz="8" w:color="auto"/>
            </w:tcBorders>
            <w:shd w:val="clear" w:color="auto" w:fill="C6F4F9"/>
          </w:tcPr>
          <w:p>
            <w:pPr>
              <w:spacing w:after="0"/>
              <w:rPr>
                <w:sz w:val="15"/>
                <w:szCs w:val="15"/>
                <w:color w:val="auto"/>
              </w:rPr>
            </w:pPr>
          </w:p>
        </w:tc>
        <w:tc>
          <w:tcPr>
            <w:tcW w:w="560" w:type="dxa"/>
            <w:vAlign w:val="bottom"/>
            <w:shd w:val="clear" w:color="auto" w:fill="C6F4F9"/>
          </w:tcPr>
          <w:p>
            <w:pPr>
              <w:spacing w:after="0"/>
              <w:rPr>
                <w:sz w:val="15"/>
                <w:szCs w:val="15"/>
                <w:color w:val="auto"/>
              </w:rPr>
            </w:pPr>
          </w:p>
        </w:tc>
        <w:tc>
          <w:tcPr>
            <w:tcW w:w="1240" w:type="dxa"/>
            <w:vAlign w:val="bottom"/>
            <w:tcBorders>
              <w:bottom w:val="single" w:sz="8" w:color="auto"/>
            </w:tcBorders>
            <w:shd w:val="clear" w:color="auto" w:fill="C6F4F9"/>
          </w:tcPr>
          <w:p>
            <w:pPr>
              <w:spacing w:after="0"/>
              <w:rPr>
                <w:sz w:val="15"/>
                <w:szCs w:val="15"/>
                <w:color w:val="auto"/>
              </w:rPr>
            </w:pPr>
          </w:p>
        </w:tc>
        <w:tc>
          <w:tcPr>
            <w:tcW w:w="100" w:type="dxa"/>
            <w:vAlign w:val="bottom"/>
            <w:shd w:val="clear" w:color="auto" w:fill="C6F4F9"/>
          </w:tcPr>
          <w:p>
            <w:pPr>
              <w:spacing w:after="0"/>
              <w:rPr>
                <w:sz w:val="15"/>
                <w:szCs w:val="15"/>
                <w:color w:val="auto"/>
              </w:rPr>
            </w:pPr>
          </w:p>
        </w:tc>
      </w:tr>
      <w:tr>
        <w:trPr>
          <w:trHeight w:val="196"/>
        </w:trPr>
        <w:tc>
          <w:tcPr>
            <w:tcW w:w="4580" w:type="dxa"/>
            <w:vAlign w:val="bottom"/>
            <w:tcBorders>
              <w:bottom w:val="single" w:sz="8" w:color="C6F4F9"/>
            </w:tcBorders>
          </w:tcPr>
          <w:p>
            <w:pPr>
              <w:spacing w:after="0" w:line="196" w:lineRule="exact"/>
              <w:rPr>
                <w:sz w:val="20"/>
                <w:szCs w:val="20"/>
                <w:color w:val="auto"/>
              </w:rPr>
            </w:pPr>
            <w:r>
              <w:rPr>
                <w:rFonts w:ascii="Arial" w:cs="Arial" w:eastAsia="Arial" w:hAnsi="Arial"/>
                <w:sz w:val="18"/>
                <w:szCs w:val="18"/>
                <w:color w:val="0A0A0A"/>
              </w:rPr>
              <w:t>Income before Income Tax</w:t>
            </w:r>
          </w:p>
        </w:tc>
        <w:tc>
          <w:tcPr>
            <w:tcW w:w="1740" w:type="dxa"/>
            <w:vAlign w:val="bottom"/>
            <w:tcBorders>
              <w:bottom w:val="single" w:sz="8" w:color="C6F4F9"/>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0A0A0A"/>
              </w:rPr>
              <w:t>6,419</w:t>
            </w:r>
          </w:p>
        </w:tc>
        <w:tc>
          <w:tcPr>
            <w:tcW w:w="320" w:type="dxa"/>
            <w:vAlign w:val="bottom"/>
            <w:tcBorders>
              <w:bottom w:val="single" w:sz="8" w:color="C6F4F9"/>
            </w:tcBorders>
          </w:tcPr>
          <w:p>
            <w:pPr>
              <w:spacing w:after="0"/>
              <w:rPr>
                <w:sz w:val="17"/>
                <w:szCs w:val="17"/>
                <w:color w:val="auto"/>
              </w:rPr>
            </w:pPr>
          </w:p>
        </w:tc>
        <w:tc>
          <w:tcPr>
            <w:tcW w:w="240" w:type="dxa"/>
            <w:vAlign w:val="bottom"/>
            <w:tcBorders>
              <w:bottom w:val="single" w:sz="8" w:color="C6F4F9"/>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0A0A0A"/>
              </w:rPr>
              <w:t>17,822</w:t>
            </w:r>
          </w:p>
        </w:tc>
        <w:tc>
          <w:tcPr>
            <w:tcW w:w="560" w:type="dxa"/>
            <w:vAlign w:val="bottom"/>
            <w:tcBorders>
              <w:bottom w:val="single" w:sz="8" w:color="C6F4F9"/>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0A0A0A"/>
              </w:rPr>
              <w:t>(64.0</w:t>
            </w:r>
          </w:p>
        </w:tc>
        <w:tc>
          <w:tcPr>
            <w:tcW w:w="100" w:type="dxa"/>
            <w:vAlign w:val="bottom"/>
            <w:tcBorders>
              <w:bottom w:val="single" w:sz="8" w:color="C6F4F9"/>
            </w:tcBorders>
          </w:tcPr>
          <w:p>
            <w:pPr>
              <w:jc w:val="right"/>
              <w:spacing w:after="0"/>
              <w:rPr>
                <w:sz w:val="20"/>
                <w:szCs w:val="20"/>
                <w:color w:val="auto"/>
              </w:rPr>
            </w:pPr>
            <w:r>
              <w:rPr>
                <w:rFonts w:ascii="Arial" w:cs="Arial" w:eastAsia="Arial" w:hAnsi="Arial"/>
                <w:sz w:val="16"/>
                <w:szCs w:val="16"/>
                <w:color w:val="0A0A0A"/>
                <w:w w:val="74"/>
              </w:rPr>
              <w:t>)</w:t>
            </w:r>
          </w:p>
        </w:tc>
      </w:tr>
      <w:tr>
        <w:trPr>
          <w:trHeight w:val="196"/>
        </w:trPr>
        <w:tc>
          <w:tcPr>
            <w:tcW w:w="458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Income Tax Expense</w:t>
            </w:r>
          </w:p>
        </w:tc>
        <w:tc>
          <w:tcPr>
            <w:tcW w:w="1740" w:type="dxa"/>
            <w:vAlign w:val="bottom"/>
            <w:shd w:val="clear" w:color="auto" w:fill="C6F4F9"/>
          </w:tcPr>
          <w:p>
            <w:pPr>
              <w:spacing w:after="0"/>
              <w:rPr>
                <w:sz w:val="17"/>
                <w:szCs w:val="17"/>
                <w:color w:val="auto"/>
              </w:rPr>
            </w:pPr>
          </w:p>
        </w:tc>
        <w:tc>
          <w:tcPr>
            <w:tcW w:w="220" w:type="dxa"/>
            <w:vAlign w:val="bottom"/>
            <w:tcBorders>
              <w:bottom w:val="single" w:sz="8" w:color="auto"/>
            </w:tcBorders>
            <w:shd w:val="clear" w:color="auto" w:fill="C6F4F9"/>
          </w:tcPr>
          <w:p>
            <w:pPr>
              <w:spacing w:after="0"/>
              <w:rPr>
                <w:sz w:val="17"/>
                <w:szCs w:val="17"/>
                <w:color w:val="auto"/>
              </w:rPr>
            </w:pPr>
          </w:p>
        </w:tc>
        <w:tc>
          <w:tcPr>
            <w:tcW w:w="1020" w:type="dxa"/>
            <w:vAlign w:val="bottom"/>
            <w:tcBorders>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2,782</w:t>
            </w:r>
          </w:p>
        </w:tc>
        <w:tc>
          <w:tcPr>
            <w:tcW w:w="32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80" w:type="dxa"/>
            <w:vAlign w:val="bottom"/>
            <w:tcBorders>
              <w:bottom w:val="single" w:sz="8" w:color="auto"/>
            </w:tcBorders>
            <w:shd w:val="clear" w:color="auto" w:fill="C6F4F9"/>
          </w:tcPr>
          <w:p>
            <w:pPr>
              <w:spacing w:after="0"/>
              <w:rPr>
                <w:sz w:val="17"/>
                <w:szCs w:val="17"/>
                <w:color w:val="auto"/>
              </w:rPr>
            </w:pPr>
          </w:p>
        </w:tc>
        <w:tc>
          <w:tcPr>
            <w:tcW w:w="1040" w:type="dxa"/>
            <w:vAlign w:val="bottom"/>
            <w:tcBorders>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5,406</w:t>
            </w:r>
          </w:p>
        </w:tc>
        <w:tc>
          <w:tcPr>
            <w:tcW w:w="560" w:type="dxa"/>
            <w:vAlign w:val="bottom"/>
            <w:shd w:val="clear" w:color="auto" w:fill="C6F4F9"/>
          </w:tcPr>
          <w:p>
            <w:pPr>
              <w:spacing w:after="0"/>
              <w:rPr>
                <w:sz w:val="17"/>
                <w:szCs w:val="17"/>
                <w:color w:val="auto"/>
              </w:rPr>
            </w:pPr>
          </w:p>
        </w:tc>
        <w:tc>
          <w:tcPr>
            <w:tcW w:w="1240" w:type="dxa"/>
            <w:vAlign w:val="bottom"/>
            <w:tcBorders>
              <w:bottom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0A0A0A"/>
              </w:rPr>
              <w:t>(48.6</w:t>
            </w:r>
          </w:p>
        </w:tc>
        <w:tc>
          <w:tcPr>
            <w:tcW w:w="100" w:type="dxa"/>
            <w:vAlign w:val="bottom"/>
            <w:shd w:val="clear" w:color="auto" w:fill="C6F4F9"/>
          </w:tcPr>
          <w:p>
            <w:pPr>
              <w:jc w:val="right"/>
              <w:spacing w:after="0"/>
              <w:rPr>
                <w:sz w:val="20"/>
                <w:szCs w:val="20"/>
                <w:color w:val="auto"/>
              </w:rPr>
            </w:pPr>
            <w:r>
              <w:rPr>
                <w:rFonts w:ascii="Arial" w:cs="Arial" w:eastAsia="Arial" w:hAnsi="Arial"/>
                <w:sz w:val="16"/>
                <w:szCs w:val="16"/>
                <w:color w:val="0A0A0A"/>
                <w:w w:val="74"/>
              </w:rPr>
              <w:t>)</w:t>
            </w:r>
          </w:p>
        </w:tc>
      </w:tr>
      <w:tr>
        <w:trPr>
          <w:trHeight w:val="249"/>
        </w:trPr>
        <w:tc>
          <w:tcPr>
            <w:tcW w:w="4580" w:type="dxa"/>
            <w:vAlign w:val="bottom"/>
            <w:tcBorders>
              <w:bottom w:val="single" w:sz="8" w:color="C6F4F9"/>
            </w:tcBorders>
          </w:tcPr>
          <w:p>
            <w:pPr>
              <w:spacing w:after="0"/>
              <w:rPr>
                <w:sz w:val="20"/>
                <w:szCs w:val="20"/>
                <w:color w:val="auto"/>
              </w:rPr>
            </w:pPr>
            <w:r>
              <w:rPr>
                <w:rFonts w:ascii="Arial" w:cs="Arial" w:eastAsia="Arial" w:hAnsi="Arial"/>
                <w:sz w:val="18"/>
                <w:szCs w:val="18"/>
                <w:color w:val="0A0A0A"/>
              </w:rPr>
              <w:t>Net Income</w:t>
            </w:r>
          </w:p>
        </w:tc>
        <w:tc>
          <w:tcPr>
            <w:tcW w:w="1740" w:type="dxa"/>
            <w:vAlign w:val="bottom"/>
            <w:tcBorders>
              <w:bottom w:val="single" w:sz="8" w:color="C6F4F9"/>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0A0A0A"/>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3,637</w:t>
            </w:r>
          </w:p>
        </w:tc>
        <w:tc>
          <w:tcPr>
            <w:tcW w:w="320" w:type="dxa"/>
            <w:vAlign w:val="bottom"/>
            <w:tcBorders>
              <w:bottom w:val="single" w:sz="8" w:color="C6F4F9"/>
            </w:tcBorders>
          </w:tcPr>
          <w:p>
            <w:pPr>
              <w:spacing w:after="0"/>
              <w:rPr>
                <w:sz w:val="21"/>
                <w:szCs w:val="21"/>
                <w:color w:val="auto"/>
              </w:rPr>
            </w:pPr>
          </w:p>
        </w:tc>
        <w:tc>
          <w:tcPr>
            <w:tcW w:w="240" w:type="dxa"/>
            <w:vAlign w:val="bottom"/>
            <w:tcBorders>
              <w:bottom w:val="single" w:sz="8" w:color="C6F4F9"/>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12,416</w:t>
            </w:r>
          </w:p>
        </w:tc>
        <w:tc>
          <w:tcPr>
            <w:tcW w:w="560" w:type="dxa"/>
            <w:vAlign w:val="bottom"/>
            <w:tcBorders>
              <w:bottom w:val="single" w:sz="8" w:color="C6F4F9"/>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(70.7</w:t>
            </w:r>
          </w:p>
        </w:tc>
        <w:tc>
          <w:tcPr>
            <w:tcW w:w="100" w:type="dxa"/>
            <w:vAlign w:val="bottom"/>
            <w:tcBorders>
              <w:bottom w:val="single" w:sz="8" w:color="C6F4F9"/>
            </w:tcBorders>
          </w:tcPr>
          <w:p>
            <w:pPr>
              <w:jc w:val="right"/>
              <w:spacing w:after="0"/>
              <w:rPr>
                <w:sz w:val="20"/>
                <w:szCs w:val="20"/>
                <w:color w:val="auto"/>
              </w:rPr>
            </w:pPr>
            <w:r>
              <w:rPr>
                <w:rFonts w:ascii="Arial" w:cs="Arial" w:eastAsia="Arial" w:hAnsi="Arial"/>
                <w:sz w:val="16"/>
                <w:szCs w:val="16"/>
                <w:color w:val="0A0A0A"/>
                <w:w w:val="74"/>
              </w:rPr>
              <w:t>)</w:t>
            </w:r>
          </w:p>
        </w:tc>
      </w:tr>
      <w:tr>
        <w:trPr>
          <w:trHeight w:val="143"/>
        </w:trPr>
        <w:tc>
          <w:tcPr>
            <w:tcW w:w="4580" w:type="dxa"/>
            <w:vAlign w:val="bottom"/>
            <w:shd w:val="clear" w:color="auto" w:fill="C6F4F9"/>
          </w:tcPr>
          <w:p>
            <w:pPr>
              <w:spacing w:after="0"/>
              <w:rPr>
                <w:sz w:val="12"/>
                <w:szCs w:val="12"/>
                <w:color w:val="auto"/>
              </w:rPr>
            </w:pPr>
          </w:p>
        </w:tc>
        <w:tc>
          <w:tcPr>
            <w:tcW w:w="1740" w:type="dxa"/>
            <w:vAlign w:val="bottom"/>
            <w:shd w:val="clear" w:color="auto" w:fill="C6F4F9"/>
          </w:tcPr>
          <w:p>
            <w:pPr>
              <w:spacing w:after="0"/>
              <w:rPr>
                <w:sz w:val="12"/>
                <w:szCs w:val="12"/>
                <w:color w:val="auto"/>
              </w:rPr>
            </w:pPr>
          </w:p>
        </w:tc>
        <w:tc>
          <w:tcPr>
            <w:tcW w:w="220" w:type="dxa"/>
            <w:vAlign w:val="bottom"/>
            <w:shd w:val="clear" w:color="auto" w:fill="C6F4F9"/>
          </w:tcPr>
          <w:p>
            <w:pPr>
              <w:spacing w:after="0"/>
              <w:rPr>
                <w:sz w:val="12"/>
                <w:szCs w:val="12"/>
                <w:color w:val="auto"/>
              </w:rPr>
            </w:pPr>
          </w:p>
        </w:tc>
        <w:tc>
          <w:tcPr>
            <w:tcW w:w="1020" w:type="dxa"/>
            <w:vAlign w:val="bottom"/>
            <w:shd w:val="clear" w:color="auto" w:fill="C6F4F9"/>
          </w:tcPr>
          <w:p>
            <w:pPr>
              <w:spacing w:after="0"/>
              <w:rPr>
                <w:sz w:val="12"/>
                <w:szCs w:val="12"/>
                <w:color w:val="auto"/>
              </w:rPr>
            </w:pPr>
          </w:p>
        </w:tc>
        <w:tc>
          <w:tcPr>
            <w:tcW w:w="320" w:type="dxa"/>
            <w:vAlign w:val="bottom"/>
            <w:shd w:val="clear" w:color="auto" w:fill="C6F4F9"/>
          </w:tcPr>
          <w:p>
            <w:pPr>
              <w:spacing w:after="0"/>
              <w:rPr>
                <w:sz w:val="12"/>
                <w:szCs w:val="12"/>
                <w:color w:val="auto"/>
              </w:rPr>
            </w:pPr>
          </w:p>
        </w:tc>
        <w:tc>
          <w:tcPr>
            <w:tcW w:w="240" w:type="dxa"/>
            <w:vAlign w:val="bottom"/>
            <w:shd w:val="clear" w:color="auto" w:fill="C6F4F9"/>
          </w:tcPr>
          <w:p>
            <w:pPr>
              <w:spacing w:after="0"/>
              <w:rPr>
                <w:sz w:val="12"/>
                <w:szCs w:val="12"/>
                <w:color w:val="auto"/>
              </w:rPr>
            </w:pPr>
          </w:p>
        </w:tc>
        <w:tc>
          <w:tcPr>
            <w:tcW w:w="180" w:type="dxa"/>
            <w:vAlign w:val="bottom"/>
            <w:shd w:val="clear" w:color="auto" w:fill="C6F4F9"/>
          </w:tcPr>
          <w:p>
            <w:pPr>
              <w:spacing w:after="0"/>
              <w:rPr>
                <w:sz w:val="12"/>
                <w:szCs w:val="12"/>
                <w:color w:val="auto"/>
              </w:rPr>
            </w:pPr>
          </w:p>
        </w:tc>
        <w:tc>
          <w:tcPr>
            <w:tcW w:w="1040" w:type="dxa"/>
            <w:vAlign w:val="bottom"/>
            <w:shd w:val="clear" w:color="auto" w:fill="C6F4F9"/>
          </w:tcPr>
          <w:p>
            <w:pPr>
              <w:spacing w:after="0"/>
              <w:rPr>
                <w:sz w:val="12"/>
                <w:szCs w:val="12"/>
                <w:color w:val="auto"/>
              </w:rPr>
            </w:pPr>
          </w:p>
        </w:tc>
        <w:tc>
          <w:tcPr>
            <w:tcW w:w="560" w:type="dxa"/>
            <w:vAlign w:val="bottom"/>
            <w:shd w:val="clear" w:color="auto" w:fill="C6F4F9"/>
          </w:tcPr>
          <w:p>
            <w:pPr>
              <w:spacing w:after="0"/>
              <w:rPr>
                <w:sz w:val="12"/>
                <w:szCs w:val="12"/>
                <w:color w:val="auto"/>
              </w:rPr>
            </w:pPr>
          </w:p>
        </w:tc>
        <w:tc>
          <w:tcPr>
            <w:tcW w:w="1240" w:type="dxa"/>
            <w:vAlign w:val="bottom"/>
            <w:shd w:val="clear" w:color="auto" w:fill="C6F4F9"/>
          </w:tcPr>
          <w:p>
            <w:pPr>
              <w:spacing w:after="0"/>
              <w:rPr>
                <w:sz w:val="12"/>
                <w:szCs w:val="12"/>
                <w:color w:val="auto"/>
              </w:rPr>
            </w:pPr>
          </w:p>
        </w:tc>
        <w:tc>
          <w:tcPr>
            <w:tcW w:w="100" w:type="dxa"/>
            <w:vAlign w:val="bottom"/>
            <w:shd w:val="clear" w:color="auto" w:fill="C6F4F9"/>
          </w:tcPr>
          <w:p>
            <w:pPr>
              <w:spacing w:after="0"/>
              <w:rPr>
                <w:sz w:val="12"/>
                <w:szCs w:val="12"/>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0A0A0A"/>
              </w:rPr>
              <w:t>Net Income per share to common stockholders:</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Basic</w:t>
            </w:r>
          </w:p>
        </w:tc>
        <w:tc>
          <w:tcPr>
            <w:tcW w:w="1960" w:type="dxa"/>
            <w:vAlign w:val="bottom"/>
            <w:gridSpan w:val="2"/>
            <w:shd w:val="clear" w:color="auto" w:fill="C6F4F9"/>
          </w:tcPr>
          <w:p>
            <w:pPr>
              <w:jc w:val="right"/>
              <w:ind w:right="30"/>
              <w:spacing w:after="0" w:line="202" w:lineRule="exact"/>
              <w:rPr>
                <w:sz w:val="20"/>
                <w:szCs w:val="20"/>
                <w:color w:val="auto"/>
              </w:rPr>
            </w:pPr>
            <w:r>
              <w:rPr>
                <w:rFonts w:ascii="Arial" w:cs="Arial" w:eastAsia="Arial" w:hAnsi="Arial"/>
                <w:sz w:val="18"/>
                <w:szCs w:val="18"/>
                <w:color w:val="0A0A0A"/>
              </w:rPr>
              <w:t>$</w:t>
            </w:r>
          </w:p>
        </w:tc>
        <w:tc>
          <w:tcPr>
            <w:tcW w:w="1340" w:type="dxa"/>
            <w:vAlign w:val="bottom"/>
            <w:gridSpan w:val="2"/>
            <w:shd w:val="clear" w:color="auto" w:fill="C6F4F9"/>
          </w:tcPr>
          <w:p>
            <w:pPr>
              <w:jc w:val="right"/>
              <w:ind w:right="320"/>
              <w:spacing w:after="0" w:line="202" w:lineRule="exact"/>
              <w:rPr>
                <w:sz w:val="20"/>
                <w:szCs w:val="20"/>
                <w:color w:val="auto"/>
              </w:rPr>
            </w:pPr>
            <w:r>
              <w:rPr>
                <w:rFonts w:ascii="Arial" w:cs="Arial" w:eastAsia="Arial" w:hAnsi="Arial"/>
                <w:sz w:val="18"/>
                <w:szCs w:val="18"/>
                <w:color w:val="0A0A0A"/>
              </w:rPr>
              <w:t>0.06</w:t>
            </w:r>
          </w:p>
        </w:tc>
        <w:tc>
          <w:tcPr>
            <w:tcW w:w="420" w:type="dxa"/>
            <w:vAlign w:val="bottom"/>
            <w:gridSpan w:val="2"/>
            <w:shd w:val="clear" w:color="auto" w:fill="C6F4F9"/>
          </w:tcPr>
          <w:p>
            <w:pPr>
              <w:jc w:val="right"/>
              <w:spacing w:after="0" w:line="202" w:lineRule="exact"/>
              <w:rPr>
                <w:sz w:val="20"/>
                <w:szCs w:val="20"/>
                <w:color w:val="auto"/>
              </w:rPr>
            </w:pPr>
            <w:r>
              <w:rPr>
                <w:rFonts w:ascii="Arial" w:cs="Arial" w:eastAsia="Arial" w:hAnsi="Arial"/>
                <w:sz w:val="18"/>
                <w:szCs w:val="18"/>
                <w:color w:val="0A0A0A"/>
              </w:rPr>
              <w:t>$</w:t>
            </w:r>
          </w:p>
        </w:tc>
        <w:tc>
          <w:tcPr>
            <w:tcW w:w="1600" w:type="dxa"/>
            <w:vAlign w:val="bottom"/>
            <w:gridSpan w:val="2"/>
            <w:shd w:val="clear" w:color="auto" w:fill="C6F4F9"/>
          </w:tcPr>
          <w:p>
            <w:pPr>
              <w:jc w:val="right"/>
              <w:ind w:right="540"/>
              <w:spacing w:after="0" w:line="202" w:lineRule="exact"/>
              <w:rPr>
                <w:sz w:val="20"/>
                <w:szCs w:val="20"/>
                <w:color w:val="auto"/>
              </w:rPr>
            </w:pPr>
            <w:r>
              <w:rPr>
                <w:rFonts w:ascii="Arial" w:cs="Arial" w:eastAsia="Arial" w:hAnsi="Arial"/>
                <w:sz w:val="18"/>
                <w:szCs w:val="18"/>
                <w:color w:val="0A0A0A"/>
              </w:rPr>
              <w:t>0.26</w:t>
            </w:r>
          </w:p>
        </w:tc>
        <w:tc>
          <w:tcPr>
            <w:tcW w:w="1340" w:type="dxa"/>
            <w:vAlign w:val="bottom"/>
            <w:gridSpan w:val="2"/>
            <w:shd w:val="clear" w:color="auto" w:fill="C6F4F9"/>
          </w:tcPr>
          <w:p>
            <w:pPr>
              <w:jc w:val="right"/>
              <w:spacing w:after="0" w:line="202" w:lineRule="exact"/>
              <w:rPr>
                <w:sz w:val="20"/>
                <w:szCs w:val="20"/>
                <w:color w:val="auto"/>
              </w:rPr>
            </w:pPr>
            <w:r>
              <w:rPr>
                <w:rFonts w:ascii="Arial" w:cs="Arial" w:eastAsia="Arial" w:hAnsi="Arial"/>
                <w:sz w:val="18"/>
                <w:szCs w:val="18"/>
                <w:color w:val="0A0A0A"/>
              </w:rPr>
              <w:t>(76.9)</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0A0A0A"/>
              </w:rPr>
              <w:t>Diluted</w:t>
            </w:r>
          </w:p>
        </w:tc>
        <w:tc>
          <w:tcPr>
            <w:tcW w:w="19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0A0A0A"/>
              </w:rPr>
              <w:t>$</w:t>
            </w: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0A0A0A"/>
              </w:rPr>
              <w:t>0.06</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0A0A0A"/>
              </w:rPr>
              <w:t>$</w:t>
            </w:r>
          </w:p>
        </w:tc>
        <w:tc>
          <w:tcPr>
            <w:tcW w:w="16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0A0A0A"/>
              </w:rPr>
              <w:t>0.24</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0A0A0A"/>
              </w:rPr>
              <w:t>(75.0)</w:t>
            </w:r>
          </w:p>
        </w:tc>
      </w:tr>
      <w:tr>
        <w:trPr>
          <w:trHeight w:val="203"/>
        </w:trPr>
        <w:tc>
          <w:tcPr>
            <w:tcW w:w="45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Shares used for computation:</w:t>
            </w:r>
          </w:p>
        </w:tc>
        <w:tc>
          <w:tcPr>
            <w:tcW w:w="174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020" w:type="dxa"/>
            <w:vAlign w:val="bottom"/>
            <w:shd w:val="clear" w:color="auto" w:fill="C6F4F9"/>
          </w:tcPr>
          <w:p>
            <w:pPr>
              <w:spacing w:after="0"/>
              <w:rPr>
                <w:sz w:val="17"/>
                <w:szCs w:val="17"/>
                <w:color w:val="auto"/>
              </w:rPr>
            </w:pPr>
          </w:p>
        </w:tc>
        <w:tc>
          <w:tcPr>
            <w:tcW w:w="320" w:type="dxa"/>
            <w:vAlign w:val="bottom"/>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1040" w:type="dxa"/>
            <w:vAlign w:val="bottom"/>
            <w:shd w:val="clear" w:color="auto" w:fill="C6F4F9"/>
          </w:tcPr>
          <w:p>
            <w:pPr>
              <w:spacing w:after="0"/>
              <w:rPr>
                <w:sz w:val="17"/>
                <w:szCs w:val="17"/>
                <w:color w:val="auto"/>
              </w:rPr>
            </w:pPr>
          </w:p>
        </w:tc>
        <w:tc>
          <w:tcPr>
            <w:tcW w:w="560" w:type="dxa"/>
            <w:vAlign w:val="bottom"/>
            <w:shd w:val="clear" w:color="auto" w:fill="C6F4F9"/>
          </w:tcPr>
          <w:p>
            <w:pPr>
              <w:spacing w:after="0"/>
              <w:rPr>
                <w:sz w:val="17"/>
                <w:szCs w:val="17"/>
                <w:color w:val="auto"/>
              </w:rPr>
            </w:pPr>
          </w:p>
        </w:tc>
        <w:tc>
          <w:tcPr>
            <w:tcW w:w="1240" w:type="dxa"/>
            <w:vAlign w:val="bottom"/>
            <w:shd w:val="clear" w:color="auto" w:fill="C6F4F9"/>
          </w:tcPr>
          <w:p>
            <w:pPr>
              <w:spacing w:after="0"/>
              <w:rPr>
                <w:sz w:val="17"/>
                <w:szCs w:val="17"/>
                <w:color w:val="auto"/>
              </w:rPr>
            </w:pPr>
          </w:p>
        </w:tc>
        <w:tc>
          <w:tcPr>
            <w:tcW w:w="100" w:type="dxa"/>
            <w:vAlign w:val="bottom"/>
            <w:shd w:val="clear" w:color="auto" w:fill="C6F4F9"/>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0A0A0A"/>
              </w:rPr>
              <w:t>Basic</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0A0A0A"/>
              </w:rPr>
              <w:t>57,907,655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0A0A0A"/>
              </w:rPr>
              <w:t>48,496,077</w:t>
            </w:r>
          </w:p>
        </w:tc>
        <w:tc>
          <w:tcPr>
            <w:tcW w:w="134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0A0A0A"/>
              </w:rPr>
              <w:t>19.4</w:t>
            </w:r>
          </w:p>
        </w:tc>
      </w:tr>
      <w:tr>
        <w:trPr>
          <w:trHeight w:val="203"/>
        </w:trPr>
        <w:tc>
          <w:tcPr>
            <w:tcW w:w="458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Diluted</w:t>
            </w:r>
          </w:p>
        </w:tc>
        <w:tc>
          <w:tcPr>
            <w:tcW w:w="1740" w:type="dxa"/>
            <w:vAlign w:val="bottom"/>
            <w:shd w:val="clear" w:color="auto" w:fill="C6F4F9"/>
          </w:tcPr>
          <w:p>
            <w:pPr>
              <w:spacing w:after="0"/>
              <w:rPr>
                <w:sz w:val="17"/>
                <w:szCs w:val="17"/>
                <w:color w:val="auto"/>
              </w:rPr>
            </w:pPr>
          </w:p>
        </w:tc>
        <w:tc>
          <w:tcPr>
            <w:tcW w:w="220" w:type="dxa"/>
            <w:vAlign w:val="bottom"/>
            <w:shd w:val="clear" w:color="auto" w:fill="C6F4F9"/>
          </w:tcPr>
          <w:p>
            <w:pPr>
              <w:spacing w:after="0"/>
              <w:rPr>
                <w:sz w:val="17"/>
                <w:szCs w:val="17"/>
                <w:color w:val="auto"/>
              </w:rPr>
            </w:pPr>
          </w:p>
        </w:tc>
        <w:tc>
          <w:tcPr>
            <w:tcW w:w="1340" w:type="dxa"/>
            <w:vAlign w:val="bottom"/>
            <w:gridSpan w:val="2"/>
            <w:shd w:val="clear" w:color="auto" w:fill="C6F4F9"/>
          </w:tcPr>
          <w:p>
            <w:pPr>
              <w:jc w:val="right"/>
              <w:ind w:right="320"/>
              <w:spacing w:after="0" w:line="202" w:lineRule="exact"/>
              <w:rPr>
                <w:sz w:val="20"/>
                <w:szCs w:val="20"/>
                <w:color w:val="auto"/>
              </w:rPr>
            </w:pPr>
            <w:r>
              <w:rPr>
                <w:rFonts w:ascii="Arial" w:cs="Arial" w:eastAsia="Arial" w:hAnsi="Arial"/>
                <w:sz w:val="18"/>
                <w:szCs w:val="18"/>
                <w:color w:val="0A0A0A"/>
              </w:rPr>
              <w:t>61,731,942</w:t>
            </w:r>
          </w:p>
        </w:tc>
        <w:tc>
          <w:tcPr>
            <w:tcW w:w="240" w:type="dxa"/>
            <w:vAlign w:val="bottom"/>
            <w:shd w:val="clear" w:color="auto" w:fill="C6F4F9"/>
          </w:tcPr>
          <w:p>
            <w:pPr>
              <w:spacing w:after="0"/>
              <w:rPr>
                <w:sz w:val="17"/>
                <w:szCs w:val="17"/>
                <w:color w:val="auto"/>
              </w:rPr>
            </w:pPr>
          </w:p>
        </w:tc>
        <w:tc>
          <w:tcPr>
            <w:tcW w:w="180" w:type="dxa"/>
            <w:vAlign w:val="bottom"/>
            <w:shd w:val="clear" w:color="auto" w:fill="C6F4F9"/>
          </w:tcPr>
          <w:p>
            <w:pPr>
              <w:spacing w:after="0"/>
              <w:rPr>
                <w:sz w:val="17"/>
                <w:szCs w:val="17"/>
                <w:color w:val="auto"/>
              </w:rPr>
            </w:pPr>
          </w:p>
        </w:tc>
        <w:tc>
          <w:tcPr>
            <w:tcW w:w="1600" w:type="dxa"/>
            <w:vAlign w:val="bottom"/>
            <w:gridSpan w:val="2"/>
            <w:shd w:val="clear" w:color="auto" w:fill="C6F4F9"/>
          </w:tcPr>
          <w:p>
            <w:pPr>
              <w:jc w:val="right"/>
              <w:ind w:right="540"/>
              <w:spacing w:after="0" w:line="202" w:lineRule="exact"/>
              <w:rPr>
                <w:sz w:val="20"/>
                <w:szCs w:val="20"/>
                <w:color w:val="auto"/>
              </w:rPr>
            </w:pPr>
            <w:r>
              <w:rPr>
                <w:rFonts w:ascii="Arial" w:cs="Arial" w:eastAsia="Arial" w:hAnsi="Arial"/>
                <w:sz w:val="18"/>
                <w:szCs w:val="18"/>
                <w:color w:val="0A0A0A"/>
              </w:rPr>
              <w:t>52,508,186</w:t>
            </w:r>
          </w:p>
        </w:tc>
        <w:tc>
          <w:tcPr>
            <w:tcW w:w="1340" w:type="dxa"/>
            <w:vAlign w:val="bottom"/>
            <w:gridSpan w:val="2"/>
            <w:shd w:val="clear" w:color="auto" w:fill="C6F4F9"/>
          </w:tcPr>
          <w:p>
            <w:pPr>
              <w:jc w:val="right"/>
              <w:ind w:right="21"/>
              <w:spacing w:after="0" w:line="202" w:lineRule="exact"/>
              <w:rPr>
                <w:sz w:val="20"/>
                <w:szCs w:val="20"/>
                <w:color w:val="auto"/>
              </w:rPr>
            </w:pPr>
            <w:r>
              <w:rPr>
                <w:rFonts w:ascii="Arial" w:cs="Arial" w:eastAsia="Arial" w:hAnsi="Arial"/>
                <w:sz w:val="18"/>
                <w:szCs w:val="18"/>
                <w:color w:val="0A0A0A"/>
              </w:rPr>
              <w:t>17.6</w:t>
            </w:r>
          </w:p>
        </w:tc>
      </w:tr>
      <w:tr>
        <w:trPr>
          <w:trHeight w:val="239"/>
        </w:trPr>
        <w:tc>
          <w:tcPr>
            <w:tcW w:w="4580" w:type="dxa"/>
            <w:vAlign w:val="bottom"/>
          </w:tcPr>
          <w:p>
            <w:pPr>
              <w:spacing w:after="0"/>
              <w:rPr>
                <w:sz w:val="20"/>
                <w:szCs w:val="20"/>
                <w:color w:val="auto"/>
              </w:rPr>
            </w:pPr>
            <w:r>
              <w:rPr>
                <w:rFonts w:ascii="Arial" w:cs="Arial" w:eastAsia="Arial" w:hAnsi="Arial"/>
                <w:sz w:val="18"/>
                <w:szCs w:val="18"/>
                <w:color w:val="0A0A0A"/>
              </w:rPr>
              <w:t>“NM” stands for not meaningful</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5"/>
        </w:trPr>
        <w:tc>
          <w:tcPr>
            <w:tcW w:w="4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Page 6</w:t>
            </w: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11"/>
                <w:szCs w:val="11"/>
                <w:color w:val="767171"/>
              </w:rPr>
              <w:t>®</w:t>
            </w:r>
          </w:p>
        </w:tc>
      </w:tr>
    </w:tbl>
    <w:p>
      <w:pPr>
        <w:sectPr>
          <w:pgSz w:w="11900" w:h="16838" w:orient="portrait"/>
          <w:cols w:equalWidth="0" w:num="1">
            <w:col w:w="11240"/>
          </w:cols>
          <w:pgMar w:left="320" w:top="1228" w:right="3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5171440</wp:posOffset>
            </wp:positionH>
            <wp:positionV relativeFrom="page">
              <wp:posOffset>157480</wp:posOffset>
            </wp:positionV>
            <wp:extent cx="2134235" cy="53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134235" cy="5314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7"/>
        </w:trPr>
        <w:tc>
          <w:tcPr>
            <w:tcW w:w="4960" w:type="dxa"/>
            <w:vAlign w:val="bottom"/>
          </w:tcPr>
          <w:p>
            <w:pPr>
              <w:spacing w:after="0"/>
              <w:rPr>
                <w:sz w:val="20"/>
                <w:szCs w:val="20"/>
                <w:color w:val="auto"/>
              </w:rPr>
            </w:pPr>
            <w:r>
              <w:rPr>
                <w:rFonts w:ascii="Arial" w:cs="Arial" w:eastAsia="Arial" w:hAnsi="Arial"/>
                <w:sz w:val="18"/>
                <w:szCs w:val="18"/>
                <w:b w:val="1"/>
                <w:bCs w:val="1"/>
                <w:color w:val="auto"/>
              </w:rPr>
              <w:t>Key Operating Statistics</w:t>
            </w:r>
          </w:p>
        </w:tc>
        <w:tc>
          <w:tcPr>
            <w:tcW w:w="1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397"/>
        </w:trPr>
        <w:tc>
          <w:tcPr>
            <w:tcW w:w="9780" w:type="dxa"/>
            <w:vAlign w:val="bottom"/>
            <w:gridSpan w:val="5"/>
          </w:tcPr>
          <w:p>
            <w:pPr>
              <w:spacing w:after="0"/>
              <w:rPr>
                <w:sz w:val="20"/>
                <w:szCs w:val="20"/>
                <w:color w:val="auto"/>
              </w:rPr>
            </w:pPr>
            <w:r>
              <w:rPr>
                <w:rFonts w:ascii="Arial" w:cs="Arial" w:eastAsia="Arial" w:hAnsi="Arial"/>
                <w:sz w:val="18"/>
                <w:szCs w:val="18"/>
                <w:color w:val="auto"/>
              </w:rPr>
              <w:t>The following table presents key operating statistics and metrics for the three months ended March 31, 2022 and 2021.</w:t>
            </w:r>
          </w:p>
        </w:tc>
        <w:tc>
          <w:tcPr>
            <w:tcW w:w="1460" w:type="dxa"/>
            <w:vAlign w:val="bottom"/>
          </w:tcPr>
          <w:p>
            <w:pPr>
              <w:spacing w:after="0"/>
              <w:rPr>
                <w:sz w:val="24"/>
                <w:szCs w:val="24"/>
                <w:color w:val="auto"/>
              </w:rPr>
            </w:pPr>
          </w:p>
        </w:tc>
      </w:tr>
      <w:tr>
        <w:trPr>
          <w:trHeight w:val="355"/>
        </w:trPr>
        <w:tc>
          <w:tcPr>
            <w:tcW w:w="4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60" w:type="dxa"/>
            <w:vAlign w:val="bottom"/>
            <w:gridSpan w:val="3"/>
          </w:tcPr>
          <w:p>
            <w:pPr>
              <w:jc w:val="right"/>
              <w:ind w:right="1030"/>
              <w:spacing w:after="0"/>
              <w:rPr>
                <w:sz w:val="20"/>
                <w:szCs w:val="20"/>
                <w:color w:val="auto"/>
              </w:rPr>
            </w:pPr>
            <w:r>
              <w:rPr>
                <w:rFonts w:ascii="Arial" w:cs="Arial" w:eastAsia="Arial" w:hAnsi="Arial"/>
                <w:sz w:val="18"/>
                <w:szCs w:val="18"/>
                <w:b w:val="1"/>
                <w:bCs w:val="1"/>
                <w:color w:val="0A0A0A"/>
              </w:rPr>
              <w:t>Three Months Ended</w:t>
            </w:r>
          </w:p>
        </w:tc>
        <w:tc>
          <w:tcPr>
            <w:tcW w:w="1460" w:type="dxa"/>
            <w:vAlign w:val="bottom"/>
          </w:tcPr>
          <w:p>
            <w:pPr>
              <w:spacing w:after="0"/>
              <w:rPr>
                <w:sz w:val="24"/>
                <w:szCs w:val="24"/>
                <w:color w:val="auto"/>
              </w:rPr>
            </w:pPr>
          </w:p>
        </w:tc>
      </w:tr>
      <w:tr>
        <w:trPr>
          <w:trHeight w:val="203"/>
        </w:trPr>
        <w:tc>
          <w:tcPr>
            <w:tcW w:w="4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8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0A0A0A"/>
              </w:rPr>
              <w:t>March 31,</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21"/>
        </w:trPr>
        <w:tc>
          <w:tcPr>
            <w:tcW w:w="49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2021</w:t>
            </w: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196"/>
        </w:trPr>
        <w:tc>
          <w:tcPr>
            <w:tcW w:w="4960" w:type="dxa"/>
            <w:vAlign w:val="bottom"/>
            <w:shd w:val="clear" w:color="auto" w:fill="C6F4F9"/>
          </w:tcPr>
          <w:p>
            <w:pPr>
              <w:spacing w:after="0" w:line="196" w:lineRule="exact"/>
              <w:rPr>
                <w:sz w:val="20"/>
                <w:szCs w:val="20"/>
                <w:color w:val="auto"/>
              </w:rPr>
            </w:pPr>
            <w:r>
              <w:rPr>
                <w:rFonts w:ascii="Arial" w:cs="Arial" w:eastAsia="Arial" w:hAnsi="Arial"/>
                <w:sz w:val="18"/>
                <w:szCs w:val="18"/>
                <w:b w:val="1"/>
                <w:bCs w:val="1"/>
                <w:color w:val="auto"/>
              </w:rPr>
              <w:t>Scheduled service statistics:</w:t>
            </w:r>
          </w:p>
        </w:tc>
        <w:tc>
          <w:tcPr>
            <w:tcW w:w="1460" w:type="dxa"/>
            <w:vAlign w:val="bottom"/>
            <w:shd w:val="clear" w:color="auto" w:fill="C6F4F9"/>
          </w:tcPr>
          <w:p>
            <w:pPr>
              <w:spacing w:after="0"/>
              <w:rPr>
                <w:sz w:val="17"/>
                <w:szCs w:val="17"/>
                <w:color w:val="auto"/>
              </w:rPr>
            </w:pPr>
          </w:p>
        </w:tc>
        <w:tc>
          <w:tcPr>
            <w:tcW w:w="1340" w:type="dxa"/>
            <w:vAlign w:val="bottom"/>
            <w:shd w:val="clear" w:color="auto" w:fill="C6F4F9"/>
          </w:tcPr>
          <w:p>
            <w:pPr>
              <w:spacing w:after="0"/>
              <w:rPr>
                <w:sz w:val="17"/>
                <w:szCs w:val="17"/>
                <w:color w:val="auto"/>
              </w:rPr>
            </w:pPr>
          </w:p>
        </w:tc>
        <w:tc>
          <w:tcPr>
            <w:tcW w:w="540" w:type="dxa"/>
            <w:vAlign w:val="bottom"/>
            <w:shd w:val="clear" w:color="auto" w:fill="C6F4F9"/>
          </w:tcPr>
          <w:p>
            <w:pPr>
              <w:spacing w:after="0"/>
              <w:rPr>
                <w:sz w:val="17"/>
                <w:szCs w:val="17"/>
                <w:color w:val="auto"/>
              </w:rPr>
            </w:pPr>
          </w:p>
        </w:tc>
        <w:tc>
          <w:tcPr>
            <w:tcW w:w="1480" w:type="dxa"/>
            <w:vAlign w:val="bottom"/>
            <w:shd w:val="clear" w:color="auto" w:fill="C6F4F9"/>
          </w:tcPr>
          <w:p>
            <w:pPr>
              <w:spacing w:after="0"/>
              <w:rPr>
                <w:sz w:val="17"/>
                <w:szCs w:val="17"/>
                <w:color w:val="auto"/>
              </w:rPr>
            </w:pPr>
          </w:p>
        </w:tc>
        <w:tc>
          <w:tcPr>
            <w:tcW w:w="1460" w:type="dxa"/>
            <w:vAlign w:val="bottom"/>
            <w:shd w:val="clear" w:color="auto" w:fill="C6F4F9"/>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Revenue passenger miles (RPMs) – thousands</w:t>
            </w:r>
          </w:p>
        </w:tc>
        <w:tc>
          <w:tcPr>
            <w:tcW w:w="1460" w:type="dxa"/>
            <w:vAlign w:val="bottom"/>
          </w:tcPr>
          <w:p>
            <w:pPr>
              <w:spacing w:after="0"/>
              <w:rPr>
                <w:sz w:val="17"/>
                <w:szCs w:val="17"/>
                <w:color w:val="auto"/>
              </w:rPr>
            </w:pP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1,338,459</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774,999</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72.7</w:t>
            </w:r>
          </w:p>
        </w:tc>
      </w:tr>
      <w:tr>
        <w:trPr>
          <w:trHeight w:val="203"/>
        </w:trPr>
        <w:tc>
          <w:tcPr>
            <w:tcW w:w="49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Available seat miles (ASMs) – thousands</w:t>
            </w:r>
          </w:p>
        </w:tc>
        <w:tc>
          <w:tcPr>
            <w:tcW w:w="146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1,684,532</w:t>
            </w:r>
          </w:p>
        </w:tc>
        <w:tc>
          <w:tcPr>
            <w:tcW w:w="540" w:type="dxa"/>
            <w:vAlign w:val="bottom"/>
            <w:shd w:val="clear" w:color="auto" w:fill="C6F4F9"/>
          </w:tcPr>
          <w:p>
            <w:pPr>
              <w:spacing w:after="0"/>
              <w:rPr>
                <w:sz w:val="17"/>
                <w:szCs w:val="17"/>
                <w:color w:val="auto"/>
              </w:rPr>
            </w:pPr>
          </w:p>
        </w:tc>
        <w:tc>
          <w:tcPr>
            <w:tcW w:w="1480" w:type="dxa"/>
            <w:vAlign w:val="bottom"/>
            <w:shd w:val="clear" w:color="auto" w:fill="C6F4F9"/>
          </w:tcPr>
          <w:p>
            <w:pPr>
              <w:jc w:val="right"/>
              <w:ind w:right="470"/>
              <w:spacing w:after="0" w:line="202" w:lineRule="exact"/>
              <w:rPr>
                <w:sz w:val="20"/>
                <w:szCs w:val="20"/>
                <w:color w:val="auto"/>
              </w:rPr>
            </w:pPr>
            <w:r>
              <w:rPr>
                <w:rFonts w:ascii="Arial" w:cs="Arial" w:eastAsia="Arial" w:hAnsi="Arial"/>
                <w:sz w:val="18"/>
                <w:szCs w:val="18"/>
                <w:color w:val="auto"/>
              </w:rPr>
              <w:t>1,158,012</w:t>
            </w:r>
          </w:p>
        </w:tc>
        <w:tc>
          <w:tcPr>
            <w:tcW w:w="14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45.5</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Load factor</w:t>
            </w:r>
          </w:p>
        </w:tc>
        <w:tc>
          <w:tcPr>
            <w:tcW w:w="1460" w:type="dxa"/>
            <w:vAlign w:val="bottom"/>
          </w:tcPr>
          <w:p>
            <w:pPr>
              <w:spacing w:after="0"/>
              <w:rPr>
                <w:sz w:val="17"/>
                <w:szCs w:val="17"/>
                <w:color w:val="auto"/>
              </w:rPr>
            </w:pP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79.5%</w:t>
            </w:r>
          </w:p>
        </w:tc>
        <w:tc>
          <w:tcPr>
            <w:tcW w:w="540" w:type="dxa"/>
            <w:vAlign w:val="bottom"/>
          </w:tcPr>
          <w:p>
            <w:pPr>
              <w:spacing w:after="0"/>
              <w:rPr>
                <w:sz w:val="17"/>
                <w:szCs w:val="17"/>
                <w:color w:val="auto"/>
              </w:rPr>
            </w:pPr>
          </w:p>
        </w:tc>
        <w:tc>
          <w:tcPr>
            <w:tcW w:w="14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66.9%</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12.6pp</w:t>
            </w:r>
          </w:p>
        </w:tc>
      </w:tr>
      <w:tr>
        <w:trPr>
          <w:trHeight w:val="203"/>
        </w:trPr>
        <w:tc>
          <w:tcPr>
            <w:tcW w:w="49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Revenue passengers carried</w:t>
            </w:r>
          </w:p>
        </w:tc>
        <w:tc>
          <w:tcPr>
            <w:tcW w:w="146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922,652</w:t>
            </w:r>
          </w:p>
        </w:tc>
        <w:tc>
          <w:tcPr>
            <w:tcW w:w="540" w:type="dxa"/>
            <w:vAlign w:val="bottom"/>
            <w:shd w:val="clear" w:color="auto" w:fill="C6F4F9"/>
          </w:tcPr>
          <w:p>
            <w:pPr>
              <w:spacing w:after="0"/>
              <w:rPr>
                <w:sz w:val="17"/>
                <w:szCs w:val="17"/>
                <w:color w:val="auto"/>
              </w:rPr>
            </w:pPr>
          </w:p>
        </w:tc>
        <w:tc>
          <w:tcPr>
            <w:tcW w:w="1480" w:type="dxa"/>
            <w:vAlign w:val="bottom"/>
            <w:shd w:val="clear" w:color="auto" w:fill="C6F4F9"/>
          </w:tcPr>
          <w:p>
            <w:pPr>
              <w:jc w:val="right"/>
              <w:ind w:right="470"/>
              <w:spacing w:after="0" w:line="202" w:lineRule="exact"/>
              <w:rPr>
                <w:sz w:val="20"/>
                <w:szCs w:val="20"/>
                <w:color w:val="auto"/>
              </w:rPr>
            </w:pPr>
            <w:r>
              <w:rPr>
                <w:rFonts w:ascii="Arial" w:cs="Arial" w:eastAsia="Arial" w:hAnsi="Arial"/>
                <w:sz w:val="18"/>
                <w:szCs w:val="18"/>
                <w:color w:val="auto"/>
              </w:rPr>
              <w:t>553,032</w:t>
            </w:r>
          </w:p>
        </w:tc>
        <w:tc>
          <w:tcPr>
            <w:tcW w:w="14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66.8</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1460" w:type="dxa"/>
            <w:vAlign w:val="bottom"/>
          </w:tcPr>
          <w:p>
            <w:pPr>
              <w:spacing w:after="0"/>
              <w:rPr>
                <w:sz w:val="17"/>
                <w:szCs w:val="17"/>
                <w:color w:val="auto"/>
              </w:rPr>
            </w:pP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6,227</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4,323</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44.0</w:t>
            </w:r>
          </w:p>
        </w:tc>
      </w:tr>
      <w:tr>
        <w:trPr>
          <w:trHeight w:val="203"/>
        </w:trPr>
        <w:tc>
          <w:tcPr>
            <w:tcW w:w="49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146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22,433</w:t>
            </w:r>
          </w:p>
        </w:tc>
        <w:tc>
          <w:tcPr>
            <w:tcW w:w="540" w:type="dxa"/>
            <w:vAlign w:val="bottom"/>
            <w:shd w:val="clear" w:color="auto" w:fill="C6F4F9"/>
          </w:tcPr>
          <w:p>
            <w:pPr>
              <w:spacing w:after="0"/>
              <w:rPr>
                <w:sz w:val="17"/>
                <w:szCs w:val="17"/>
                <w:color w:val="auto"/>
              </w:rPr>
            </w:pPr>
          </w:p>
        </w:tc>
        <w:tc>
          <w:tcPr>
            <w:tcW w:w="1480" w:type="dxa"/>
            <w:vAlign w:val="bottom"/>
            <w:shd w:val="clear" w:color="auto" w:fill="C6F4F9"/>
          </w:tcPr>
          <w:p>
            <w:pPr>
              <w:jc w:val="right"/>
              <w:ind w:right="470"/>
              <w:spacing w:after="0" w:line="202" w:lineRule="exact"/>
              <w:rPr>
                <w:sz w:val="20"/>
                <w:szCs w:val="20"/>
                <w:color w:val="auto"/>
              </w:rPr>
            </w:pPr>
            <w:r>
              <w:rPr>
                <w:rFonts w:ascii="Arial" w:cs="Arial" w:eastAsia="Arial" w:hAnsi="Arial"/>
                <w:sz w:val="18"/>
                <w:szCs w:val="18"/>
                <w:color w:val="auto"/>
              </w:rPr>
              <w:t>15,207</w:t>
            </w:r>
          </w:p>
        </w:tc>
        <w:tc>
          <w:tcPr>
            <w:tcW w:w="14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47.5</w:t>
            </w:r>
          </w:p>
        </w:tc>
      </w:tr>
      <w:tr>
        <w:trPr>
          <w:trHeight w:val="243"/>
        </w:trPr>
        <w:tc>
          <w:tcPr>
            <w:tcW w:w="4960" w:type="dxa"/>
            <w:vAlign w:val="bottom"/>
          </w:tcPr>
          <w:p>
            <w:pPr>
              <w:spacing w:after="0" w:line="243" w:lineRule="exact"/>
              <w:rPr>
                <w:sz w:val="20"/>
                <w:szCs w:val="20"/>
                <w:color w:val="auto"/>
              </w:rPr>
            </w:pPr>
            <w:r>
              <w:rPr>
                <w:rFonts w:ascii="Arial" w:cs="Arial" w:eastAsia="Arial" w:hAnsi="Arial"/>
                <w:sz w:val="17"/>
                <w:szCs w:val="17"/>
                <w:color w:val="auto"/>
              </w:rPr>
              <w:t>Scheduled service TRASM</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 cents</w:t>
            </w:r>
          </w:p>
        </w:tc>
        <w:tc>
          <w:tcPr>
            <w:tcW w:w="1460" w:type="dxa"/>
            <w:vAlign w:val="bottom"/>
          </w:tcPr>
          <w:p>
            <w:pPr>
              <w:spacing w:after="0"/>
              <w:rPr>
                <w:sz w:val="21"/>
                <w:szCs w:val="21"/>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10.25</w:t>
            </w:r>
          </w:p>
        </w:tc>
        <w:tc>
          <w:tcPr>
            <w:tcW w:w="540" w:type="dxa"/>
            <w:vAlign w:val="bottom"/>
          </w:tcPr>
          <w:p>
            <w:pPr>
              <w:spacing w:after="0"/>
              <w:rPr>
                <w:sz w:val="21"/>
                <w:szCs w:val="21"/>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6.93</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47.9</w:t>
            </w:r>
          </w:p>
        </w:tc>
      </w:tr>
      <w:tr>
        <w:trPr>
          <w:trHeight w:val="203"/>
        </w:trPr>
        <w:tc>
          <w:tcPr>
            <w:tcW w:w="49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Average base fare per passenger</w:t>
            </w:r>
          </w:p>
        </w:tc>
        <w:tc>
          <w:tcPr>
            <w:tcW w:w="1460" w:type="dxa"/>
            <w:vAlign w:val="bottom"/>
            <w:shd w:val="clear" w:color="auto" w:fill="C6F4F9"/>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134.47</w:t>
            </w:r>
          </w:p>
        </w:tc>
        <w:tc>
          <w:tcPr>
            <w:tcW w:w="540" w:type="dxa"/>
            <w:vAlign w:val="bottom"/>
            <w:shd w:val="clear" w:color="auto" w:fill="C6F4F9"/>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6F4F9"/>
          </w:tcPr>
          <w:p>
            <w:pPr>
              <w:jc w:val="right"/>
              <w:ind w:right="470"/>
              <w:spacing w:after="0" w:line="202" w:lineRule="exact"/>
              <w:rPr>
                <w:sz w:val="20"/>
                <w:szCs w:val="20"/>
                <w:color w:val="auto"/>
              </w:rPr>
            </w:pPr>
            <w:r>
              <w:rPr>
                <w:rFonts w:ascii="Arial" w:cs="Arial" w:eastAsia="Arial" w:hAnsi="Arial"/>
                <w:sz w:val="18"/>
                <w:szCs w:val="18"/>
                <w:color w:val="auto"/>
              </w:rPr>
              <w:t>98.77</w:t>
            </w:r>
          </w:p>
        </w:tc>
        <w:tc>
          <w:tcPr>
            <w:tcW w:w="14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36.1</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Ancillary revenue per passenger</w:t>
            </w:r>
          </w:p>
        </w:tc>
        <w:tc>
          <w:tcPr>
            <w:tcW w:w="14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48.87</w:t>
            </w:r>
          </w:p>
        </w:tc>
        <w:tc>
          <w:tcPr>
            <w:tcW w:w="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42.98</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13.7</w:t>
            </w:r>
          </w:p>
        </w:tc>
      </w:tr>
      <w:tr>
        <w:trPr>
          <w:trHeight w:val="203"/>
        </w:trPr>
        <w:tc>
          <w:tcPr>
            <w:tcW w:w="49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Fuel gallons - thousands</w:t>
            </w:r>
          </w:p>
        </w:tc>
        <w:tc>
          <w:tcPr>
            <w:tcW w:w="146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17,401</w:t>
            </w:r>
          </w:p>
        </w:tc>
        <w:tc>
          <w:tcPr>
            <w:tcW w:w="540" w:type="dxa"/>
            <w:vAlign w:val="bottom"/>
            <w:shd w:val="clear" w:color="auto" w:fill="C6F4F9"/>
          </w:tcPr>
          <w:p>
            <w:pPr>
              <w:spacing w:after="0"/>
              <w:rPr>
                <w:sz w:val="17"/>
                <w:szCs w:val="17"/>
                <w:color w:val="auto"/>
              </w:rPr>
            </w:pPr>
          </w:p>
        </w:tc>
        <w:tc>
          <w:tcPr>
            <w:tcW w:w="1480" w:type="dxa"/>
            <w:vAlign w:val="bottom"/>
            <w:shd w:val="clear" w:color="auto" w:fill="C6F4F9"/>
          </w:tcPr>
          <w:p>
            <w:pPr>
              <w:jc w:val="right"/>
              <w:ind w:right="470"/>
              <w:spacing w:after="0" w:line="202" w:lineRule="exact"/>
              <w:rPr>
                <w:sz w:val="20"/>
                <w:szCs w:val="20"/>
                <w:color w:val="auto"/>
              </w:rPr>
            </w:pPr>
            <w:r>
              <w:rPr>
                <w:rFonts w:ascii="Arial" w:cs="Arial" w:eastAsia="Arial" w:hAnsi="Arial"/>
                <w:sz w:val="18"/>
                <w:szCs w:val="18"/>
                <w:color w:val="auto"/>
              </w:rPr>
              <w:t>11,557</w:t>
            </w:r>
          </w:p>
        </w:tc>
        <w:tc>
          <w:tcPr>
            <w:tcW w:w="14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50.6</w:t>
            </w:r>
          </w:p>
        </w:tc>
      </w:tr>
      <w:tr>
        <w:trPr>
          <w:trHeight w:val="162"/>
        </w:trPr>
        <w:tc>
          <w:tcPr>
            <w:tcW w:w="4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03"/>
        </w:trPr>
        <w:tc>
          <w:tcPr>
            <w:tcW w:w="496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auto"/>
              </w:rPr>
              <w:t>Charter statistics:</w:t>
            </w:r>
          </w:p>
        </w:tc>
        <w:tc>
          <w:tcPr>
            <w:tcW w:w="1460" w:type="dxa"/>
            <w:vAlign w:val="bottom"/>
            <w:shd w:val="clear" w:color="auto" w:fill="C6F4F9"/>
          </w:tcPr>
          <w:p>
            <w:pPr>
              <w:spacing w:after="0"/>
              <w:rPr>
                <w:sz w:val="17"/>
                <w:szCs w:val="17"/>
                <w:color w:val="auto"/>
              </w:rPr>
            </w:pPr>
          </w:p>
        </w:tc>
        <w:tc>
          <w:tcPr>
            <w:tcW w:w="1340" w:type="dxa"/>
            <w:vAlign w:val="bottom"/>
            <w:shd w:val="clear" w:color="auto" w:fill="C6F4F9"/>
          </w:tcPr>
          <w:p>
            <w:pPr>
              <w:spacing w:after="0"/>
              <w:rPr>
                <w:sz w:val="17"/>
                <w:szCs w:val="17"/>
                <w:color w:val="auto"/>
              </w:rPr>
            </w:pPr>
          </w:p>
        </w:tc>
        <w:tc>
          <w:tcPr>
            <w:tcW w:w="540" w:type="dxa"/>
            <w:vAlign w:val="bottom"/>
            <w:shd w:val="clear" w:color="auto" w:fill="C6F4F9"/>
          </w:tcPr>
          <w:p>
            <w:pPr>
              <w:spacing w:after="0"/>
              <w:rPr>
                <w:sz w:val="17"/>
                <w:szCs w:val="17"/>
                <w:color w:val="auto"/>
              </w:rPr>
            </w:pPr>
          </w:p>
        </w:tc>
        <w:tc>
          <w:tcPr>
            <w:tcW w:w="1480" w:type="dxa"/>
            <w:vAlign w:val="bottom"/>
            <w:shd w:val="clear" w:color="auto" w:fill="C6F4F9"/>
          </w:tcPr>
          <w:p>
            <w:pPr>
              <w:spacing w:after="0"/>
              <w:rPr>
                <w:sz w:val="17"/>
                <w:szCs w:val="17"/>
                <w:color w:val="auto"/>
              </w:rPr>
            </w:pPr>
          </w:p>
        </w:tc>
        <w:tc>
          <w:tcPr>
            <w:tcW w:w="1460" w:type="dxa"/>
            <w:vAlign w:val="bottom"/>
            <w:shd w:val="clear" w:color="auto" w:fill="C6F4F9"/>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1460" w:type="dxa"/>
            <w:vAlign w:val="bottom"/>
          </w:tcPr>
          <w:p>
            <w:pPr>
              <w:spacing w:after="0"/>
              <w:rPr>
                <w:sz w:val="17"/>
                <w:szCs w:val="17"/>
                <w:color w:val="auto"/>
              </w:rPr>
            </w:pP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1,620</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1,511</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7.2</w:t>
            </w:r>
          </w:p>
        </w:tc>
      </w:tr>
      <w:tr>
        <w:trPr>
          <w:trHeight w:val="203"/>
        </w:trPr>
        <w:tc>
          <w:tcPr>
            <w:tcW w:w="49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146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3,804</w:t>
            </w:r>
          </w:p>
        </w:tc>
        <w:tc>
          <w:tcPr>
            <w:tcW w:w="540" w:type="dxa"/>
            <w:vAlign w:val="bottom"/>
            <w:shd w:val="clear" w:color="auto" w:fill="C6F4F9"/>
          </w:tcPr>
          <w:p>
            <w:pPr>
              <w:spacing w:after="0"/>
              <w:rPr>
                <w:sz w:val="17"/>
                <w:szCs w:val="17"/>
                <w:color w:val="auto"/>
              </w:rPr>
            </w:pPr>
          </w:p>
        </w:tc>
        <w:tc>
          <w:tcPr>
            <w:tcW w:w="1480" w:type="dxa"/>
            <w:vAlign w:val="bottom"/>
            <w:shd w:val="clear" w:color="auto" w:fill="C6F4F9"/>
          </w:tcPr>
          <w:p>
            <w:pPr>
              <w:jc w:val="right"/>
              <w:ind w:right="470"/>
              <w:spacing w:after="0" w:line="202" w:lineRule="exact"/>
              <w:rPr>
                <w:sz w:val="20"/>
                <w:szCs w:val="20"/>
                <w:color w:val="auto"/>
              </w:rPr>
            </w:pPr>
            <w:r>
              <w:rPr>
                <w:rFonts w:ascii="Arial" w:cs="Arial" w:eastAsia="Arial" w:hAnsi="Arial"/>
                <w:sz w:val="18"/>
                <w:szCs w:val="18"/>
                <w:color w:val="auto"/>
              </w:rPr>
              <w:t>3,331</w:t>
            </w:r>
          </w:p>
        </w:tc>
        <w:tc>
          <w:tcPr>
            <w:tcW w:w="14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14.2</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Available seats miles (ASMs) - thousands</w:t>
            </w:r>
          </w:p>
        </w:tc>
        <w:tc>
          <w:tcPr>
            <w:tcW w:w="1460" w:type="dxa"/>
            <w:vAlign w:val="bottom"/>
          </w:tcPr>
          <w:p>
            <w:pPr>
              <w:spacing w:after="0"/>
              <w:rPr>
                <w:sz w:val="17"/>
                <w:szCs w:val="17"/>
                <w:color w:val="auto"/>
              </w:rPr>
            </w:pP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235,705</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211,721</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11.3</w:t>
            </w:r>
          </w:p>
        </w:tc>
      </w:tr>
      <w:tr>
        <w:trPr>
          <w:trHeight w:val="203"/>
        </w:trPr>
        <w:tc>
          <w:tcPr>
            <w:tcW w:w="49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Fuel gallons - thousands</w:t>
            </w:r>
          </w:p>
        </w:tc>
        <w:tc>
          <w:tcPr>
            <w:tcW w:w="146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2,758</w:t>
            </w:r>
          </w:p>
        </w:tc>
        <w:tc>
          <w:tcPr>
            <w:tcW w:w="540" w:type="dxa"/>
            <w:vAlign w:val="bottom"/>
            <w:shd w:val="clear" w:color="auto" w:fill="C6F4F9"/>
          </w:tcPr>
          <w:p>
            <w:pPr>
              <w:spacing w:after="0"/>
              <w:rPr>
                <w:sz w:val="17"/>
                <w:szCs w:val="17"/>
                <w:color w:val="auto"/>
              </w:rPr>
            </w:pPr>
          </w:p>
        </w:tc>
        <w:tc>
          <w:tcPr>
            <w:tcW w:w="1480" w:type="dxa"/>
            <w:vAlign w:val="bottom"/>
            <w:shd w:val="clear" w:color="auto" w:fill="C6F4F9"/>
          </w:tcPr>
          <w:p>
            <w:pPr>
              <w:jc w:val="right"/>
              <w:ind w:right="470"/>
              <w:spacing w:after="0" w:line="202" w:lineRule="exact"/>
              <w:rPr>
                <w:sz w:val="20"/>
                <w:szCs w:val="20"/>
                <w:color w:val="auto"/>
              </w:rPr>
            </w:pPr>
            <w:r>
              <w:rPr>
                <w:rFonts w:ascii="Arial" w:cs="Arial" w:eastAsia="Arial" w:hAnsi="Arial"/>
                <w:sz w:val="18"/>
                <w:szCs w:val="18"/>
                <w:color w:val="auto"/>
              </w:rPr>
              <w:t>2,357</w:t>
            </w:r>
          </w:p>
        </w:tc>
        <w:tc>
          <w:tcPr>
            <w:tcW w:w="14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17.0</w:t>
            </w:r>
          </w:p>
        </w:tc>
      </w:tr>
      <w:tr>
        <w:trPr>
          <w:trHeight w:val="162"/>
        </w:trPr>
        <w:tc>
          <w:tcPr>
            <w:tcW w:w="4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03"/>
        </w:trPr>
        <w:tc>
          <w:tcPr>
            <w:tcW w:w="496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auto"/>
              </w:rPr>
              <w:t>Cargo statistics:</w:t>
            </w:r>
          </w:p>
        </w:tc>
        <w:tc>
          <w:tcPr>
            <w:tcW w:w="1460" w:type="dxa"/>
            <w:vAlign w:val="bottom"/>
            <w:shd w:val="clear" w:color="auto" w:fill="C6F4F9"/>
          </w:tcPr>
          <w:p>
            <w:pPr>
              <w:spacing w:after="0"/>
              <w:rPr>
                <w:sz w:val="17"/>
                <w:szCs w:val="17"/>
                <w:color w:val="auto"/>
              </w:rPr>
            </w:pPr>
          </w:p>
        </w:tc>
        <w:tc>
          <w:tcPr>
            <w:tcW w:w="1340" w:type="dxa"/>
            <w:vAlign w:val="bottom"/>
            <w:shd w:val="clear" w:color="auto" w:fill="C6F4F9"/>
          </w:tcPr>
          <w:p>
            <w:pPr>
              <w:spacing w:after="0"/>
              <w:rPr>
                <w:sz w:val="17"/>
                <w:szCs w:val="17"/>
                <w:color w:val="auto"/>
              </w:rPr>
            </w:pPr>
          </w:p>
        </w:tc>
        <w:tc>
          <w:tcPr>
            <w:tcW w:w="540" w:type="dxa"/>
            <w:vAlign w:val="bottom"/>
            <w:shd w:val="clear" w:color="auto" w:fill="C6F4F9"/>
          </w:tcPr>
          <w:p>
            <w:pPr>
              <w:spacing w:after="0"/>
              <w:rPr>
                <w:sz w:val="17"/>
                <w:szCs w:val="17"/>
                <w:color w:val="auto"/>
              </w:rPr>
            </w:pPr>
          </w:p>
        </w:tc>
        <w:tc>
          <w:tcPr>
            <w:tcW w:w="1480" w:type="dxa"/>
            <w:vAlign w:val="bottom"/>
            <w:shd w:val="clear" w:color="auto" w:fill="C6F4F9"/>
          </w:tcPr>
          <w:p>
            <w:pPr>
              <w:spacing w:after="0"/>
              <w:rPr>
                <w:sz w:val="17"/>
                <w:szCs w:val="17"/>
                <w:color w:val="auto"/>
              </w:rPr>
            </w:pPr>
          </w:p>
        </w:tc>
        <w:tc>
          <w:tcPr>
            <w:tcW w:w="1460" w:type="dxa"/>
            <w:vAlign w:val="bottom"/>
            <w:shd w:val="clear" w:color="auto" w:fill="C6F4F9"/>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1460" w:type="dxa"/>
            <w:vAlign w:val="bottom"/>
          </w:tcPr>
          <w:p>
            <w:pPr>
              <w:spacing w:after="0"/>
              <w:rPr>
                <w:sz w:val="17"/>
                <w:szCs w:val="17"/>
                <w:color w:val="auto"/>
              </w:rPr>
            </w:pP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2,574</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2,565</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0.4</w:t>
            </w:r>
          </w:p>
        </w:tc>
      </w:tr>
      <w:tr>
        <w:trPr>
          <w:trHeight w:val="203"/>
        </w:trPr>
        <w:tc>
          <w:tcPr>
            <w:tcW w:w="49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146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7,390</w:t>
            </w:r>
          </w:p>
        </w:tc>
        <w:tc>
          <w:tcPr>
            <w:tcW w:w="540" w:type="dxa"/>
            <w:vAlign w:val="bottom"/>
            <w:shd w:val="clear" w:color="auto" w:fill="C6F4F9"/>
          </w:tcPr>
          <w:p>
            <w:pPr>
              <w:spacing w:after="0"/>
              <w:rPr>
                <w:sz w:val="17"/>
                <w:szCs w:val="17"/>
                <w:color w:val="auto"/>
              </w:rPr>
            </w:pPr>
          </w:p>
        </w:tc>
        <w:tc>
          <w:tcPr>
            <w:tcW w:w="1480" w:type="dxa"/>
            <w:vAlign w:val="bottom"/>
            <w:shd w:val="clear" w:color="auto" w:fill="C6F4F9"/>
          </w:tcPr>
          <w:p>
            <w:pPr>
              <w:jc w:val="right"/>
              <w:ind w:right="470"/>
              <w:spacing w:after="0" w:line="202" w:lineRule="exact"/>
              <w:rPr>
                <w:sz w:val="20"/>
                <w:szCs w:val="20"/>
                <w:color w:val="auto"/>
              </w:rPr>
            </w:pPr>
            <w:r>
              <w:rPr>
                <w:rFonts w:ascii="Arial" w:cs="Arial" w:eastAsia="Arial" w:hAnsi="Arial"/>
                <w:sz w:val="18"/>
                <w:szCs w:val="18"/>
                <w:color w:val="auto"/>
              </w:rPr>
              <w:t>8,242</w:t>
            </w:r>
          </w:p>
        </w:tc>
        <w:tc>
          <w:tcPr>
            <w:tcW w:w="1460" w:type="dxa"/>
            <w:vAlign w:val="bottom"/>
            <w:shd w:val="clear" w:color="auto" w:fill="C6F4F9"/>
          </w:tcPr>
          <w:p>
            <w:pPr>
              <w:jc w:val="right"/>
              <w:ind w:right="50"/>
              <w:spacing w:after="0" w:line="202" w:lineRule="exact"/>
              <w:rPr>
                <w:sz w:val="20"/>
                <w:szCs w:val="20"/>
                <w:color w:val="auto"/>
              </w:rPr>
            </w:pPr>
            <w:r>
              <w:rPr>
                <w:rFonts w:ascii="Arial" w:cs="Arial" w:eastAsia="Arial" w:hAnsi="Arial"/>
                <w:sz w:val="18"/>
                <w:szCs w:val="18"/>
                <w:color w:val="auto"/>
              </w:rPr>
              <w:t>(10.3)</w:t>
            </w:r>
          </w:p>
        </w:tc>
      </w:tr>
      <w:tr>
        <w:trPr>
          <w:trHeight w:val="162"/>
        </w:trPr>
        <w:tc>
          <w:tcPr>
            <w:tcW w:w="4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02"/>
        </w:trPr>
        <w:tc>
          <w:tcPr>
            <w:tcW w:w="496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auto"/>
              </w:rPr>
              <w:t>Total system statistics:</w:t>
            </w:r>
          </w:p>
        </w:tc>
        <w:tc>
          <w:tcPr>
            <w:tcW w:w="1460" w:type="dxa"/>
            <w:vAlign w:val="bottom"/>
            <w:shd w:val="clear" w:color="auto" w:fill="C6F4F9"/>
          </w:tcPr>
          <w:p>
            <w:pPr>
              <w:spacing w:after="0"/>
              <w:rPr>
                <w:sz w:val="17"/>
                <w:szCs w:val="17"/>
                <w:color w:val="auto"/>
              </w:rPr>
            </w:pPr>
          </w:p>
        </w:tc>
        <w:tc>
          <w:tcPr>
            <w:tcW w:w="1340" w:type="dxa"/>
            <w:vAlign w:val="bottom"/>
            <w:shd w:val="clear" w:color="auto" w:fill="C6F4F9"/>
          </w:tcPr>
          <w:p>
            <w:pPr>
              <w:spacing w:after="0"/>
              <w:rPr>
                <w:sz w:val="17"/>
                <w:szCs w:val="17"/>
                <w:color w:val="auto"/>
              </w:rPr>
            </w:pPr>
          </w:p>
        </w:tc>
        <w:tc>
          <w:tcPr>
            <w:tcW w:w="540" w:type="dxa"/>
            <w:vAlign w:val="bottom"/>
            <w:shd w:val="clear" w:color="auto" w:fill="C6F4F9"/>
          </w:tcPr>
          <w:p>
            <w:pPr>
              <w:spacing w:after="0"/>
              <w:rPr>
                <w:sz w:val="17"/>
                <w:szCs w:val="17"/>
                <w:color w:val="auto"/>
              </w:rPr>
            </w:pPr>
          </w:p>
        </w:tc>
        <w:tc>
          <w:tcPr>
            <w:tcW w:w="1480" w:type="dxa"/>
            <w:vAlign w:val="bottom"/>
            <w:shd w:val="clear" w:color="auto" w:fill="C6F4F9"/>
          </w:tcPr>
          <w:p>
            <w:pPr>
              <w:spacing w:after="0"/>
              <w:rPr>
                <w:sz w:val="17"/>
                <w:szCs w:val="17"/>
                <w:color w:val="auto"/>
              </w:rPr>
            </w:pPr>
          </w:p>
        </w:tc>
        <w:tc>
          <w:tcPr>
            <w:tcW w:w="1460" w:type="dxa"/>
            <w:vAlign w:val="bottom"/>
            <w:shd w:val="clear" w:color="auto" w:fill="C6F4F9"/>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Average passenger aircraft</w:t>
            </w:r>
          </w:p>
        </w:tc>
        <w:tc>
          <w:tcPr>
            <w:tcW w:w="1460" w:type="dxa"/>
            <w:vAlign w:val="bottom"/>
          </w:tcPr>
          <w:p>
            <w:pPr>
              <w:spacing w:after="0"/>
              <w:rPr>
                <w:sz w:val="17"/>
                <w:szCs w:val="17"/>
                <w:color w:val="auto"/>
              </w:rPr>
            </w:pP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34.1</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31.0</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49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Passenger aircraft – end of period</w:t>
            </w:r>
          </w:p>
        </w:tc>
        <w:tc>
          <w:tcPr>
            <w:tcW w:w="146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38</w:t>
            </w:r>
          </w:p>
        </w:tc>
        <w:tc>
          <w:tcPr>
            <w:tcW w:w="540" w:type="dxa"/>
            <w:vAlign w:val="bottom"/>
            <w:shd w:val="clear" w:color="auto" w:fill="C6F4F9"/>
          </w:tcPr>
          <w:p>
            <w:pPr>
              <w:spacing w:after="0"/>
              <w:rPr>
                <w:sz w:val="17"/>
                <w:szCs w:val="17"/>
                <w:color w:val="auto"/>
              </w:rPr>
            </w:pPr>
          </w:p>
        </w:tc>
        <w:tc>
          <w:tcPr>
            <w:tcW w:w="1480" w:type="dxa"/>
            <w:vAlign w:val="bottom"/>
            <w:shd w:val="clear" w:color="auto" w:fill="C6F4F9"/>
          </w:tcPr>
          <w:p>
            <w:pPr>
              <w:jc w:val="right"/>
              <w:ind w:right="470"/>
              <w:spacing w:after="0" w:line="202" w:lineRule="exact"/>
              <w:rPr>
                <w:sz w:val="20"/>
                <w:szCs w:val="20"/>
                <w:color w:val="auto"/>
              </w:rPr>
            </w:pPr>
            <w:r>
              <w:rPr>
                <w:rFonts w:ascii="Arial" w:cs="Arial" w:eastAsia="Arial" w:hAnsi="Arial"/>
                <w:sz w:val="18"/>
                <w:szCs w:val="18"/>
                <w:color w:val="auto"/>
              </w:rPr>
              <w:t>31</w:t>
            </w:r>
          </w:p>
        </w:tc>
        <w:tc>
          <w:tcPr>
            <w:tcW w:w="14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22.6</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Cargo aircraft – end of period</w:t>
            </w:r>
          </w:p>
        </w:tc>
        <w:tc>
          <w:tcPr>
            <w:tcW w:w="1460" w:type="dxa"/>
            <w:vAlign w:val="bottom"/>
          </w:tcPr>
          <w:p>
            <w:pPr>
              <w:spacing w:after="0"/>
              <w:rPr>
                <w:sz w:val="17"/>
                <w:szCs w:val="17"/>
                <w:color w:val="auto"/>
              </w:rPr>
            </w:pP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12</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12</w:t>
            </w:r>
          </w:p>
        </w:tc>
        <w:tc>
          <w:tcPr>
            <w:tcW w:w="14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r>
      <w:tr>
        <w:trPr>
          <w:trHeight w:val="203"/>
        </w:trPr>
        <w:tc>
          <w:tcPr>
            <w:tcW w:w="49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Available seat miles (ASMs) – thousands</w:t>
            </w:r>
          </w:p>
        </w:tc>
        <w:tc>
          <w:tcPr>
            <w:tcW w:w="146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1,928,149</w:t>
            </w:r>
          </w:p>
        </w:tc>
        <w:tc>
          <w:tcPr>
            <w:tcW w:w="540" w:type="dxa"/>
            <w:vAlign w:val="bottom"/>
            <w:shd w:val="clear" w:color="auto" w:fill="C6F4F9"/>
          </w:tcPr>
          <w:p>
            <w:pPr>
              <w:spacing w:after="0"/>
              <w:rPr>
                <w:sz w:val="17"/>
                <w:szCs w:val="17"/>
                <w:color w:val="auto"/>
              </w:rPr>
            </w:pPr>
          </w:p>
        </w:tc>
        <w:tc>
          <w:tcPr>
            <w:tcW w:w="1480" w:type="dxa"/>
            <w:vAlign w:val="bottom"/>
            <w:shd w:val="clear" w:color="auto" w:fill="C6F4F9"/>
          </w:tcPr>
          <w:p>
            <w:pPr>
              <w:jc w:val="right"/>
              <w:ind w:right="470"/>
              <w:spacing w:after="0" w:line="202" w:lineRule="exact"/>
              <w:rPr>
                <w:sz w:val="20"/>
                <w:szCs w:val="20"/>
                <w:color w:val="auto"/>
              </w:rPr>
            </w:pPr>
            <w:r>
              <w:rPr>
                <w:rFonts w:ascii="Arial" w:cs="Arial" w:eastAsia="Arial" w:hAnsi="Arial"/>
                <w:sz w:val="18"/>
                <w:szCs w:val="18"/>
                <w:color w:val="auto"/>
              </w:rPr>
              <w:t>1,376,796</w:t>
            </w:r>
          </w:p>
        </w:tc>
        <w:tc>
          <w:tcPr>
            <w:tcW w:w="14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40.0</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Departures</w:t>
            </w:r>
          </w:p>
        </w:tc>
        <w:tc>
          <w:tcPr>
            <w:tcW w:w="1460" w:type="dxa"/>
            <w:vAlign w:val="bottom"/>
          </w:tcPr>
          <w:p>
            <w:pPr>
              <w:spacing w:after="0"/>
              <w:rPr>
                <w:sz w:val="17"/>
                <w:szCs w:val="17"/>
                <w:color w:val="auto"/>
              </w:rPr>
            </w:pP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10,487</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8,452</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24.1</w:t>
            </w:r>
          </w:p>
        </w:tc>
      </w:tr>
      <w:tr>
        <w:trPr>
          <w:trHeight w:val="203"/>
        </w:trPr>
        <w:tc>
          <w:tcPr>
            <w:tcW w:w="49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Block hours</w:t>
            </w:r>
          </w:p>
        </w:tc>
        <w:tc>
          <w:tcPr>
            <w:tcW w:w="146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33,805</w:t>
            </w:r>
          </w:p>
        </w:tc>
        <w:tc>
          <w:tcPr>
            <w:tcW w:w="540" w:type="dxa"/>
            <w:vAlign w:val="bottom"/>
            <w:shd w:val="clear" w:color="auto" w:fill="C6F4F9"/>
          </w:tcPr>
          <w:p>
            <w:pPr>
              <w:spacing w:after="0"/>
              <w:rPr>
                <w:sz w:val="17"/>
                <w:szCs w:val="17"/>
                <w:color w:val="auto"/>
              </w:rPr>
            </w:pPr>
          </w:p>
        </w:tc>
        <w:tc>
          <w:tcPr>
            <w:tcW w:w="1480" w:type="dxa"/>
            <w:vAlign w:val="bottom"/>
            <w:shd w:val="clear" w:color="auto" w:fill="C6F4F9"/>
          </w:tcPr>
          <w:p>
            <w:pPr>
              <w:jc w:val="right"/>
              <w:ind w:right="470"/>
              <w:spacing w:after="0" w:line="202" w:lineRule="exact"/>
              <w:rPr>
                <w:sz w:val="20"/>
                <w:szCs w:val="20"/>
                <w:color w:val="auto"/>
              </w:rPr>
            </w:pPr>
            <w:r>
              <w:rPr>
                <w:rFonts w:ascii="Arial" w:cs="Arial" w:eastAsia="Arial" w:hAnsi="Arial"/>
                <w:sz w:val="18"/>
                <w:szCs w:val="18"/>
                <w:color w:val="auto"/>
              </w:rPr>
              <w:t>26,932</w:t>
            </w:r>
          </w:p>
        </w:tc>
        <w:tc>
          <w:tcPr>
            <w:tcW w:w="14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25.5</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Daily utilization – hours</w:t>
            </w:r>
          </w:p>
        </w:tc>
        <w:tc>
          <w:tcPr>
            <w:tcW w:w="1460" w:type="dxa"/>
            <w:vAlign w:val="bottom"/>
          </w:tcPr>
          <w:p>
            <w:pPr>
              <w:spacing w:after="0"/>
              <w:rPr>
                <w:sz w:val="17"/>
                <w:szCs w:val="17"/>
                <w:color w:val="auto"/>
              </w:rPr>
            </w:pP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8.6</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6.7</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28.6</w:t>
            </w:r>
          </w:p>
        </w:tc>
      </w:tr>
      <w:tr>
        <w:trPr>
          <w:trHeight w:val="203"/>
        </w:trPr>
        <w:tc>
          <w:tcPr>
            <w:tcW w:w="49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Average stage length – miles</w:t>
            </w:r>
          </w:p>
        </w:tc>
        <w:tc>
          <w:tcPr>
            <w:tcW w:w="146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1,336</w:t>
            </w:r>
          </w:p>
        </w:tc>
        <w:tc>
          <w:tcPr>
            <w:tcW w:w="540" w:type="dxa"/>
            <w:vAlign w:val="bottom"/>
            <w:shd w:val="clear" w:color="auto" w:fill="C6F4F9"/>
          </w:tcPr>
          <w:p>
            <w:pPr>
              <w:spacing w:after="0"/>
              <w:rPr>
                <w:sz w:val="17"/>
                <w:szCs w:val="17"/>
                <w:color w:val="auto"/>
              </w:rPr>
            </w:pPr>
          </w:p>
        </w:tc>
        <w:tc>
          <w:tcPr>
            <w:tcW w:w="1480" w:type="dxa"/>
            <w:vAlign w:val="bottom"/>
            <w:shd w:val="clear" w:color="auto" w:fill="C6F4F9"/>
          </w:tcPr>
          <w:p>
            <w:pPr>
              <w:jc w:val="right"/>
              <w:ind w:right="470"/>
              <w:spacing w:after="0" w:line="202" w:lineRule="exact"/>
              <w:rPr>
                <w:sz w:val="20"/>
                <w:szCs w:val="20"/>
                <w:color w:val="auto"/>
              </w:rPr>
            </w:pPr>
            <w:r>
              <w:rPr>
                <w:rFonts w:ascii="Arial" w:cs="Arial" w:eastAsia="Arial" w:hAnsi="Arial"/>
                <w:sz w:val="18"/>
                <w:szCs w:val="18"/>
                <w:color w:val="auto"/>
              </w:rPr>
              <w:t>1,278</w:t>
            </w:r>
          </w:p>
        </w:tc>
        <w:tc>
          <w:tcPr>
            <w:tcW w:w="14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4.5</w:t>
            </w:r>
          </w:p>
        </w:tc>
      </w:tr>
      <w:tr>
        <w:trPr>
          <w:trHeight w:val="243"/>
        </w:trPr>
        <w:tc>
          <w:tcPr>
            <w:tcW w:w="4960" w:type="dxa"/>
            <w:vAlign w:val="bottom"/>
          </w:tcPr>
          <w:p>
            <w:pPr>
              <w:spacing w:after="0" w:line="243" w:lineRule="exact"/>
              <w:rPr>
                <w:sz w:val="20"/>
                <w:szCs w:val="20"/>
                <w:color w:val="auto"/>
              </w:rPr>
            </w:pPr>
            <w:r>
              <w:rPr>
                <w:rFonts w:ascii="Arial" w:cs="Arial" w:eastAsia="Arial" w:hAnsi="Arial"/>
                <w:sz w:val="17"/>
                <w:szCs w:val="17"/>
                <w:color w:val="auto"/>
              </w:rPr>
              <w:t>Total revenue per ASM (TRASM)</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 cents</w:t>
            </w:r>
          </w:p>
        </w:tc>
        <w:tc>
          <w:tcPr>
            <w:tcW w:w="1460" w:type="dxa"/>
            <w:vAlign w:val="bottom"/>
          </w:tcPr>
          <w:p>
            <w:pPr>
              <w:spacing w:after="0"/>
              <w:rPr>
                <w:sz w:val="21"/>
                <w:szCs w:val="21"/>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10.66</w:t>
            </w:r>
          </w:p>
        </w:tc>
        <w:tc>
          <w:tcPr>
            <w:tcW w:w="540" w:type="dxa"/>
            <w:vAlign w:val="bottom"/>
          </w:tcPr>
          <w:p>
            <w:pPr>
              <w:spacing w:after="0"/>
              <w:rPr>
                <w:sz w:val="21"/>
                <w:szCs w:val="21"/>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color w:val="auto"/>
              </w:rPr>
              <w:t>7.70</w:t>
            </w: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38.4</w:t>
            </w:r>
          </w:p>
        </w:tc>
      </w:tr>
      <w:tr>
        <w:trPr>
          <w:trHeight w:val="203"/>
        </w:trPr>
        <w:tc>
          <w:tcPr>
            <w:tcW w:w="49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Cost per ASM (CASM) - cents</w:t>
            </w:r>
          </w:p>
        </w:tc>
        <w:tc>
          <w:tcPr>
            <w:tcW w:w="146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10.62</w:t>
            </w:r>
          </w:p>
        </w:tc>
        <w:tc>
          <w:tcPr>
            <w:tcW w:w="540" w:type="dxa"/>
            <w:vAlign w:val="bottom"/>
            <w:shd w:val="clear" w:color="auto" w:fill="C6F4F9"/>
          </w:tcPr>
          <w:p>
            <w:pPr>
              <w:spacing w:after="0"/>
              <w:rPr>
                <w:sz w:val="17"/>
                <w:szCs w:val="17"/>
                <w:color w:val="auto"/>
              </w:rPr>
            </w:pPr>
          </w:p>
        </w:tc>
        <w:tc>
          <w:tcPr>
            <w:tcW w:w="1480" w:type="dxa"/>
            <w:vAlign w:val="bottom"/>
            <w:shd w:val="clear" w:color="auto" w:fill="C6F4F9"/>
          </w:tcPr>
          <w:p>
            <w:pPr>
              <w:jc w:val="right"/>
              <w:ind w:right="470"/>
              <w:spacing w:after="0" w:line="202" w:lineRule="exact"/>
              <w:rPr>
                <w:sz w:val="20"/>
                <w:szCs w:val="20"/>
                <w:color w:val="auto"/>
              </w:rPr>
            </w:pPr>
            <w:r>
              <w:rPr>
                <w:rFonts w:ascii="Arial" w:cs="Arial" w:eastAsia="Arial" w:hAnsi="Arial"/>
                <w:sz w:val="18"/>
                <w:szCs w:val="18"/>
                <w:color w:val="auto"/>
              </w:rPr>
              <w:t>7.46</w:t>
            </w:r>
          </w:p>
        </w:tc>
        <w:tc>
          <w:tcPr>
            <w:tcW w:w="14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42.3</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Adjusted CASM - cents</w:t>
            </w:r>
          </w:p>
        </w:tc>
        <w:tc>
          <w:tcPr>
            <w:tcW w:w="1460" w:type="dxa"/>
            <w:vAlign w:val="bottom"/>
          </w:tcPr>
          <w:p>
            <w:pPr>
              <w:spacing w:after="0"/>
              <w:rPr>
                <w:sz w:val="17"/>
                <w:szCs w:val="17"/>
                <w:color w:val="auto"/>
              </w:rPr>
            </w:pP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6.21</w:t>
            </w:r>
          </w:p>
        </w:tc>
        <w:tc>
          <w:tcPr>
            <w:tcW w:w="540" w:type="dxa"/>
            <w:vAlign w:val="bottom"/>
          </w:tcPr>
          <w:p>
            <w:pPr>
              <w:spacing w:after="0"/>
              <w:rPr>
                <w:sz w:val="17"/>
                <w:szCs w:val="17"/>
                <w:color w:val="auto"/>
              </w:rPr>
            </w:pP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6.15</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0.9</w:t>
            </w:r>
          </w:p>
        </w:tc>
      </w:tr>
      <w:tr>
        <w:trPr>
          <w:trHeight w:val="203"/>
        </w:trPr>
        <w:tc>
          <w:tcPr>
            <w:tcW w:w="49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Fuel gallons - thousands</w:t>
            </w:r>
          </w:p>
        </w:tc>
        <w:tc>
          <w:tcPr>
            <w:tcW w:w="146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20,245</w:t>
            </w:r>
          </w:p>
        </w:tc>
        <w:tc>
          <w:tcPr>
            <w:tcW w:w="540" w:type="dxa"/>
            <w:vAlign w:val="bottom"/>
            <w:shd w:val="clear" w:color="auto" w:fill="C6F4F9"/>
          </w:tcPr>
          <w:p>
            <w:pPr>
              <w:spacing w:after="0"/>
              <w:rPr>
                <w:sz w:val="17"/>
                <w:szCs w:val="17"/>
                <w:color w:val="auto"/>
              </w:rPr>
            </w:pPr>
          </w:p>
        </w:tc>
        <w:tc>
          <w:tcPr>
            <w:tcW w:w="1480" w:type="dxa"/>
            <w:vAlign w:val="bottom"/>
            <w:shd w:val="clear" w:color="auto" w:fill="C6F4F9"/>
          </w:tcPr>
          <w:p>
            <w:pPr>
              <w:jc w:val="right"/>
              <w:ind w:right="470"/>
              <w:spacing w:after="0" w:line="202" w:lineRule="exact"/>
              <w:rPr>
                <w:sz w:val="20"/>
                <w:szCs w:val="20"/>
                <w:color w:val="auto"/>
              </w:rPr>
            </w:pPr>
            <w:r>
              <w:rPr>
                <w:rFonts w:ascii="Arial" w:cs="Arial" w:eastAsia="Arial" w:hAnsi="Arial"/>
                <w:sz w:val="18"/>
                <w:szCs w:val="18"/>
                <w:color w:val="auto"/>
              </w:rPr>
              <w:t>13,993</w:t>
            </w:r>
          </w:p>
        </w:tc>
        <w:tc>
          <w:tcPr>
            <w:tcW w:w="14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44.7</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Fuel cost per gallon, excluding derivatives</w:t>
            </w:r>
          </w:p>
        </w:tc>
        <w:tc>
          <w:tcPr>
            <w:tcW w:w="14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3.20</w:t>
            </w:r>
          </w:p>
        </w:tc>
        <w:tc>
          <w:tcPr>
            <w:tcW w:w="5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1.91</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67.9</w:t>
            </w:r>
          </w:p>
        </w:tc>
      </w:tr>
      <w:tr>
        <w:trPr>
          <w:trHeight w:val="203"/>
        </w:trPr>
        <w:tc>
          <w:tcPr>
            <w:tcW w:w="496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Employees at end of period</w:t>
            </w:r>
          </w:p>
        </w:tc>
        <w:tc>
          <w:tcPr>
            <w:tcW w:w="1460" w:type="dxa"/>
            <w:vAlign w:val="bottom"/>
            <w:shd w:val="clear" w:color="auto" w:fill="C6F4F9"/>
          </w:tcPr>
          <w:p>
            <w:pPr>
              <w:spacing w:after="0"/>
              <w:rPr>
                <w:sz w:val="17"/>
                <w:szCs w:val="17"/>
                <w:color w:val="auto"/>
              </w:rPr>
            </w:pPr>
          </w:p>
        </w:tc>
        <w:tc>
          <w:tcPr>
            <w:tcW w:w="1340" w:type="dxa"/>
            <w:vAlign w:val="bottom"/>
            <w:shd w:val="clear" w:color="auto" w:fill="C6F4F9"/>
          </w:tcPr>
          <w:p>
            <w:pPr>
              <w:jc w:val="right"/>
              <w:ind w:right="290"/>
              <w:spacing w:after="0" w:line="202" w:lineRule="exact"/>
              <w:rPr>
                <w:sz w:val="20"/>
                <w:szCs w:val="20"/>
                <w:color w:val="auto"/>
              </w:rPr>
            </w:pPr>
            <w:r>
              <w:rPr>
                <w:rFonts w:ascii="Arial" w:cs="Arial" w:eastAsia="Arial" w:hAnsi="Arial"/>
                <w:sz w:val="18"/>
                <w:szCs w:val="18"/>
                <w:color w:val="auto"/>
              </w:rPr>
              <w:t>2,316</w:t>
            </w:r>
          </w:p>
        </w:tc>
        <w:tc>
          <w:tcPr>
            <w:tcW w:w="540" w:type="dxa"/>
            <w:vAlign w:val="bottom"/>
            <w:shd w:val="clear" w:color="auto" w:fill="C6F4F9"/>
          </w:tcPr>
          <w:p>
            <w:pPr>
              <w:spacing w:after="0"/>
              <w:rPr>
                <w:sz w:val="17"/>
                <w:szCs w:val="17"/>
                <w:color w:val="auto"/>
              </w:rPr>
            </w:pPr>
          </w:p>
        </w:tc>
        <w:tc>
          <w:tcPr>
            <w:tcW w:w="1480" w:type="dxa"/>
            <w:vAlign w:val="bottom"/>
            <w:shd w:val="clear" w:color="auto" w:fill="C6F4F9"/>
          </w:tcPr>
          <w:p>
            <w:pPr>
              <w:jc w:val="right"/>
              <w:ind w:right="470"/>
              <w:spacing w:after="0" w:line="202" w:lineRule="exact"/>
              <w:rPr>
                <w:sz w:val="20"/>
                <w:szCs w:val="20"/>
                <w:color w:val="auto"/>
              </w:rPr>
            </w:pPr>
            <w:r>
              <w:rPr>
                <w:rFonts w:ascii="Arial" w:cs="Arial" w:eastAsia="Arial" w:hAnsi="Arial"/>
                <w:sz w:val="18"/>
                <w:szCs w:val="18"/>
                <w:color w:val="auto"/>
              </w:rPr>
              <w:t>1,768</w:t>
            </w:r>
          </w:p>
        </w:tc>
        <w:tc>
          <w:tcPr>
            <w:tcW w:w="1460" w:type="dxa"/>
            <w:vAlign w:val="bottom"/>
            <w:shd w:val="clear" w:color="auto" w:fill="C6F4F9"/>
          </w:tcPr>
          <w:p>
            <w:pPr>
              <w:jc w:val="right"/>
              <w:ind w:right="110"/>
              <w:spacing w:after="0" w:line="202" w:lineRule="exact"/>
              <w:rPr>
                <w:sz w:val="20"/>
                <w:szCs w:val="20"/>
                <w:color w:val="auto"/>
              </w:rPr>
            </w:pPr>
            <w:r>
              <w:rPr>
                <w:rFonts w:ascii="Arial" w:cs="Arial" w:eastAsia="Arial" w:hAnsi="Arial"/>
                <w:sz w:val="18"/>
                <w:szCs w:val="18"/>
                <w:color w:val="auto"/>
              </w:rPr>
              <w:t>31.0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 – Scheduled service TRASM = scheduled service revenue + ancillary revenue + other revenue / scheduled service ASMs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 – Total system TRASM = total revenue – cargo revenue / system ASMs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tabs>
          <w:tab w:leader="none" w:pos="2920" w:val="left"/>
        </w:tabs>
        <w:rPr>
          <w:sz w:val="20"/>
          <w:szCs w:val="20"/>
          <w:color w:val="auto"/>
        </w:rPr>
      </w:pPr>
      <w:r>
        <w:rPr>
          <w:rFonts w:ascii="Times New Roman" w:cs="Times New Roman" w:eastAsia="Times New Roman" w:hAnsi="Times New Roman"/>
          <w:sz w:val="18"/>
          <w:szCs w:val="18"/>
          <w:color w:val="auto"/>
        </w:rPr>
        <w:t>Page 7</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11"/>
          <w:szCs w:val="11"/>
          <w:color w:val="7671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5171440</wp:posOffset>
            </wp:positionH>
            <wp:positionV relativeFrom="page">
              <wp:posOffset>157480</wp:posOffset>
            </wp:positionV>
            <wp:extent cx="2134235" cy="53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134235" cy="531495"/>
                    </a:xfrm>
                    <a:prstGeom prst="rect">
                      <a:avLst/>
                    </a:prstGeom>
                    <a:noFill/>
                  </pic:spPr>
                </pic:pic>
              </a:graphicData>
            </a:graphic>
          </wp:anchor>
        </w:drawing>
        <w:t>SUMMARY 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w:t>
      </w:r>
    </w:p>
    <w:p>
      <w:pPr>
        <w:spacing w:after="0" w:line="235" w:lineRule="auto"/>
        <w:rPr>
          <w:sz w:val="20"/>
          <w:szCs w:val="20"/>
          <w:color w:val="auto"/>
        </w:rPr>
      </w:pPr>
      <w:r>
        <w:rPr>
          <w:rFonts w:ascii="Arial" w:cs="Arial" w:eastAsia="Arial" w:hAnsi="Arial"/>
          <w:sz w:val="18"/>
          <w:szCs w:val="18"/>
          <w:b w:val="1"/>
          <w:bCs w:val="1"/>
          <w:color w:val="auto"/>
        </w:rPr>
        <w:t>(Unaudited – amounts may not recalculate due to rounding)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Borders>
              <w:top w:val="single" w:sz="8" w:color="auto"/>
              <w:bottom w:val="single" w:sz="8" w:color="auto"/>
            </w:tcBorders>
          </w:tcPr>
          <w:p>
            <w:pPr>
              <w:spacing w:after="0"/>
              <w:rPr>
                <w:sz w:val="17"/>
                <w:szCs w:val="17"/>
                <w:color w:val="auto"/>
              </w:rPr>
            </w:pPr>
          </w:p>
        </w:tc>
        <w:tc>
          <w:tcPr>
            <w:tcW w:w="2200" w:type="dxa"/>
            <w:vAlign w:val="bottom"/>
            <w:tcBorders>
              <w:top w:val="single" w:sz="8" w:color="auto"/>
              <w:bottom w:val="single" w:sz="8" w:color="auto"/>
            </w:tcBorders>
            <w:gridSpan w:val="3"/>
          </w:tcPr>
          <w:p>
            <w:pPr>
              <w:ind w:left="960"/>
              <w:spacing w:after="0" w:line="196" w:lineRule="exact"/>
              <w:rPr>
                <w:sz w:val="20"/>
                <w:szCs w:val="20"/>
                <w:color w:val="auto"/>
              </w:rPr>
            </w:pPr>
            <w:r>
              <w:rPr>
                <w:rFonts w:ascii="Arial" w:cs="Arial" w:eastAsia="Arial" w:hAnsi="Arial"/>
                <w:sz w:val="18"/>
                <w:szCs w:val="18"/>
                <w:b w:val="1"/>
                <w:bCs w:val="1"/>
                <w:color w:val="auto"/>
              </w:rPr>
              <w:t>3/31/2022</w:t>
            </w:r>
          </w:p>
        </w:tc>
        <w:tc>
          <w:tcPr>
            <w:tcW w:w="3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gridSpan w:val="3"/>
          </w:tcPr>
          <w:p>
            <w:pPr>
              <w:ind w:left="240"/>
              <w:spacing w:after="0" w:line="196" w:lineRule="exact"/>
              <w:rPr>
                <w:sz w:val="20"/>
                <w:szCs w:val="20"/>
                <w:color w:val="auto"/>
              </w:rPr>
            </w:pPr>
            <w:r>
              <w:rPr>
                <w:rFonts w:ascii="Arial" w:cs="Arial" w:eastAsia="Arial" w:hAnsi="Arial"/>
                <w:sz w:val="18"/>
                <w:szCs w:val="18"/>
                <w:b w:val="1"/>
                <w:bCs w:val="1"/>
                <w:color w:val="auto"/>
              </w:rPr>
              <w:t>12/31/2021</w:t>
            </w:r>
          </w:p>
        </w:tc>
        <w:tc>
          <w:tcPr>
            <w:tcW w:w="32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gridSpan w:val="3"/>
          </w:tcPr>
          <w:p>
            <w:pPr>
              <w:jc w:val="right"/>
              <w:ind w:right="460"/>
              <w:spacing w:after="0" w:line="196" w:lineRule="exact"/>
              <w:rPr>
                <w:sz w:val="20"/>
                <w:szCs w:val="20"/>
                <w:color w:val="auto"/>
              </w:rPr>
            </w:pPr>
            <w:r>
              <w:rPr>
                <w:rFonts w:ascii="Arial" w:cs="Arial" w:eastAsia="Arial" w:hAnsi="Arial"/>
                <w:sz w:val="18"/>
                <w:szCs w:val="18"/>
                <w:b w:val="1"/>
                <w:bCs w:val="1"/>
                <w:color w:val="auto"/>
              </w:rPr>
              <w:t>% Change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shd w:val="clear" w:color="auto" w:fill="C6F4F9"/>
          </w:tcPr>
          <w:p>
            <w:pPr>
              <w:spacing w:after="0" w:line="196" w:lineRule="exact"/>
              <w:rPr>
                <w:sz w:val="20"/>
                <w:szCs w:val="20"/>
                <w:color w:val="auto"/>
              </w:rPr>
            </w:pPr>
            <w:r>
              <w:rPr>
                <w:rFonts w:ascii="Arial" w:cs="Arial" w:eastAsia="Arial" w:hAnsi="Arial"/>
                <w:sz w:val="18"/>
                <w:szCs w:val="18"/>
                <w:color w:val="0A0A0A"/>
              </w:rPr>
              <w:t>Cash and cash equivalents</w:t>
            </w:r>
          </w:p>
        </w:tc>
        <w:tc>
          <w:tcPr>
            <w:tcW w:w="1120" w:type="dxa"/>
            <w:vAlign w:val="bottom"/>
            <w:gridSpan w:val="2"/>
            <w:shd w:val="clear" w:color="auto" w:fill="C6F4F9"/>
          </w:tcPr>
          <w:p>
            <w:pPr>
              <w:ind w:left="96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6F4F9"/>
          </w:tcPr>
          <w:p>
            <w:pPr>
              <w:jc w:val="right"/>
              <w:ind w:right="320"/>
              <w:spacing w:after="0" w:line="196" w:lineRule="exact"/>
              <w:rPr>
                <w:sz w:val="20"/>
                <w:szCs w:val="20"/>
                <w:color w:val="auto"/>
              </w:rPr>
            </w:pPr>
            <w:r>
              <w:rPr>
                <w:rFonts w:ascii="Arial" w:cs="Arial" w:eastAsia="Arial" w:hAnsi="Arial"/>
                <w:sz w:val="18"/>
                <w:szCs w:val="18"/>
                <w:color w:val="auto"/>
              </w:rPr>
              <w:t>272.4</w:t>
            </w:r>
          </w:p>
        </w:tc>
        <w:tc>
          <w:tcPr>
            <w:tcW w:w="380" w:type="dxa"/>
            <w:vAlign w:val="bottom"/>
            <w:gridSpan w:val="2"/>
            <w:shd w:val="clear" w:color="auto" w:fill="C6F4F9"/>
          </w:tcPr>
          <w:p>
            <w:pPr>
              <w:ind w:left="24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6F4F9"/>
          </w:tcPr>
          <w:p>
            <w:pPr>
              <w:jc w:val="right"/>
              <w:ind w:right="300"/>
              <w:spacing w:after="0" w:line="196" w:lineRule="exact"/>
              <w:rPr>
                <w:sz w:val="20"/>
                <w:szCs w:val="20"/>
                <w:color w:val="auto"/>
              </w:rPr>
            </w:pPr>
            <w:r>
              <w:rPr>
                <w:rFonts w:ascii="Arial" w:cs="Arial" w:eastAsia="Arial" w:hAnsi="Arial"/>
                <w:sz w:val="18"/>
                <w:szCs w:val="18"/>
                <w:color w:val="auto"/>
              </w:rPr>
              <w:t>309.3</w:t>
            </w:r>
          </w:p>
        </w:tc>
        <w:tc>
          <w:tcPr>
            <w:tcW w:w="1580" w:type="dxa"/>
            <w:vAlign w:val="bottom"/>
            <w:gridSpan w:val="3"/>
            <w:shd w:val="clear" w:color="auto" w:fill="C6F4F9"/>
          </w:tcPr>
          <w:p>
            <w:pPr>
              <w:jc w:val="right"/>
              <w:ind w:right="40"/>
              <w:spacing w:after="0" w:line="196" w:lineRule="exact"/>
              <w:rPr>
                <w:sz w:val="20"/>
                <w:szCs w:val="20"/>
                <w:color w:val="auto"/>
              </w:rPr>
            </w:pPr>
            <w:r>
              <w:rPr>
                <w:rFonts w:ascii="Arial" w:cs="Arial" w:eastAsia="Arial" w:hAnsi="Arial"/>
                <w:sz w:val="18"/>
                <w:szCs w:val="18"/>
                <w:color w:val="auto"/>
              </w:rPr>
              <w:t>(11.9)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0A0A0A"/>
              </w:rPr>
              <w:t>Other current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76.8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66.1</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shd w:val="clear" w:color="auto" w:fill="C6F4F9"/>
          </w:tcPr>
          <w:p>
            <w:pPr>
              <w:spacing w:after="0"/>
              <w:rPr>
                <w:sz w:val="20"/>
                <w:szCs w:val="20"/>
                <w:color w:val="auto"/>
              </w:rPr>
            </w:pPr>
            <w:r>
              <w:rPr>
                <w:rFonts w:ascii="Arial" w:cs="Arial" w:eastAsia="Arial" w:hAnsi="Arial"/>
                <w:sz w:val="18"/>
                <w:szCs w:val="18"/>
                <w:color w:val="0A0A0A"/>
              </w:rPr>
              <w:t>Total current assets</w:t>
            </w:r>
          </w:p>
        </w:tc>
        <w:tc>
          <w:tcPr>
            <w:tcW w:w="960" w:type="dxa"/>
            <w:vAlign w:val="bottom"/>
            <w:shd w:val="clear" w:color="auto" w:fill="C6F4F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6F4F9"/>
          </w:tcPr>
          <w:p>
            <w:pPr>
              <w:spacing w:after="0" w:line="20" w:lineRule="exact"/>
              <w:rPr>
                <w:sz w:val="1"/>
                <w:szCs w:val="1"/>
                <w:color w:val="auto"/>
              </w:rPr>
            </w:pPr>
          </w:p>
        </w:tc>
        <w:tc>
          <w:tcPr>
            <w:tcW w:w="240" w:type="dxa"/>
            <w:vAlign w:val="bottom"/>
            <w:shd w:val="clear" w:color="auto" w:fill="C6F4F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6F4F9"/>
          </w:tcPr>
          <w:p>
            <w:pPr>
              <w:spacing w:after="0" w:line="20" w:lineRule="exact"/>
              <w:rPr>
                <w:sz w:val="1"/>
                <w:szCs w:val="1"/>
                <w:color w:val="auto"/>
              </w:rPr>
            </w:pPr>
          </w:p>
        </w:tc>
        <w:tc>
          <w:tcPr>
            <w:tcW w:w="240" w:type="dxa"/>
            <w:vAlign w:val="bottom"/>
            <w:vMerge w:val="restart"/>
            <w:shd w:val="clear" w:color="auto" w:fill="C6F4F9"/>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6F4F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vMerge w:val="continue"/>
            <w:shd w:val="clear" w:color="auto" w:fill="C6F4F9"/>
          </w:tcPr>
          <w:p>
            <w:pPr>
              <w:spacing w:after="0"/>
              <w:rPr>
                <w:sz w:val="17"/>
                <w:szCs w:val="17"/>
                <w:color w:val="auto"/>
              </w:rPr>
            </w:pPr>
          </w:p>
        </w:tc>
        <w:tc>
          <w:tcPr>
            <w:tcW w:w="960" w:type="dxa"/>
            <w:vAlign w:val="bottom"/>
            <w:shd w:val="clear" w:color="auto" w:fill="C6F4F9"/>
          </w:tcPr>
          <w:p>
            <w:pPr>
              <w:spacing w:after="0"/>
              <w:rPr>
                <w:sz w:val="17"/>
                <w:szCs w:val="17"/>
                <w:color w:val="auto"/>
              </w:rPr>
            </w:pPr>
          </w:p>
        </w:tc>
        <w:tc>
          <w:tcPr>
            <w:tcW w:w="160" w:type="dxa"/>
            <w:vAlign w:val="bottom"/>
            <w:shd w:val="clear" w:color="auto" w:fill="C6F4F9"/>
          </w:tcPr>
          <w:p>
            <w:pPr>
              <w:spacing w:after="0"/>
              <w:rPr>
                <w:sz w:val="17"/>
                <w:szCs w:val="17"/>
                <w:color w:val="auto"/>
              </w:rPr>
            </w:pPr>
          </w:p>
        </w:tc>
        <w:tc>
          <w:tcPr>
            <w:tcW w:w="108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rPr>
              <w:t>349.2</w:t>
            </w:r>
          </w:p>
        </w:tc>
        <w:tc>
          <w:tcPr>
            <w:tcW w:w="320" w:type="dxa"/>
            <w:vAlign w:val="bottom"/>
            <w:vMerge w:val="continue"/>
            <w:shd w:val="clear" w:color="auto" w:fill="C6F4F9"/>
          </w:tcPr>
          <w:p>
            <w:pPr>
              <w:spacing w:after="0"/>
              <w:rPr>
                <w:sz w:val="17"/>
                <w:szCs w:val="17"/>
                <w:color w:val="auto"/>
              </w:rPr>
            </w:pPr>
          </w:p>
        </w:tc>
        <w:tc>
          <w:tcPr>
            <w:tcW w:w="240" w:type="dxa"/>
            <w:vAlign w:val="bottom"/>
            <w:shd w:val="clear" w:color="auto" w:fill="C6F4F9"/>
          </w:tcPr>
          <w:p>
            <w:pPr>
              <w:spacing w:after="0"/>
              <w:rPr>
                <w:sz w:val="17"/>
                <w:szCs w:val="17"/>
                <w:color w:val="auto"/>
              </w:rPr>
            </w:pPr>
          </w:p>
        </w:tc>
        <w:tc>
          <w:tcPr>
            <w:tcW w:w="140" w:type="dxa"/>
            <w:vAlign w:val="bottom"/>
            <w:shd w:val="clear" w:color="auto" w:fill="C6F4F9"/>
          </w:tcPr>
          <w:p>
            <w:pPr>
              <w:spacing w:after="0"/>
              <w:rPr>
                <w:sz w:val="17"/>
                <w:szCs w:val="17"/>
                <w:color w:val="auto"/>
              </w:rPr>
            </w:pPr>
          </w:p>
        </w:tc>
        <w:tc>
          <w:tcPr>
            <w:tcW w:w="108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rPr>
              <w:t>375.4</w:t>
            </w:r>
          </w:p>
        </w:tc>
        <w:tc>
          <w:tcPr>
            <w:tcW w:w="320" w:type="dxa"/>
            <w:vAlign w:val="bottom"/>
            <w:vMerge w:val="continue"/>
            <w:shd w:val="clear" w:color="auto" w:fill="C6F4F9"/>
          </w:tcPr>
          <w:p>
            <w:pPr>
              <w:spacing w:after="0"/>
              <w:rPr>
                <w:sz w:val="17"/>
                <w:szCs w:val="17"/>
                <w:color w:val="auto"/>
              </w:rPr>
            </w:pPr>
          </w:p>
        </w:tc>
        <w:tc>
          <w:tcPr>
            <w:tcW w:w="240" w:type="dxa"/>
            <w:vAlign w:val="bottom"/>
            <w:vMerge w:val="continue"/>
            <w:shd w:val="clear" w:color="auto" w:fill="C6F4F9"/>
          </w:tcPr>
          <w:p>
            <w:pPr>
              <w:spacing w:after="0"/>
              <w:rPr>
                <w:sz w:val="17"/>
                <w:szCs w:val="17"/>
                <w:color w:val="auto"/>
              </w:rPr>
            </w:pPr>
          </w:p>
        </w:tc>
        <w:tc>
          <w:tcPr>
            <w:tcW w:w="1340" w:type="dxa"/>
            <w:vAlign w:val="bottom"/>
            <w:gridSpan w:val="2"/>
            <w:shd w:val="clear" w:color="auto" w:fill="C6F4F9"/>
          </w:tcPr>
          <w:p>
            <w:pPr>
              <w:jc w:val="right"/>
              <w:ind w:right="40"/>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0A0A0A"/>
              </w:rPr>
              <w:t>Total property &amp; equipment, net</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675.6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573.6</w:t>
            </w:r>
          </w:p>
        </w:tc>
        <w:tc>
          <w:tcPr>
            <w:tcW w:w="15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6F4F9"/>
          </w:tcPr>
          <w:p>
            <w:pPr>
              <w:spacing w:after="0"/>
              <w:rPr>
                <w:sz w:val="20"/>
                <w:szCs w:val="20"/>
                <w:color w:val="auto"/>
              </w:rPr>
            </w:pPr>
            <w:r>
              <w:rPr>
                <w:rFonts w:ascii="Arial" w:cs="Arial" w:eastAsia="Arial" w:hAnsi="Arial"/>
                <w:sz w:val="18"/>
                <w:szCs w:val="18"/>
                <w:color w:val="0A0A0A"/>
              </w:rPr>
              <w:t>Other</w:t>
            </w:r>
          </w:p>
        </w:tc>
        <w:tc>
          <w:tcPr>
            <w:tcW w:w="960" w:type="dxa"/>
            <w:vAlign w:val="bottom"/>
            <w:shd w:val="clear" w:color="auto" w:fill="C6F4F9"/>
          </w:tcPr>
          <w:p>
            <w:pPr>
              <w:spacing w:after="0"/>
              <w:rPr>
                <w:sz w:val="18"/>
                <w:szCs w:val="18"/>
                <w:color w:val="auto"/>
              </w:rPr>
            </w:pPr>
          </w:p>
        </w:tc>
        <w:tc>
          <w:tcPr>
            <w:tcW w:w="160" w:type="dxa"/>
            <w:vAlign w:val="bottom"/>
            <w:shd w:val="clear" w:color="auto" w:fill="C6F4F9"/>
          </w:tcPr>
          <w:p>
            <w:pPr>
              <w:spacing w:after="0"/>
              <w:rPr>
                <w:sz w:val="18"/>
                <w:szCs w:val="18"/>
                <w:color w:val="auto"/>
              </w:rPr>
            </w:pPr>
          </w:p>
        </w:tc>
        <w:tc>
          <w:tcPr>
            <w:tcW w:w="1400" w:type="dxa"/>
            <w:vAlign w:val="bottom"/>
            <w:gridSpan w:val="2"/>
            <w:shd w:val="clear" w:color="auto" w:fill="C6F4F9"/>
          </w:tcPr>
          <w:p>
            <w:pPr>
              <w:jc w:val="right"/>
              <w:ind w:right="320"/>
              <w:spacing w:after="0"/>
              <w:rPr>
                <w:sz w:val="20"/>
                <w:szCs w:val="20"/>
                <w:color w:val="auto"/>
              </w:rPr>
            </w:pPr>
            <w:r>
              <w:rPr>
                <w:rFonts w:ascii="Arial" w:cs="Arial" w:eastAsia="Arial" w:hAnsi="Arial"/>
                <w:sz w:val="18"/>
                <w:szCs w:val="18"/>
                <w:color w:val="auto"/>
              </w:rPr>
              <w:t>394.8</w:t>
            </w:r>
          </w:p>
        </w:tc>
        <w:tc>
          <w:tcPr>
            <w:tcW w:w="240" w:type="dxa"/>
            <w:vAlign w:val="bottom"/>
            <w:shd w:val="clear" w:color="auto" w:fill="C6F4F9"/>
          </w:tcPr>
          <w:p>
            <w:pPr>
              <w:spacing w:after="0"/>
              <w:rPr>
                <w:sz w:val="18"/>
                <w:szCs w:val="18"/>
                <w:color w:val="auto"/>
              </w:rPr>
            </w:pPr>
          </w:p>
        </w:tc>
        <w:tc>
          <w:tcPr>
            <w:tcW w:w="140" w:type="dxa"/>
            <w:vAlign w:val="bottom"/>
            <w:shd w:val="clear" w:color="auto" w:fill="C6F4F9"/>
          </w:tcPr>
          <w:p>
            <w:pPr>
              <w:spacing w:after="0"/>
              <w:rPr>
                <w:sz w:val="18"/>
                <w:szCs w:val="18"/>
                <w:color w:val="auto"/>
              </w:rPr>
            </w:pPr>
          </w:p>
        </w:tc>
        <w:tc>
          <w:tcPr>
            <w:tcW w:w="1400" w:type="dxa"/>
            <w:vAlign w:val="bottom"/>
            <w:gridSpan w:val="2"/>
            <w:shd w:val="clear" w:color="auto" w:fill="C6F4F9"/>
          </w:tcPr>
          <w:p>
            <w:pPr>
              <w:jc w:val="right"/>
              <w:ind w:right="300"/>
              <w:spacing w:after="0"/>
              <w:rPr>
                <w:sz w:val="20"/>
                <w:szCs w:val="20"/>
                <w:color w:val="auto"/>
              </w:rPr>
            </w:pPr>
            <w:r>
              <w:rPr>
                <w:rFonts w:ascii="Arial" w:cs="Arial" w:eastAsia="Arial" w:hAnsi="Arial"/>
                <w:sz w:val="18"/>
                <w:szCs w:val="18"/>
                <w:color w:val="auto"/>
              </w:rPr>
              <w:t>427.6</w:t>
            </w:r>
          </w:p>
        </w:tc>
        <w:tc>
          <w:tcPr>
            <w:tcW w:w="1580" w:type="dxa"/>
            <w:vAlign w:val="bottom"/>
            <w:gridSpan w:val="3"/>
            <w:shd w:val="clear" w:color="auto" w:fill="C6F4F9"/>
          </w:tcPr>
          <w:p>
            <w:pPr>
              <w:jc w:val="right"/>
              <w:ind w:right="4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line="196" w:lineRule="exact"/>
              <w:rPr>
                <w:sz w:val="20"/>
                <w:szCs w:val="20"/>
                <w:color w:val="auto"/>
              </w:rPr>
            </w:pPr>
            <w:r>
              <w:rPr>
                <w:rFonts w:ascii="Arial" w:cs="Arial" w:eastAsia="Arial" w:hAnsi="Arial"/>
                <w:sz w:val="18"/>
                <w:szCs w:val="18"/>
                <w:b w:val="1"/>
                <w:bCs w:val="1"/>
                <w:color w:val="0A0A0A"/>
              </w:rPr>
              <w:t>Total assets</w:t>
            </w:r>
          </w:p>
        </w:tc>
        <w:tc>
          <w:tcPr>
            <w:tcW w:w="9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1,419.6</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1,376.6</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360" w:type="dxa"/>
            <w:vAlign w:val="bottom"/>
            <w:shd w:val="clear" w:color="auto" w:fill="C6F4F9"/>
          </w:tcPr>
          <w:p>
            <w:pPr>
              <w:spacing w:after="0"/>
              <w:rPr>
                <w:sz w:val="14"/>
                <w:szCs w:val="14"/>
                <w:color w:val="auto"/>
              </w:rPr>
            </w:pPr>
          </w:p>
        </w:tc>
        <w:tc>
          <w:tcPr>
            <w:tcW w:w="960" w:type="dxa"/>
            <w:vAlign w:val="bottom"/>
            <w:shd w:val="clear" w:color="auto" w:fill="C6F4F9"/>
          </w:tcPr>
          <w:p>
            <w:pPr>
              <w:spacing w:after="0"/>
              <w:rPr>
                <w:sz w:val="14"/>
                <w:szCs w:val="14"/>
                <w:color w:val="auto"/>
              </w:rPr>
            </w:pPr>
          </w:p>
        </w:tc>
        <w:tc>
          <w:tcPr>
            <w:tcW w:w="160" w:type="dxa"/>
            <w:vAlign w:val="bottom"/>
            <w:shd w:val="clear" w:color="auto" w:fill="C6F4F9"/>
          </w:tcPr>
          <w:p>
            <w:pPr>
              <w:spacing w:after="0"/>
              <w:rPr>
                <w:sz w:val="14"/>
                <w:szCs w:val="14"/>
                <w:color w:val="auto"/>
              </w:rPr>
            </w:pPr>
          </w:p>
        </w:tc>
        <w:tc>
          <w:tcPr>
            <w:tcW w:w="1080" w:type="dxa"/>
            <w:vAlign w:val="bottom"/>
            <w:shd w:val="clear" w:color="auto" w:fill="C6F4F9"/>
          </w:tcPr>
          <w:p>
            <w:pPr>
              <w:spacing w:after="0"/>
              <w:rPr>
                <w:sz w:val="14"/>
                <w:szCs w:val="14"/>
                <w:color w:val="auto"/>
              </w:rPr>
            </w:pPr>
          </w:p>
        </w:tc>
        <w:tc>
          <w:tcPr>
            <w:tcW w:w="320" w:type="dxa"/>
            <w:vAlign w:val="bottom"/>
            <w:shd w:val="clear" w:color="auto" w:fill="C6F4F9"/>
          </w:tcPr>
          <w:p>
            <w:pPr>
              <w:spacing w:after="0"/>
              <w:rPr>
                <w:sz w:val="14"/>
                <w:szCs w:val="14"/>
                <w:color w:val="auto"/>
              </w:rPr>
            </w:pPr>
          </w:p>
        </w:tc>
        <w:tc>
          <w:tcPr>
            <w:tcW w:w="240" w:type="dxa"/>
            <w:vAlign w:val="bottom"/>
            <w:shd w:val="clear" w:color="auto" w:fill="C6F4F9"/>
          </w:tcPr>
          <w:p>
            <w:pPr>
              <w:spacing w:after="0"/>
              <w:rPr>
                <w:sz w:val="14"/>
                <w:szCs w:val="14"/>
                <w:color w:val="auto"/>
              </w:rPr>
            </w:pPr>
          </w:p>
        </w:tc>
        <w:tc>
          <w:tcPr>
            <w:tcW w:w="140" w:type="dxa"/>
            <w:vAlign w:val="bottom"/>
            <w:shd w:val="clear" w:color="auto" w:fill="C6F4F9"/>
          </w:tcPr>
          <w:p>
            <w:pPr>
              <w:spacing w:after="0"/>
              <w:rPr>
                <w:sz w:val="14"/>
                <w:szCs w:val="14"/>
                <w:color w:val="auto"/>
              </w:rPr>
            </w:pPr>
          </w:p>
        </w:tc>
        <w:tc>
          <w:tcPr>
            <w:tcW w:w="1080" w:type="dxa"/>
            <w:vAlign w:val="bottom"/>
            <w:shd w:val="clear" w:color="auto" w:fill="C6F4F9"/>
          </w:tcPr>
          <w:p>
            <w:pPr>
              <w:spacing w:after="0"/>
              <w:rPr>
                <w:sz w:val="14"/>
                <w:szCs w:val="14"/>
                <w:color w:val="auto"/>
              </w:rPr>
            </w:pPr>
          </w:p>
        </w:tc>
        <w:tc>
          <w:tcPr>
            <w:tcW w:w="320" w:type="dxa"/>
            <w:vAlign w:val="bottom"/>
            <w:shd w:val="clear" w:color="auto" w:fill="C6F4F9"/>
          </w:tcPr>
          <w:p>
            <w:pPr>
              <w:spacing w:after="0"/>
              <w:rPr>
                <w:sz w:val="14"/>
                <w:szCs w:val="14"/>
                <w:color w:val="auto"/>
              </w:rPr>
            </w:pPr>
          </w:p>
        </w:tc>
        <w:tc>
          <w:tcPr>
            <w:tcW w:w="240" w:type="dxa"/>
            <w:vAlign w:val="bottom"/>
            <w:shd w:val="clear" w:color="auto" w:fill="C6F4F9"/>
          </w:tcPr>
          <w:p>
            <w:pPr>
              <w:spacing w:after="0"/>
              <w:rPr>
                <w:sz w:val="14"/>
                <w:szCs w:val="14"/>
                <w:color w:val="auto"/>
              </w:rPr>
            </w:pPr>
          </w:p>
        </w:tc>
        <w:tc>
          <w:tcPr>
            <w:tcW w:w="1240" w:type="dxa"/>
            <w:vAlign w:val="bottom"/>
            <w:shd w:val="clear" w:color="auto" w:fill="C6F4F9"/>
          </w:tcPr>
          <w:p>
            <w:pPr>
              <w:spacing w:after="0"/>
              <w:rPr>
                <w:sz w:val="14"/>
                <w:szCs w:val="14"/>
                <w:color w:val="auto"/>
              </w:rPr>
            </w:pPr>
          </w:p>
        </w:tc>
        <w:tc>
          <w:tcPr>
            <w:tcW w:w="100" w:type="dxa"/>
            <w:vAlign w:val="bottom"/>
            <w:shd w:val="clear" w:color="auto" w:fill="C6F4F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0A0A0A"/>
              </w:rPr>
              <w:t>Air traffic liabilities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110.9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118.6</w:t>
            </w:r>
          </w:p>
        </w:tc>
        <w:tc>
          <w:tcPr>
            <w:tcW w:w="15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Current finance lease obligations</w:t>
            </w:r>
          </w:p>
        </w:tc>
        <w:tc>
          <w:tcPr>
            <w:tcW w:w="960" w:type="dxa"/>
            <w:vAlign w:val="bottom"/>
            <w:shd w:val="clear" w:color="auto" w:fill="C6F4F9"/>
          </w:tcPr>
          <w:p>
            <w:pPr>
              <w:spacing w:after="0"/>
              <w:rPr>
                <w:sz w:val="17"/>
                <w:szCs w:val="17"/>
                <w:color w:val="auto"/>
              </w:rPr>
            </w:pPr>
          </w:p>
        </w:tc>
        <w:tc>
          <w:tcPr>
            <w:tcW w:w="160" w:type="dxa"/>
            <w:vAlign w:val="bottom"/>
            <w:shd w:val="clear" w:color="auto" w:fill="C6F4F9"/>
          </w:tcPr>
          <w:p>
            <w:pPr>
              <w:spacing w:after="0"/>
              <w:rPr>
                <w:sz w:val="17"/>
                <w:szCs w:val="17"/>
                <w:color w:val="auto"/>
              </w:rPr>
            </w:pPr>
          </w:p>
        </w:tc>
        <w:tc>
          <w:tcPr>
            <w:tcW w:w="1400" w:type="dxa"/>
            <w:vAlign w:val="bottom"/>
            <w:gridSpan w:val="2"/>
            <w:shd w:val="clear" w:color="auto" w:fill="C6F4F9"/>
          </w:tcPr>
          <w:p>
            <w:pPr>
              <w:jc w:val="right"/>
              <w:ind w:right="320"/>
              <w:spacing w:after="0" w:line="202" w:lineRule="exact"/>
              <w:rPr>
                <w:sz w:val="20"/>
                <w:szCs w:val="20"/>
                <w:color w:val="auto"/>
              </w:rPr>
            </w:pPr>
            <w:r>
              <w:rPr>
                <w:rFonts w:ascii="Arial" w:cs="Arial" w:eastAsia="Arial" w:hAnsi="Arial"/>
                <w:sz w:val="18"/>
                <w:szCs w:val="18"/>
                <w:color w:val="auto"/>
              </w:rPr>
              <w:t>31.1</w:t>
            </w:r>
          </w:p>
        </w:tc>
        <w:tc>
          <w:tcPr>
            <w:tcW w:w="240" w:type="dxa"/>
            <w:vAlign w:val="bottom"/>
            <w:shd w:val="clear" w:color="auto" w:fill="C6F4F9"/>
          </w:tcPr>
          <w:p>
            <w:pPr>
              <w:spacing w:after="0"/>
              <w:rPr>
                <w:sz w:val="17"/>
                <w:szCs w:val="17"/>
                <w:color w:val="auto"/>
              </w:rPr>
            </w:pPr>
          </w:p>
        </w:tc>
        <w:tc>
          <w:tcPr>
            <w:tcW w:w="140" w:type="dxa"/>
            <w:vAlign w:val="bottom"/>
            <w:shd w:val="clear" w:color="auto" w:fill="C6F4F9"/>
          </w:tcPr>
          <w:p>
            <w:pPr>
              <w:spacing w:after="0"/>
              <w:rPr>
                <w:sz w:val="17"/>
                <w:szCs w:val="17"/>
                <w:color w:val="auto"/>
              </w:rPr>
            </w:pPr>
          </w:p>
        </w:tc>
        <w:tc>
          <w:tcPr>
            <w:tcW w:w="1400" w:type="dxa"/>
            <w:vAlign w:val="bottom"/>
            <w:gridSpan w:val="2"/>
            <w:shd w:val="clear" w:color="auto" w:fill="C6F4F9"/>
          </w:tcPr>
          <w:p>
            <w:pPr>
              <w:jc w:val="right"/>
              <w:ind w:right="300"/>
              <w:spacing w:after="0" w:line="202" w:lineRule="exact"/>
              <w:rPr>
                <w:sz w:val="20"/>
                <w:szCs w:val="20"/>
                <w:color w:val="auto"/>
              </w:rPr>
            </w:pPr>
            <w:r>
              <w:rPr>
                <w:rFonts w:ascii="Arial" w:cs="Arial" w:eastAsia="Arial" w:hAnsi="Arial"/>
                <w:sz w:val="18"/>
                <w:szCs w:val="18"/>
                <w:color w:val="auto"/>
              </w:rPr>
              <w:t>11.7</w:t>
            </w:r>
          </w:p>
        </w:tc>
        <w:tc>
          <w:tcPr>
            <w:tcW w:w="1580" w:type="dxa"/>
            <w:vAlign w:val="bottom"/>
            <w:gridSpan w:val="3"/>
            <w:shd w:val="clear" w:color="auto" w:fill="C6F4F9"/>
          </w:tcPr>
          <w:p>
            <w:pPr>
              <w:jc w:val="right"/>
              <w:ind w:right="100"/>
              <w:spacing w:after="0" w:line="202" w:lineRule="exact"/>
              <w:rPr>
                <w:sz w:val="20"/>
                <w:szCs w:val="20"/>
                <w:color w:val="auto"/>
              </w:rPr>
            </w:pPr>
            <w:r>
              <w:rPr>
                <w:rFonts w:ascii="Arial" w:cs="Arial" w:eastAsia="Arial" w:hAnsi="Arial"/>
                <w:sz w:val="18"/>
                <w:szCs w:val="18"/>
                <w:color w:val="auto"/>
              </w:rPr>
              <w:t>165.8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0A0A0A"/>
              </w:rPr>
              <w:t>Current operating lease obligations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17.2</w:t>
            </w:r>
          </w:p>
        </w:tc>
        <w:tc>
          <w:tcPr>
            <w:tcW w:w="15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Current maturities of long-term debt</w:t>
            </w:r>
          </w:p>
        </w:tc>
        <w:tc>
          <w:tcPr>
            <w:tcW w:w="960" w:type="dxa"/>
            <w:vAlign w:val="bottom"/>
            <w:shd w:val="clear" w:color="auto" w:fill="C6F4F9"/>
          </w:tcPr>
          <w:p>
            <w:pPr>
              <w:spacing w:after="0"/>
              <w:rPr>
                <w:sz w:val="17"/>
                <w:szCs w:val="17"/>
                <w:color w:val="auto"/>
              </w:rPr>
            </w:pPr>
          </w:p>
        </w:tc>
        <w:tc>
          <w:tcPr>
            <w:tcW w:w="160" w:type="dxa"/>
            <w:vAlign w:val="bottom"/>
            <w:shd w:val="clear" w:color="auto" w:fill="C6F4F9"/>
          </w:tcPr>
          <w:p>
            <w:pPr>
              <w:spacing w:after="0"/>
              <w:rPr>
                <w:sz w:val="17"/>
                <w:szCs w:val="17"/>
                <w:color w:val="auto"/>
              </w:rPr>
            </w:pPr>
          </w:p>
        </w:tc>
        <w:tc>
          <w:tcPr>
            <w:tcW w:w="1400" w:type="dxa"/>
            <w:vAlign w:val="bottom"/>
            <w:gridSpan w:val="2"/>
            <w:shd w:val="clear" w:color="auto" w:fill="C6F4F9"/>
          </w:tcPr>
          <w:p>
            <w:pPr>
              <w:jc w:val="right"/>
              <w:ind w:right="320"/>
              <w:spacing w:after="0" w:line="202" w:lineRule="exact"/>
              <w:rPr>
                <w:sz w:val="20"/>
                <w:szCs w:val="20"/>
                <w:color w:val="auto"/>
              </w:rPr>
            </w:pPr>
            <w:r>
              <w:rPr>
                <w:rFonts w:ascii="Arial" w:cs="Arial" w:eastAsia="Arial" w:hAnsi="Arial"/>
                <w:sz w:val="18"/>
                <w:szCs w:val="18"/>
                <w:color w:val="auto"/>
              </w:rPr>
              <w:t>34.7</w:t>
            </w:r>
          </w:p>
        </w:tc>
        <w:tc>
          <w:tcPr>
            <w:tcW w:w="240" w:type="dxa"/>
            <w:vAlign w:val="bottom"/>
            <w:shd w:val="clear" w:color="auto" w:fill="C6F4F9"/>
          </w:tcPr>
          <w:p>
            <w:pPr>
              <w:spacing w:after="0"/>
              <w:rPr>
                <w:sz w:val="17"/>
                <w:szCs w:val="17"/>
                <w:color w:val="auto"/>
              </w:rPr>
            </w:pPr>
          </w:p>
        </w:tc>
        <w:tc>
          <w:tcPr>
            <w:tcW w:w="140" w:type="dxa"/>
            <w:vAlign w:val="bottom"/>
            <w:shd w:val="clear" w:color="auto" w:fill="C6F4F9"/>
          </w:tcPr>
          <w:p>
            <w:pPr>
              <w:spacing w:after="0"/>
              <w:rPr>
                <w:sz w:val="17"/>
                <w:szCs w:val="17"/>
                <w:color w:val="auto"/>
              </w:rPr>
            </w:pPr>
          </w:p>
        </w:tc>
        <w:tc>
          <w:tcPr>
            <w:tcW w:w="1400" w:type="dxa"/>
            <w:vAlign w:val="bottom"/>
            <w:gridSpan w:val="2"/>
            <w:shd w:val="clear" w:color="auto" w:fill="C6F4F9"/>
          </w:tcPr>
          <w:p>
            <w:pPr>
              <w:jc w:val="right"/>
              <w:ind w:right="300"/>
              <w:spacing w:after="0" w:line="202" w:lineRule="exact"/>
              <w:rPr>
                <w:sz w:val="20"/>
                <w:szCs w:val="20"/>
                <w:color w:val="auto"/>
              </w:rPr>
            </w:pPr>
            <w:r>
              <w:rPr>
                <w:rFonts w:ascii="Arial" w:cs="Arial" w:eastAsia="Arial" w:hAnsi="Arial"/>
                <w:sz w:val="18"/>
                <w:szCs w:val="18"/>
                <w:color w:val="auto"/>
              </w:rPr>
              <w:t>29.4</w:t>
            </w:r>
          </w:p>
        </w:tc>
        <w:tc>
          <w:tcPr>
            <w:tcW w:w="1580" w:type="dxa"/>
            <w:vAlign w:val="bottom"/>
            <w:gridSpan w:val="3"/>
            <w:shd w:val="clear" w:color="auto" w:fill="C6F4F9"/>
          </w:tcPr>
          <w:p>
            <w:pPr>
              <w:jc w:val="right"/>
              <w:ind w:right="100"/>
              <w:spacing w:after="0" w:line="202" w:lineRule="exact"/>
              <w:rPr>
                <w:sz w:val="20"/>
                <w:szCs w:val="20"/>
                <w:color w:val="auto"/>
              </w:rPr>
            </w:pPr>
            <w:r>
              <w:rPr>
                <w:rFonts w:ascii="Arial" w:cs="Arial" w:eastAsia="Arial" w:hAnsi="Arial"/>
                <w:sz w:val="18"/>
                <w:szCs w:val="18"/>
                <w:color w:val="auto"/>
              </w:rPr>
              <w:t>18.0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0A0A0A"/>
              </w:rPr>
              <w:t>Other current liabilities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114.6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104.8</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60" w:type="dxa"/>
            <w:vAlign w:val="bottom"/>
            <w:tcBorders>
              <w:top w:val="single" w:sz="8" w:color="C6F4F9"/>
            </w:tcBorders>
            <w:shd w:val="clear" w:color="auto" w:fill="C6F4F9"/>
          </w:tcPr>
          <w:p>
            <w:pPr>
              <w:spacing w:after="0" w:line="196" w:lineRule="exact"/>
              <w:rPr>
                <w:sz w:val="20"/>
                <w:szCs w:val="20"/>
                <w:color w:val="auto"/>
              </w:rPr>
            </w:pPr>
            <w:r>
              <w:rPr>
                <w:rFonts w:ascii="Arial" w:cs="Arial" w:eastAsia="Arial" w:hAnsi="Arial"/>
                <w:sz w:val="18"/>
                <w:szCs w:val="18"/>
                <w:color w:val="0A0A0A"/>
              </w:rPr>
              <w:t>Total current liabilities</w:t>
            </w:r>
          </w:p>
        </w:tc>
        <w:tc>
          <w:tcPr>
            <w:tcW w:w="960" w:type="dxa"/>
            <w:vAlign w:val="bottom"/>
            <w:tcBorders>
              <w:top w:val="single" w:sz="8" w:color="C6F4F9"/>
            </w:tcBorders>
            <w:shd w:val="clear" w:color="auto" w:fill="C6F4F9"/>
          </w:tcPr>
          <w:p>
            <w:pPr>
              <w:spacing w:after="0"/>
              <w:rPr>
                <w:sz w:val="17"/>
                <w:szCs w:val="17"/>
                <w:color w:val="auto"/>
              </w:rPr>
            </w:pPr>
          </w:p>
        </w:tc>
        <w:tc>
          <w:tcPr>
            <w:tcW w:w="160" w:type="dxa"/>
            <w:vAlign w:val="bottom"/>
            <w:tcBorders>
              <w:top w:val="single" w:sz="8" w:color="auto"/>
            </w:tcBorders>
            <w:shd w:val="clear" w:color="auto" w:fill="C6F4F9"/>
          </w:tcPr>
          <w:p>
            <w:pPr>
              <w:spacing w:after="0"/>
              <w:rPr>
                <w:sz w:val="17"/>
                <w:szCs w:val="17"/>
                <w:color w:val="auto"/>
              </w:rPr>
            </w:pPr>
          </w:p>
        </w:tc>
        <w:tc>
          <w:tcPr>
            <w:tcW w:w="1080" w:type="dxa"/>
            <w:vAlign w:val="bottom"/>
            <w:tcBorders>
              <w:top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auto"/>
              </w:rPr>
              <w:t>301.5</w:t>
            </w:r>
          </w:p>
        </w:tc>
        <w:tc>
          <w:tcPr>
            <w:tcW w:w="320" w:type="dxa"/>
            <w:vAlign w:val="bottom"/>
            <w:tcBorders>
              <w:top w:val="single" w:sz="8" w:color="C6F4F9"/>
            </w:tcBorders>
            <w:shd w:val="clear" w:color="auto" w:fill="C6F4F9"/>
          </w:tcPr>
          <w:p>
            <w:pPr>
              <w:spacing w:after="0"/>
              <w:rPr>
                <w:sz w:val="17"/>
                <w:szCs w:val="17"/>
                <w:color w:val="auto"/>
              </w:rPr>
            </w:pPr>
          </w:p>
        </w:tc>
        <w:tc>
          <w:tcPr>
            <w:tcW w:w="240" w:type="dxa"/>
            <w:vAlign w:val="bottom"/>
            <w:tcBorders>
              <w:top w:val="single" w:sz="8" w:color="C6F4F9"/>
            </w:tcBorders>
            <w:shd w:val="clear" w:color="auto" w:fill="C6F4F9"/>
          </w:tcPr>
          <w:p>
            <w:pPr>
              <w:spacing w:after="0"/>
              <w:rPr>
                <w:sz w:val="17"/>
                <w:szCs w:val="17"/>
                <w:color w:val="auto"/>
              </w:rPr>
            </w:pPr>
          </w:p>
        </w:tc>
        <w:tc>
          <w:tcPr>
            <w:tcW w:w="140" w:type="dxa"/>
            <w:vAlign w:val="bottom"/>
            <w:tcBorders>
              <w:top w:val="single" w:sz="8" w:color="auto"/>
            </w:tcBorders>
            <w:shd w:val="clear" w:color="auto" w:fill="C6F4F9"/>
          </w:tcPr>
          <w:p>
            <w:pPr>
              <w:spacing w:after="0"/>
              <w:rPr>
                <w:sz w:val="17"/>
                <w:szCs w:val="17"/>
                <w:color w:val="auto"/>
              </w:rPr>
            </w:pPr>
          </w:p>
        </w:tc>
        <w:tc>
          <w:tcPr>
            <w:tcW w:w="1080" w:type="dxa"/>
            <w:vAlign w:val="bottom"/>
            <w:tcBorders>
              <w:top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auto"/>
              </w:rPr>
              <w:t>281.7</w:t>
            </w:r>
          </w:p>
        </w:tc>
        <w:tc>
          <w:tcPr>
            <w:tcW w:w="320" w:type="dxa"/>
            <w:vAlign w:val="bottom"/>
            <w:tcBorders>
              <w:top w:val="single" w:sz="8" w:color="C6F4F9"/>
            </w:tcBorders>
            <w:shd w:val="clear" w:color="auto" w:fill="C6F4F9"/>
          </w:tcPr>
          <w:p>
            <w:pPr>
              <w:spacing w:after="0"/>
              <w:rPr>
                <w:sz w:val="17"/>
                <w:szCs w:val="17"/>
                <w:color w:val="auto"/>
              </w:rPr>
            </w:pPr>
          </w:p>
        </w:tc>
        <w:tc>
          <w:tcPr>
            <w:tcW w:w="240" w:type="dxa"/>
            <w:vAlign w:val="bottom"/>
            <w:tcBorders>
              <w:top w:val="single" w:sz="8" w:color="C6F4F9"/>
            </w:tcBorders>
            <w:shd w:val="clear" w:color="auto" w:fill="C6F4F9"/>
          </w:tcPr>
          <w:p>
            <w:pPr>
              <w:spacing w:after="0"/>
              <w:rPr>
                <w:sz w:val="17"/>
                <w:szCs w:val="17"/>
                <w:color w:val="auto"/>
              </w:rPr>
            </w:pPr>
          </w:p>
        </w:tc>
        <w:tc>
          <w:tcPr>
            <w:tcW w:w="1240" w:type="dxa"/>
            <w:vAlign w:val="bottom"/>
            <w:tcBorders>
              <w:top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auto"/>
              </w:rPr>
              <w:t>7.0</w:t>
            </w:r>
          </w:p>
        </w:tc>
        <w:tc>
          <w:tcPr>
            <w:tcW w:w="100" w:type="dxa"/>
            <w:vAlign w:val="bottom"/>
            <w:tcBorders>
              <w:top w:val="single" w:sz="8" w:color="C6F4F9"/>
            </w:tcBorders>
            <w:shd w:val="clear" w:color="auto" w:fill="C6F4F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0A0A0A"/>
              </w:rPr>
              <w:t>Finance lease obligations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239.0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180.5</w:t>
            </w:r>
          </w:p>
        </w:tc>
        <w:tc>
          <w:tcPr>
            <w:tcW w:w="15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Operating lease obligations</w:t>
            </w:r>
          </w:p>
        </w:tc>
        <w:tc>
          <w:tcPr>
            <w:tcW w:w="960" w:type="dxa"/>
            <w:vAlign w:val="bottom"/>
            <w:shd w:val="clear" w:color="auto" w:fill="C6F4F9"/>
          </w:tcPr>
          <w:p>
            <w:pPr>
              <w:spacing w:after="0"/>
              <w:rPr>
                <w:sz w:val="17"/>
                <w:szCs w:val="17"/>
                <w:color w:val="auto"/>
              </w:rPr>
            </w:pPr>
          </w:p>
        </w:tc>
        <w:tc>
          <w:tcPr>
            <w:tcW w:w="160" w:type="dxa"/>
            <w:vAlign w:val="bottom"/>
            <w:shd w:val="clear" w:color="auto" w:fill="C6F4F9"/>
          </w:tcPr>
          <w:p>
            <w:pPr>
              <w:spacing w:after="0"/>
              <w:rPr>
                <w:sz w:val="17"/>
                <w:szCs w:val="17"/>
                <w:color w:val="auto"/>
              </w:rPr>
            </w:pPr>
          </w:p>
        </w:tc>
        <w:tc>
          <w:tcPr>
            <w:tcW w:w="1400" w:type="dxa"/>
            <w:vAlign w:val="bottom"/>
            <w:gridSpan w:val="2"/>
            <w:shd w:val="clear" w:color="auto" w:fill="C6F4F9"/>
          </w:tcPr>
          <w:p>
            <w:pPr>
              <w:jc w:val="right"/>
              <w:ind w:right="320"/>
              <w:spacing w:after="0" w:line="202" w:lineRule="exact"/>
              <w:rPr>
                <w:sz w:val="20"/>
                <w:szCs w:val="20"/>
                <w:color w:val="auto"/>
              </w:rPr>
            </w:pPr>
            <w:r>
              <w:rPr>
                <w:rFonts w:ascii="Arial" w:cs="Arial" w:eastAsia="Arial" w:hAnsi="Arial"/>
                <w:sz w:val="18"/>
                <w:szCs w:val="18"/>
                <w:color w:val="auto"/>
              </w:rPr>
              <w:t>23.9</w:t>
            </w:r>
          </w:p>
        </w:tc>
        <w:tc>
          <w:tcPr>
            <w:tcW w:w="240" w:type="dxa"/>
            <w:vAlign w:val="bottom"/>
            <w:shd w:val="clear" w:color="auto" w:fill="C6F4F9"/>
          </w:tcPr>
          <w:p>
            <w:pPr>
              <w:spacing w:after="0"/>
              <w:rPr>
                <w:sz w:val="17"/>
                <w:szCs w:val="17"/>
                <w:color w:val="auto"/>
              </w:rPr>
            </w:pPr>
          </w:p>
        </w:tc>
        <w:tc>
          <w:tcPr>
            <w:tcW w:w="140" w:type="dxa"/>
            <w:vAlign w:val="bottom"/>
            <w:shd w:val="clear" w:color="auto" w:fill="C6F4F9"/>
          </w:tcPr>
          <w:p>
            <w:pPr>
              <w:spacing w:after="0"/>
              <w:rPr>
                <w:sz w:val="17"/>
                <w:szCs w:val="17"/>
                <w:color w:val="auto"/>
              </w:rPr>
            </w:pPr>
          </w:p>
        </w:tc>
        <w:tc>
          <w:tcPr>
            <w:tcW w:w="1400" w:type="dxa"/>
            <w:vAlign w:val="bottom"/>
            <w:gridSpan w:val="2"/>
            <w:shd w:val="clear" w:color="auto" w:fill="C6F4F9"/>
          </w:tcPr>
          <w:p>
            <w:pPr>
              <w:jc w:val="right"/>
              <w:ind w:right="300"/>
              <w:spacing w:after="0" w:line="202" w:lineRule="exact"/>
              <w:rPr>
                <w:sz w:val="20"/>
                <w:szCs w:val="20"/>
                <w:color w:val="auto"/>
              </w:rPr>
            </w:pPr>
            <w:r>
              <w:rPr>
                <w:rFonts w:ascii="Arial" w:cs="Arial" w:eastAsia="Arial" w:hAnsi="Arial"/>
                <w:sz w:val="18"/>
                <w:szCs w:val="18"/>
                <w:color w:val="auto"/>
              </w:rPr>
              <w:t>58.8</w:t>
            </w:r>
          </w:p>
        </w:tc>
        <w:tc>
          <w:tcPr>
            <w:tcW w:w="1580" w:type="dxa"/>
            <w:vAlign w:val="bottom"/>
            <w:gridSpan w:val="3"/>
            <w:shd w:val="clear" w:color="auto" w:fill="C6F4F9"/>
          </w:tcPr>
          <w:p>
            <w:pPr>
              <w:jc w:val="right"/>
              <w:ind w:right="40"/>
              <w:spacing w:after="0" w:line="202" w:lineRule="exact"/>
              <w:rPr>
                <w:sz w:val="20"/>
                <w:szCs w:val="20"/>
                <w:color w:val="auto"/>
              </w:rPr>
            </w:pPr>
            <w:r>
              <w:rPr>
                <w:rFonts w:ascii="Arial" w:cs="Arial" w:eastAsia="Arial" w:hAnsi="Arial"/>
                <w:sz w:val="18"/>
                <w:szCs w:val="18"/>
                <w:color w:val="auto"/>
              </w:rPr>
              <w:t>(59.4)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0A0A0A"/>
              </w:rPr>
              <w:t>Long-term debt</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242.5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248.0</w:t>
            </w:r>
          </w:p>
        </w:tc>
        <w:tc>
          <w:tcPr>
            <w:tcW w:w="15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Income tax receivable agreement</w:t>
            </w:r>
          </w:p>
        </w:tc>
        <w:tc>
          <w:tcPr>
            <w:tcW w:w="960" w:type="dxa"/>
            <w:vAlign w:val="bottom"/>
            <w:shd w:val="clear" w:color="auto" w:fill="C6F4F9"/>
          </w:tcPr>
          <w:p>
            <w:pPr>
              <w:spacing w:after="0"/>
              <w:rPr>
                <w:sz w:val="17"/>
                <w:szCs w:val="17"/>
                <w:color w:val="auto"/>
              </w:rPr>
            </w:pPr>
          </w:p>
        </w:tc>
        <w:tc>
          <w:tcPr>
            <w:tcW w:w="160" w:type="dxa"/>
            <w:vAlign w:val="bottom"/>
            <w:shd w:val="clear" w:color="auto" w:fill="C6F4F9"/>
          </w:tcPr>
          <w:p>
            <w:pPr>
              <w:spacing w:after="0"/>
              <w:rPr>
                <w:sz w:val="17"/>
                <w:szCs w:val="17"/>
                <w:color w:val="auto"/>
              </w:rPr>
            </w:pPr>
          </w:p>
        </w:tc>
        <w:tc>
          <w:tcPr>
            <w:tcW w:w="1400" w:type="dxa"/>
            <w:vAlign w:val="bottom"/>
            <w:gridSpan w:val="2"/>
            <w:shd w:val="clear" w:color="auto" w:fill="C6F4F9"/>
          </w:tcPr>
          <w:p>
            <w:pPr>
              <w:jc w:val="right"/>
              <w:ind w:right="320"/>
              <w:spacing w:after="0" w:line="202" w:lineRule="exact"/>
              <w:rPr>
                <w:sz w:val="20"/>
                <w:szCs w:val="20"/>
                <w:color w:val="auto"/>
              </w:rPr>
            </w:pPr>
            <w:r>
              <w:rPr>
                <w:rFonts w:ascii="Arial" w:cs="Arial" w:eastAsia="Arial" w:hAnsi="Arial"/>
                <w:sz w:val="18"/>
                <w:szCs w:val="18"/>
                <w:color w:val="auto"/>
              </w:rPr>
              <w:t>105.6</w:t>
            </w:r>
          </w:p>
        </w:tc>
        <w:tc>
          <w:tcPr>
            <w:tcW w:w="240" w:type="dxa"/>
            <w:vAlign w:val="bottom"/>
            <w:shd w:val="clear" w:color="auto" w:fill="C6F4F9"/>
          </w:tcPr>
          <w:p>
            <w:pPr>
              <w:spacing w:after="0"/>
              <w:rPr>
                <w:sz w:val="17"/>
                <w:szCs w:val="17"/>
                <w:color w:val="auto"/>
              </w:rPr>
            </w:pPr>
          </w:p>
        </w:tc>
        <w:tc>
          <w:tcPr>
            <w:tcW w:w="140" w:type="dxa"/>
            <w:vAlign w:val="bottom"/>
            <w:shd w:val="clear" w:color="auto" w:fill="C6F4F9"/>
          </w:tcPr>
          <w:p>
            <w:pPr>
              <w:spacing w:after="0"/>
              <w:rPr>
                <w:sz w:val="17"/>
                <w:szCs w:val="17"/>
                <w:color w:val="auto"/>
              </w:rPr>
            </w:pPr>
          </w:p>
        </w:tc>
        <w:tc>
          <w:tcPr>
            <w:tcW w:w="1400" w:type="dxa"/>
            <w:vAlign w:val="bottom"/>
            <w:gridSpan w:val="2"/>
            <w:shd w:val="clear" w:color="auto" w:fill="C6F4F9"/>
          </w:tcPr>
          <w:p>
            <w:pPr>
              <w:jc w:val="right"/>
              <w:ind w:right="300"/>
              <w:spacing w:after="0" w:line="202" w:lineRule="exact"/>
              <w:rPr>
                <w:sz w:val="20"/>
                <w:szCs w:val="20"/>
                <w:color w:val="auto"/>
              </w:rPr>
            </w:pPr>
            <w:r>
              <w:rPr>
                <w:rFonts w:ascii="Arial" w:cs="Arial" w:eastAsia="Arial" w:hAnsi="Arial"/>
                <w:sz w:val="18"/>
                <w:szCs w:val="18"/>
                <w:color w:val="auto"/>
              </w:rPr>
              <w:t>98.8</w:t>
            </w:r>
          </w:p>
        </w:tc>
        <w:tc>
          <w:tcPr>
            <w:tcW w:w="1580" w:type="dxa"/>
            <w:vAlign w:val="bottom"/>
            <w:gridSpan w:val="3"/>
            <w:shd w:val="clear" w:color="auto" w:fill="C6F4F9"/>
          </w:tcPr>
          <w:p>
            <w:pPr>
              <w:jc w:val="right"/>
              <w:ind w:right="100"/>
              <w:spacing w:after="0" w:line="202"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0A0A0A"/>
              </w:rPr>
              <w:t>Other</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22.0</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60" w:type="dxa"/>
            <w:vAlign w:val="bottom"/>
            <w:tcBorders>
              <w:top w:val="single" w:sz="8" w:color="C6F4F9"/>
            </w:tcBorders>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Total liabilities</w:t>
            </w:r>
          </w:p>
        </w:tc>
        <w:tc>
          <w:tcPr>
            <w:tcW w:w="960" w:type="dxa"/>
            <w:vAlign w:val="bottom"/>
            <w:tcBorders>
              <w:top w:val="single" w:sz="8" w:color="C6F4F9"/>
            </w:tcBorders>
            <w:shd w:val="clear" w:color="auto" w:fill="C6F4F9"/>
          </w:tcPr>
          <w:p>
            <w:pPr>
              <w:spacing w:after="0"/>
              <w:rPr>
                <w:sz w:val="17"/>
                <w:szCs w:val="17"/>
                <w:color w:val="auto"/>
              </w:rPr>
            </w:pPr>
          </w:p>
        </w:tc>
        <w:tc>
          <w:tcPr>
            <w:tcW w:w="160" w:type="dxa"/>
            <w:vAlign w:val="bottom"/>
            <w:tcBorders>
              <w:top w:val="single" w:sz="8" w:color="auto"/>
            </w:tcBorders>
            <w:shd w:val="clear" w:color="auto" w:fill="C6F4F9"/>
          </w:tcPr>
          <w:p>
            <w:pPr>
              <w:spacing w:after="0"/>
              <w:rPr>
                <w:sz w:val="17"/>
                <w:szCs w:val="17"/>
                <w:color w:val="auto"/>
              </w:rPr>
            </w:pPr>
          </w:p>
        </w:tc>
        <w:tc>
          <w:tcPr>
            <w:tcW w:w="1080" w:type="dxa"/>
            <w:vAlign w:val="bottom"/>
            <w:tcBorders>
              <w:top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auto"/>
              </w:rPr>
              <w:t>926.3</w:t>
            </w:r>
          </w:p>
        </w:tc>
        <w:tc>
          <w:tcPr>
            <w:tcW w:w="320" w:type="dxa"/>
            <w:vAlign w:val="bottom"/>
            <w:tcBorders>
              <w:top w:val="single" w:sz="8" w:color="C6F4F9"/>
            </w:tcBorders>
            <w:shd w:val="clear" w:color="auto" w:fill="C6F4F9"/>
          </w:tcPr>
          <w:p>
            <w:pPr>
              <w:spacing w:after="0"/>
              <w:rPr>
                <w:sz w:val="17"/>
                <w:szCs w:val="17"/>
                <w:color w:val="auto"/>
              </w:rPr>
            </w:pPr>
          </w:p>
        </w:tc>
        <w:tc>
          <w:tcPr>
            <w:tcW w:w="240" w:type="dxa"/>
            <w:vAlign w:val="bottom"/>
            <w:tcBorders>
              <w:top w:val="single" w:sz="8" w:color="C6F4F9"/>
            </w:tcBorders>
            <w:shd w:val="clear" w:color="auto" w:fill="C6F4F9"/>
          </w:tcPr>
          <w:p>
            <w:pPr>
              <w:spacing w:after="0"/>
              <w:rPr>
                <w:sz w:val="17"/>
                <w:szCs w:val="17"/>
                <w:color w:val="auto"/>
              </w:rPr>
            </w:pPr>
          </w:p>
        </w:tc>
        <w:tc>
          <w:tcPr>
            <w:tcW w:w="140" w:type="dxa"/>
            <w:vAlign w:val="bottom"/>
            <w:tcBorders>
              <w:top w:val="single" w:sz="8" w:color="auto"/>
            </w:tcBorders>
            <w:shd w:val="clear" w:color="auto" w:fill="C6F4F9"/>
          </w:tcPr>
          <w:p>
            <w:pPr>
              <w:spacing w:after="0"/>
              <w:rPr>
                <w:sz w:val="17"/>
                <w:szCs w:val="17"/>
                <w:color w:val="auto"/>
              </w:rPr>
            </w:pPr>
          </w:p>
        </w:tc>
        <w:tc>
          <w:tcPr>
            <w:tcW w:w="1080" w:type="dxa"/>
            <w:vAlign w:val="bottom"/>
            <w:tcBorders>
              <w:top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auto"/>
              </w:rPr>
              <w:t>889.8</w:t>
            </w:r>
          </w:p>
        </w:tc>
        <w:tc>
          <w:tcPr>
            <w:tcW w:w="320" w:type="dxa"/>
            <w:vAlign w:val="bottom"/>
            <w:tcBorders>
              <w:top w:val="single" w:sz="8" w:color="C6F4F9"/>
            </w:tcBorders>
            <w:shd w:val="clear" w:color="auto" w:fill="C6F4F9"/>
          </w:tcPr>
          <w:p>
            <w:pPr>
              <w:spacing w:after="0"/>
              <w:rPr>
                <w:sz w:val="17"/>
                <w:szCs w:val="17"/>
                <w:color w:val="auto"/>
              </w:rPr>
            </w:pPr>
          </w:p>
        </w:tc>
        <w:tc>
          <w:tcPr>
            <w:tcW w:w="240" w:type="dxa"/>
            <w:vAlign w:val="bottom"/>
            <w:tcBorders>
              <w:top w:val="single" w:sz="8" w:color="C6F4F9"/>
            </w:tcBorders>
            <w:shd w:val="clear" w:color="auto" w:fill="C6F4F9"/>
          </w:tcPr>
          <w:p>
            <w:pPr>
              <w:spacing w:after="0"/>
              <w:rPr>
                <w:sz w:val="17"/>
                <w:szCs w:val="17"/>
                <w:color w:val="auto"/>
              </w:rPr>
            </w:pPr>
          </w:p>
        </w:tc>
        <w:tc>
          <w:tcPr>
            <w:tcW w:w="1240" w:type="dxa"/>
            <w:vAlign w:val="bottom"/>
            <w:tcBorders>
              <w:top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auto"/>
              </w:rPr>
              <w:t>4.1</w:t>
            </w:r>
          </w:p>
        </w:tc>
        <w:tc>
          <w:tcPr>
            <w:tcW w:w="100" w:type="dxa"/>
            <w:vAlign w:val="bottom"/>
            <w:tcBorders>
              <w:top w:val="single" w:sz="8" w:color="C6F4F9"/>
            </w:tcBorders>
            <w:shd w:val="clear" w:color="auto" w:fill="C6F4F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6F4F9"/>
          </w:tcPr>
          <w:p>
            <w:pPr>
              <w:spacing w:after="0" w:line="202" w:lineRule="exact"/>
              <w:rPr>
                <w:sz w:val="20"/>
                <w:szCs w:val="20"/>
                <w:color w:val="auto"/>
              </w:rPr>
            </w:pPr>
            <w:r>
              <w:rPr>
                <w:rFonts w:ascii="Arial" w:cs="Arial" w:eastAsia="Arial" w:hAnsi="Arial"/>
                <w:sz w:val="18"/>
                <w:szCs w:val="18"/>
                <w:b w:val="1"/>
                <w:bCs w:val="1"/>
                <w:color w:val="0A0A0A"/>
              </w:rPr>
              <w:t>Total stockholders equity</w:t>
            </w:r>
          </w:p>
        </w:tc>
        <w:tc>
          <w:tcPr>
            <w:tcW w:w="1120" w:type="dxa"/>
            <w:vAlign w:val="bottom"/>
            <w:gridSpan w:val="2"/>
            <w:shd w:val="clear" w:color="auto" w:fill="C6F4F9"/>
          </w:tcPr>
          <w:p>
            <w:pPr>
              <w:ind w:left="9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6F4F9"/>
          </w:tcPr>
          <w:p>
            <w:pPr>
              <w:jc w:val="right"/>
              <w:ind w:right="320"/>
              <w:spacing w:after="0" w:line="202" w:lineRule="exact"/>
              <w:rPr>
                <w:sz w:val="20"/>
                <w:szCs w:val="20"/>
                <w:color w:val="auto"/>
              </w:rPr>
            </w:pPr>
            <w:r>
              <w:rPr>
                <w:rFonts w:ascii="Arial" w:cs="Arial" w:eastAsia="Arial" w:hAnsi="Arial"/>
                <w:sz w:val="18"/>
                <w:szCs w:val="18"/>
                <w:color w:val="auto"/>
              </w:rPr>
              <w:t>493.3</w:t>
            </w:r>
          </w:p>
        </w:tc>
        <w:tc>
          <w:tcPr>
            <w:tcW w:w="380" w:type="dxa"/>
            <w:vAlign w:val="bottom"/>
            <w:gridSpan w:val="2"/>
            <w:shd w:val="clear" w:color="auto" w:fill="C6F4F9"/>
          </w:tcPr>
          <w:p>
            <w:pPr>
              <w:ind w:left="24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6F4F9"/>
          </w:tcPr>
          <w:p>
            <w:pPr>
              <w:jc w:val="right"/>
              <w:ind w:right="300"/>
              <w:spacing w:after="0" w:line="202" w:lineRule="exact"/>
              <w:rPr>
                <w:sz w:val="20"/>
                <w:szCs w:val="20"/>
                <w:color w:val="auto"/>
              </w:rPr>
            </w:pPr>
            <w:r>
              <w:rPr>
                <w:rFonts w:ascii="Arial" w:cs="Arial" w:eastAsia="Arial" w:hAnsi="Arial"/>
                <w:sz w:val="18"/>
                <w:szCs w:val="18"/>
                <w:color w:val="auto"/>
              </w:rPr>
              <w:t>486.8</w:t>
            </w:r>
          </w:p>
        </w:tc>
        <w:tc>
          <w:tcPr>
            <w:tcW w:w="1580" w:type="dxa"/>
            <w:vAlign w:val="bottom"/>
            <w:gridSpan w:val="3"/>
            <w:shd w:val="clear" w:color="auto" w:fill="C6F4F9"/>
          </w:tcPr>
          <w:p>
            <w:pPr>
              <w:jc w:val="right"/>
              <w:ind w:right="100"/>
              <w:spacing w:after="0" w:line="202"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5360" w:type="dxa"/>
            <w:vAlign w:val="bottom"/>
          </w:tcPr>
          <w:p>
            <w:pPr>
              <w:spacing w:after="0"/>
              <w:rPr>
                <w:sz w:val="20"/>
                <w:szCs w:val="20"/>
                <w:color w:val="auto"/>
              </w:rPr>
            </w:pPr>
            <w:r>
              <w:rPr>
                <w:rFonts w:ascii="Arial" w:cs="Arial" w:eastAsia="Arial" w:hAnsi="Arial"/>
                <w:sz w:val="18"/>
                <w:szCs w:val="18"/>
                <w:b w:val="1"/>
                <w:bCs w:val="1"/>
                <w:color w:val="auto"/>
              </w:rPr>
              <w:t>SUMMARY CASH FLOW</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b w:val="1"/>
                <w:bCs w:val="1"/>
                <w:color w:val="auto"/>
              </w:rPr>
              <w:t>(Dollars in millions)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(Unaudited - amounts may not recalculate due to rounding)</w:t>
            </w:r>
          </w:p>
        </w:tc>
        <w:tc>
          <w:tcPr>
            <w:tcW w:w="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5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gridSpan w:val="6"/>
          </w:tcPr>
          <w:p>
            <w:pPr>
              <w:jc w:val="right"/>
              <w:ind w:right="440"/>
              <w:spacing w:after="0" w:line="177" w:lineRule="exact"/>
              <w:rPr>
                <w:sz w:val="20"/>
                <w:szCs w:val="20"/>
                <w:color w:val="auto"/>
              </w:rPr>
            </w:pPr>
            <w:r>
              <w:rPr>
                <w:rFonts w:ascii="Arial" w:cs="Arial" w:eastAsia="Arial" w:hAnsi="Arial"/>
                <w:sz w:val="18"/>
                <w:szCs w:val="18"/>
                <w:b w:val="1"/>
                <w:bCs w:val="1"/>
                <w:color w:val="auto"/>
              </w:rPr>
              <w:t>Three Months Ended March 31,</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9"/>
                <w:szCs w:val="19"/>
                <w:color w:val="auto"/>
              </w:rPr>
            </w:pPr>
          </w:p>
        </w:tc>
        <w:tc>
          <w:tcPr>
            <w:tcW w:w="160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96"/>
        </w:trPr>
        <w:tc>
          <w:tcPr>
            <w:tcW w:w="5360" w:type="dxa"/>
            <w:vAlign w:val="bottom"/>
            <w:tcBorders>
              <w:top w:val="single" w:sz="8" w:color="auto"/>
            </w:tcBorders>
            <w:shd w:val="clear" w:color="auto" w:fill="C6F4F9"/>
          </w:tcPr>
          <w:p>
            <w:pPr>
              <w:spacing w:after="0" w:line="196" w:lineRule="exact"/>
              <w:rPr>
                <w:sz w:val="20"/>
                <w:szCs w:val="20"/>
                <w:color w:val="auto"/>
              </w:rPr>
            </w:pPr>
            <w:r>
              <w:rPr>
                <w:rFonts w:ascii="Arial" w:cs="Arial" w:eastAsia="Arial" w:hAnsi="Arial"/>
                <w:sz w:val="18"/>
                <w:szCs w:val="18"/>
                <w:b w:val="1"/>
                <w:bCs w:val="1"/>
                <w:color w:val="0A0A0A"/>
              </w:rPr>
              <w:t>Net cash provided by operating activities</w:t>
            </w:r>
          </w:p>
        </w:tc>
        <w:tc>
          <w:tcPr>
            <w:tcW w:w="1120" w:type="dxa"/>
            <w:vAlign w:val="bottom"/>
            <w:tcBorders>
              <w:top w:val="single" w:sz="8" w:color="auto"/>
            </w:tcBorders>
            <w:gridSpan w:val="2"/>
            <w:shd w:val="clear" w:color="auto" w:fill="C6F4F9"/>
          </w:tcPr>
          <w:p>
            <w:pPr>
              <w:ind w:left="960"/>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gridSpan w:val="2"/>
            <w:shd w:val="clear" w:color="auto" w:fill="C6F4F9"/>
          </w:tcPr>
          <w:p>
            <w:pPr>
              <w:jc w:val="right"/>
              <w:ind w:right="320"/>
              <w:spacing w:after="0" w:line="196" w:lineRule="exact"/>
              <w:rPr>
                <w:sz w:val="20"/>
                <w:szCs w:val="20"/>
                <w:color w:val="auto"/>
              </w:rPr>
            </w:pPr>
            <w:r>
              <w:rPr>
                <w:rFonts w:ascii="Arial" w:cs="Arial" w:eastAsia="Arial" w:hAnsi="Arial"/>
                <w:sz w:val="18"/>
                <w:szCs w:val="18"/>
                <w:color w:val="auto"/>
              </w:rPr>
              <w:t>18.2</w:t>
            </w:r>
          </w:p>
        </w:tc>
        <w:tc>
          <w:tcPr>
            <w:tcW w:w="380" w:type="dxa"/>
            <w:vAlign w:val="bottom"/>
            <w:tcBorders>
              <w:top w:val="single" w:sz="8" w:color="auto"/>
            </w:tcBorders>
            <w:gridSpan w:val="2"/>
            <w:shd w:val="clear" w:color="auto" w:fill="C6F4F9"/>
          </w:tcPr>
          <w:p>
            <w:pPr>
              <w:ind w:left="240"/>
              <w:spacing w:after="0" w:line="196" w:lineRule="exact"/>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gridSpan w:val="2"/>
            <w:shd w:val="clear" w:color="auto" w:fill="C6F4F9"/>
          </w:tcPr>
          <w:p>
            <w:pPr>
              <w:jc w:val="right"/>
              <w:ind w:right="300"/>
              <w:spacing w:after="0" w:line="196" w:lineRule="exact"/>
              <w:rPr>
                <w:sz w:val="20"/>
                <w:szCs w:val="20"/>
                <w:color w:val="auto"/>
              </w:rPr>
            </w:pPr>
            <w:r>
              <w:rPr>
                <w:rFonts w:ascii="Arial" w:cs="Arial" w:eastAsia="Arial" w:hAnsi="Arial"/>
                <w:sz w:val="18"/>
                <w:szCs w:val="18"/>
                <w:color w:val="auto"/>
              </w:rPr>
              <w:t>15.8</w:t>
            </w:r>
          </w:p>
        </w:tc>
        <w:tc>
          <w:tcPr>
            <w:tcW w:w="1580" w:type="dxa"/>
            <w:vAlign w:val="bottom"/>
            <w:tcBorders>
              <w:top w:val="single" w:sz="8" w:color="auto"/>
            </w:tcBorders>
            <w:gridSpan w:val="3"/>
            <w:shd w:val="clear" w:color="auto" w:fill="C6F4F9"/>
          </w:tcPr>
          <w:p>
            <w:pPr>
              <w:jc w:val="right"/>
              <w:ind w:right="100"/>
              <w:spacing w:after="0" w:line="196" w:lineRule="exact"/>
              <w:rPr>
                <w:sz w:val="20"/>
                <w:szCs w:val="20"/>
                <w:color w:val="auto"/>
              </w:rPr>
            </w:pPr>
            <w:r>
              <w:rPr>
                <w:rFonts w:ascii="Arial" w:cs="Arial" w:eastAsia="Arial" w:hAnsi="Arial"/>
                <w:sz w:val="18"/>
                <w:szCs w:val="18"/>
                <w:color w:val="auto"/>
              </w:rPr>
              <w:t>15.2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spacing w:after="0"/>
              <w:rPr>
                <w:sz w:val="14"/>
                <w:szCs w:val="14"/>
                <w:color w:val="auto"/>
              </w:rPr>
            </w:pPr>
          </w:p>
        </w:tc>
        <w:tc>
          <w:tcPr>
            <w:tcW w:w="15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Purchases of property &amp; equipment</w:t>
            </w:r>
          </w:p>
        </w:tc>
        <w:tc>
          <w:tcPr>
            <w:tcW w:w="960" w:type="dxa"/>
            <w:vAlign w:val="bottom"/>
            <w:shd w:val="clear" w:color="auto" w:fill="C6F4F9"/>
          </w:tcPr>
          <w:p>
            <w:pPr>
              <w:spacing w:after="0"/>
              <w:rPr>
                <w:sz w:val="17"/>
                <w:szCs w:val="17"/>
                <w:color w:val="auto"/>
              </w:rPr>
            </w:pPr>
          </w:p>
        </w:tc>
        <w:tc>
          <w:tcPr>
            <w:tcW w:w="160" w:type="dxa"/>
            <w:vAlign w:val="bottom"/>
            <w:shd w:val="clear" w:color="auto" w:fill="C6F4F9"/>
          </w:tcPr>
          <w:p>
            <w:pPr>
              <w:spacing w:after="0"/>
              <w:rPr>
                <w:sz w:val="17"/>
                <w:szCs w:val="17"/>
                <w:color w:val="auto"/>
              </w:rPr>
            </w:pPr>
          </w:p>
        </w:tc>
        <w:tc>
          <w:tcPr>
            <w:tcW w:w="1400" w:type="dxa"/>
            <w:vAlign w:val="bottom"/>
            <w:gridSpan w:val="2"/>
            <w:shd w:val="clear" w:color="auto" w:fill="C6F4F9"/>
          </w:tcPr>
          <w:p>
            <w:pPr>
              <w:jc w:val="right"/>
              <w:ind w:right="260"/>
              <w:spacing w:after="0" w:line="202" w:lineRule="exact"/>
              <w:rPr>
                <w:sz w:val="20"/>
                <w:szCs w:val="20"/>
                <w:color w:val="auto"/>
              </w:rPr>
            </w:pPr>
            <w:r>
              <w:rPr>
                <w:rFonts w:ascii="Arial" w:cs="Arial" w:eastAsia="Arial" w:hAnsi="Arial"/>
                <w:sz w:val="18"/>
                <w:szCs w:val="18"/>
                <w:color w:val="auto"/>
              </w:rPr>
              <w:t>(49.7)</w:t>
            </w:r>
          </w:p>
        </w:tc>
        <w:tc>
          <w:tcPr>
            <w:tcW w:w="240" w:type="dxa"/>
            <w:vAlign w:val="bottom"/>
            <w:shd w:val="clear" w:color="auto" w:fill="C6F4F9"/>
          </w:tcPr>
          <w:p>
            <w:pPr>
              <w:spacing w:after="0"/>
              <w:rPr>
                <w:sz w:val="17"/>
                <w:szCs w:val="17"/>
                <w:color w:val="auto"/>
              </w:rPr>
            </w:pPr>
          </w:p>
        </w:tc>
        <w:tc>
          <w:tcPr>
            <w:tcW w:w="140" w:type="dxa"/>
            <w:vAlign w:val="bottom"/>
            <w:shd w:val="clear" w:color="auto" w:fill="C6F4F9"/>
          </w:tcPr>
          <w:p>
            <w:pPr>
              <w:spacing w:after="0"/>
              <w:rPr>
                <w:sz w:val="17"/>
                <w:szCs w:val="17"/>
                <w:color w:val="auto"/>
              </w:rPr>
            </w:pPr>
          </w:p>
        </w:tc>
        <w:tc>
          <w:tcPr>
            <w:tcW w:w="1400" w:type="dxa"/>
            <w:vAlign w:val="bottom"/>
            <w:gridSpan w:val="2"/>
            <w:shd w:val="clear" w:color="auto" w:fill="C6F4F9"/>
          </w:tcPr>
          <w:p>
            <w:pPr>
              <w:jc w:val="right"/>
              <w:ind w:right="240"/>
              <w:spacing w:after="0" w:line="202" w:lineRule="exact"/>
              <w:rPr>
                <w:sz w:val="20"/>
                <w:szCs w:val="20"/>
                <w:color w:val="auto"/>
              </w:rPr>
            </w:pPr>
            <w:r>
              <w:rPr>
                <w:rFonts w:ascii="Arial" w:cs="Arial" w:eastAsia="Arial" w:hAnsi="Arial"/>
                <w:sz w:val="18"/>
                <w:szCs w:val="18"/>
                <w:color w:val="auto"/>
              </w:rPr>
              <w:t>(54.4)</w:t>
            </w:r>
          </w:p>
        </w:tc>
        <w:tc>
          <w:tcPr>
            <w:tcW w:w="1580" w:type="dxa"/>
            <w:vAlign w:val="bottom"/>
            <w:gridSpan w:val="3"/>
            <w:shd w:val="clear" w:color="auto" w:fill="C6F4F9"/>
          </w:tcPr>
          <w:p>
            <w:pPr>
              <w:jc w:val="right"/>
              <w:ind w:right="40"/>
              <w:spacing w:after="0" w:line="202"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0A0A0A"/>
              </w:rPr>
              <w:t>Other</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shd w:val="clear" w:color="auto" w:fill="C6F4F9"/>
          </w:tcPr>
          <w:p>
            <w:pPr>
              <w:spacing w:after="0"/>
              <w:rPr>
                <w:sz w:val="20"/>
                <w:szCs w:val="20"/>
                <w:color w:val="auto"/>
              </w:rPr>
            </w:pPr>
            <w:r>
              <w:rPr>
                <w:rFonts w:ascii="Arial" w:cs="Arial" w:eastAsia="Arial" w:hAnsi="Arial"/>
                <w:sz w:val="18"/>
                <w:szCs w:val="18"/>
                <w:b w:val="1"/>
                <w:bCs w:val="1"/>
                <w:color w:val="0A0A0A"/>
              </w:rPr>
              <w:t>Net cash used in investing activities</w:t>
            </w:r>
          </w:p>
        </w:tc>
        <w:tc>
          <w:tcPr>
            <w:tcW w:w="960" w:type="dxa"/>
            <w:vAlign w:val="bottom"/>
            <w:shd w:val="clear" w:color="auto" w:fill="C6F4F9"/>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C6F4F9"/>
          </w:tcPr>
          <w:p>
            <w:pPr>
              <w:spacing w:after="0" w:line="20" w:lineRule="exact"/>
              <w:rPr>
                <w:sz w:val="1"/>
                <w:szCs w:val="1"/>
                <w:color w:val="auto"/>
              </w:rPr>
            </w:pPr>
          </w:p>
        </w:tc>
        <w:tc>
          <w:tcPr>
            <w:tcW w:w="240" w:type="dxa"/>
            <w:vAlign w:val="bottom"/>
            <w:shd w:val="clear" w:color="auto" w:fill="C6F4F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C6F4F9"/>
          </w:tcPr>
          <w:p>
            <w:pPr>
              <w:spacing w:after="0" w:line="20" w:lineRule="exact"/>
              <w:rPr>
                <w:sz w:val="1"/>
                <w:szCs w:val="1"/>
                <w:color w:val="auto"/>
              </w:rPr>
            </w:pPr>
          </w:p>
        </w:tc>
        <w:tc>
          <w:tcPr>
            <w:tcW w:w="240" w:type="dxa"/>
            <w:vAlign w:val="bottom"/>
            <w:vMerge w:val="restart"/>
            <w:shd w:val="clear" w:color="auto" w:fill="C6F4F9"/>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6F4F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vMerge w:val="continue"/>
            <w:shd w:val="clear" w:color="auto" w:fill="C6F4F9"/>
          </w:tcPr>
          <w:p>
            <w:pPr>
              <w:spacing w:after="0"/>
              <w:rPr>
                <w:sz w:val="17"/>
                <w:szCs w:val="17"/>
                <w:color w:val="auto"/>
              </w:rPr>
            </w:pPr>
          </w:p>
        </w:tc>
        <w:tc>
          <w:tcPr>
            <w:tcW w:w="960" w:type="dxa"/>
            <w:vAlign w:val="bottom"/>
            <w:shd w:val="clear" w:color="auto" w:fill="C6F4F9"/>
          </w:tcPr>
          <w:p>
            <w:pPr>
              <w:spacing w:after="0"/>
              <w:rPr>
                <w:sz w:val="17"/>
                <w:szCs w:val="17"/>
                <w:color w:val="auto"/>
              </w:rPr>
            </w:pPr>
          </w:p>
        </w:tc>
        <w:tc>
          <w:tcPr>
            <w:tcW w:w="160" w:type="dxa"/>
            <w:vAlign w:val="bottom"/>
            <w:shd w:val="clear" w:color="auto" w:fill="C6F4F9"/>
          </w:tcPr>
          <w:p>
            <w:pPr>
              <w:spacing w:after="0"/>
              <w:rPr>
                <w:sz w:val="17"/>
                <w:szCs w:val="17"/>
                <w:color w:val="auto"/>
              </w:rPr>
            </w:pPr>
          </w:p>
        </w:tc>
        <w:tc>
          <w:tcPr>
            <w:tcW w:w="1400" w:type="dxa"/>
            <w:vAlign w:val="bottom"/>
            <w:gridSpan w:val="2"/>
            <w:shd w:val="clear" w:color="auto" w:fill="C6F4F9"/>
          </w:tcPr>
          <w:p>
            <w:pPr>
              <w:jc w:val="right"/>
              <w:ind w:right="260"/>
              <w:spacing w:after="0" w:line="196" w:lineRule="exact"/>
              <w:rPr>
                <w:sz w:val="20"/>
                <w:szCs w:val="20"/>
                <w:color w:val="auto"/>
              </w:rPr>
            </w:pPr>
            <w:r>
              <w:rPr>
                <w:rFonts w:ascii="Arial" w:cs="Arial" w:eastAsia="Arial" w:hAnsi="Arial"/>
                <w:sz w:val="18"/>
                <w:szCs w:val="18"/>
                <w:color w:val="auto"/>
              </w:rPr>
              <w:t>(49.6)</w:t>
            </w:r>
          </w:p>
        </w:tc>
        <w:tc>
          <w:tcPr>
            <w:tcW w:w="240" w:type="dxa"/>
            <w:vAlign w:val="bottom"/>
            <w:shd w:val="clear" w:color="auto" w:fill="C6F4F9"/>
          </w:tcPr>
          <w:p>
            <w:pPr>
              <w:spacing w:after="0"/>
              <w:rPr>
                <w:sz w:val="17"/>
                <w:szCs w:val="17"/>
                <w:color w:val="auto"/>
              </w:rPr>
            </w:pPr>
          </w:p>
        </w:tc>
        <w:tc>
          <w:tcPr>
            <w:tcW w:w="140" w:type="dxa"/>
            <w:vAlign w:val="bottom"/>
            <w:shd w:val="clear" w:color="auto" w:fill="C6F4F9"/>
          </w:tcPr>
          <w:p>
            <w:pPr>
              <w:spacing w:after="0"/>
              <w:rPr>
                <w:sz w:val="17"/>
                <w:szCs w:val="17"/>
                <w:color w:val="auto"/>
              </w:rPr>
            </w:pPr>
          </w:p>
        </w:tc>
        <w:tc>
          <w:tcPr>
            <w:tcW w:w="1400" w:type="dxa"/>
            <w:vAlign w:val="bottom"/>
            <w:gridSpan w:val="2"/>
            <w:shd w:val="clear" w:color="auto" w:fill="C6F4F9"/>
          </w:tcPr>
          <w:p>
            <w:pPr>
              <w:jc w:val="right"/>
              <w:ind w:right="240"/>
              <w:spacing w:after="0" w:line="196" w:lineRule="exact"/>
              <w:rPr>
                <w:sz w:val="20"/>
                <w:szCs w:val="20"/>
                <w:color w:val="auto"/>
              </w:rPr>
            </w:pPr>
            <w:r>
              <w:rPr>
                <w:rFonts w:ascii="Arial" w:cs="Arial" w:eastAsia="Arial" w:hAnsi="Arial"/>
                <w:sz w:val="18"/>
                <w:szCs w:val="18"/>
                <w:color w:val="auto"/>
              </w:rPr>
              <w:t>(54.6)</w:t>
            </w:r>
          </w:p>
        </w:tc>
        <w:tc>
          <w:tcPr>
            <w:tcW w:w="240" w:type="dxa"/>
            <w:vAlign w:val="bottom"/>
            <w:vMerge w:val="continue"/>
            <w:shd w:val="clear" w:color="auto" w:fill="C6F4F9"/>
          </w:tcPr>
          <w:p>
            <w:pPr>
              <w:spacing w:after="0"/>
              <w:rPr>
                <w:sz w:val="17"/>
                <w:szCs w:val="17"/>
                <w:color w:val="auto"/>
              </w:rPr>
            </w:pPr>
          </w:p>
        </w:tc>
        <w:tc>
          <w:tcPr>
            <w:tcW w:w="1340" w:type="dxa"/>
            <w:vAlign w:val="bottom"/>
            <w:gridSpan w:val="2"/>
            <w:shd w:val="clear" w:color="auto" w:fill="C6F4F9"/>
          </w:tcPr>
          <w:p>
            <w:pPr>
              <w:jc w:val="right"/>
              <w:ind w:right="40"/>
              <w:spacing w:after="0" w:line="196"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Cash received from stock offering</w:t>
            </w:r>
          </w:p>
        </w:tc>
        <w:tc>
          <w:tcPr>
            <w:tcW w:w="960" w:type="dxa"/>
            <w:vAlign w:val="bottom"/>
            <w:shd w:val="clear" w:color="auto" w:fill="C6F4F9"/>
          </w:tcPr>
          <w:p>
            <w:pPr>
              <w:spacing w:after="0"/>
              <w:rPr>
                <w:sz w:val="17"/>
                <w:szCs w:val="17"/>
                <w:color w:val="auto"/>
              </w:rPr>
            </w:pPr>
          </w:p>
        </w:tc>
        <w:tc>
          <w:tcPr>
            <w:tcW w:w="160" w:type="dxa"/>
            <w:vAlign w:val="bottom"/>
            <w:shd w:val="clear" w:color="auto" w:fill="C6F4F9"/>
          </w:tcPr>
          <w:p>
            <w:pPr>
              <w:spacing w:after="0"/>
              <w:rPr>
                <w:sz w:val="17"/>
                <w:szCs w:val="17"/>
                <w:color w:val="auto"/>
              </w:rPr>
            </w:pPr>
          </w:p>
        </w:tc>
        <w:tc>
          <w:tcPr>
            <w:tcW w:w="1400" w:type="dxa"/>
            <w:vAlign w:val="bottom"/>
            <w:gridSpan w:val="2"/>
            <w:shd w:val="clear" w:color="auto" w:fill="C6F4F9"/>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6F4F9"/>
          </w:tcPr>
          <w:p>
            <w:pPr>
              <w:spacing w:after="0"/>
              <w:rPr>
                <w:sz w:val="17"/>
                <w:szCs w:val="17"/>
                <w:color w:val="auto"/>
              </w:rPr>
            </w:pPr>
          </w:p>
        </w:tc>
        <w:tc>
          <w:tcPr>
            <w:tcW w:w="140" w:type="dxa"/>
            <w:vAlign w:val="bottom"/>
            <w:shd w:val="clear" w:color="auto" w:fill="C6F4F9"/>
          </w:tcPr>
          <w:p>
            <w:pPr>
              <w:spacing w:after="0"/>
              <w:rPr>
                <w:sz w:val="17"/>
                <w:szCs w:val="17"/>
                <w:color w:val="auto"/>
              </w:rPr>
            </w:pPr>
          </w:p>
        </w:tc>
        <w:tc>
          <w:tcPr>
            <w:tcW w:w="1400" w:type="dxa"/>
            <w:vAlign w:val="bottom"/>
            <w:gridSpan w:val="2"/>
            <w:shd w:val="clear" w:color="auto" w:fill="C6F4F9"/>
          </w:tcPr>
          <w:p>
            <w:pPr>
              <w:jc w:val="right"/>
              <w:ind w:right="300"/>
              <w:spacing w:after="0" w:line="202" w:lineRule="exact"/>
              <w:rPr>
                <w:sz w:val="20"/>
                <w:szCs w:val="20"/>
                <w:color w:val="auto"/>
              </w:rPr>
            </w:pPr>
            <w:r>
              <w:rPr>
                <w:rFonts w:ascii="Arial" w:cs="Arial" w:eastAsia="Arial" w:hAnsi="Arial"/>
                <w:sz w:val="18"/>
                <w:szCs w:val="18"/>
                <w:color w:val="auto"/>
              </w:rPr>
              <w:t>235.9</w:t>
            </w:r>
          </w:p>
        </w:tc>
        <w:tc>
          <w:tcPr>
            <w:tcW w:w="240" w:type="dxa"/>
            <w:vAlign w:val="bottom"/>
            <w:shd w:val="clear" w:color="auto" w:fill="C6F4F9"/>
          </w:tcPr>
          <w:p>
            <w:pPr>
              <w:spacing w:after="0"/>
              <w:rPr>
                <w:sz w:val="17"/>
                <w:szCs w:val="17"/>
                <w:color w:val="auto"/>
              </w:rPr>
            </w:pPr>
          </w:p>
        </w:tc>
        <w:tc>
          <w:tcPr>
            <w:tcW w:w="1340" w:type="dxa"/>
            <w:vAlign w:val="bottom"/>
            <w:gridSpan w:val="2"/>
            <w:shd w:val="clear" w:color="auto" w:fill="C6F4F9"/>
          </w:tcPr>
          <w:p>
            <w:pPr>
              <w:jc w:val="right"/>
              <w:ind w:right="100"/>
              <w:spacing w:after="0" w:line="202" w:lineRule="exact"/>
              <w:rPr>
                <w:sz w:val="20"/>
                <w:szCs w:val="20"/>
                <w:color w:val="auto"/>
              </w:rPr>
            </w:pPr>
            <w:r>
              <w:rPr>
                <w:rFonts w:ascii="Arial" w:cs="Arial" w:eastAsia="Arial" w:hAnsi="Arial"/>
                <w:sz w:val="18"/>
                <w:szCs w:val="18"/>
                <w:color w:val="auto"/>
              </w:rPr>
              <w:t>NM</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0A0A0A"/>
              </w:rPr>
              <w:t>Proceeds from borrowing</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78.0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68.0</w:t>
            </w:r>
          </w:p>
        </w:tc>
        <w:tc>
          <w:tcPr>
            <w:tcW w:w="15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Repayment of finance lease obligations</w:t>
            </w:r>
          </w:p>
        </w:tc>
        <w:tc>
          <w:tcPr>
            <w:tcW w:w="960" w:type="dxa"/>
            <w:vAlign w:val="bottom"/>
            <w:shd w:val="clear" w:color="auto" w:fill="C6F4F9"/>
          </w:tcPr>
          <w:p>
            <w:pPr>
              <w:spacing w:after="0"/>
              <w:rPr>
                <w:sz w:val="17"/>
                <w:szCs w:val="17"/>
                <w:color w:val="auto"/>
              </w:rPr>
            </w:pPr>
          </w:p>
        </w:tc>
        <w:tc>
          <w:tcPr>
            <w:tcW w:w="160" w:type="dxa"/>
            <w:vAlign w:val="bottom"/>
            <w:shd w:val="clear" w:color="auto" w:fill="C6F4F9"/>
          </w:tcPr>
          <w:p>
            <w:pPr>
              <w:spacing w:after="0"/>
              <w:rPr>
                <w:sz w:val="17"/>
                <w:szCs w:val="17"/>
                <w:color w:val="auto"/>
              </w:rPr>
            </w:pPr>
          </w:p>
        </w:tc>
        <w:tc>
          <w:tcPr>
            <w:tcW w:w="1400" w:type="dxa"/>
            <w:vAlign w:val="bottom"/>
            <w:gridSpan w:val="2"/>
            <w:shd w:val="clear" w:color="auto" w:fill="C6F4F9"/>
          </w:tcPr>
          <w:p>
            <w:pPr>
              <w:jc w:val="right"/>
              <w:ind w:right="260"/>
              <w:spacing w:after="0" w:line="202" w:lineRule="exact"/>
              <w:rPr>
                <w:sz w:val="20"/>
                <w:szCs w:val="20"/>
                <w:color w:val="auto"/>
              </w:rPr>
            </w:pPr>
            <w:r>
              <w:rPr>
                <w:rFonts w:ascii="Arial" w:cs="Arial" w:eastAsia="Arial" w:hAnsi="Arial"/>
                <w:sz w:val="18"/>
                <w:szCs w:val="18"/>
                <w:color w:val="auto"/>
              </w:rPr>
              <w:t>(4.5)</w:t>
            </w:r>
          </w:p>
        </w:tc>
        <w:tc>
          <w:tcPr>
            <w:tcW w:w="240" w:type="dxa"/>
            <w:vAlign w:val="bottom"/>
            <w:shd w:val="clear" w:color="auto" w:fill="C6F4F9"/>
          </w:tcPr>
          <w:p>
            <w:pPr>
              <w:spacing w:after="0"/>
              <w:rPr>
                <w:sz w:val="17"/>
                <w:szCs w:val="17"/>
                <w:color w:val="auto"/>
              </w:rPr>
            </w:pPr>
          </w:p>
        </w:tc>
        <w:tc>
          <w:tcPr>
            <w:tcW w:w="140" w:type="dxa"/>
            <w:vAlign w:val="bottom"/>
            <w:shd w:val="clear" w:color="auto" w:fill="C6F4F9"/>
          </w:tcPr>
          <w:p>
            <w:pPr>
              <w:spacing w:after="0"/>
              <w:rPr>
                <w:sz w:val="17"/>
                <w:szCs w:val="17"/>
                <w:color w:val="auto"/>
              </w:rPr>
            </w:pPr>
          </w:p>
        </w:tc>
        <w:tc>
          <w:tcPr>
            <w:tcW w:w="1400" w:type="dxa"/>
            <w:vAlign w:val="bottom"/>
            <w:gridSpan w:val="2"/>
            <w:shd w:val="clear" w:color="auto" w:fill="C6F4F9"/>
          </w:tcPr>
          <w:p>
            <w:pPr>
              <w:jc w:val="right"/>
              <w:ind w:right="240"/>
              <w:spacing w:after="0" w:line="202" w:lineRule="exact"/>
              <w:rPr>
                <w:sz w:val="20"/>
                <w:szCs w:val="20"/>
                <w:color w:val="auto"/>
              </w:rPr>
            </w:pPr>
            <w:r>
              <w:rPr>
                <w:rFonts w:ascii="Arial" w:cs="Arial" w:eastAsia="Arial" w:hAnsi="Arial"/>
                <w:sz w:val="18"/>
                <w:szCs w:val="18"/>
                <w:color w:val="auto"/>
              </w:rPr>
              <w:t>(3.9)</w:t>
            </w:r>
          </w:p>
        </w:tc>
        <w:tc>
          <w:tcPr>
            <w:tcW w:w="1580" w:type="dxa"/>
            <w:vAlign w:val="bottom"/>
            <w:gridSpan w:val="3"/>
            <w:shd w:val="clear" w:color="auto" w:fill="C6F4F9"/>
          </w:tcPr>
          <w:p>
            <w:pPr>
              <w:jc w:val="right"/>
              <w:ind w:right="100"/>
              <w:spacing w:after="0" w:line="202" w:lineRule="exact"/>
              <w:rPr>
                <w:sz w:val="20"/>
                <w:szCs w:val="20"/>
                <w:color w:val="auto"/>
              </w:rPr>
            </w:pPr>
            <w:r>
              <w:rPr>
                <w:rFonts w:ascii="Arial" w:cs="Arial" w:eastAsia="Arial" w:hAnsi="Arial"/>
                <w:sz w:val="18"/>
                <w:szCs w:val="18"/>
                <w:color w:val="auto"/>
              </w:rPr>
              <w:t>15.4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0A0A0A"/>
              </w:rPr>
              <w:t>Repayment of borrowings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(77.9)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(46.1)</w:t>
            </w:r>
          </w:p>
        </w:tc>
        <w:tc>
          <w:tcPr>
            <w:tcW w:w="15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6F4F9"/>
          </w:tcPr>
          <w:p>
            <w:pPr>
              <w:spacing w:after="0"/>
              <w:rPr>
                <w:sz w:val="20"/>
                <w:szCs w:val="20"/>
                <w:color w:val="auto"/>
              </w:rPr>
            </w:pPr>
            <w:r>
              <w:rPr>
                <w:rFonts w:ascii="Arial" w:cs="Arial" w:eastAsia="Arial" w:hAnsi="Arial"/>
                <w:sz w:val="18"/>
                <w:szCs w:val="18"/>
                <w:color w:val="0A0A0A"/>
              </w:rPr>
              <w:t>Other</w:t>
            </w:r>
          </w:p>
        </w:tc>
        <w:tc>
          <w:tcPr>
            <w:tcW w:w="960" w:type="dxa"/>
            <w:vAlign w:val="bottom"/>
            <w:shd w:val="clear" w:color="auto" w:fill="C6F4F9"/>
          </w:tcPr>
          <w:p>
            <w:pPr>
              <w:spacing w:after="0"/>
              <w:rPr>
                <w:sz w:val="18"/>
                <w:szCs w:val="18"/>
                <w:color w:val="auto"/>
              </w:rPr>
            </w:pPr>
          </w:p>
        </w:tc>
        <w:tc>
          <w:tcPr>
            <w:tcW w:w="160" w:type="dxa"/>
            <w:vAlign w:val="bottom"/>
            <w:shd w:val="clear" w:color="auto" w:fill="C6F4F9"/>
          </w:tcPr>
          <w:p>
            <w:pPr>
              <w:spacing w:after="0"/>
              <w:rPr>
                <w:sz w:val="18"/>
                <w:szCs w:val="18"/>
                <w:color w:val="auto"/>
              </w:rPr>
            </w:pPr>
          </w:p>
        </w:tc>
        <w:tc>
          <w:tcPr>
            <w:tcW w:w="1400" w:type="dxa"/>
            <w:vAlign w:val="bottom"/>
            <w:gridSpan w:val="2"/>
            <w:shd w:val="clear" w:color="auto" w:fill="C6F4F9"/>
          </w:tcPr>
          <w:p>
            <w:pPr>
              <w:jc w:val="right"/>
              <w:ind w:right="26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6F4F9"/>
          </w:tcPr>
          <w:p>
            <w:pPr>
              <w:spacing w:after="0"/>
              <w:rPr>
                <w:sz w:val="18"/>
                <w:szCs w:val="18"/>
                <w:color w:val="auto"/>
              </w:rPr>
            </w:pPr>
          </w:p>
        </w:tc>
        <w:tc>
          <w:tcPr>
            <w:tcW w:w="140" w:type="dxa"/>
            <w:vAlign w:val="bottom"/>
            <w:shd w:val="clear" w:color="auto" w:fill="C6F4F9"/>
          </w:tcPr>
          <w:p>
            <w:pPr>
              <w:spacing w:after="0"/>
              <w:rPr>
                <w:sz w:val="18"/>
                <w:szCs w:val="18"/>
                <w:color w:val="auto"/>
              </w:rPr>
            </w:pPr>
          </w:p>
        </w:tc>
        <w:tc>
          <w:tcPr>
            <w:tcW w:w="1400" w:type="dxa"/>
            <w:vAlign w:val="bottom"/>
            <w:gridSpan w:val="2"/>
            <w:shd w:val="clear" w:color="auto" w:fill="C6F4F9"/>
          </w:tcPr>
          <w:p>
            <w:pPr>
              <w:jc w:val="right"/>
              <w:ind w:right="240"/>
              <w:spacing w:after="0"/>
              <w:rPr>
                <w:sz w:val="20"/>
                <w:szCs w:val="20"/>
                <w:color w:val="auto"/>
              </w:rPr>
            </w:pPr>
            <w:r>
              <w:rPr>
                <w:rFonts w:ascii="Arial" w:cs="Arial" w:eastAsia="Arial" w:hAnsi="Arial"/>
                <w:sz w:val="18"/>
                <w:szCs w:val="18"/>
                <w:color w:val="auto"/>
              </w:rPr>
              <w:t>(9.9)</w:t>
            </w:r>
          </w:p>
        </w:tc>
        <w:tc>
          <w:tcPr>
            <w:tcW w:w="1580" w:type="dxa"/>
            <w:vAlign w:val="bottom"/>
            <w:gridSpan w:val="3"/>
            <w:shd w:val="clear" w:color="auto" w:fill="C6F4F9"/>
          </w:tcPr>
          <w:p>
            <w:pPr>
              <w:jc w:val="right"/>
              <w:ind w:right="40"/>
              <w:spacing w:after="0"/>
              <w:rPr>
                <w:sz w:val="20"/>
                <w:szCs w:val="20"/>
                <w:color w:val="auto"/>
              </w:rPr>
            </w:pPr>
            <w:r>
              <w:rPr>
                <w:rFonts w:ascii="Arial" w:cs="Arial" w:eastAsia="Arial" w:hAnsi="Arial"/>
                <w:sz w:val="18"/>
                <w:szCs w:val="18"/>
                <w:color w:val="auto"/>
              </w:rPr>
              <w:t>(84.8)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0A0A0A"/>
              </w:rPr>
              <w:t>Net cash provided by financing activities</w:t>
            </w: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(5.9)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244.0</w:t>
            </w:r>
          </w:p>
        </w:tc>
        <w:tc>
          <w:tcPr>
            <w:tcW w:w="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NM</w:t>
            </w:r>
          </w:p>
        </w:tc>
        <w:tc>
          <w:tcPr>
            <w:tcW w:w="1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360" w:type="dxa"/>
            <w:vAlign w:val="bottom"/>
            <w:shd w:val="clear" w:color="auto" w:fill="C6F4F9"/>
          </w:tcPr>
          <w:p>
            <w:pPr>
              <w:spacing w:after="0"/>
              <w:rPr>
                <w:sz w:val="14"/>
                <w:szCs w:val="14"/>
                <w:color w:val="auto"/>
              </w:rPr>
            </w:pPr>
          </w:p>
        </w:tc>
        <w:tc>
          <w:tcPr>
            <w:tcW w:w="960" w:type="dxa"/>
            <w:vAlign w:val="bottom"/>
            <w:shd w:val="clear" w:color="auto" w:fill="C6F4F9"/>
          </w:tcPr>
          <w:p>
            <w:pPr>
              <w:spacing w:after="0"/>
              <w:rPr>
                <w:sz w:val="14"/>
                <w:szCs w:val="14"/>
                <w:color w:val="auto"/>
              </w:rPr>
            </w:pPr>
          </w:p>
        </w:tc>
        <w:tc>
          <w:tcPr>
            <w:tcW w:w="160" w:type="dxa"/>
            <w:vAlign w:val="bottom"/>
            <w:shd w:val="clear" w:color="auto" w:fill="C6F4F9"/>
          </w:tcPr>
          <w:p>
            <w:pPr>
              <w:spacing w:after="0"/>
              <w:rPr>
                <w:sz w:val="14"/>
                <w:szCs w:val="14"/>
                <w:color w:val="auto"/>
              </w:rPr>
            </w:pPr>
          </w:p>
        </w:tc>
        <w:tc>
          <w:tcPr>
            <w:tcW w:w="1400" w:type="dxa"/>
            <w:vAlign w:val="bottom"/>
            <w:gridSpan w:val="2"/>
            <w:shd w:val="clear" w:color="auto" w:fill="C6F4F9"/>
          </w:tcPr>
          <w:p>
            <w:pPr>
              <w:spacing w:after="0"/>
              <w:rPr>
                <w:sz w:val="14"/>
                <w:szCs w:val="14"/>
                <w:color w:val="auto"/>
              </w:rPr>
            </w:pPr>
          </w:p>
        </w:tc>
        <w:tc>
          <w:tcPr>
            <w:tcW w:w="240" w:type="dxa"/>
            <w:vAlign w:val="bottom"/>
            <w:shd w:val="clear" w:color="auto" w:fill="C6F4F9"/>
          </w:tcPr>
          <w:p>
            <w:pPr>
              <w:spacing w:after="0"/>
              <w:rPr>
                <w:sz w:val="14"/>
                <w:szCs w:val="14"/>
                <w:color w:val="auto"/>
              </w:rPr>
            </w:pPr>
          </w:p>
        </w:tc>
        <w:tc>
          <w:tcPr>
            <w:tcW w:w="140" w:type="dxa"/>
            <w:vAlign w:val="bottom"/>
            <w:shd w:val="clear" w:color="auto" w:fill="C6F4F9"/>
          </w:tcPr>
          <w:p>
            <w:pPr>
              <w:spacing w:after="0"/>
              <w:rPr>
                <w:sz w:val="14"/>
                <w:szCs w:val="14"/>
                <w:color w:val="auto"/>
              </w:rPr>
            </w:pPr>
          </w:p>
        </w:tc>
        <w:tc>
          <w:tcPr>
            <w:tcW w:w="1400" w:type="dxa"/>
            <w:vAlign w:val="bottom"/>
            <w:gridSpan w:val="2"/>
            <w:shd w:val="clear" w:color="auto" w:fill="C6F4F9"/>
          </w:tcPr>
          <w:p>
            <w:pPr>
              <w:spacing w:after="0"/>
              <w:rPr>
                <w:sz w:val="14"/>
                <w:szCs w:val="14"/>
                <w:color w:val="auto"/>
              </w:rPr>
            </w:pPr>
          </w:p>
        </w:tc>
        <w:tc>
          <w:tcPr>
            <w:tcW w:w="240" w:type="dxa"/>
            <w:vAlign w:val="bottom"/>
            <w:shd w:val="clear" w:color="auto" w:fill="C6F4F9"/>
          </w:tcPr>
          <w:p>
            <w:pPr>
              <w:spacing w:after="0"/>
              <w:rPr>
                <w:sz w:val="14"/>
                <w:szCs w:val="14"/>
                <w:color w:val="auto"/>
              </w:rPr>
            </w:pPr>
          </w:p>
        </w:tc>
        <w:tc>
          <w:tcPr>
            <w:tcW w:w="1340" w:type="dxa"/>
            <w:vAlign w:val="bottom"/>
            <w:gridSpan w:val="2"/>
            <w:shd w:val="clear" w:color="auto" w:fill="C6F4F9"/>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0A0A0A"/>
              </w:rPr>
              <w:t>Change in cash</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(37.3)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205.3</w:t>
            </w:r>
          </w:p>
        </w:tc>
        <w:tc>
          <w:tcPr>
            <w:tcW w:w="240" w:type="dxa"/>
            <w:vAlign w:val="bottom"/>
          </w:tcPr>
          <w:p>
            <w:pPr>
              <w:spacing w:after="0"/>
              <w:rPr>
                <w:sz w:val="17"/>
                <w:szCs w:val="17"/>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NM</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6F4F9"/>
          </w:tcPr>
          <w:p>
            <w:pPr>
              <w:spacing w:after="0" w:line="202" w:lineRule="exact"/>
              <w:rPr>
                <w:sz w:val="20"/>
                <w:szCs w:val="20"/>
                <w:color w:val="auto"/>
              </w:rPr>
            </w:pPr>
            <w:r>
              <w:rPr>
                <w:rFonts w:ascii="Arial" w:cs="Arial" w:eastAsia="Arial" w:hAnsi="Arial"/>
                <w:sz w:val="18"/>
                <w:szCs w:val="18"/>
                <w:color w:val="0A0A0A"/>
              </w:rPr>
              <w:t>Cash and equivalents and restricted cash – beginning of the period</w:t>
            </w:r>
          </w:p>
        </w:tc>
        <w:tc>
          <w:tcPr>
            <w:tcW w:w="960" w:type="dxa"/>
            <w:vAlign w:val="bottom"/>
            <w:shd w:val="clear" w:color="auto" w:fill="C6F4F9"/>
          </w:tcPr>
          <w:p>
            <w:pPr>
              <w:spacing w:after="0"/>
              <w:rPr>
                <w:sz w:val="17"/>
                <w:szCs w:val="17"/>
                <w:color w:val="auto"/>
              </w:rPr>
            </w:pPr>
          </w:p>
        </w:tc>
        <w:tc>
          <w:tcPr>
            <w:tcW w:w="160" w:type="dxa"/>
            <w:vAlign w:val="bottom"/>
            <w:shd w:val="clear" w:color="auto" w:fill="C6F4F9"/>
          </w:tcPr>
          <w:p>
            <w:pPr>
              <w:spacing w:after="0"/>
              <w:rPr>
                <w:sz w:val="17"/>
                <w:szCs w:val="17"/>
                <w:color w:val="auto"/>
              </w:rPr>
            </w:pPr>
          </w:p>
        </w:tc>
        <w:tc>
          <w:tcPr>
            <w:tcW w:w="1400" w:type="dxa"/>
            <w:vAlign w:val="bottom"/>
            <w:gridSpan w:val="2"/>
            <w:shd w:val="clear" w:color="auto" w:fill="C6F4F9"/>
          </w:tcPr>
          <w:p>
            <w:pPr>
              <w:jc w:val="right"/>
              <w:ind w:right="320"/>
              <w:spacing w:after="0" w:line="202" w:lineRule="exact"/>
              <w:rPr>
                <w:sz w:val="20"/>
                <w:szCs w:val="20"/>
                <w:color w:val="auto"/>
              </w:rPr>
            </w:pPr>
            <w:r>
              <w:rPr>
                <w:rFonts w:ascii="Arial" w:cs="Arial" w:eastAsia="Arial" w:hAnsi="Arial"/>
                <w:sz w:val="18"/>
                <w:szCs w:val="18"/>
                <w:color w:val="auto"/>
              </w:rPr>
              <w:t>317.8</w:t>
            </w:r>
          </w:p>
        </w:tc>
        <w:tc>
          <w:tcPr>
            <w:tcW w:w="240" w:type="dxa"/>
            <w:vAlign w:val="bottom"/>
            <w:shd w:val="clear" w:color="auto" w:fill="C6F4F9"/>
          </w:tcPr>
          <w:p>
            <w:pPr>
              <w:spacing w:after="0"/>
              <w:rPr>
                <w:sz w:val="17"/>
                <w:szCs w:val="17"/>
                <w:color w:val="auto"/>
              </w:rPr>
            </w:pPr>
          </w:p>
        </w:tc>
        <w:tc>
          <w:tcPr>
            <w:tcW w:w="140" w:type="dxa"/>
            <w:vAlign w:val="bottom"/>
            <w:shd w:val="clear" w:color="auto" w:fill="C6F4F9"/>
          </w:tcPr>
          <w:p>
            <w:pPr>
              <w:spacing w:after="0"/>
              <w:rPr>
                <w:sz w:val="17"/>
                <w:szCs w:val="17"/>
                <w:color w:val="auto"/>
              </w:rPr>
            </w:pPr>
          </w:p>
        </w:tc>
        <w:tc>
          <w:tcPr>
            <w:tcW w:w="1400" w:type="dxa"/>
            <w:vAlign w:val="bottom"/>
            <w:gridSpan w:val="2"/>
            <w:shd w:val="clear" w:color="auto" w:fill="C6F4F9"/>
          </w:tcPr>
          <w:p>
            <w:pPr>
              <w:jc w:val="right"/>
              <w:ind w:right="300"/>
              <w:spacing w:after="0" w:line="202" w:lineRule="exact"/>
              <w:rPr>
                <w:sz w:val="20"/>
                <w:szCs w:val="20"/>
                <w:color w:val="auto"/>
              </w:rPr>
            </w:pPr>
            <w:r>
              <w:rPr>
                <w:rFonts w:ascii="Arial" w:cs="Arial" w:eastAsia="Arial" w:hAnsi="Arial"/>
                <w:sz w:val="18"/>
                <w:szCs w:val="18"/>
                <w:color w:val="auto"/>
              </w:rPr>
              <w:t>70.4</w:t>
            </w:r>
          </w:p>
        </w:tc>
        <w:tc>
          <w:tcPr>
            <w:tcW w:w="1580" w:type="dxa"/>
            <w:vAlign w:val="bottom"/>
            <w:gridSpan w:val="3"/>
            <w:shd w:val="clear" w:color="auto" w:fill="C6F4F9"/>
          </w:tcPr>
          <w:p>
            <w:pPr>
              <w:jc w:val="right"/>
              <w:ind w:right="100"/>
              <w:spacing w:after="0" w:line="202" w:lineRule="exact"/>
              <w:rPr>
                <w:sz w:val="20"/>
                <w:szCs w:val="20"/>
                <w:color w:val="auto"/>
              </w:rPr>
            </w:pPr>
            <w:r>
              <w:rPr>
                <w:rFonts w:ascii="Arial" w:cs="Arial" w:eastAsia="Arial" w:hAnsi="Arial"/>
                <w:sz w:val="18"/>
                <w:szCs w:val="18"/>
                <w:color w:val="auto"/>
              </w:rPr>
              <w:t>351.4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line="183" w:lineRule="exact"/>
              <w:rPr>
                <w:sz w:val="20"/>
                <w:szCs w:val="20"/>
                <w:color w:val="auto"/>
              </w:rPr>
            </w:pPr>
            <w:r>
              <w:rPr>
                <w:rFonts w:ascii="Arial" w:cs="Arial" w:eastAsia="Arial" w:hAnsi="Arial"/>
                <w:sz w:val="18"/>
                <w:szCs w:val="18"/>
                <w:color w:val="0A0A0A"/>
              </w:rPr>
              <w:t>Cash and equivalents and restricted cash – end of the period</w:t>
            </w:r>
          </w:p>
        </w:tc>
        <w:tc>
          <w:tcPr>
            <w:tcW w:w="1120" w:type="dxa"/>
            <w:vAlign w:val="bottom"/>
            <w:gridSpan w:val="2"/>
          </w:tcPr>
          <w:p>
            <w:pPr>
              <w:ind w:left="960"/>
              <w:spacing w:after="0" w:line="183"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line="183" w:lineRule="exact"/>
              <w:rPr>
                <w:sz w:val="20"/>
                <w:szCs w:val="20"/>
                <w:color w:val="auto"/>
              </w:rPr>
            </w:pPr>
            <w:r>
              <w:rPr>
                <w:rFonts w:ascii="Arial" w:cs="Arial" w:eastAsia="Arial" w:hAnsi="Arial"/>
                <w:sz w:val="18"/>
                <w:szCs w:val="18"/>
                <w:color w:val="auto"/>
              </w:rPr>
              <w:t>280.5</w:t>
            </w:r>
          </w:p>
        </w:tc>
        <w:tc>
          <w:tcPr>
            <w:tcW w:w="380" w:type="dxa"/>
            <w:vAlign w:val="bottom"/>
            <w:gridSpan w:val="2"/>
          </w:tcPr>
          <w:p>
            <w:pPr>
              <w:ind w:left="240"/>
              <w:spacing w:after="0" w:line="183"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line="183" w:lineRule="exact"/>
              <w:rPr>
                <w:sz w:val="20"/>
                <w:szCs w:val="20"/>
                <w:color w:val="auto"/>
              </w:rPr>
            </w:pPr>
            <w:r>
              <w:rPr>
                <w:rFonts w:ascii="Arial" w:cs="Arial" w:eastAsia="Arial" w:hAnsi="Arial"/>
                <w:sz w:val="18"/>
                <w:szCs w:val="18"/>
                <w:color w:val="auto"/>
              </w:rPr>
              <w:t>275.6</w:t>
            </w:r>
          </w:p>
        </w:tc>
        <w:tc>
          <w:tcPr>
            <w:tcW w:w="1580" w:type="dxa"/>
            <w:vAlign w:val="bottom"/>
            <w:gridSpan w:val="3"/>
          </w:tcPr>
          <w:p>
            <w:pPr>
              <w:jc w:val="right"/>
              <w:ind w:right="100"/>
              <w:spacing w:after="0" w:line="183"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360" w:type="dxa"/>
            <w:vAlign w:val="bottom"/>
          </w:tcPr>
          <w:p>
            <w:pPr>
              <w:spacing w:after="0"/>
              <w:rPr>
                <w:sz w:val="20"/>
                <w:szCs w:val="20"/>
                <w:color w:val="auto"/>
              </w:rPr>
            </w:pPr>
            <w:r>
              <w:rPr>
                <w:rFonts w:ascii="Arial" w:cs="Arial" w:eastAsia="Arial" w:hAnsi="Arial"/>
                <w:sz w:val="18"/>
                <w:szCs w:val="18"/>
                <w:color w:val="0A0A0A"/>
              </w:rPr>
              <w:t>“NM” stands for not meaningful</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6"/>
        </w:trPr>
        <w:tc>
          <w:tcPr>
            <w:tcW w:w="5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Page 8</w:t>
            </w: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11"/>
                <w:szCs w:val="11"/>
                <w:color w:val="767171"/>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30" w:right="339" w:bottom="1440" w:gutter="0" w:footer="0" w:header="0"/>
        </w:sectPr>
      </w:pPr>
    </w:p>
    <w:bookmarkStart w:id="11" w:name="page12"/>
    <w:bookmarkEnd w:id="11"/>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5171440</wp:posOffset>
            </wp:positionH>
            <wp:positionV relativeFrom="page">
              <wp:posOffset>157480</wp:posOffset>
            </wp:positionV>
            <wp:extent cx="2134235" cy="531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134235" cy="5314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Calculation of Special Items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following tables lists the items that are included as Special Items, net.</w:t>
            </w:r>
          </w:p>
        </w:tc>
        <w:tc>
          <w:tcPr>
            <w:tcW w:w="3140" w:type="dxa"/>
            <w:vAlign w:val="bottom"/>
            <w:tcBorders>
              <w:top w:val="single" w:sz="8" w:color="auto"/>
            </w:tcBorders>
            <w:gridSpan w:val="8"/>
            <w:vMerge w:val="restart"/>
          </w:tcPr>
          <w:p>
            <w:pPr>
              <w:jc w:val="right"/>
              <w:ind w:right="24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141"/>
        </w:trPr>
        <w:tc>
          <w:tcPr>
            <w:tcW w:w="8100" w:type="dxa"/>
            <w:vAlign w:val="bottom"/>
          </w:tcPr>
          <w:p>
            <w:pPr>
              <w:spacing w:after="0"/>
              <w:rPr>
                <w:sz w:val="12"/>
                <w:szCs w:val="12"/>
                <w:color w:val="auto"/>
              </w:rPr>
            </w:pPr>
          </w:p>
        </w:tc>
        <w:tc>
          <w:tcPr>
            <w:tcW w:w="314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8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00" w:type="dxa"/>
            <w:vAlign w:val="bottom"/>
            <w:shd w:val="clear" w:color="auto" w:fill="C6F4F9"/>
          </w:tcPr>
          <w:p>
            <w:pPr>
              <w:spacing w:after="0" w:line="236" w:lineRule="exact"/>
              <w:rPr>
                <w:sz w:val="20"/>
                <w:szCs w:val="20"/>
                <w:color w:val="auto"/>
              </w:rPr>
            </w:pPr>
            <w:r>
              <w:rPr>
                <w:rFonts w:ascii="Arial" w:cs="Arial" w:eastAsia="Arial" w:hAnsi="Arial"/>
                <w:sz w:val="17"/>
                <w:szCs w:val="17"/>
                <w:color w:val="auto"/>
              </w:rPr>
              <w:t xml:space="preserve">CARES Act employee retention credit </w:t>
            </w:r>
            <w:r>
              <w:rPr>
                <w:rFonts w:ascii="Arial" w:cs="Arial" w:eastAsia="Arial" w:hAnsi="Arial"/>
                <w:sz w:val="27"/>
                <w:szCs w:val="27"/>
                <w:color w:val="auto"/>
                <w:vertAlign w:val="superscript"/>
              </w:rPr>
              <w:t>(1)</w:t>
            </w:r>
          </w:p>
        </w:tc>
        <w:tc>
          <w:tcPr>
            <w:tcW w:w="920" w:type="dxa"/>
            <w:vAlign w:val="bottom"/>
            <w:shd w:val="clear" w:color="auto" w:fill="C6F4F9"/>
          </w:tcPr>
          <w:p>
            <w:pPr>
              <w:jc w:val="right"/>
              <w:ind w:right="7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6F4F9"/>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6F4F9"/>
          </w:tcPr>
          <w:p>
            <w:pPr>
              <w:jc w:val="right"/>
              <w:ind w:right="107"/>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6F4F9"/>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8100" w:type="dxa"/>
            <w:vAlign w:val="bottom"/>
          </w:tcPr>
          <w:p>
            <w:pPr>
              <w:spacing w:after="0" w:line="243" w:lineRule="exact"/>
              <w:rPr>
                <w:sz w:val="20"/>
                <w:szCs w:val="20"/>
                <w:color w:val="auto"/>
              </w:rPr>
            </w:pPr>
            <w:r>
              <w:rPr>
                <w:rFonts w:ascii="Arial" w:cs="Arial" w:eastAsia="Arial" w:hAnsi="Arial"/>
                <w:sz w:val="17"/>
                <w:szCs w:val="17"/>
                <w:color w:val="auto"/>
              </w:rPr>
              <w:t xml:space="preserve">CARES Act employee retention credit </w:t>
            </w:r>
            <w:r>
              <w:rPr>
                <w:rFonts w:ascii="Arial" w:cs="Arial" w:eastAsia="Arial" w:hAnsi="Arial"/>
                <w:sz w:val="28"/>
                <w:szCs w:val="28"/>
                <w:color w:val="auto"/>
                <w:vertAlign w:val="superscript"/>
              </w:rPr>
              <w:t>(2)</w:t>
            </w:r>
          </w:p>
        </w:tc>
        <w:tc>
          <w:tcPr>
            <w:tcW w:w="92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8100" w:type="dxa"/>
            <w:vAlign w:val="bottom"/>
            <w:shd w:val="clear" w:color="auto" w:fill="C6F4F9"/>
          </w:tcPr>
          <w:p>
            <w:pPr>
              <w:spacing w:after="0" w:line="256" w:lineRule="exact"/>
              <w:rPr>
                <w:sz w:val="20"/>
                <w:szCs w:val="20"/>
                <w:color w:val="auto"/>
              </w:rPr>
            </w:pPr>
            <w:r>
              <w:rPr>
                <w:rFonts w:ascii="Arial" w:cs="Arial" w:eastAsia="Arial" w:hAnsi="Arial"/>
                <w:sz w:val="18"/>
                <w:szCs w:val="18"/>
                <w:color w:val="auto"/>
              </w:rPr>
              <w:t xml:space="preserve">Aircraft purchase impacts </w:t>
            </w:r>
            <w:r>
              <w:rPr>
                <w:rFonts w:ascii="Arial" w:cs="Arial" w:eastAsia="Arial" w:hAnsi="Arial"/>
                <w:sz w:val="29"/>
                <w:szCs w:val="29"/>
                <w:color w:val="auto"/>
                <w:vertAlign w:val="superscript"/>
              </w:rPr>
              <w:t>(3)</w:t>
            </w:r>
          </w:p>
        </w:tc>
        <w:tc>
          <w:tcPr>
            <w:tcW w:w="920" w:type="dxa"/>
            <w:vAlign w:val="bottom"/>
            <w:shd w:val="clear" w:color="auto" w:fill="C6F4F9"/>
          </w:tcPr>
          <w:p>
            <w:pPr>
              <w:spacing w:after="0"/>
              <w:rPr>
                <w:sz w:val="22"/>
                <w:szCs w:val="22"/>
                <w:color w:val="auto"/>
              </w:rPr>
            </w:pPr>
          </w:p>
        </w:tc>
        <w:tc>
          <w:tcPr>
            <w:tcW w:w="880" w:type="dxa"/>
            <w:vAlign w:val="bottom"/>
            <w:gridSpan w:val="2"/>
            <w:shd w:val="clear" w:color="auto" w:fill="C6F4F9"/>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6F4F9"/>
          </w:tcPr>
          <w:p>
            <w:pPr>
              <w:spacing w:after="0"/>
              <w:rPr>
                <w:sz w:val="22"/>
                <w:szCs w:val="22"/>
                <w:color w:val="auto"/>
              </w:rPr>
            </w:pPr>
          </w:p>
        </w:tc>
        <w:tc>
          <w:tcPr>
            <w:tcW w:w="260" w:type="dxa"/>
            <w:vAlign w:val="bottom"/>
            <w:shd w:val="clear" w:color="auto" w:fill="C6F4F9"/>
          </w:tcPr>
          <w:p>
            <w:pPr>
              <w:spacing w:after="0"/>
              <w:rPr>
                <w:sz w:val="22"/>
                <w:szCs w:val="22"/>
                <w:color w:val="auto"/>
              </w:rPr>
            </w:pPr>
          </w:p>
        </w:tc>
        <w:tc>
          <w:tcPr>
            <w:tcW w:w="1060" w:type="dxa"/>
            <w:vAlign w:val="bottom"/>
            <w:gridSpan w:val="3"/>
            <w:shd w:val="clear" w:color="auto" w:fill="C6F4F9"/>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Arial" w:cs="Arial" w:eastAsia="Arial" w:hAnsi="Arial"/>
                <w:sz w:val="18"/>
                <w:szCs w:val="18"/>
                <w:color w:val="auto"/>
              </w:rPr>
              <w:t>Total special items, net</w:t>
            </w:r>
          </w:p>
        </w:tc>
        <w:tc>
          <w:tcPr>
            <w:tcW w:w="9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60" w:hanging="328"/>
        <w:spacing w:after="0" w:line="187" w:lineRule="auto"/>
        <w:tabs>
          <w:tab w:leader="none" w:pos="66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In the quarter ended March 31, 2021, the United States Department of the Treasury awarded the Company a grant of $32.2 under the Payroll Support Program Extension (“PSP2”) under the Consolidated Appropriations Act, 2021</w:t>
      </w:r>
    </w:p>
    <w:p>
      <w:pPr>
        <w:spacing w:after="0" w:line="1" w:lineRule="exact"/>
        <w:rPr>
          <w:rFonts w:ascii="Arial" w:cs="Arial" w:eastAsia="Arial" w:hAnsi="Arial"/>
          <w:sz w:val="29"/>
          <w:szCs w:val="29"/>
          <w:color w:val="auto"/>
          <w:vertAlign w:val="superscript"/>
        </w:rPr>
      </w:pPr>
    </w:p>
    <w:p>
      <w:pPr>
        <w:ind w:left="660" w:right="20" w:hanging="328"/>
        <w:spacing w:after="0" w:line="187" w:lineRule="auto"/>
        <w:tabs>
          <w:tab w:leader="none" w:pos="660"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Relates to a credit recognized under the CARES Act Employee Retention credit which is a refundable tax credit against certain employee taxes</w:t>
      </w:r>
    </w:p>
    <w:p>
      <w:pPr>
        <w:spacing w:after="0" w:line="1" w:lineRule="exact"/>
        <w:rPr>
          <w:rFonts w:ascii="Arial" w:cs="Arial" w:eastAsia="Arial" w:hAnsi="Arial"/>
          <w:sz w:val="28"/>
          <w:szCs w:val="28"/>
          <w:color w:val="auto"/>
          <w:vertAlign w:val="superscript"/>
        </w:rPr>
      </w:pPr>
    </w:p>
    <w:p>
      <w:pPr>
        <w:jc w:val="both"/>
        <w:ind w:left="660" w:hanging="328"/>
        <w:spacing w:after="0" w:line="200" w:lineRule="auto"/>
        <w:tabs>
          <w:tab w:leader="none" w:pos="66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Five aircraft were purchase in March 2021 that were previously under operating lease. Aircraft lease buy-out expense represents the net costs incurred to terminate the leases on those five aircraft. This includes the associated lease termination costs, write-off of previously capitalized maintenance deposits, and the write-off of over-market liabilities.</w:t>
      </w:r>
    </w:p>
    <w:p>
      <w:pPr>
        <w:spacing w:after="0" w:line="277" w:lineRule="exact"/>
        <w:rPr>
          <w:sz w:val="20"/>
          <w:szCs w:val="20"/>
          <w:color w:val="auto"/>
        </w:rPr>
      </w:pPr>
    </w:p>
    <w:p>
      <w:pPr>
        <w:jc w:val="right"/>
        <w:spacing w:after="0"/>
        <w:tabs>
          <w:tab w:leader="none" w:pos="2920" w:val="left"/>
        </w:tabs>
        <w:rPr>
          <w:sz w:val="20"/>
          <w:szCs w:val="20"/>
          <w:color w:val="auto"/>
        </w:rPr>
      </w:pPr>
      <w:r>
        <w:rPr>
          <w:rFonts w:ascii="Times New Roman" w:cs="Times New Roman" w:eastAsia="Times New Roman" w:hAnsi="Times New Roman"/>
          <w:sz w:val="18"/>
          <w:szCs w:val="18"/>
          <w:color w:val="auto"/>
        </w:rPr>
        <w:t>Page 9</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11"/>
          <w:szCs w:val="11"/>
          <w:color w:val="7671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5171440</wp:posOffset>
            </wp:positionH>
            <wp:positionV relativeFrom="page">
              <wp:posOffset>157480</wp:posOffset>
            </wp:positionV>
            <wp:extent cx="2134235" cy="53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134235" cy="531495"/>
                    </a:xfrm>
                    <a:prstGeom prst="rect">
                      <a:avLst/>
                    </a:prstGeom>
                    <a:noFill/>
                  </pic:spPr>
                </pic:pic>
              </a:graphicData>
            </a:graphic>
          </wp:anchor>
        </w:drawing>
        <w:t>NON-GAAP FINANCIAL MEASURES</w:t>
      </w:r>
    </w:p>
    <w:p>
      <w:pPr>
        <w:spacing w:after="0" w:line="144" w:lineRule="exact"/>
        <w:rPr>
          <w:sz w:val="20"/>
          <w:szCs w:val="20"/>
          <w:color w:val="auto"/>
        </w:rPr>
      </w:pPr>
    </w:p>
    <w:p>
      <w:pPr>
        <w:ind w:right="380"/>
        <w:spacing w:after="0" w:line="281" w:lineRule="auto"/>
        <w:rPr>
          <w:sz w:val="20"/>
          <w:szCs w:val="20"/>
          <w:color w:val="auto"/>
        </w:rPr>
      </w:pPr>
      <w:r>
        <w:rPr>
          <w:rFonts w:ascii="Arial" w:cs="Arial" w:eastAsia="Arial" w:hAnsi="Arial"/>
          <w:sz w:val="18"/>
          <w:szCs w:val="18"/>
          <w:b w:val="1"/>
          <w:bCs w:val="1"/>
          <w:color w:val="auto"/>
        </w:rPr>
        <w:t>Adjusted Operating Income, Adjusted Operating Income Margin, Adjusted Income Before Income Tax, Adjusted Pre-tax Margin, Adjusted Net Income, Adjusted EBITDAR and Adjusted EBITDAR Margin</w:t>
      </w:r>
    </w:p>
    <w:p>
      <w:pPr>
        <w:spacing w:after="0" w:line="2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Adjusted Operating Income, Adjusted Operating Income Margin, Adjusted Income Before Income Tax, Adjusted Pre-tax Margin,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and Adjusted EBITDAR Margin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and Adjusted EBITDAR Margin may be recurring in nature and should not be disregarded in evaluation of our earnings performance, Adjusted EBITDAR and Adjusted EBITDAR Margin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and Adjusted EBITDAR Margin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18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Adjusted Operating Income, Adjusted Operating Income Margin, Adjusted Income Before Income Tax, Adjusted Pre-tax Margin, Adjusted Net Income, Adjusted EBITDAR and Adjusted EBITDAR Margin have limitations as analytical tools. Some of the limitations applicable to these measures include: Adjusted Operating Income, Adjusted Operating Income Margin, Adjusted Income Before Income Tax, Adjusted Pre-tax Margin, Adjusted Net Income, Adjusted EBITDAR and Adjusted EBITDAR Margin do not reflect the impact of certain cash charges resulting from matters we consider not to be indicative of our ongoing operations; Adjusted EBITDAR and Adjusted EBITDAR Margin does not reflect our cash expenditures, or future requirements, for capital expenditures or contractual commitments; Adjusted EBITDAR and Adjusted EBITDAR Margin does not reflect changes in, or cash requirements for, our working capital needs; they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and Adjusted EBITDAR Margin does not reflect any cash requirements for such replacements; and other companies in our industry may calculate Adjusted Operating Income, Adjusted Operating Income Margin, Adjusted Income Before Income Tax, Adjusted Pre-tax Margin, Adjusted Net Income, Adjusted EBITDAR and Adjusted EBITDAR Margin differently than we do, limiting each measure’s usefulness as a comparative measure. Because of these limitations, Adjusted Operating Income, Adjusted Operating Income Margin, Adjusted Income Before Income Tax, Adjusted Pre-tax Margin, Adjusted Net Income, Adjusted EBITDAR and Adjusted EBITDAR Margin should not be considered in isolation or as a substitute for performance measures calculated in accordance with GAAP.</w:t>
      </w:r>
    </w:p>
    <w:p>
      <w:pPr>
        <w:spacing w:after="0" w:line="18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As derivations of operating income and net income are not determined in accordance with GAAP, such measures are susceptible to varying calculations and not all companies calculate the measures in the same manner. As a result, derivations of operating income and net income, including Adjusted Operating Income, Adjusted Operating Income Margin, Adjusted Income Before Income Tax, Adjusted Pre-tax Margin, Adjusted Net Income, Adjusted EBITDAR and Adjusted EBITDAR Margin, as presented may not be directly comparable</w:t>
      </w:r>
    </w:p>
    <w:p>
      <w:pPr>
        <w:spacing w:after="0" w:line="66" w:lineRule="exact"/>
        <w:rPr>
          <w:sz w:val="20"/>
          <w:szCs w:val="20"/>
          <w:color w:val="auto"/>
        </w:rPr>
      </w:pPr>
    </w:p>
    <w:p>
      <w:pPr>
        <w:jc w:val="right"/>
        <w:spacing w:after="0"/>
        <w:tabs>
          <w:tab w:leader="none" w:pos="2920" w:val="left"/>
        </w:tabs>
        <w:rPr>
          <w:sz w:val="20"/>
          <w:szCs w:val="20"/>
          <w:color w:val="auto"/>
        </w:rPr>
      </w:pPr>
      <w:r>
        <w:rPr>
          <w:rFonts w:ascii="Times New Roman" w:cs="Times New Roman" w:eastAsia="Times New Roman" w:hAnsi="Times New Roman"/>
          <w:sz w:val="18"/>
          <w:szCs w:val="18"/>
          <w:color w:val="auto"/>
        </w:rPr>
        <w:t>Page 10</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11"/>
          <w:szCs w:val="11"/>
          <w:color w:val="7671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3" w:name="page14"/>
    <w:bookmarkEnd w:id="13"/>
    <w:p>
      <w:pPr>
        <w:ind w:right="2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5171440</wp:posOffset>
            </wp:positionH>
            <wp:positionV relativeFrom="page">
              <wp:posOffset>157480</wp:posOffset>
            </wp:positionV>
            <wp:extent cx="2134235" cy="531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134235" cy="531495"/>
                    </a:xfrm>
                    <a:prstGeom prst="rect">
                      <a:avLst/>
                    </a:prstGeom>
                    <a:noFill/>
                  </pic:spPr>
                </pic:pic>
              </a:graphicData>
            </a:graphic>
          </wp:anchor>
        </w:drawing>
        <w:t>to similarly titled measures presented by other companies. For the foregoing reasons, each of Adjusted Operating Income, Adjusted Operating Income Margin, Adjusted Income Before Income Tax, Adjusted Pre-tax Margin, Adjusted Net Income, Adjusted EBITDAR and Adjusted EBITDAR Margin has significant limitations which affect its use as an indicator of our profitability and valuation. Accordingly, you are cautioned not to place undue reliance on this information.</w:t>
      </w:r>
    </w:p>
    <w:p>
      <w:pPr>
        <w:spacing w:after="0" w:line="160" w:lineRule="exact"/>
        <w:rPr>
          <w:sz w:val="20"/>
          <w:szCs w:val="20"/>
          <w:color w:val="auto"/>
        </w:rPr>
      </w:pPr>
    </w:p>
    <w:p>
      <w:pPr>
        <w:ind w:right="4540"/>
        <w:spacing w:after="0" w:line="253" w:lineRule="auto"/>
        <w:rPr>
          <w:sz w:val="20"/>
          <w:szCs w:val="20"/>
          <w:color w:val="auto"/>
        </w:rPr>
      </w:pPr>
      <w:r>
        <w:rPr>
          <w:rFonts w:ascii="Arial" w:cs="Arial" w:eastAsia="Arial" w:hAnsi="Arial"/>
          <w:sz w:val="18"/>
          <w:szCs w:val="18"/>
          <w:b w:val="1"/>
          <w:bCs w:val="1"/>
          <w:color w:val="auto"/>
        </w:rPr>
        <w:t>Reconciliation of Adjusted Operating Income to GAAP Operating Income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reconciliation of adjusted operating income to GAAP operating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r>
      <w:tr>
        <w:trPr>
          <w:trHeight w:val="203"/>
        </w:trPr>
        <w:tc>
          <w:tcPr>
            <w:tcW w:w="5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4"/>
          </w:tcPr>
          <w:p>
            <w:pPr>
              <w:jc w:val="right"/>
              <w:ind w:right="70"/>
              <w:spacing w:after="0" w:line="202" w:lineRule="exact"/>
              <w:rPr>
                <w:sz w:val="20"/>
                <w:szCs w:val="20"/>
                <w:color w:val="auto"/>
              </w:rPr>
            </w:pPr>
            <w:r>
              <w:rPr>
                <w:rFonts w:ascii="Arial" w:cs="Arial" w:eastAsia="Arial" w:hAnsi="Arial"/>
                <w:sz w:val="18"/>
                <w:szCs w:val="18"/>
                <w:b w:val="1"/>
                <w:bCs w:val="1"/>
                <w:color w:val="auto"/>
              </w:rPr>
              <w:t>March 31,</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1"/>
        </w:trPr>
        <w:tc>
          <w:tcPr>
            <w:tcW w:w="55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r>
      <w:tr>
        <w:trPr>
          <w:trHeight w:val="196"/>
        </w:trPr>
        <w:tc>
          <w:tcPr>
            <w:tcW w:w="550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Operating revenue</w:t>
            </w:r>
          </w:p>
        </w:tc>
        <w:tc>
          <w:tcPr>
            <w:tcW w:w="2820" w:type="dxa"/>
            <w:vAlign w:val="bottom"/>
            <w:gridSpan w:val="2"/>
            <w:shd w:val="clear" w:color="auto" w:fill="C6F4F9"/>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6F4F9"/>
          </w:tcPr>
          <w:p>
            <w:pPr>
              <w:jc w:val="right"/>
              <w:ind w:right="380"/>
              <w:spacing w:after="0" w:line="196" w:lineRule="exact"/>
              <w:rPr>
                <w:sz w:val="20"/>
                <w:szCs w:val="20"/>
                <w:color w:val="auto"/>
              </w:rPr>
            </w:pPr>
            <w:r>
              <w:rPr>
                <w:rFonts w:ascii="Arial" w:cs="Arial" w:eastAsia="Arial" w:hAnsi="Arial"/>
                <w:sz w:val="18"/>
                <w:szCs w:val="18"/>
                <w:color w:val="auto"/>
              </w:rPr>
              <w:t>226.5</w:t>
            </w:r>
          </w:p>
        </w:tc>
        <w:tc>
          <w:tcPr>
            <w:tcW w:w="580" w:type="dxa"/>
            <w:vAlign w:val="bottom"/>
            <w:gridSpan w:val="2"/>
            <w:shd w:val="clear" w:color="auto" w:fill="C6F4F9"/>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6F4F9"/>
          </w:tcPr>
          <w:p>
            <w:pPr>
              <w:jc w:val="right"/>
              <w:ind w:right="160"/>
              <w:spacing w:after="0" w:line="196" w:lineRule="exact"/>
              <w:rPr>
                <w:sz w:val="20"/>
                <w:szCs w:val="20"/>
                <w:color w:val="auto"/>
              </w:rPr>
            </w:pPr>
            <w:r>
              <w:rPr>
                <w:rFonts w:ascii="Arial" w:cs="Arial" w:eastAsia="Arial" w:hAnsi="Arial"/>
                <w:sz w:val="18"/>
                <w:szCs w:val="18"/>
                <w:color w:val="auto"/>
              </w:rPr>
              <w:t>127.6</w:t>
            </w:r>
          </w:p>
        </w:tc>
      </w:tr>
      <w:tr>
        <w:trPr>
          <w:trHeight w:val="202"/>
        </w:trPr>
        <w:tc>
          <w:tcPr>
            <w:tcW w:w="550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21.8</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24.9</w:t>
            </w:r>
          </w:p>
        </w:tc>
      </w:tr>
      <w:tr>
        <w:trPr>
          <w:trHeight w:val="243"/>
        </w:trPr>
        <w:tc>
          <w:tcPr>
            <w:tcW w:w="550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2520" w:type="dxa"/>
            <w:vAlign w:val="bottom"/>
            <w:shd w:val="clear" w:color="auto" w:fill="C6F4F9"/>
          </w:tcPr>
          <w:p>
            <w:pPr>
              <w:spacing w:after="0"/>
              <w:rPr>
                <w:sz w:val="21"/>
                <w:szCs w:val="21"/>
                <w:color w:val="auto"/>
              </w:rPr>
            </w:pPr>
          </w:p>
        </w:tc>
        <w:tc>
          <w:tcPr>
            <w:tcW w:w="300" w:type="dxa"/>
            <w:vAlign w:val="bottom"/>
            <w:shd w:val="clear" w:color="auto" w:fill="C6F4F9"/>
          </w:tcPr>
          <w:p>
            <w:pPr>
              <w:spacing w:after="0"/>
              <w:rPr>
                <w:sz w:val="21"/>
                <w:szCs w:val="21"/>
                <w:color w:val="auto"/>
              </w:rPr>
            </w:pPr>
          </w:p>
        </w:tc>
        <w:tc>
          <w:tcPr>
            <w:tcW w:w="1300" w:type="dxa"/>
            <w:vAlign w:val="bottom"/>
            <w:gridSpan w:val="2"/>
            <w:shd w:val="clear" w:color="auto" w:fill="C6F4F9"/>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6F4F9"/>
          </w:tcPr>
          <w:p>
            <w:pPr>
              <w:spacing w:after="0"/>
              <w:rPr>
                <w:sz w:val="21"/>
                <w:szCs w:val="21"/>
                <w:color w:val="auto"/>
              </w:rPr>
            </w:pPr>
          </w:p>
        </w:tc>
        <w:tc>
          <w:tcPr>
            <w:tcW w:w="360" w:type="dxa"/>
            <w:vAlign w:val="bottom"/>
            <w:shd w:val="clear" w:color="auto" w:fill="C6F4F9"/>
          </w:tcPr>
          <w:p>
            <w:pPr>
              <w:spacing w:after="0"/>
              <w:rPr>
                <w:sz w:val="21"/>
                <w:szCs w:val="21"/>
                <w:color w:val="auto"/>
              </w:rPr>
            </w:pPr>
          </w:p>
        </w:tc>
        <w:tc>
          <w:tcPr>
            <w:tcW w:w="104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(26.9)</w:t>
            </w: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0.9</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w:t>
            </w:r>
          </w:p>
        </w:tc>
      </w:tr>
      <w:tr>
        <w:trPr>
          <w:trHeight w:val="257"/>
        </w:trPr>
        <w:tc>
          <w:tcPr>
            <w:tcW w:w="5500" w:type="dxa"/>
            <w:vAlign w:val="bottom"/>
            <w:shd w:val="clear" w:color="auto" w:fill="C6F4F9"/>
          </w:tcPr>
          <w:p>
            <w:pPr>
              <w:spacing w:after="0" w:line="256" w:lineRule="exact"/>
              <w:rPr>
                <w:sz w:val="20"/>
                <w:szCs w:val="20"/>
                <w:color w:val="auto"/>
              </w:rPr>
            </w:pPr>
            <w:r>
              <w:rPr>
                <w:rFonts w:ascii="Arial" w:cs="Arial" w:eastAsia="Arial" w:hAnsi="Arial"/>
                <w:sz w:val="18"/>
                <w:szCs w:val="18"/>
                <w:color w:val="auto"/>
              </w:rPr>
              <w:t>Tax receivable agreement expense</w:t>
            </w:r>
            <w:r>
              <w:rPr>
                <w:rFonts w:ascii="Arial" w:cs="Arial" w:eastAsia="Arial" w:hAnsi="Arial"/>
                <w:sz w:val="29"/>
                <w:szCs w:val="29"/>
                <w:color w:val="auto"/>
                <w:vertAlign w:val="superscript"/>
              </w:rPr>
              <w:t>(2)</w:t>
            </w:r>
          </w:p>
        </w:tc>
        <w:tc>
          <w:tcPr>
            <w:tcW w:w="2520" w:type="dxa"/>
            <w:vAlign w:val="bottom"/>
            <w:shd w:val="clear" w:color="auto" w:fill="C6F4F9"/>
          </w:tcPr>
          <w:p>
            <w:pPr>
              <w:spacing w:after="0"/>
              <w:rPr>
                <w:sz w:val="22"/>
                <w:szCs w:val="22"/>
                <w:color w:val="auto"/>
              </w:rPr>
            </w:pPr>
          </w:p>
        </w:tc>
        <w:tc>
          <w:tcPr>
            <w:tcW w:w="300" w:type="dxa"/>
            <w:vAlign w:val="bottom"/>
            <w:shd w:val="clear" w:color="auto" w:fill="C6F4F9"/>
          </w:tcPr>
          <w:p>
            <w:pPr>
              <w:spacing w:after="0"/>
              <w:rPr>
                <w:sz w:val="22"/>
                <w:szCs w:val="22"/>
                <w:color w:val="auto"/>
              </w:rPr>
            </w:pPr>
          </w:p>
        </w:tc>
        <w:tc>
          <w:tcPr>
            <w:tcW w:w="1300" w:type="dxa"/>
            <w:vAlign w:val="bottom"/>
            <w:gridSpan w:val="2"/>
            <w:shd w:val="clear" w:color="auto" w:fill="C6F4F9"/>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6F4F9"/>
          </w:tcPr>
          <w:p>
            <w:pPr>
              <w:spacing w:after="0"/>
              <w:rPr>
                <w:sz w:val="22"/>
                <w:szCs w:val="22"/>
                <w:color w:val="auto"/>
              </w:rPr>
            </w:pPr>
          </w:p>
        </w:tc>
        <w:tc>
          <w:tcPr>
            <w:tcW w:w="360" w:type="dxa"/>
            <w:vAlign w:val="bottom"/>
            <w:shd w:val="clear" w:color="auto" w:fill="C6F4F9"/>
          </w:tcPr>
          <w:p>
            <w:pPr>
              <w:spacing w:after="0"/>
              <w:rPr>
                <w:sz w:val="22"/>
                <w:szCs w:val="22"/>
                <w:color w:val="auto"/>
              </w:rPr>
            </w:pPr>
          </w:p>
        </w:tc>
        <w:tc>
          <w:tcPr>
            <w:tcW w:w="1040" w:type="dxa"/>
            <w:vAlign w:val="bottom"/>
            <w:gridSpan w:val="2"/>
            <w:shd w:val="clear" w:color="auto" w:fill="C6F4F9"/>
          </w:tcPr>
          <w:p>
            <w:pPr>
              <w:jc w:val="right"/>
              <w:ind w:right="160"/>
              <w:spacing w:after="0"/>
              <w:rPr>
                <w:sz w:val="20"/>
                <w:szCs w:val="20"/>
                <w:color w:val="auto"/>
              </w:rPr>
            </w:pPr>
            <w:r>
              <w:rPr>
                <w:rFonts w:ascii="Arial" w:cs="Arial" w:eastAsia="Arial" w:hAnsi="Arial"/>
                <w:sz w:val="18"/>
                <w:szCs w:val="18"/>
                <w:color w:val="auto"/>
              </w:rPr>
              <w:t>0.3</w:t>
            </w:r>
          </w:p>
        </w:tc>
      </w:tr>
      <w:tr>
        <w:trPr>
          <w:trHeight w:val="249"/>
        </w:trPr>
        <w:tc>
          <w:tcPr>
            <w:tcW w:w="5500" w:type="dxa"/>
            <w:vAlign w:val="bottom"/>
            <w:tcBorders>
              <w:bottom w:val="single" w:sz="8" w:color="C6F4F9"/>
            </w:tcBorders>
          </w:tcPr>
          <w:p>
            <w:pPr>
              <w:spacing w:after="0"/>
              <w:rPr>
                <w:sz w:val="20"/>
                <w:szCs w:val="20"/>
                <w:color w:val="auto"/>
              </w:rPr>
            </w:pPr>
            <w:r>
              <w:rPr>
                <w:rFonts w:ascii="Arial" w:cs="Arial" w:eastAsia="Arial" w:hAnsi="Arial"/>
                <w:sz w:val="18"/>
                <w:szCs w:val="18"/>
                <w:color w:val="auto"/>
              </w:rPr>
              <w:t>Adjusted operating income</w:t>
            </w:r>
          </w:p>
        </w:tc>
        <w:tc>
          <w:tcPr>
            <w:tcW w:w="2520" w:type="dxa"/>
            <w:vAlign w:val="bottom"/>
            <w:tcBorders>
              <w:bottom w:val="single" w:sz="8" w:color="C6F4F9"/>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380" w:type="dxa"/>
            <w:vAlign w:val="bottom"/>
            <w:tcBorders>
              <w:bottom w:val="single" w:sz="8" w:color="C6F4F9"/>
            </w:tcBorders>
          </w:tcPr>
          <w:p>
            <w:pPr>
              <w:spacing w:after="0"/>
              <w:rPr>
                <w:sz w:val="21"/>
                <w:szCs w:val="21"/>
                <w:color w:val="auto"/>
              </w:rPr>
            </w:pPr>
          </w:p>
        </w:tc>
        <w:tc>
          <w:tcPr>
            <w:tcW w:w="220" w:type="dxa"/>
            <w:vAlign w:val="bottom"/>
            <w:tcBorders>
              <w:bottom w:val="single" w:sz="8" w:color="C6F4F9"/>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6F4F9"/>
            </w:tcBorders>
          </w:tcPr>
          <w:p>
            <w:pPr>
              <w:spacing w:after="0"/>
              <w:rPr>
                <w:sz w:val="21"/>
                <w:szCs w:val="21"/>
                <w:color w:val="auto"/>
              </w:rPr>
            </w:pPr>
          </w:p>
        </w:tc>
      </w:tr>
      <w:tr>
        <w:trPr>
          <w:trHeight w:val="143"/>
        </w:trPr>
        <w:tc>
          <w:tcPr>
            <w:tcW w:w="5500" w:type="dxa"/>
            <w:vAlign w:val="bottom"/>
            <w:shd w:val="clear" w:color="auto" w:fill="C6F4F9"/>
          </w:tcPr>
          <w:p>
            <w:pPr>
              <w:spacing w:after="0"/>
              <w:rPr>
                <w:sz w:val="12"/>
                <w:szCs w:val="12"/>
                <w:color w:val="auto"/>
              </w:rPr>
            </w:pPr>
          </w:p>
        </w:tc>
        <w:tc>
          <w:tcPr>
            <w:tcW w:w="2520" w:type="dxa"/>
            <w:vAlign w:val="bottom"/>
            <w:shd w:val="clear" w:color="auto" w:fill="C6F4F9"/>
          </w:tcPr>
          <w:p>
            <w:pPr>
              <w:spacing w:after="0"/>
              <w:rPr>
                <w:sz w:val="12"/>
                <w:szCs w:val="12"/>
                <w:color w:val="auto"/>
              </w:rPr>
            </w:pPr>
          </w:p>
        </w:tc>
        <w:tc>
          <w:tcPr>
            <w:tcW w:w="300" w:type="dxa"/>
            <w:vAlign w:val="bottom"/>
            <w:shd w:val="clear" w:color="auto" w:fill="C6F4F9"/>
          </w:tcPr>
          <w:p>
            <w:pPr>
              <w:spacing w:after="0"/>
              <w:rPr>
                <w:sz w:val="12"/>
                <w:szCs w:val="12"/>
                <w:color w:val="auto"/>
              </w:rPr>
            </w:pPr>
          </w:p>
        </w:tc>
        <w:tc>
          <w:tcPr>
            <w:tcW w:w="920" w:type="dxa"/>
            <w:vAlign w:val="bottom"/>
            <w:shd w:val="clear" w:color="auto" w:fill="C6F4F9"/>
          </w:tcPr>
          <w:p>
            <w:pPr>
              <w:spacing w:after="0"/>
              <w:rPr>
                <w:sz w:val="12"/>
                <w:szCs w:val="12"/>
                <w:color w:val="auto"/>
              </w:rPr>
            </w:pPr>
          </w:p>
        </w:tc>
        <w:tc>
          <w:tcPr>
            <w:tcW w:w="380" w:type="dxa"/>
            <w:vAlign w:val="bottom"/>
            <w:shd w:val="clear" w:color="auto" w:fill="C6F4F9"/>
          </w:tcPr>
          <w:p>
            <w:pPr>
              <w:spacing w:after="0"/>
              <w:rPr>
                <w:sz w:val="12"/>
                <w:szCs w:val="12"/>
                <w:color w:val="auto"/>
              </w:rPr>
            </w:pPr>
          </w:p>
        </w:tc>
        <w:tc>
          <w:tcPr>
            <w:tcW w:w="220" w:type="dxa"/>
            <w:vAlign w:val="bottom"/>
            <w:shd w:val="clear" w:color="auto" w:fill="C6F4F9"/>
          </w:tcPr>
          <w:p>
            <w:pPr>
              <w:spacing w:after="0"/>
              <w:rPr>
                <w:sz w:val="12"/>
                <w:szCs w:val="12"/>
                <w:color w:val="auto"/>
              </w:rPr>
            </w:pPr>
          </w:p>
        </w:tc>
        <w:tc>
          <w:tcPr>
            <w:tcW w:w="360" w:type="dxa"/>
            <w:vAlign w:val="bottom"/>
            <w:shd w:val="clear" w:color="auto" w:fill="C6F4F9"/>
          </w:tcPr>
          <w:p>
            <w:pPr>
              <w:spacing w:after="0"/>
              <w:rPr>
                <w:sz w:val="12"/>
                <w:szCs w:val="12"/>
                <w:color w:val="auto"/>
              </w:rPr>
            </w:pPr>
          </w:p>
        </w:tc>
        <w:tc>
          <w:tcPr>
            <w:tcW w:w="880" w:type="dxa"/>
            <w:vAlign w:val="bottom"/>
            <w:shd w:val="clear" w:color="auto" w:fill="C6F4F9"/>
          </w:tcPr>
          <w:p>
            <w:pPr>
              <w:spacing w:after="0"/>
              <w:rPr>
                <w:sz w:val="12"/>
                <w:szCs w:val="12"/>
                <w:color w:val="auto"/>
              </w:rPr>
            </w:pPr>
          </w:p>
        </w:tc>
        <w:tc>
          <w:tcPr>
            <w:tcW w:w="160" w:type="dxa"/>
            <w:vAlign w:val="bottom"/>
            <w:shd w:val="clear" w:color="auto" w:fill="C6F4F9"/>
          </w:tcPr>
          <w:p>
            <w:pPr>
              <w:spacing w:after="0"/>
              <w:rPr>
                <w:sz w:val="12"/>
                <w:szCs w:val="12"/>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Operating income margin</w:t>
            </w:r>
          </w:p>
        </w:tc>
        <w:tc>
          <w:tcPr>
            <w:tcW w:w="2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19.5%</w:t>
            </w:r>
          </w:p>
        </w:tc>
      </w:tr>
      <w:tr>
        <w:trPr>
          <w:trHeight w:val="203"/>
        </w:trPr>
        <w:tc>
          <w:tcPr>
            <w:tcW w:w="550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Adjusted operating income margin</w:t>
            </w:r>
          </w:p>
        </w:tc>
        <w:tc>
          <w:tcPr>
            <w:tcW w:w="252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300" w:type="dxa"/>
            <w:vAlign w:val="bottom"/>
            <w:gridSpan w:val="2"/>
            <w:shd w:val="clear" w:color="auto" w:fill="C6F4F9"/>
          </w:tcPr>
          <w:p>
            <w:pPr>
              <w:jc w:val="right"/>
              <w:ind w:right="220"/>
              <w:spacing w:after="0" w:line="202" w:lineRule="exact"/>
              <w:rPr>
                <w:sz w:val="20"/>
                <w:szCs w:val="20"/>
                <w:color w:val="auto"/>
              </w:rPr>
            </w:pPr>
            <w:r>
              <w:rPr>
                <w:rFonts w:ascii="Arial" w:cs="Arial" w:eastAsia="Arial" w:hAnsi="Arial"/>
                <w:sz w:val="18"/>
                <w:szCs w:val="18"/>
                <w:color w:val="auto"/>
              </w:rPr>
              <w:t>10.0%</w:t>
            </w:r>
          </w:p>
        </w:tc>
        <w:tc>
          <w:tcPr>
            <w:tcW w:w="220" w:type="dxa"/>
            <w:vAlign w:val="bottom"/>
            <w:shd w:val="clear" w:color="auto" w:fill="C6F4F9"/>
          </w:tcPr>
          <w:p>
            <w:pPr>
              <w:spacing w:after="0"/>
              <w:rPr>
                <w:sz w:val="17"/>
                <w:szCs w:val="17"/>
                <w:color w:val="auto"/>
              </w:rPr>
            </w:pPr>
          </w:p>
        </w:tc>
        <w:tc>
          <w:tcPr>
            <w:tcW w:w="360" w:type="dxa"/>
            <w:vAlign w:val="bottom"/>
            <w:shd w:val="clear" w:color="auto" w:fill="C6F4F9"/>
          </w:tcPr>
          <w:p>
            <w:pPr>
              <w:spacing w:after="0"/>
              <w:rPr>
                <w:sz w:val="17"/>
                <w:szCs w:val="17"/>
                <w:color w:val="auto"/>
              </w:rPr>
            </w:pPr>
          </w:p>
        </w:tc>
        <w:tc>
          <w:tcPr>
            <w:tcW w:w="1040" w:type="dxa"/>
            <w:vAlign w:val="bottom"/>
            <w:gridSpan w:val="2"/>
            <w:shd w:val="clear" w:color="auto" w:fill="C6F4F9"/>
          </w:tcPr>
          <w:p>
            <w:pPr>
              <w:jc w:val="right"/>
              <w:spacing w:after="0" w:line="202" w:lineRule="exact"/>
              <w:rPr>
                <w:sz w:val="20"/>
                <w:szCs w:val="20"/>
                <w:color w:val="auto"/>
              </w:rPr>
            </w:pPr>
            <w:r>
              <w:rPr>
                <w:rFonts w:ascii="Arial" w:cs="Arial" w:eastAsia="Arial" w:hAnsi="Arial"/>
                <w:sz w:val="18"/>
                <w:szCs w:val="18"/>
                <w:color w:val="auto"/>
              </w:rPr>
              <w:t>0.9%</w:t>
            </w:r>
          </w:p>
        </w:tc>
      </w:tr>
    </w:tbl>
    <w:p>
      <w:pPr>
        <w:spacing w:after="0" w:line="18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w:t>
      </w:r>
    </w:p>
    <w:p>
      <w:pPr>
        <w:spacing w:after="0" w:line="329" w:lineRule="exact"/>
        <w:rPr>
          <w:sz w:val="20"/>
          <w:szCs w:val="20"/>
          <w:color w:val="auto"/>
        </w:rPr>
      </w:pPr>
    </w:p>
    <w:p>
      <w:pPr>
        <w:ind w:right="2980"/>
        <w:spacing w:after="0" w:line="253" w:lineRule="auto"/>
        <w:rPr>
          <w:sz w:val="20"/>
          <w:szCs w:val="20"/>
          <w:color w:val="auto"/>
        </w:rPr>
      </w:pPr>
      <w:r>
        <w:rPr>
          <w:rFonts w:ascii="Arial" w:cs="Arial" w:eastAsia="Arial" w:hAnsi="Arial"/>
          <w:sz w:val="18"/>
          <w:szCs w:val="18"/>
          <w:b w:val="1"/>
          <w:bCs w:val="1"/>
          <w:color w:val="auto"/>
        </w:rPr>
        <w:t>Reconciliation of Adjusted Income Before Income (Loss)Tax to GAAP Income Before Income Tax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reconciliation of adjusted income (loss) before income tax to GAAP income before income tax.</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gridSpan w:val="5"/>
          </w:tcPr>
          <w:p>
            <w:pPr>
              <w:jc w:val="right"/>
              <w:ind w:right="681"/>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7"/>
        </w:trPr>
        <w:tc>
          <w:tcPr>
            <w:tcW w:w="56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8"/>
              </w:rPr>
              <w:t>March 31,</w:t>
            </w:r>
          </w:p>
        </w:tc>
        <w:tc>
          <w:tcPr>
            <w:tcW w:w="8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56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4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Income</w:t>
            </w:r>
          </w:p>
        </w:tc>
        <w:tc>
          <w:tcPr>
            <w:tcW w:w="2620" w:type="dxa"/>
            <w:vAlign w:val="bottom"/>
            <w:gridSpan w:val="2"/>
            <w:shd w:val="clear" w:color="auto" w:fill="C6F4F9"/>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6F4F9"/>
          </w:tcPr>
          <w:p>
            <w:pPr>
              <w:jc w:val="right"/>
              <w:ind w:right="510"/>
              <w:spacing w:after="0" w:line="196" w:lineRule="exact"/>
              <w:rPr>
                <w:sz w:val="20"/>
                <w:szCs w:val="20"/>
                <w:color w:val="auto"/>
              </w:rPr>
            </w:pPr>
            <w:r>
              <w:rPr>
                <w:rFonts w:ascii="Arial" w:cs="Arial" w:eastAsia="Arial" w:hAnsi="Arial"/>
                <w:sz w:val="18"/>
                <w:szCs w:val="18"/>
                <w:color w:val="auto"/>
              </w:rPr>
              <w:t>3.6</w:t>
            </w:r>
          </w:p>
        </w:tc>
        <w:tc>
          <w:tcPr>
            <w:tcW w:w="380" w:type="dxa"/>
            <w:vAlign w:val="bottom"/>
            <w:shd w:val="clear" w:color="auto" w:fill="C6F4F9"/>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6F4F9"/>
          </w:tcPr>
          <w:p>
            <w:pPr>
              <w:jc w:val="right"/>
              <w:ind w:right="141"/>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Add: Provision for income tax expense</w:t>
            </w: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510"/>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5640" w:type="dxa"/>
            <w:vAlign w:val="bottom"/>
            <w:tcBorders>
              <w:top w:val="single" w:sz="8" w:color="C6F4F9"/>
            </w:tcBorders>
            <w:shd w:val="clear" w:color="auto" w:fill="C6F4F9"/>
          </w:tcPr>
          <w:p>
            <w:pPr>
              <w:spacing w:after="0" w:line="196" w:lineRule="exact"/>
              <w:rPr>
                <w:sz w:val="20"/>
                <w:szCs w:val="20"/>
                <w:color w:val="auto"/>
              </w:rPr>
            </w:pPr>
            <w:r>
              <w:rPr>
                <w:rFonts w:ascii="Arial" w:cs="Arial" w:eastAsia="Arial" w:hAnsi="Arial"/>
                <w:sz w:val="18"/>
                <w:szCs w:val="18"/>
                <w:color w:val="auto"/>
              </w:rPr>
              <w:t>Income before income tax, as reported</w:t>
            </w:r>
          </w:p>
        </w:tc>
        <w:tc>
          <w:tcPr>
            <w:tcW w:w="2320" w:type="dxa"/>
            <w:vAlign w:val="bottom"/>
            <w:tcBorders>
              <w:top w:val="single" w:sz="8" w:color="C6F4F9"/>
            </w:tcBorders>
            <w:shd w:val="clear" w:color="auto" w:fill="C6F4F9"/>
          </w:tcPr>
          <w:p>
            <w:pPr>
              <w:spacing w:after="0"/>
              <w:rPr>
                <w:sz w:val="17"/>
                <w:szCs w:val="17"/>
                <w:color w:val="auto"/>
              </w:rPr>
            </w:pPr>
          </w:p>
        </w:tc>
        <w:tc>
          <w:tcPr>
            <w:tcW w:w="300" w:type="dxa"/>
            <w:vAlign w:val="bottom"/>
            <w:tcBorders>
              <w:top w:val="single" w:sz="8" w:color="auto"/>
            </w:tcBorders>
            <w:shd w:val="clear" w:color="auto" w:fill="C6F4F9"/>
          </w:tcPr>
          <w:p>
            <w:pPr>
              <w:spacing w:after="0"/>
              <w:rPr>
                <w:sz w:val="17"/>
                <w:szCs w:val="17"/>
                <w:color w:val="auto"/>
              </w:rPr>
            </w:pPr>
          </w:p>
        </w:tc>
        <w:tc>
          <w:tcPr>
            <w:tcW w:w="920" w:type="dxa"/>
            <w:vAlign w:val="bottom"/>
            <w:tcBorders>
              <w:top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auto"/>
              </w:rPr>
              <w:t>6.4</w:t>
            </w:r>
          </w:p>
        </w:tc>
        <w:tc>
          <w:tcPr>
            <w:tcW w:w="600" w:type="dxa"/>
            <w:vAlign w:val="bottom"/>
            <w:tcBorders>
              <w:top w:val="single" w:sz="8" w:color="C6F4F9"/>
            </w:tcBorders>
            <w:shd w:val="clear" w:color="auto" w:fill="C6F4F9"/>
          </w:tcPr>
          <w:p>
            <w:pPr>
              <w:spacing w:after="0"/>
              <w:rPr>
                <w:sz w:val="17"/>
                <w:szCs w:val="17"/>
                <w:color w:val="auto"/>
              </w:rPr>
            </w:pPr>
          </w:p>
        </w:tc>
        <w:tc>
          <w:tcPr>
            <w:tcW w:w="380" w:type="dxa"/>
            <w:vAlign w:val="bottom"/>
            <w:tcBorders>
              <w:top w:val="single" w:sz="8" w:color="auto"/>
            </w:tcBorders>
            <w:shd w:val="clear" w:color="auto" w:fill="C6F4F9"/>
          </w:tcPr>
          <w:p>
            <w:pPr>
              <w:spacing w:after="0"/>
              <w:rPr>
                <w:sz w:val="17"/>
                <w:szCs w:val="17"/>
                <w:color w:val="auto"/>
              </w:rPr>
            </w:pPr>
          </w:p>
        </w:tc>
        <w:tc>
          <w:tcPr>
            <w:tcW w:w="860" w:type="dxa"/>
            <w:vAlign w:val="bottom"/>
            <w:tcBorders>
              <w:top w:val="single" w:sz="8" w:color="auto"/>
            </w:tcBorders>
            <w:shd w:val="clear" w:color="auto" w:fill="C6F4F9"/>
          </w:tcPr>
          <w:p>
            <w:pPr>
              <w:jc w:val="right"/>
              <w:spacing w:after="0" w:line="196" w:lineRule="exact"/>
              <w:rPr>
                <w:sz w:val="20"/>
                <w:szCs w:val="20"/>
                <w:color w:val="auto"/>
              </w:rPr>
            </w:pPr>
            <w:r>
              <w:rPr>
                <w:rFonts w:ascii="Arial" w:cs="Arial" w:eastAsia="Arial" w:hAnsi="Arial"/>
                <w:sz w:val="18"/>
                <w:szCs w:val="18"/>
                <w:color w:val="auto"/>
              </w:rPr>
              <w:t>17.8</w:t>
            </w:r>
          </w:p>
        </w:tc>
        <w:tc>
          <w:tcPr>
            <w:tcW w:w="220" w:type="dxa"/>
            <w:vAlign w:val="bottom"/>
            <w:tcBorders>
              <w:top w:val="single" w:sz="8" w:color="C6F4F9"/>
            </w:tcBorders>
            <w:shd w:val="clear" w:color="auto" w:fill="C6F4F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Pre-tax margin</w:t>
            </w:r>
          </w:p>
        </w:tc>
        <w:tc>
          <w:tcPr>
            <w:tcW w:w="2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2.8%</w:t>
            </w:r>
          </w:p>
        </w:tc>
        <w:tc>
          <w:tcPr>
            <w:tcW w:w="3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62"/>
        </w:trPr>
        <w:tc>
          <w:tcPr>
            <w:tcW w:w="5640" w:type="dxa"/>
            <w:vAlign w:val="bottom"/>
            <w:shd w:val="clear" w:color="auto" w:fill="C6F4F9"/>
          </w:tcPr>
          <w:p>
            <w:pPr>
              <w:spacing w:after="0"/>
              <w:rPr>
                <w:sz w:val="14"/>
                <w:szCs w:val="14"/>
                <w:color w:val="auto"/>
              </w:rPr>
            </w:pPr>
          </w:p>
        </w:tc>
        <w:tc>
          <w:tcPr>
            <w:tcW w:w="2320" w:type="dxa"/>
            <w:vAlign w:val="bottom"/>
            <w:shd w:val="clear" w:color="auto" w:fill="C6F4F9"/>
          </w:tcPr>
          <w:p>
            <w:pPr>
              <w:spacing w:after="0"/>
              <w:rPr>
                <w:sz w:val="14"/>
                <w:szCs w:val="14"/>
                <w:color w:val="auto"/>
              </w:rPr>
            </w:pPr>
          </w:p>
        </w:tc>
        <w:tc>
          <w:tcPr>
            <w:tcW w:w="300" w:type="dxa"/>
            <w:vAlign w:val="bottom"/>
            <w:shd w:val="clear" w:color="auto" w:fill="C6F4F9"/>
          </w:tcPr>
          <w:p>
            <w:pPr>
              <w:spacing w:after="0"/>
              <w:rPr>
                <w:sz w:val="14"/>
                <w:szCs w:val="14"/>
                <w:color w:val="auto"/>
              </w:rPr>
            </w:pPr>
          </w:p>
        </w:tc>
        <w:tc>
          <w:tcPr>
            <w:tcW w:w="920" w:type="dxa"/>
            <w:vAlign w:val="bottom"/>
            <w:shd w:val="clear" w:color="auto" w:fill="C6F4F9"/>
          </w:tcPr>
          <w:p>
            <w:pPr>
              <w:spacing w:after="0"/>
              <w:rPr>
                <w:sz w:val="14"/>
                <w:szCs w:val="14"/>
                <w:color w:val="auto"/>
              </w:rPr>
            </w:pPr>
          </w:p>
        </w:tc>
        <w:tc>
          <w:tcPr>
            <w:tcW w:w="600" w:type="dxa"/>
            <w:vAlign w:val="bottom"/>
            <w:shd w:val="clear" w:color="auto" w:fill="C6F4F9"/>
          </w:tcPr>
          <w:p>
            <w:pPr>
              <w:spacing w:after="0"/>
              <w:rPr>
                <w:sz w:val="14"/>
                <w:szCs w:val="14"/>
                <w:color w:val="auto"/>
              </w:rPr>
            </w:pPr>
          </w:p>
        </w:tc>
        <w:tc>
          <w:tcPr>
            <w:tcW w:w="380" w:type="dxa"/>
            <w:vAlign w:val="bottom"/>
            <w:shd w:val="clear" w:color="auto" w:fill="C6F4F9"/>
          </w:tcPr>
          <w:p>
            <w:pPr>
              <w:spacing w:after="0"/>
              <w:rPr>
                <w:sz w:val="14"/>
                <w:szCs w:val="14"/>
                <w:color w:val="auto"/>
              </w:rPr>
            </w:pPr>
          </w:p>
        </w:tc>
        <w:tc>
          <w:tcPr>
            <w:tcW w:w="860" w:type="dxa"/>
            <w:vAlign w:val="bottom"/>
            <w:shd w:val="clear" w:color="auto" w:fill="C6F4F9"/>
          </w:tcPr>
          <w:p>
            <w:pPr>
              <w:spacing w:after="0"/>
              <w:rPr>
                <w:sz w:val="14"/>
                <w:szCs w:val="14"/>
                <w:color w:val="auto"/>
              </w:rPr>
            </w:pPr>
          </w:p>
        </w:tc>
        <w:tc>
          <w:tcPr>
            <w:tcW w:w="220" w:type="dxa"/>
            <w:vAlign w:val="bottom"/>
            <w:shd w:val="clear" w:color="auto" w:fill="C6F4F9"/>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40" w:type="dxa"/>
            <w:vAlign w:val="bottom"/>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2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3"/>
        </w:trPr>
        <w:tc>
          <w:tcPr>
            <w:tcW w:w="56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Stock compensation expense</w:t>
            </w:r>
          </w:p>
        </w:tc>
        <w:tc>
          <w:tcPr>
            <w:tcW w:w="232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520" w:type="dxa"/>
            <w:vAlign w:val="bottom"/>
            <w:gridSpan w:val="2"/>
            <w:shd w:val="clear" w:color="auto" w:fill="C6F4F9"/>
          </w:tcPr>
          <w:p>
            <w:pPr>
              <w:jc w:val="right"/>
              <w:ind w:right="510"/>
              <w:spacing w:after="0" w:line="202" w:lineRule="exact"/>
              <w:rPr>
                <w:sz w:val="20"/>
                <w:szCs w:val="20"/>
                <w:color w:val="auto"/>
              </w:rPr>
            </w:pPr>
            <w:r>
              <w:rPr>
                <w:rFonts w:ascii="Arial" w:cs="Arial" w:eastAsia="Arial" w:hAnsi="Arial"/>
                <w:sz w:val="18"/>
                <w:szCs w:val="18"/>
                <w:color w:val="auto"/>
              </w:rPr>
              <w:t>0.9</w:t>
            </w:r>
          </w:p>
        </w:tc>
        <w:tc>
          <w:tcPr>
            <w:tcW w:w="380" w:type="dxa"/>
            <w:vAlign w:val="bottom"/>
            <w:shd w:val="clear" w:color="auto" w:fill="C6F4F9"/>
          </w:tcPr>
          <w:p>
            <w:pPr>
              <w:spacing w:after="0"/>
              <w:rPr>
                <w:sz w:val="17"/>
                <w:szCs w:val="17"/>
                <w:color w:val="auto"/>
              </w:rPr>
            </w:pPr>
          </w:p>
        </w:tc>
        <w:tc>
          <w:tcPr>
            <w:tcW w:w="1080" w:type="dxa"/>
            <w:vAlign w:val="bottom"/>
            <w:gridSpan w:val="2"/>
            <w:shd w:val="clear" w:color="auto" w:fill="C6F4F9"/>
          </w:tcPr>
          <w:p>
            <w:pPr>
              <w:jc w:val="right"/>
              <w:ind w:right="141"/>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Early pay-off of US Treasury loan</w:t>
            </w:r>
          </w:p>
        </w:tc>
        <w:tc>
          <w:tcPr>
            <w:tcW w:w="2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2"/>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8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564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Tax receivable agreement expense</w:t>
            </w:r>
            <w:r>
              <w:rPr>
                <w:rFonts w:ascii="Arial" w:cs="Arial" w:eastAsia="Arial" w:hAnsi="Arial"/>
                <w:sz w:val="28"/>
                <w:szCs w:val="28"/>
                <w:color w:val="auto"/>
                <w:vertAlign w:val="superscript"/>
              </w:rPr>
              <w:t>(2)</w:t>
            </w:r>
          </w:p>
        </w:tc>
        <w:tc>
          <w:tcPr>
            <w:tcW w:w="2320" w:type="dxa"/>
            <w:vAlign w:val="bottom"/>
            <w:shd w:val="clear" w:color="auto" w:fill="C6F4F9"/>
          </w:tcPr>
          <w:p>
            <w:pPr>
              <w:spacing w:after="0"/>
              <w:rPr>
                <w:sz w:val="21"/>
                <w:szCs w:val="21"/>
                <w:color w:val="auto"/>
              </w:rPr>
            </w:pPr>
          </w:p>
        </w:tc>
        <w:tc>
          <w:tcPr>
            <w:tcW w:w="300" w:type="dxa"/>
            <w:vAlign w:val="bottom"/>
            <w:shd w:val="clear" w:color="auto" w:fill="C6F4F9"/>
          </w:tcPr>
          <w:p>
            <w:pPr>
              <w:spacing w:after="0"/>
              <w:rPr>
                <w:sz w:val="21"/>
                <w:szCs w:val="21"/>
                <w:color w:val="auto"/>
              </w:rPr>
            </w:pPr>
          </w:p>
        </w:tc>
        <w:tc>
          <w:tcPr>
            <w:tcW w:w="1520" w:type="dxa"/>
            <w:vAlign w:val="bottom"/>
            <w:gridSpan w:val="2"/>
            <w:shd w:val="clear" w:color="auto" w:fill="C6F4F9"/>
          </w:tcPr>
          <w:p>
            <w:pPr>
              <w:jc w:val="right"/>
              <w:ind w:right="6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6F4F9"/>
          </w:tcPr>
          <w:p>
            <w:pPr>
              <w:spacing w:after="0"/>
              <w:rPr>
                <w:sz w:val="21"/>
                <w:szCs w:val="21"/>
                <w:color w:val="auto"/>
              </w:rPr>
            </w:pPr>
          </w:p>
        </w:tc>
        <w:tc>
          <w:tcPr>
            <w:tcW w:w="1080" w:type="dxa"/>
            <w:vAlign w:val="bottom"/>
            <w:gridSpan w:val="2"/>
            <w:shd w:val="clear" w:color="auto" w:fill="C6F4F9"/>
          </w:tcPr>
          <w:p>
            <w:pPr>
              <w:jc w:val="right"/>
              <w:ind w:right="14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640" w:type="dxa"/>
            <w:vAlign w:val="bottom"/>
          </w:tcPr>
          <w:p>
            <w:pPr>
              <w:spacing w:after="0" w:line="243" w:lineRule="exact"/>
              <w:rPr>
                <w:sz w:val="20"/>
                <w:szCs w:val="20"/>
                <w:color w:val="auto"/>
              </w:rPr>
            </w:pPr>
            <w:r>
              <w:rPr>
                <w:rFonts w:ascii="Arial" w:cs="Arial" w:eastAsia="Arial" w:hAnsi="Arial"/>
                <w:sz w:val="17"/>
                <w:szCs w:val="17"/>
                <w:color w:val="auto"/>
              </w:rPr>
              <w:t>Tax receivable agreement adjustment</w:t>
            </w:r>
            <w:r>
              <w:rPr>
                <w:rFonts w:ascii="Arial" w:cs="Arial" w:eastAsia="Arial" w:hAnsi="Arial"/>
                <w:sz w:val="28"/>
                <w:szCs w:val="28"/>
                <w:color w:val="auto"/>
                <w:vertAlign w:val="superscript"/>
              </w:rPr>
              <w:t>(3)</w:t>
            </w:r>
          </w:p>
        </w:tc>
        <w:tc>
          <w:tcPr>
            <w:tcW w:w="2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510"/>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21"/>
                <w:szCs w:val="21"/>
                <w:color w:val="auto"/>
              </w:rPr>
            </w:pPr>
          </w:p>
        </w:tc>
        <w:tc>
          <w:tcPr>
            <w:tcW w:w="10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6F4F9"/>
          </w:tcPr>
          <w:p>
            <w:pPr>
              <w:spacing w:after="0"/>
              <w:rPr>
                <w:sz w:val="20"/>
                <w:szCs w:val="20"/>
                <w:color w:val="auto"/>
              </w:rPr>
            </w:pPr>
            <w:r>
              <w:rPr>
                <w:rFonts w:ascii="Arial" w:cs="Arial" w:eastAsia="Arial" w:hAnsi="Arial"/>
                <w:sz w:val="18"/>
                <w:szCs w:val="18"/>
                <w:color w:val="auto"/>
              </w:rPr>
              <w:t>Loss on refinancing credit facility</w:t>
            </w:r>
          </w:p>
        </w:tc>
        <w:tc>
          <w:tcPr>
            <w:tcW w:w="232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520" w:type="dxa"/>
            <w:vAlign w:val="bottom"/>
            <w:gridSpan w:val="2"/>
            <w:shd w:val="clear" w:color="auto" w:fill="C6F4F9"/>
          </w:tcPr>
          <w:p>
            <w:pPr>
              <w:jc w:val="right"/>
              <w:ind w:right="510"/>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6F4F9"/>
          </w:tcPr>
          <w:p>
            <w:pPr>
              <w:spacing w:after="0"/>
              <w:rPr>
                <w:sz w:val="18"/>
                <w:szCs w:val="18"/>
                <w:color w:val="auto"/>
              </w:rPr>
            </w:pPr>
          </w:p>
        </w:tc>
        <w:tc>
          <w:tcPr>
            <w:tcW w:w="1080" w:type="dxa"/>
            <w:vAlign w:val="bottom"/>
            <w:gridSpan w:val="2"/>
            <w:shd w:val="clear" w:color="auto" w:fill="C6F4F9"/>
          </w:tcPr>
          <w:p>
            <w:pPr>
              <w:jc w:val="right"/>
              <w:ind w:right="14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C6F4F9"/>
            </w:tcBorders>
          </w:tcPr>
          <w:p>
            <w:pPr>
              <w:spacing w:after="0"/>
              <w:rPr>
                <w:sz w:val="20"/>
                <w:szCs w:val="20"/>
                <w:color w:val="auto"/>
              </w:rPr>
            </w:pPr>
            <w:r>
              <w:rPr>
                <w:rFonts w:ascii="Arial" w:cs="Arial" w:eastAsia="Arial" w:hAnsi="Arial"/>
                <w:sz w:val="18"/>
                <w:szCs w:val="18"/>
                <w:color w:val="auto"/>
              </w:rPr>
              <w:t>Adjusted income (loss) before income tax</w:t>
            </w:r>
          </w:p>
        </w:tc>
        <w:tc>
          <w:tcPr>
            <w:tcW w:w="2320" w:type="dxa"/>
            <w:vAlign w:val="bottom"/>
            <w:tcBorders>
              <w:bottom w:val="single" w:sz="8" w:color="C6F4F9"/>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600" w:type="dxa"/>
            <w:vAlign w:val="bottom"/>
            <w:tcBorders>
              <w:bottom w:val="single" w:sz="8" w:color="C6F4F9"/>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6F4F9"/>
            </w:tcBorders>
          </w:tcPr>
          <w:p>
            <w:pPr>
              <w:jc w:val="right"/>
              <w:ind w:right="8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43"/>
        </w:trPr>
        <w:tc>
          <w:tcPr>
            <w:tcW w:w="5640" w:type="dxa"/>
            <w:vAlign w:val="bottom"/>
            <w:shd w:val="clear" w:color="auto" w:fill="C6F4F9"/>
          </w:tcPr>
          <w:p>
            <w:pPr>
              <w:spacing w:after="0"/>
              <w:rPr>
                <w:sz w:val="12"/>
                <w:szCs w:val="12"/>
                <w:color w:val="auto"/>
              </w:rPr>
            </w:pPr>
          </w:p>
        </w:tc>
        <w:tc>
          <w:tcPr>
            <w:tcW w:w="2320" w:type="dxa"/>
            <w:vAlign w:val="bottom"/>
            <w:shd w:val="clear" w:color="auto" w:fill="C6F4F9"/>
          </w:tcPr>
          <w:p>
            <w:pPr>
              <w:spacing w:after="0"/>
              <w:rPr>
                <w:sz w:val="12"/>
                <w:szCs w:val="12"/>
                <w:color w:val="auto"/>
              </w:rPr>
            </w:pPr>
          </w:p>
        </w:tc>
        <w:tc>
          <w:tcPr>
            <w:tcW w:w="300" w:type="dxa"/>
            <w:vAlign w:val="bottom"/>
            <w:shd w:val="clear" w:color="auto" w:fill="C6F4F9"/>
          </w:tcPr>
          <w:p>
            <w:pPr>
              <w:spacing w:after="0"/>
              <w:rPr>
                <w:sz w:val="12"/>
                <w:szCs w:val="12"/>
                <w:color w:val="auto"/>
              </w:rPr>
            </w:pPr>
          </w:p>
        </w:tc>
        <w:tc>
          <w:tcPr>
            <w:tcW w:w="920" w:type="dxa"/>
            <w:vAlign w:val="bottom"/>
            <w:shd w:val="clear" w:color="auto" w:fill="C6F4F9"/>
          </w:tcPr>
          <w:p>
            <w:pPr>
              <w:spacing w:after="0"/>
              <w:rPr>
                <w:sz w:val="12"/>
                <w:szCs w:val="12"/>
                <w:color w:val="auto"/>
              </w:rPr>
            </w:pPr>
          </w:p>
        </w:tc>
        <w:tc>
          <w:tcPr>
            <w:tcW w:w="600" w:type="dxa"/>
            <w:vAlign w:val="bottom"/>
            <w:shd w:val="clear" w:color="auto" w:fill="C6F4F9"/>
          </w:tcPr>
          <w:p>
            <w:pPr>
              <w:spacing w:after="0"/>
              <w:rPr>
                <w:sz w:val="12"/>
                <w:szCs w:val="12"/>
                <w:color w:val="auto"/>
              </w:rPr>
            </w:pPr>
          </w:p>
        </w:tc>
        <w:tc>
          <w:tcPr>
            <w:tcW w:w="380" w:type="dxa"/>
            <w:vAlign w:val="bottom"/>
            <w:shd w:val="clear" w:color="auto" w:fill="C6F4F9"/>
          </w:tcPr>
          <w:p>
            <w:pPr>
              <w:spacing w:after="0"/>
              <w:rPr>
                <w:sz w:val="12"/>
                <w:szCs w:val="12"/>
                <w:color w:val="auto"/>
              </w:rPr>
            </w:pPr>
          </w:p>
        </w:tc>
        <w:tc>
          <w:tcPr>
            <w:tcW w:w="860" w:type="dxa"/>
            <w:vAlign w:val="bottom"/>
            <w:shd w:val="clear" w:color="auto" w:fill="C6F4F9"/>
          </w:tcPr>
          <w:p>
            <w:pPr>
              <w:spacing w:after="0"/>
              <w:rPr>
                <w:sz w:val="12"/>
                <w:szCs w:val="12"/>
                <w:color w:val="auto"/>
              </w:rPr>
            </w:pPr>
          </w:p>
        </w:tc>
        <w:tc>
          <w:tcPr>
            <w:tcW w:w="220" w:type="dxa"/>
            <w:vAlign w:val="bottom"/>
            <w:shd w:val="clear" w:color="auto" w:fill="C6F4F9"/>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Arial" w:cs="Arial" w:eastAsia="Arial" w:hAnsi="Arial"/>
                <w:sz w:val="18"/>
                <w:szCs w:val="18"/>
                <w:color w:val="auto"/>
              </w:rPr>
              <w:t>Adjusted Pre-tax margin</w:t>
            </w:r>
          </w:p>
        </w:tc>
        <w:tc>
          <w:tcPr>
            <w:tcW w:w="2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right"/>
              <w:ind w:right="350"/>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(Expense)</w:t>
      </w:r>
    </w:p>
    <w:p>
      <w:pPr>
        <w:spacing w:after="0" w:line="288" w:lineRule="exact"/>
        <w:rPr>
          <w:sz w:val="20"/>
          <w:szCs w:val="20"/>
          <w:color w:val="auto"/>
        </w:rPr>
      </w:pPr>
    </w:p>
    <w:p>
      <w:pPr>
        <w:jc w:val="right"/>
        <w:spacing w:after="0"/>
        <w:tabs>
          <w:tab w:leader="none" w:pos="2920" w:val="left"/>
        </w:tabs>
        <w:rPr>
          <w:sz w:val="20"/>
          <w:szCs w:val="20"/>
          <w:color w:val="auto"/>
        </w:rPr>
      </w:pPr>
      <w:r>
        <w:rPr>
          <w:rFonts w:ascii="Times New Roman" w:cs="Times New Roman" w:eastAsia="Times New Roman" w:hAnsi="Times New Roman"/>
          <w:sz w:val="18"/>
          <w:szCs w:val="18"/>
          <w:color w:val="auto"/>
        </w:rPr>
        <w:t>Page 11</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11"/>
          <w:szCs w:val="11"/>
          <w:color w:val="7671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4" w:name="page15"/>
    <w:bookmarkEnd w:id="14"/>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5171440</wp:posOffset>
            </wp:positionH>
            <wp:positionV relativeFrom="page">
              <wp:posOffset>157480</wp:posOffset>
            </wp:positionV>
            <wp:extent cx="2134235" cy="531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2134235" cy="5314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Reconciliation of Adjusted Net Income (Loss) and Adjusted Earnings per Share to GAAP Net Income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and shares in millions, except for per share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reconciliation of adjusted net income (loss) and adjusted earnings per share to GAAP net income.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00" w:type="dxa"/>
            <w:vAlign w:val="bottom"/>
          </w:tcPr>
          <w:p>
            <w:pPr>
              <w:spacing w:after="0"/>
              <w:rPr>
                <w:sz w:val="17"/>
                <w:szCs w:val="17"/>
                <w:color w:val="auto"/>
              </w:rPr>
            </w:pPr>
          </w:p>
        </w:tc>
        <w:tc>
          <w:tcPr>
            <w:tcW w:w="3140" w:type="dxa"/>
            <w:vAlign w:val="bottom"/>
            <w:gridSpan w:val="7"/>
          </w:tcPr>
          <w:p>
            <w:pPr>
              <w:jc w:val="right"/>
              <w:ind w:right="161"/>
              <w:spacing w:after="0"/>
              <w:rPr>
                <w:sz w:val="20"/>
                <w:szCs w:val="20"/>
                <w:color w:val="auto"/>
              </w:rPr>
            </w:pPr>
            <w:r>
              <w:rPr>
                <w:rFonts w:ascii="Arial" w:cs="Arial" w:eastAsia="Arial" w:hAnsi="Arial"/>
                <w:sz w:val="18"/>
                <w:szCs w:val="18"/>
                <w:b w:val="1"/>
                <w:bCs w:val="1"/>
                <w:color w:val="auto"/>
              </w:rPr>
              <w:t>Three Months Ended March 31,</w:t>
            </w:r>
          </w:p>
        </w:tc>
      </w:tr>
      <w:tr>
        <w:trPr>
          <w:trHeight w:val="221"/>
        </w:trPr>
        <w:tc>
          <w:tcPr>
            <w:tcW w:w="8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r>
      <w:tr>
        <w:trPr>
          <w:trHeight w:val="196"/>
        </w:trPr>
        <w:tc>
          <w:tcPr>
            <w:tcW w:w="810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income</w:t>
            </w:r>
          </w:p>
        </w:tc>
        <w:tc>
          <w:tcPr>
            <w:tcW w:w="900" w:type="dxa"/>
            <w:vAlign w:val="bottom"/>
            <w:shd w:val="clear" w:color="auto" w:fill="C6F4F9"/>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6F4F9"/>
          </w:tcPr>
          <w:p>
            <w:pPr>
              <w:jc w:val="right"/>
              <w:ind w:right="300"/>
              <w:spacing w:after="0" w:line="196" w:lineRule="exact"/>
              <w:rPr>
                <w:sz w:val="20"/>
                <w:szCs w:val="20"/>
                <w:color w:val="auto"/>
              </w:rPr>
            </w:pPr>
            <w:r>
              <w:rPr>
                <w:rFonts w:ascii="Arial" w:cs="Arial" w:eastAsia="Arial" w:hAnsi="Arial"/>
                <w:sz w:val="18"/>
                <w:szCs w:val="18"/>
                <w:color w:val="auto"/>
              </w:rPr>
              <w:t>3.6</w:t>
            </w:r>
          </w:p>
        </w:tc>
        <w:tc>
          <w:tcPr>
            <w:tcW w:w="520" w:type="dxa"/>
            <w:vAlign w:val="bottom"/>
            <w:gridSpan w:val="2"/>
            <w:shd w:val="clear" w:color="auto" w:fill="C6F4F9"/>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6F4F9"/>
          </w:tcPr>
          <w:p>
            <w:pPr>
              <w:jc w:val="right"/>
              <w:ind w:right="21"/>
              <w:spacing w:after="0" w:line="196" w:lineRule="exact"/>
              <w:rPr>
                <w:sz w:val="20"/>
                <w:szCs w:val="20"/>
                <w:color w:val="auto"/>
              </w:rPr>
            </w:pPr>
            <w:r>
              <w:rPr>
                <w:rFonts w:ascii="Arial" w:cs="Arial" w:eastAsia="Arial" w:hAnsi="Arial"/>
                <w:sz w:val="18"/>
                <w:szCs w:val="18"/>
                <w:color w:val="auto"/>
              </w:rPr>
              <w:t>12.4</w:t>
            </w: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Net income per share – diluted</w:t>
            </w:r>
          </w:p>
        </w:tc>
        <w:tc>
          <w:tcPr>
            <w:tcW w:w="900" w:type="dxa"/>
            <w:vAlign w:val="bottom"/>
          </w:tcPr>
          <w:p>
            <w:pPr>
              <w:jc w:val="right"/>
              <w:ind w:right="71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w w:val="96"/>
              </w:rPr>
              <w:t>0.06</w:t>
            </w:r>
          </w:p>
        </w:tc>
        <w:tc>
          <w:tcPr>
            <w:tcW w:w="5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auto"/>
              </w:rPr>
              <w:t>0.24</w:t>
            </w:r>
          </w:p>
        </w:tc>
      </w:tr>
      <w:tr>
        <w:trPr>
          <w:trHeight w:val="162"/>
        </w:trPr>
        <w:tc>
          <w:tcPr>
            <w:tcW w:w="8100" w:type="dxa"/>
            <w:vAlign w:val="bottom"/>
            <w:shd w:val="clear" w:color="auto" w:fill="C6F4F9"/>
          </w:tcPr>
          <w:p>
            <w:pPr>
              <w:spacing w:after="0"/>
              <w:rPr>
                <w:sz w:val="14"/>
                <w:szCs w:val="14"/>
                <w:color w:val="auto"/>
              </w:rPr>
            </w:pPr>
          </w:p>
        </w:tc>
        <w:tc>
          <w:tcPr>
            <w:tcW w:w="900" w:type="dxa"/>
            <w:vAlign w:val="bottom"/>
            <w:shd w:val="clear" w:color="auto" w:fill="C6F4F9"/>
          </w:tcPr>
          <w:p>
            <w:pPr>
              <w:spacing w:after="0"/>
              <w:rPr>
                <w:sz w:val="14"/>
                <w:szCs w:val="14"/>
                <w:color w:val="auto"/>
              </w:rPr>
            </w:pPr>
          </w:p>
        </w:tc>
        <w:tc>
          <w:tcPr>
            <w:tcW w:w="340" w:type="dxa"/>
            <w:vAlign w:val="bottom"/>
            <w:shd w:val="clear" w:color="auto" w:fill="C6F4F9"/>
          </w:tcPr>
          <w:p>
            <w:pPr>
              <w:spacing w:after="0"/>
              <w:rPr>
                <w:sz w:val="14"/>
                <w:szCs w:val="14"/>
                <w:color w:val="auto"/>
              </w:rPr>
            </w:pPr>
          </w:p>
        </w:tc>
        <w:tc>
          <w:tcPr>
            <w:tcW w:w="320" w:type="dxa"/>
            <w:vAlign w:val="bottom"/>
            <w:shd w:val="clear" w:color="auto" w:fill="C6F4F9"/>
          </w:tcPr>
          <w:p>
            <w:pPr>
              <w:spacing w:after="0"/>
              <w:rPr>
                <w:sz w:val="14"/>
                <w:szCs w:val="14"/>
                <w:color w:val="auto"/>
              </w:rPr>
            </w:pPr>
          </w:p>
        </w:tc>
        <w:tc>
          <w:tcPr>
            <w:tcW w:w="240" w:type="dxa"/>
            <w:vAlign w:val="bottom"/>
            <w:shd w:val="clear" w:color="auto" w:fill="C6F4F9"/>
          </w:tcPr>
          <w:p>
            <w:pPr>
              <w:spacing w:after="0"/>
              <w:rPr>
                <w:sz w:val="14"/>
                <w:szCs w:val="14"/>
                <w:color w:val="auto"/>
              </w:rPr>
            </w:pPr>
          </w:p>
        </w:tc>
        <w:tc>
          <w:tcPr>
            <w:tcW w:w="280" w:type="dxa"/>
            <w:vAlign w:val="bottom"/>
            <w:shd w:val="clear" w:color="auto" w:fill="C6F4F9"/>
          </w:tcPr>
          <w:p>
            <w:pPr>
              <w:spacing w:after="0"/>
              <w:rPr>
                <w:sz w:val="14"/>
                <w:szCs w:val="14"/>
                <w:color w:val="auto"/>
              </w:rPr>
            </w:pPr>
          </w:p>
        </w:tc>
        <w:tc>
          <w:tcPr>
            <w:tcW w:w="960" w:type="dxa"/>
            <w:vAlign w:val="bottom"/>
            <w:shd w:val="clear" w:color="auto" w:fill="C6F4F9"/>
          </w:tcPr>
          <w:p>
            <w:pPr>
              <w:spacing w:after="0"/>
              <w:rPr>
                <w:sz w:val="14"/>
                <w:szCs w:val="14"/>
                <w:color w:val="auto"/>
              </w:rPr>
            </w:pPr>
          </w:p>
        </w:tc>
        <w:tc>
          <w:tcPr>
            <w:tcW w:w="100" w:type="dxa"/>
            <w:vAlign w:val="bottom"/>
            <w:shd w:val="clear" w:color="auto" w:fill="C6F4F9"/>
          </w:tcPr>
          <w:p>
            <w:pPr>
              <w:spacing w:after="0"/>
              <w:rPr>
                <w:sz w:val="14"/>
                <w:szCs w:val="14"/>
                <w:color w:val="auto"/>
              </w:rPr>
            </w:pPr>
          </w:p>
        </w:tc>
      </w:tr>
      <w:tr>
        <w:trPr>
          <w:trHeight w:val="243"/>
        </w:trPr>
        <w:tc>
          <w:tcPr>
            <w:tcW w:w="8100" w:type="dxa"/>
            <w:vAlign w:val="bottom"/>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900" w:type="dxa"/>
            <w:vAlign w:val="bottom"/>
          </w:tcPr>
          <w:p>
            <w:pPr>
              <w:spacing w:after="0"/>
              <w:rPr>
                <w:sz w:val="21"/>
                <w:szCs w:val="21"/>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(26.9)</w:t>
            </w:r>
          </w:p>
        </w:tc>
      </w:tr>
      <w:tr>
        <w:trPr>
          <w:trHeight w:val="203"/>
        </w:trPr>
        <w:tc>
          <w:tcPr>
            <w:tcW w:w="810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Stock compensation expense</w:t>
            </w:r>
          </w:p>
        </w:tc>
        <w:tc>
          <w:tcPr>
            <w:tcW w:w="900" w:type="dxa"/>
            <w:vAlign w:val="bottom"/>
            <w:shd w:val="clear" w:color="auto" w:fill="C6F4F9"/>
          </w:tcPr>
          <w:p>
            <w:pPr>
              <w:spacing w:after="0"/>
              <w:rPr>
                <w:sz w:val="17"/>
                <w:szCs w:val="17"/>
                <w:color w:val="auto"/>
              </w:rPr>
            </w:pPr>
          </w:p>
        </w:tc>
        <w:tc>
          <w:tcPr>
            <w:tcW w:w="660" w:type="dxa"/>
            <w:vAlign w:val="bottom"/>
            <w:gridSpan w:val="2"/>
            <w:shd w:val="clear" w:color="auto" w:fill="C6F4F9"/>
          </w:tcPr>
          <w:p>
            <w:pPr>
              <w:jc w:val="right"/>
              <w:ind w:right="300"/>
              <w:spacing w:after="0" w:line="202" w:lineRule="exact"/>
              <w:rPr>
                <w:sz w:val="20"/>
                <w:szCs w:val="20"/>
                <w:color w:val="auto"/>
              </w:rPr>
            </w:pPr>
            <w:r>
              <w:rPr>
                <w:rFonts w:ascii="Arial" w:cs="Arial" w:eastAsia="Arial" w:hAnsi="Arial"/>
                <w:sz w:val="18"/>
                <w:szCs w:val="18"/>
                <w:color w:val="auto"/>
              </w:rPr>
              <w:t>0.9</w:t>
            </w:r>
          </w:p>
        </w:tc>
        <w:tc>
          <w:tcPr>
            <w:tcW w:w="24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060" w:type="dxa"/>
            <w:vAlign w:val="bottom"/>
            <w:gridSpan w:val="2"/>
            <w:shd w:val="clear" w:color="auto" w:fill="C6F4F9"/>
          </w:tcPr>
          <w:p>
            <w:pPr>
              <w:jc w:val="right"/>
              <w:ind w:right="21"/>
              <w:spacing w:after="0" w:line="202" w:lineRule="exact"/>
              <w:rPr>
                <w:sz w:val="20"/>
                <w:szCs w:val="20"/>
                <w:color w:val="auto"/>
              </w:rPr>
            </w:pPr>
            <w:r>
              <w:rPr>
                <w:rFonts w:ascii="Arial" w:cs="Arial" w:eastAsia="Arial" w:hAnsi="Arial"/>
                <w:sz w:val="18"/>
                <w:szCs w:val="18"/>
                <w:color w:val="auto"/>
              </w:rPr>
              <w:t>2.9</w:t>
            </w:r>
          </w:p>
        </w:tc>
      </w:tr>
      <w:tr>
        <w:trPr>
          <w:trHeight w:val="203"/>
        </w:trPr>
        <w:tc>
          <w:tcPr>
            <w:tcW w:w="8100" w:type="dxa"/>
            <w:vAlign w:val="bottom"/>
          </w:tcPr>
          <w:p>
            <w:pPr>
              <w:spacing w:after="0" w:line="202" w:lineRule="exact"/>
              <w:rPr>
                <w:sz w:val="20"/>
                <w:szCs w:val="20"/>
                <w:color w:val="auto"/>
              </w:rPr>
            </w:pPr>
            <w:r>
              <w:rPr>
                <w:rFonts w:ascii="Arial" w:cs="Arial" w:eastAsia="Arial" w:hAnsi="Arial"/>
                <w:sz w:val="18"/>
                <w:szCs w:val="18"/>
                <w:color w:val="auto"/>
              </w:rPr>
              <w:t>Early pay-off of US Treasury loan</w:t>
            </w:r>
          </w:p>
        </w:tc>
        <w:tc>
          <w:tcPr>
            <w:tcW w:w="900" w:type="dxa"/>
            <w:vAlign w:val="bottom"/>
          </w:tcPr>
          <w:p>
            <w:pPr>
              <w:spacing w:after="0"/>
              <w:rPr>
                <w:sz w:val="17"/>
                <w:szCs w:val="17"/>
                <w:color w:val="auto"/>
              </w:rPr>
            </w:pPr>
          </w:p>
        </w:tc>
        <w:tc>
          <w:tcPr>
            <w:tcW w:w="660" w:type="dxa"/>
            <w:vAlign w:val="bottom"/>
            <w:gridSpan w:val="2"/>
          </w:tcPr>
          <w:p>
            <w:pPr>
              <w:jc w:val="center"/>
              <w:ind w:right="32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auto"/>
              </w:rPr>
              <w:t>0.8</w:t>
            </w:r>
          </w:p>
        </w:tc>
      </w:tr>
      <w:tr>
        <w:trPr>
          <w:trHeight w:val="243"/>
        </w:trPr>
        <w:tc>
          <w:tcPr>
            <w:tcW w:w="810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Tax receivable agreement expense</w:t>
            </w:r>
            <w:r>
              <w:rPr>
                <w:rFonts w:ascii="Arial" w:cs="Arial" w:eastAsia="Arial" w:hAnsi="Arial"/>
                <w:sz w:val="28"/>
                <w:szCs w:val="28"/>
                <w:color w:val="auto"/>
                <w:vertAlign w:val="superscript"/>
              </w:rPr>
              <w:t>(2)</w:t>
            </w:r>
          </w:p>
        </w:tc>
        <w:tc>
          <w:tcPr>
            <w:tcW w:w="900" w:type="dxa"/>
            <w:vAlign w:val="bottom"/>
            <w:shd w:val="clear" w:color="auto" w:fill="C6F4F9"/>
          </w:tcPr>
          <w:p>
            <w:pPr>
              <w:spacing w:after="0"/>
              <w:rPr>
                <w:sz w:val="21"/>
                <w:szCs w:val="21"/>
                <w:color w:val="auto"/>
              </w:rPr>
            </w:pPr>
          </w:p>
        </w:tc>
        <w:tc>
          <w:tcPr>
            <w:tcW w:w="660" w:type="dxa"/>
            <w:vAlign w:val="bottom"/>
            <w:gridSpan w:val="2"/>
            <w:shd w:val="clear" w:color="auto" w:fill="C6F4F9"/>
          </w:tcPr>
          <w:p>
            <w:pPr>
              <w:jc w:val="center"/>
              <w:ind w:right="3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6F4F9"/>
          </w:tcPr>
          <w:p>
            <w:pPr>
              <w:spacing w:after="0"/>
              <w:rPr>
                <w:sz w:val="21"/>
                <w:szCs w:val="21"/>
                <w:color w:val="auto"/>
              </w:rPr>
            </w:pPr>
          </w:p>
        </w:tc>
        <w:tc>
          <w:tcPr>
            <w:tcW w:w="280" w:type="dxa"/>
            <w:vAlign w:val="bottom"/>
            <w:shd w:val="clear" w:color="auto" w:fill="C6F4F9"/>
          </w:tcPr>
          <w:p>
            <w:pPr>
              <w:spacing w:after="0"/>
              <w:rPr>
                <w:sz w:val="21"/>
                <w:szCs w:val="21"/>
                <w:color w:val="auto"/>
              </w:rPr>
            </w:pPr>
          </w:p>
        </w:tc>
        <w:tc>
          <w:tcPr>
            <w:tcW w:w="1060" w:type="dxa"/>
            <w:vAlign w:val="bottom"/>
            <w:gridSpan w:val="2"/>
            <w:shd w:val="clear" w:color="auto" w:fill="C6F4F9"/>
          </w:tcPr>
          <w:p>
            <w:pPr>
              <w:jc w:val="right"/>
              <w:ind w:right="21"/>
              <w:spacing w:after="0"/>
              <w:rPr>
                <w:sz w:val="20"/>
                <w:szCs w:val="20"/>
                <w:color w:val="auto"/>
              </w:rPr>
            </w:pPr>
            <w:r>
              <w:rPr>
                <w:rFonts w:ascii="Arial" w:cs="Arial" w:eastAsia="Arial" w:hAnsi="Arial"/>
                <w:sz w:val="18"/>
                <w:szCs w:val="18"/>
                <w:color w:val="auto"/>
              </w:rPr>
              <w:t>0.3</w:t>
            </w:r>
          </w:p>
        </w:tc>
      </w:tr>
      <w:tr>
        <w:trPr>
          <w:trHeight w:val="243"/>
        </w:trPr>
        <w:tc>
          <w:tcPr>
            <w:tcW w:w="8100" w:type="dxa"/>
            <w:vAlign w:val="bottom"/>
          </w:tcPr>
          <w:p>
            <w:pPr>
              <w:spacing w:after="0" w:line="243" w:lineRule="exact"/>
              <w:rPr>
                <w:sz w:val="20"/>
                <w:szCs w:val="20"/>
                <w:color w:val="auto"/>
              </w:rPr>
            </w:pPr>
            <w:r>
              <w:rPr>
                <w:rFonts w:ascii="Arial" w:cs="Arial" w:eastAsia="Arial" w:hAnsi="Arial"/>
                <w:sz w:val="17"/>
                <w:szCs w:val="17"/>
                <w:color w:val="auto"/>
              </w:rPr>
              <w:t>Tax receivable agreement adjustment</w:t>
            </w:r>
            <w:r>
              <w:rPr>
                <w:rFonts w:ascii="Arial" w:cs="Arial" w:eastAsia="Arial" w:hAnsi="Arial"/>
                <w:sz w:val="28"/>
                <w:szCs w:val="28"/>
                <w:color w:val="auto"/>
                <w:vertAlign w:val="superscript"/>
              </w:rPr>
              <w:t>(3)</w:t>
            </w:r>
          </w:p>
        </w:tc>
        <w:tc>
          <w:tcPr>
            <w:tcW w:w="900" w:type="dxa"/>
            <w:vAlign w:val="bottom"/>
          </w:tcPr>
          <w:p>
            <w:pPr>
              <w:spacing w:after="0"/>
              <w:rPr>
                <w:sz w:val="21"/>
                <w:szCs w:val="21"/>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03"/>
        </w:trPr>
        <w:tc>
          <w:tcPr>
            <w:tcW w:w="810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Loss on refinancing credit facility</w:t>
            </w:r>
          </w:p>
        </w:tc>
        <w:tc>
          <w:tcPr>
            <w:tcW w:w="900" w:type="dxa"/>
            <w:vAlign w:val="bottom"/>
            <w:shd w:val="clear" w:color="auto" w:fill="C6F4F9"/>
          </w:tcPr>
          <w:p>
            <w:pPr>
              <w:spacing w:after="0"/>
              <w:rPr>
                <w:sz w:val="17"/>
                <w:szCs w:val="17"/>
                <w:color w:val="auto"/>
              </w:rPr>
            </w:pPr>
          </w:p>
        </w:tc>
        <w:tc>
          <w:tcPr>
            <w:tcW w:w="660" w:type="dxa"/>
            <w:vAlign w:val="bottom"/>
            <w:gridSpan w:val="2"/>
            <w:shd w:val="clear" w:color="auto" w:fill="C6F4F9"/>
          </w:tcPr>
          <w:p>
            <w:pPr>
              <w:jc w:val="right"/>
              <w:ind w:right="300"/>
              <w:spacing w:after="0" w:line="202" w:lineRule="exact"/>
              <w:rPr>
                <w:sz w:val="20"/>
                <w:szCs w:val="20"/>
                <w:color w:val="auto"/>
              </w:rPr>
            </w:pPr>
            <w:r>
              <w:rPr>
                <w:rFonts w:ascii="Arial" w:cs="Arial" w:eastAsia="Arial" w:hAnsi="Arial"/>
                <w:sz w:val="18"/>
                <w:szCs w:val="18"/>
                <w:color w:val="auto"/>
              </w:rPr>
              <w:t>1.6</w:t>
            </w:r>
          </w:p>
        </w:tc>
        <w:tc>
          <w:tcPr>
            <w:tcW w:w="24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060" w:type="dxa"/>
            <w:vAlign w:val="bottom"/>
            <w:gridSpan w:val="2"/>
            <w:shd w:val="clear" w:color="auto" w:fill="C6F4F9"/>
          </w:tcPr>
          <w:p>
            <w:pPr>
              <w:jc w:val="right"/>
              <w:ind w:right="21"/>
              <w:spacing w:after="0" w:line="202" w:lineRule="exact"/>
              <w:rPr>
                <w:sz w:val="20"/>
                <w:szCs w:val="20"/>
                <w:color w:val="auto"/>
              </w:rPr>
            </w:pPr>
            <w:r>
              <w:rPr>
                <w:rFonts w:ascii="Arial" w:cs="Arial" w:eastAsia="Arial" w:hAnsi="Arial"/>
                <w:sz w:val="18"/>
                <w:szCs w:val="18"/>
                <w:color w:val="auto"/>
              </w:rPr>
              <w:t>0.4</w:t>
            </w:r>
          </w:p>
        </w:tc>
      </w:tr>
      <w:tr>
        <w:trPr>
          <w:trHeight w:val="257"/>
        </w:trPr>
        <w:tc>
          <w:tcPr>
            <w:tcW w:w="8100" w:type="dxa"/>
            <w:vAlign w:val="bottom"/>
          </w:tcPr>
          <w:p>
            <w:pPr>
              <w:spacing w:after="0" w:line="256" w:lineRule="exact"/>
              <w:rPr>
                <w:sz w:val="20"/>
                <w:szCs w:val="20"/>
                <w:color w:val="auto"/>
              </w:rPr>
            </w:pPr>
            <w:r>
              <w:rPr>
                <w:rFonts w:ascii="Arial" w:cs="Arial" w:eastAsia="Arial" w:hAnsi="Arial"/>
                <w:sz w:val="18"/>
                <w:szCs w:val="18"/>
                <w:color w:val="auto"/>
              </w:rPr>
              <w:t>Income tax (benefit) expense effect of adjusting items, net</w:t>
            </w:r>
            <w:r>
              <w:rPr>
                <w:rFonts w:ascii="Arial" w:cs="Arial" w:eastAsia="Arial" w:hAnsi="Arial"/>
                <w:sz w:val="29"/>
                <w:szCs w:val="29"/>
                <w:color w:val="auto"/>
                <w:vertAlign w:val="superscript"/>
              </w:rPr>
              <w:t>(4)</w:t>
            </w:r>
          </w:p>
        </w:tc>
        <w:tc>
          <w:tcPr>
            <w:tcW w:w="90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5.2</w:t>
            </w:r>
          </w:p>
        </w:tc>
      </w:tr>
      <w:tr>
        <w:trPr>
          <w:trHeight w:val="209"/>
        </w:trPr>
        <w:tc>
          <w:tcPr>
            <w:tcW w:w="8100" w:type="dxa"/>
            <w:vAlign w:val="bottom"/>
            <w:tcBorders>
              <w:top w:val="single" w:sz="8" w:color="C6F4F9"/>
              <w:bottom w:val="single" w:sz="8" w:color="C6F4F9"/>
            </w:tcBorders>
            <w:shd w:val="clear" w:color="auto" w:fill="C6F4F9"/>
          </w:tcPr>
          <w:p>
            <w:pPr>
              <w:spacing w:after="0"/>
              <w:rPr>
                <w:sz w:val="20"/>
                <w:szCs w:val="20"/>
                <w:color w:val="auto"/>
              </w:rPr>
            </w:pPr>
            <w:r>
              <w:rPr>
                <w:rFonts w:ascii="Arial" w:cs="Arial" w:eastAsia="Arial" w:hAnsi="Arial"/>
                <w:sz w:val="18"/>
                <w:szCs w:val="18"/>
                <w:color w:val="auto"/>
              </w:rPr>
              <w:t>Adjusted net income (loss)</w:t>
            </w:r>
          </w:p>
        </w:tc>
        <w:tc>
          <w:tcPr>
            <w:tcW w:w="900" w:type="dxa"/>
            <w:vAlign w:val="bottom"/>
            <w:tcBorders>
              <w:top w:val="single" w:sz="8" w:color="auto"/>
              <w:bottom w:val="single" w:sz="8" w:color="auto"/>
            </w:tcBorders>
            <w:shd w:val="clear" w:color="auto" w:fill="C6F4F9"/>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6F4F9"/>
          </w:tcPr>
          <w:p>
            <w:pPr>
              <w:jc w:val="center"/>
              <w:spacing w:after="0"/>
              <w:rPr>
                <w:sz w:val="20"/>
                <w:szCs w:val="20"/>
                <w:color w:val="auto"/>
              </w:rPr>
            </w:pPr>
            <w:r>
              <w:rPr>
                <w:rFonts w:ascii="Arial" w:cs="Arial" w:eastAsia="Arial" w:hAnsi="Arial"/>
                <w:sz w:val="18"/>
                <w:szCs w:val="18"/>
                <w:color w:val="auto"/>
                <w:w w:val="96"/>
              </w:rPr>
              <w:t>12.3</w:t>
            </w:r>
          </w:p>
        </w:tc>
        <w:tc>
          <w:tcPr>
            <w:tcW w:w="320" w:type="dxa"/>
            <w:vAlign w:val="bottom"/>
            <w:tcBorders>
              <w:top w:val="single" w:sz="8" w:color="C6F4F9"/>
              <w:bottom w:val="single" w:sz="8" w:color="C6F4F9"/>
            </w:tcBorders>
            <w:shd w:val="clear" w:color="auto" w:fill="C6F4F9"/>
          </w:tcPr>
          <w:p>
            <w:pPr>
              <w:spacing w:after="0"/>
              <w:rPr>
                <w:sz w:val="18"/>
                <w:szCs w:val="18"/>
                <w:color w:val="auto"/>
              </w:rPr>
            </w:pPr>
          </w:p>
        </w:tc>
        <w:tc>
          <w:tcPr>
            <w:tcW w:w="240" w:type="dxa"/>
            <w:vAlign w:val="bottom"/>
            <w:tcBorders>
              <w:top w:val="single" w:sz="8" w:color="C6F4F9"/>
              <w:bottom w:val="single" w:sz="8" w:color="C6F4F9"/>
            </w:tcBorders>
            <w:shd w:val="clear" w:color="auto" w:fill="C6F4F9"/>
          </w:tcPr>
          <w:p>
            <w:pPr>
              <w:spacing w:after="0"/>
              <w:rPr>
                <w:sz w:val="18"/>
                <w:szCs w:val="18"/>
                <w:color w:val="auto"/>
              </w:rPr>
            </w:pPr>
          </w:p>
        </w:tc>
        <w:tc>
          <w:tcPr>
            <w:tcW w:w="280" w:type="dxa"/>
            <w:vAlign w:val="bottom"/>
            <w:tcBorders>
              <w:top w:val="single" w:sz="8" w:color="auto"/>
              <w:bottom w:val="single" w:sz="8" w:color="auto"/>
            </w:tcBorders>
            <w:shd w:val="clear" w:color="auto" w:fill="C6F4F9"/>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6F4F9"/>
              <w:bottom w:val="single" w:sz="8" w:color="C6F4F9"/>
            </w:tcBorders>
            <w:shd w:val="clear" w:color="auto" w:fill="C6F4F9"/>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810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Diluted share count</w:t>
            </w:r>
          </w:p>
        </w:tc>
        <w:tc>
          <w:tcPr>
            <w:tcW w:w="900" w:type="dxa"/>
            <w:vAlign w:val="bottom"/>
            <w:shd w:val="clear" w:color="auto" w:fill="C6F4F9"/>
          </w:tcPr>
          <w:p>
            <w:pPr>
              <w:spacing w:after="0"/>
              <w:rPr>
                <w:sz w:val="17"/>
                <w:szCs w:val="17"/>
                <w:color w:val="auto"/>
              </w:rPr>
            </w:pPr>
          </w:p>
        </w:tc>
        <w:tc>
          <w:tcPr>
            <w:tcW w:w="660" w:type="dxa"/>
            <w:vAlign w:val="bottom"/>
            <w:gridSpan w:val="2"/>
            <w:shd w:val="clear" w:color="auto" w:fill="C6F4F9"/>
          </w:tcPr>
          <w:p>
            <w:pPr>
              <w:jc w:val="right"/>
              <w:ind w:right="300"/>
              <w:spacing w:after="0" w:line="202" w:lineRule="exact"/>
              <w:rPr>
                <w:sz w:val="20"/>
                <w:szCs w:val="20"/>
                <w:color w:val="auto"/>
              </w:rPr>
            </w:pPr>
            <w:r>
              <w:rPr>
                <w:rFonts w:ascii="Arial" w:cs="Arial" w:eastAsia="Arial" w:hAnsi="Arial"/>
                <w:sz w:val="18"/>
                <w:szCs w:val="18"/>
                <w:color w:val="0A0A0A"/>
                <w:w w:val="96"/>
              </w:rPr>
              <w:t>61.7</w:t>
            </w:r>
          </w:p>
        </w:tc>
        <w:tc>
          <w:tcPr>
            <w:tcW w:w="240" w:type="dxa"/>
            <w:vAlign w:val="bottom"/>
            <w:shd w:val="clear" w:color="auto" w:fill="C6F4F9"/>
          </w:tcPr>
          <w:p>
            <w:pPr>
              <w:spacing w:after="0"/>
              <w:rPr>
                <w:sz w:val="17"/>
                <w:szCs w:val="17"/>
                <w:color w:val="auto"/>
              </w:rPr>
            </w:pPr>
          </w:p>
        </w:tc>
        <w:tc>
          <w:tcPr>
            <w:tcW w:w="280" w:type="dxa"/>
            <w:vAlign w:val="bottom"/>
            <w:shd w:val="clear" w:color="auto" w:fill="C6F4F9"/>
          </w:tcPr>
          <w:p>
            <w:pPr>
              <w:spacing w:after="0"/>
              <w:rPr>
                <w:sz w:val="17"/>
                <w:szCs w:val="17"/>
                <w:color w:val="auto"/>
              </w:rPr>
            </w:pPr>
          </w:p>
        </w:tc>
        <w:tc>
          <w:tcPr>
            <w:tcW w:w="1060" w:type="dxa"/>
            <w:vAlign w:val="bottom"/>
            <w:gridSpan w:val="2"/>
            <w:shd w:val="clear" w:color="auto" w:fill="C6F4F9"/>
          </w:tcPr>
          <w:p>
            <w:pPr>
              <w:jc w:val="right"/>
              <w:ind w:right="21"/>
              <w:spacing w:after="0" w:line="202" w:lineRule="exact"/>
              <w:rPr>
                <w:sz w:val="20"/>
                <w:szCs w:val="20"/>
                <w:color w:val="auto"/>
              </w:rPr>
            </w:pPr>
            <w:r>
              <w:rPr>
                <w:rFonts w:ascii="Arial" w:cs="Arial" w:eastAsia="Arial" w:hAnsi="Arial"/>
                <w:sz w:val="18"/>
                <w:szCs w:val="18"/>
                <w:color w:val="0A0A0A"/>
              </w:rPr>
              <w:t>52.5</w:t>
            </w:r>
          </w:p>
        </w:tc>
      </w:tr>
      <w:tr>
        <w:trPr>
          <w:trHeight w:val="239"/>
        </w:trPr>
        <w:tc>
          <w:tcPr>
            <w:tcW w:w="8100" w:type="dxa"/>
            <w:vAlign w:val="bottom"/>
          </w:tcPr>
          <w:p>
            <w:pPr>
              <w:spacing w:after="0"/>
              <w:rPr>
                <w:sz w:val="20"/>
                <w:szCs w:val="20"/>
                <w:color w:val="auto"/>
              </w:rPr>
            </w:pPr>
            <w:r>
              <w:rPr>
                <w:rFonts w:ascii="Arial" w:cs="Arial" w:eastAsia="Arial" w:hAnsi="Arial"/>
                <w:sz w:val="18"/>
                <w:szCs w:val="18"/>
                <w:color w:val="auto"/>
              </w:rPr>
              <w:t>Adjusted net income (loss) per share - diluted</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0.20</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(0.09)</w:t>
            </w:r>
          </w:p>
        </w:tc>
      </w:tr>
    </w:tbl>
    <w:p>
      <w:pPr>
        <w:spacing w:after="0" w:line="14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w:t>
      </w:r>
    </w:p>
    <w:p>
      <w:pPr>
        <w:ind w:left="660" w:hanging="328"/>
        <w:spacing w:after="0" w:line="23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(Expense)</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tax effect of adjusting items, net is calculated at the Company’s statutory rate for the application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EBITDAR to GAAP Net Income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tables present the reconciliation of Adjusted EBITDAR to net income for the periods presented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r>
      <w:tr>
        <w:trPr>
          <w:trHeight w:val="203"/>
        </w:trPr>
        <w:tc>
          <w:tcPr>
            <w:tcW w:w="56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4"/>
          </w:tcPr>
          <w:p>
            <w:pPr>
              <w:jc w:val="right"/>
              <w:ind w:right="70"/>
              <w:spacing w:after="0" w:line="202" w:lineRule="exact"/>
              <w:rPr>
                <w:sz w:val="20"/>
                <w:szCs w:val="20"/>
                <w:color w:val="auto"/>
              </w:rPr>
            </w:pPr>
            <w:r>
              <w:rPr>
                <w:rFonts w:ascii="Arial" w:cs="Arial" w:eastAsia="Arial" w:hAnsi="Arial"/>
                <w:sz w:val="18"/>
                <w:szCs w:val="18"/>
                <w:b w:val="1"/>
                <w:bCs w:val="1"/>
                <w:color w:val="auto"/>
              </w:rPr>
              <w:t>March 31,</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1"/>
        </w:trPr>
        <w:tc>
          <w:tcPr>
            <w:tcW w:w="56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r>
      <w:tr>
        <w:trPr>
          <w:trHeight w:val="196"/>
        </w:trPr>
        <w:tc>
          <w:tcPr>
            <w:tcW w:w="562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Net income</w:t>
            </w:r>
          </w:p>
        </w:tc>
        <w:tc>
          <w:tcPr>
            <w:tcW w:w="2700" w:type="dxa"/>
            <w:vAlign w:val="bottom"/>
            <w:gridSpan w:val="2"/>
            <w:shd w:val="clear" w:color="auto" w:fill="C6F4F9"/>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6F4F9"/>
          </w:tcPr>
          <w:p>
            <w:pPr>
              <w:jc w:val="right"/>
              <w:ind w:right="380"/>
              <w:spacing w:after="0" w:line="196" w:lineRule="exact"/>
              <w:rPr>
                <w:sz w:val="20"/>
                <w:szCs w:val="20"/>
                <w:color w:val="auto"/>
              </w:rPr>
            </w:pPr>
            <w:r>
              <w:rPr>
                <w:rFonts w:ascii="Arial" w:cs="Arial" w:eastAsia="Arial" w:hAnsi="Arial"/>
                <w:sz w:val="18"/>
                <w:szCs w:val="18"/>
                <w:color w:val="auto"/>
              </w:rPr>
              <w:t>3.6</w:t>
            </w:r>
          </w:p>
        </w:tc>
        <w:tc>
          <w:tcPr>
            <w:tcW w:w="580" w:type="dxa"/>
            <w:vAlign w:val="bottom"/>
            <w:gridSpan w:val="2"/>
            <w:shd w:val="clear" w:color="auto" w:fill="C6F4F9"/>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6F4F9"/>
          </w:tcPr>
          <w:p>
            <w:pPr>
              <w:jc w:val="right"/>
              <w:ind w:right="160"/>
              <w:spacing w:after="0" w:line="196" w:lineRule="exact"/>
              <w:rPr>
                <w:sz w:val="20"/>
                <w:szCs w:val="20"/>
                <w:color w:val="auto"/>
              </w:rPr>
            </w:pPr>
            <w:r>
              <w:rPr>
                <w:rFonts w:ascii="Arial" w:cs="Arial" w:eastAsia="Arial" w:hAnsi="Arial"/>
                <w:sz w:val="18"/>
                <w:szCs w:val="18"/>
                <w:color w:val="auto"/>
              </w:rPr>
              <w:t>12.4</w:t>
            </w:r>
          </w:p>
        </w:tc>
      </w:tr>
      <w:tr>
        <w:trPr>
          <w:trHeight w:val="243"/>
        </w:trPr>
        <w:tc>
          <w:tcPr>
            <w:tcW w:w="5620" w:type="dxa"/>
            <w:vAlign w:val="bottom"/>
          </w:tcPr>
          <w:p>
            <w:pPr>
              <w:spacing w:after="0" w:line="243" w:lineRule="exact"/>
              <w:rPr>
                <w:sz w:val="20"/>
                <w:szCs w:val="20"/>
                <w:color w:val="auto"/>
              </w:rPr>
            </w:pPr>
            <w:r>
              <w:rPr>
                <w:rFonts w:ascii="Arial" w:cs="Arial" w:eastAsia="Arial" w:hAnsi="Arial"/>
                <w:sz w:val="17"/>
                <w:szCs w:val="17"/>
                <w:color w:val="auto"/>
              </w:rPr>
              <w:t xml:space="preserve">Special items, net </w:t>
            </w:r>
            <w:r>
              <w:rPr>
                <w:rFonts w:ascii="Arial" w:cs="Arial" w:eastAsia="Arial" w:hAnsi="Arial"/>
                <w:sz w:val="28"/>
                <w:szCs w:val="28"/>
                <w:color w:val="auto"/>
                <w:vertAlign w:val="superscript"/>
              </w:rPr>
              <w:t>(1)</w:t>
            </w:r>
          </w:p>
        </w:tc>
        <w:tc>
          <w:tcPr>
            <w:tcW w:w="2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r>
      <w:tr>
        <w:trPr>
          <w:trHeight w:val="203"/>
        </w:trPr>
        <w:tc>
          <w:tcPr>
            <w:tcW w:w="562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Interest expense</w:t>
            </w:r>
          </w:p>
        </w:tc>
        <w:tc>
          <w:tcPr>
            <w:tcW w:w="240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300" w:type="dxa"/>
            <w:vAlign w:val="bottom"/>
            <w:gridSpan w:val="2"/>
            <w:shd w:val="clear" w:color="auto" w:fill="C6F4F9"/>
          </w:tcPr>
          <w:p>
            <w:pPr>
              <w:jc w:val="right"/>
              <w:ind w:right="380"/>
              <w:spacing w:after="0" w:line="202" w:lineRule="exact"/>
              <w:rPr>
                <w:sz w:val="20"/>
                <w:szCs w:val="20"/>
                <w:color w:val="auto"/>
              </w:rPr>
            </w:pPr>
            <w:r>
              <w:rPr>
                <w:rFonts w:ascii="Arial" w:cs="Arial" w:eastAsia="Arial" w:hAnsi="Arial"/>
                <w:sz w:val="18"/>
                <w:szCs w:val="18"/>
                <w:color w:val="auto"/>
              </w:rPr>
              <w:t>8.6</w:t>
            </w:r>
          </w:p>
        </w:tc>
        <w:tc>
          <w:tcPr>
            <w:tcW w:w="220" w:type="dxa"/>
            <w:vAlign w:val="bottom"/>
            <w:shd w:val="clear" w:color="auto" w:fill="C6F4F9"/>
          </w:tcPr>
          <w:p>
            <w:pPr>
              <w:spacing w:after="0"/>
              <w:rPr>
                <w:sz w:val="17"/>
                <w:szCs w:val="17"/>
                <w:color w:val="auto"/>
              </w:rPr>
            </w:pPr>
          </w:p>
        </w:tc>
        <w:tc>
          <w:tcPr>
            <w:tcW w:w="360" w:type="dxa"/>
            <w:vAlign w:val="bottom"/>
            <w:shd w:val="clear" w:color="auto" w:fill="C6F4F9"/>
          </w:tcPr>
          <w:p>
            <w:pPr>
              <w:spacing w:after="0"/>
              <w:rPr>
                <w:sz w:val="17"/>
                <w:szCs w:val="17"/>
                <w:color w:val="auto"/>
              </w:rPr>
            </w:pPr>
          </w:p>
        </w:tc>
        <w:tc>
          <w:tcPr>
            <w:tcW w:w="1040" w:type="dxa"/>
            <w:vAlign w:val="bottom"/>
            <w:gridSpan w:val="2"/>
            <w:shd w:val="clear" w:color="auto" w:fill="C6F4F9"/>
          </w:tcPr>
          <w:p>
            <w:pPr>
              <w:jc w:val="right"/>
              <w:ind w:right="160"/>
              <w:spacing w:after="0" w:line="202" w:lineRule="exact"/>
              <w:rPr>
                <w:sz w:val="20"/>
                <w:szCs w:val="20"/>
                <w:color w:val="auto"/>
              </w:rPr>
            </w:pPr>
            <w:r>
              <w:rPr>
                <w:rFonts w:ascii="Arial" w:cs="Arial" w:eastAsia="Arial" w:hAnsi="Arial"/>
                <w:sz w:val="18"/>
                <w:szCs w:val="18"/>
                <w:color w:val="auto"/>
              </w:rPr>
              <w:t>7.1</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2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0.9</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w:t>
            </w:r>
          </w:p>
        </w:tc>
      </w:tr>
      <w:tr>
        <w:trPr>
          <w:trHeight w:val="243"/>
        </w:trPr>
        <w:tc>
          <w:tcPr>
            <w:tcW w:w="562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 xml:space="preserve">Tax receivable agreement expense </w:t>
            </w:r>
            <w:r>
              <w:rPr>
                <w:rFonts w:ascii="Arial" w:cs="Arial" w:eastAsia="Arial" w:hAnsi="Arial"/>
                <w:sz w:val="28"/>
                <w:szCs w:val="28"/>
                <w:color w:val="auto"/>
                <w:vertAlign w:val="superscript"/>
              </w:rPr>
              <w:t>(2)</w:t>
            </w:r>
          </w:p>
        </w:tc>
        <w:tc>
          <w:tcPr>
            <w:tcW w:w="2400" w:type="dxa"/>
            <w:vAlign w:val="bottom"/>
            <w:shd w:val="clear" w:color="auto" w:fill="C6F4F9"/>
          </w:tcPr>
          <w:p>
            <w:pPr>
              <w:spacing w:after="0"/>
              <w:rPr>
                <w:sz w:val="21"/>
                <w:szCs w:val="21"/>
                <w:color w:val="auto"/>
              </w:rPr>
            </w:pPr>
          </w:p>
        </w:tc>
        <w:tc>
          <w:tcPr>
            <w:tcW w:w="300" w:type="dxa"/>
            <w:vAlign w:val="bottom"/>
            <w:shd w:val="clear" w:color="auto" w:fill="C6F4F9"/>
          </w:tcPr>
          <w:p>
            <w:pPr>
              <w:spacing w:after="0"/>
              <w:rPr>
                <w:sz w:val="21"/>
                <w:szCs w:val="21"/>
                <w:color w:val="auto"/>
              </w:rPr>
            </w:pPr>
          </w:p>
        </w:tc>
        <w:tc>
          <w:tcPr>
            <w:tcW w:w="1300" w:type="dxa"/>
            <w:vAlign w:val="bottom"/>
            <w:gridSpan w:val="2"/>
            <w:shd w:val="clear" w:color="auto" w:fill="C6F4F9"/>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6F4F9"/>
          </w:tcPr>
          <w:p>
            <w:pPr>
              <w:spacing w:after="0"/>
              <w:rPr>
                <w:sz w:val="21"/>
                <w:szCs w:val="21"/>
                <w:color w:val="auto"/>
              </w:rPr>
            </w:pPr>
          </w:p>
        </w:tc>
        <w:tc>
          <w:tcPr>
            <w:tcW w:w="360" w:type="dxa"/>
            <w:vAlign w:val="bottom"/>
            <w:shd w:val="clear" w:color="auto" w:fill="C6F4F9"/>
          </w:tcPr>
          <w:p>
            <w:pPr>
              <w:spacing w:after="0"/>
              <w:rPr>
                <w:sz w:val="21"/>
                <w:szCs w:val="21"/>
                <w:color w:val="auto"/>
              </w:rPr>
            </w:pPr>
          </w:p>
        </w:tc>
        <w:tc>
          <w:tcPr>
            <w:tcW w:w="1040" w:type="dxa"/>
            <w:vAlign w:val="bottom"/>
            <w:gridSpan w:val="2"/>
            <w:shd w:val="clear" w:color="auto" w:fill="C6F4F9"/>
          </w:tcPr>
          <w:p>
            <w:pPr>
              <w:jc w:val="right"/>
              <w:ind w:right="160"/>
              <w:spacing w:after="0"/>
              <w:rPr>
                <w:sz w:val="20"/>
                <w:szCs w:val="20"/>
                <w:color w:val="auto"/>
              </w:rPr>
            </w:pPr>
            <w:r>
              <w:rPr>
                <w:rFonts w:ascii="Arial" w:cs="Arial" w:eastAsia="Arial" w:hAnsi="Arial"/>
                <w:sz w:val="18"/>
                <w:szCs w:val="18"/>
                <w:color w:val="auto"/>
              </w:rPr>
              <w:t>0.3</w:t>
            </w:r>
          </w:p>
        </w:tc>
      </w:tr>
      <w:tr>
        <w:trPr>
          <w:trHeight w:val="243"/>
        </w:trPr>
        <w:tc>
          <w:tcPr>
            <w:tcW w:w="5620" w:type="dxa"/>
            <w:vAlign w:val="bottom"/>
          </w:tcPr>
          <w:p>
            <w:pPr>
              <w:spacing w:after="0" w:line="243" w:lineRule="exact"/>
              <w:rPr>
                <w:sz w:val="20"/>
                <w:szCs w:val="20"/>
                <w:color w:val="auto"/>
              </w:rPr>
            </w:pPr>
            <w:r>
              <w:rPr>
                <w:rFonts w:ascii="Arial" w:cs="Arial" w:eastAsia="Arial" w:hAnsi="Arial"/>
                <w:sz w:val="17"/>
                <w:szCs w:val="17"/>
                <w:color w:val="auto"/>
              </w:rPr>
              <w:t xml:space="preserve">Tax receivable agreement adjustment </w:t>
            </w:r>
            <w:r>
              <w:rPr>
                <w:rFonts w:ascii="Arial" w:cs="Arial" w:eastAsia="Arial" w:hAnsi="Arial"/>
                <w:sz w:val="28"/>
                <w:szCs w:val="28"/>
                <w:color w:val="auto"/>
                <w:vertAlign w:val="superscript"/>
              </w:rPr>
              <w:t>(3)</w:t>
            </w:r>
          </w:p>
        </w:tc>
        <w:tc>
          <w:tcPr>
            <w:tcW w:w="2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03"/>
        </w:trPr>
        <w:tc>
          <w:tcPr>
            <w:tcW w:w="562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Provision for income taxes</w:t>
            </w:r>
          </w:p>
        </w:tc>
        <w:tc>
          <w:tcPr>
            <w:tcW w:w="2400" w:type="dxa"/>
            <w:vAlign w:val="bottom"/>
            <w:shd w:val="clear" w:color="auto" w:fill="C6F4F9"/>
          </w:tcPr>
          <w:p>
            <w:pPr>
              <w:spacing w:after="0"/>
              <w:rPr>
                <w:sz w:val="17"/>
                <w:szCs w:val="17"/>
                <w:color w:val="auto"/>
              </w:rPr>
            </w:pPr>
          </w:p>
        </w:tc>
        <w:tc>
          <w:tcPr>
            <w:tcW w:w="300" w:type="dxa"/>
            <w:vAlign w:val="bottom"/>
            <w:shd w:val="clear" w:color="auto" w:fill="C6F4F9"/>
          </w:tcPr>
          <w:p>
            <w:pPr>
              <w:spacing w:after="0"/>
              <w:rPr>
                <w:sz w:val="17"/>
                <w:szCs w:val="17"/>
                <w:color w:val="auto"/>
              </w:rPr>
            </w:pPr>
          </w:p>
        </w:tc>
        <w:tc>
          <w:tcPr>
            <w:tcW w:w="1300" w:type="dxa"/>
            <w:vAlign w:val="bottom"/>
            <w:gridSpan w:val="2"/>
            <w:shd w:val="clear" w:color="auto" w:fill="C6F4F9"/>
          </w:tcPr>
          <w:p>
            <w:pPr>
              <w:jc w:val="right"/>
              <w:ind w:right="380"/>
              <w:spacing w:after="0" w:line="202" w:lineRule="exact"/>
              <w:rPr>
                <w:sz w:val="20"/>
                <w:szCs w:val="20"/>
                <w:color w:val="auto"/>
              </w:rPr>
            </w:pPr>
            <w:r>
              <w:rPr>
                <w:rFonts w:ascii="Arial" w:cs="Arial" w:eastAsia="Arial" w:hAnsi="Arial"/>
                <w:sz w:val="18"/>
                <w:szCs w:val="18"/>
                <w:color w:val="auto"/>
              </w:rPr>
              <w:t>2.8</w:t>
            </w:r>
          </w:p>
        </w:tc>
        <w:tc>
          <w:tcPr>
            <w:tcW w:w="220" w:type="dxa"/>
            <w:vAlign w:val="bottom"/>
            <w:shd w:val="clear" w:color="auto" w:fill="C6F4F9"/>
          </w:tcPr>
          <w:p>
            <w:pPr>
              <w:spacing w:after="0"/>
              <w:rPr>
                <w:sz w:val="17"/>
                <w:szCs w:val="17"/>
                <w:color w:val="auto"/>
              </w:rPr>
            </w:pPr>
          </w:p>
        </w:tc>
        <w:tc>
          <w:tcPr>
            <w:tcW w:w="360" w:type="dxa"/>
            <w:vAlign w:val="bottom"/>
            <w:shd w:val="clear" w:color="auto" w:fill="C6F4F9"/>
          </w:tcPr>
          <w:p>
            <w:pPr>
              <w:spacing w:after="0"/>
              <w:rPr>
                <w:sz w:val="17"/>
                <w:szCs w:val="17"/>
                <w:color w:val="auto"/>
              </w:rPr>
            </w:pPr>
          </w:p>
        </w:tc>
        <w:tc>
          <w:tcPr>
            <w:tcW w:w="1040" w:type="dxa"/>
            <w:vAlign w:val="bottom"/>
            <w:gridSpan w:val="2"/>
            <w:shd w:val="clear" w:color="auto" w:fill="C6F4F9"/>
          </w:tcPr>
          <w:p>
            <w:pPr>
              <w:jc w:val="right"/>
              <w:ind w:right="160"/>
              <w:spacing w:after="0" w:line="202" w:lineRule="exact"/>
              <w:rPr>
                <w:sz w:val="20"/>
                <w:szCs w:val="20"/>
                <w:color w:val="auto"/>
              </w:rPr>
            </w:pPr>
            <w:r>
              <w:rPr>
                <w:rFonts w:ascii="Arial" w:cs="Arial" w:eastAsia="Arial" w:hAnsi="Arial"/>
                <w:sz w:val="18"/>
                <w:szCs w:val="18"/>
                <w:color w:val="auto"/>
              </w:rPr>
              <w:t>5.4</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15.3</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12.6</w:t>
            </w:r>
          </w:p>
        </w:tc>
      </w:tr>
      <w:tr>
        <w:trPr>
          <w:trHeight w:val="216"/>
        </w:trPr>
        <w:tc>
          <w:tcPr>
            <w:tcW w:w="5620" w:type="dxa"/>
            <w:vAlign w:val="bottom"/>
            <w:shd w:val="clear" w:color="auto" w:fill="C6F4F9"/>
          </w:tcPr>
          <w:p>
            <w:pPr>
              <w:spacing w:after="0"/>
              <w:rPr>
                <w:sz w:val="20"/>
                <w:szCs w:val="20"/>
                <w:color w:val="auto"/>
              </w:rPr>
            </w:pPr>
            <w:r>
              <w:rPr>
                <w:rFonts w:ascii="Arial" w:cs="Arial" w:eastAsia="Arial" w:hAnsi="Arial"/>
                <w:sz w:val="18"/>
                <w:szCs w:val="18"/>
                <w:color w:val="auto"/>
              </w:rPr>
              <w:t>Aircraft rent</w:t>
            </w:r>
          </w:p>
        </w:tc>
        <w:tc>
          <w:tcPr>
            <w:tcW w:w="2400" w:type="dxa"/>
            <w:vAlign w:val="bottom"/>
            <w:shd w:val="clear" w:color="auto" w:fill="C6F4F9"/>
          </w:tcPr>
          <w:p>
            <w:pPr>
              <w:spacing w:after="0"/>
              <w:rPr>
                <w:sz w:val="18"/>
                <w:szCs w:val="18"/>
                <w:color w:val="auto"/>
              </w:rPr>
            </w:pPr>
          </w:p>
        </w:tc>
        <w:tc>
          <w:tcPr>
            <w:tcW w:w="300" w:type="dxa"/>
            <w:vAlign w:val="bottom"/>
            <w:shd w:val="clear" w:color="auto" w:fill="C6F4F9"/>
          </w:tcPr>
          <w:p>
            <w:pPr>
              <w:spacing w:after="0"/>
              <w:rPr>
                <w:sz w:val="18"/>
                <w:szCs w:val="18"/>
                <w:color w:val="auto"/>
              </w:rPr>
            </w:pPr>
          </w:p>
        </w:tc>
        <w:tc>
          <w:tcPr>
            <w:tcW w:w="1300" w:type="dxa"/>
            <w:vAlign w:val="bottom"/>
            <w:gridSpan w:val="2"/>
            <w:shd w:val="clear" w:color="auto" w:fill="C6F4F9"/>
          </w:tcPr>
          <w:p>
            <w:pPr>
              <w:jc w:val="right"/>
              <w:ind w:right="38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6F4F9"/>
          </w:tcPr>
          <w:p>
            <w:pPr>
              <w:spacing w:after="0"/>
              <w:rPr>
                <w:sz w:val="18"/>
                <w:szCs w:val="18"/>
                <w:color w:val="auto"/>
              </w:rPr>
            </w:pPr>
          </w:p>
        </w:tc>
        <w:tc>
          <w:tcPr>
            <w:tcW w:w="360" w:type="dxa"/>
            <w:vAlign w:val="bottom"/>
            <w:shd w:val="clear" w:color="auto" w:fill="C6F4F9"/>
          </w:tcPr>
          <w:p>
            <w:pPr>
              <w:spacing w:after="0"/>
              <w:rPr>
                <w:sz w:val="18"/>
                <w:szCs w:val="18"/>
                <w:color w:val="auto"/>
              </w:rPr>
            </w:pPr>
          </w:p>
        </w:tc>
        <w:tc>
          <w:tcPr>
            <w:tcW w:w="1040" w:type="dxa"/>
            <w:vAlign w:val="bottom"/>
            <w:gridSpan w:val="2"/>
            <w:shd w:val="clear" w:color="auto" w:fill="C6F4F9"/>
          </w:tcPr>
          <w:p>
            <w:pPr>
              <w:jc w:val="right"/>
              <w:ind w:right="160"/>
              <w:spacing w:after="0"/>
              <w:rPr>
                <w:sz w:val="20"/>
                <w:szCs w:val="20"/>
                <w:color w:val="auto"/>
              </w:rPr>
            </w:pPr>
            <w:r>
              <w:rPr>
                <w:rFonts w:ascii="Arial" w:cs="Arial" w:eastAsia="Arial" w:hAnsi="Arial"/>
                <w:sz w:val="18"/>
                <w:szCs w:val="18"/>
                <w:color w:val="auto"/>
              </w:rPr>
              <w:t>5.6</w:t>
            </w:r>
          </w:p>
        </w:tc>
      </w:tr>
      <w:tr>
        <w:trPr>
          <w:trHeight w:val="250"/>
        </w:trPr>
        <w:tc>
          <w:tcPr>
            <w:tcW w:w="5620" w:type="dxa"/>
            <w:vAlign w:val="bottom"/>
            <w:tcBorders>
              <w:bottom w:val="single" w:sz="8" w:color="C6F4F9"/>
            </w:tcBorders>
          </w:tcPr>
          <w:p>
            <w:pPr>
              <w:spacing w:after="0"/>
              <w:rPr>
                <w:sz w:val="20"/>
                <w:szCs w:val="20"/>
                <w:color w:val="auto"/>
              </w:rPr>
            </w:pPr>
            <w:r>
              <w:rPr>
                <w:rFonts w:ascii="Arial" w:cs="Arial" w:eastAsia="Arial" w:hAnsi="Arial"/>
                <w:sz w:val="18"/>
                <w:szCs w:val="18"/>
                <w:color w:val="auto"/>
              </w:rPr>
              <w:t>Adjusted EBITDAR</w:t>
            </w:r>
          </w:p>
        </w:tc>
        <w:tc>
          <w:tcPr>
            <w:tcW w:w="2400" w:type="dxa"/>
            <w:vAlign w:val="bottom"/>
            <w:tcBorders>
              <w:bottom w:val="single" w:sz="8" w:color="C6F4F9"/>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380" w:type="dxa"/>
            <w:vAlign w:val="bottom"/>
            <w:tcBorders>
              <w:bottom w:val="single" w:sz="8" w:color="C6F4F9"/>
            </w:tcBorders>
          </w:tcPr>
          <w:p>
            <w:pPr>
              <w:spacing w:after="0"/>
              <w:rPr>
                <w:sz w:val="21"/>
                <w:szCs w:val="21"/>
                <w:color w:val="auto"/>
              </w:rPr>
            </w:pPr>
          </w:p>
        </w:tc>
        <w:tc>
          <w:tcPr>
            <w:tcW w:w="220" w:type="dxa"/>
            <w:vAlign w:val="bottom"/>
            <w:tcBorders>
              <w:bottom w:val="single" w:sz="8" w:color="C6F4F9"/>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Borders>
              <w:bottom w:val="single" w:sz="8" w:color="C6F4F9"/>
            </w:tcBorders>
          </w:tcPr>
          <w:p>
            <w:pPr>
              <w:spacing w:after="0"/>
              <w:rPr>
                <w:sz w:val="21"/>
                <w:szCs w:val="21"/>
                <w:color w:val="auto"/>
              </w:rPr>
            </w:pPr>
          </w:p>
        </w:tc>
      </w:tr>
      <w:tr>
        <w:trPr>
          <w:trHeight w:val="143"/>
        </w:trPr>
        <w:tc>
          <w:tcPr>
            <w:tcW w:w="5620" w:type="dxa"/>
            <w:vAlign w:val="bottom"/>
            <w:shd w:val="clear" w:color="auto" w:fill="C6F4F9"/>
          </w:tcPr>
          <w:p>
            <w:pPr>
              <w:spacing w:after="0"/>
              <w:rPr>
                <w:sz w:val="12"/>
                <w:szCs w:val="12"/>
                <w:color w:val="auto"/>
              </w:rPr>
            </w:pPr>
          </w:p>
        </w:tc>
        <w:tc>
          <w:tcPr>
            <w:tcW w:w="2400" w:type="dxa"/>
            <w:vAlign w:val="bottom"/>
            <w:shd w:val="clear" w:color="auto" w:fill="C6F4F9"/>
          </w:tcPr>
          <w:p>
            <w:pPr>
              <w:spacing w:after="0"/>
              <w:rPr>
                <w:sz w:val="12"/>
                <w:szCs w:val="12"/>
                <w:color w:val="auto"/>
              </w:rPr>
            </w:pPr>
          </w:p>
        </w:tc>
        <w:tc>
          <w:tcPr>
            <w:tcW w:w="300" w:type="dxa"/>
            <w:vAlign w:val="bottom"/>
            <w:shd w:val="clear" w:color="auto" w:fill="C6F4F9"/>
          </w:tcPr>
          <w:p>
            <w:pPr>
              <w:spacing w:after="0"/>
              <w:rPr>
                <w:sz w:val="12"/>
                <w:szCs w:val="12"/>
                <w:color w:val="auto"/>
              </w:rPr>
            </w:pPr>
          </w:p>
        </w:tc>
        <w:tc>
          <w:tcPr>
            <w:tcW w:w="920" w:type="dxa"/>
            <w:vAlign w:val="bottom"/>
            <w:shd w:val="clear" w:color="auto" w:fill="C6F4F9"/>
          </w:tcPr>
          <w:p>
            <w:pPr>
              <w:spacing w:after="0"/>
              <w:rPr>
                <w:sz w:val="12"/>
                <w:szCs w:val="12"/>
                <w:color w:val="auto"/>
              </w:rPr>
            </w:pPr>
          </w:p>
        </w:tc>
        <w:tc>
          <w:tcPr>
            <w:tcW w:w="380" w:type="dxa"/>
            <w:vAlign w:val="bottom"/>
            <w:shd w:val="clear" w:color="auto" w:fill="C6F4F9"/>
          </w:tcPr>
          <w:p>
            <w:pPr>
              <w:spacing w:after="0"/>
              <w:rPr>
                <w:sz w:val="12"/>
                <w:szCs w:val="12"/>
                <w:color w:val="auto"/>
              </w:rPr>
            </w:pPr>
          </w:p>
        </w:tc>
        <w:tc>
          <w:tcPr>
            <w:tcW w:w="220" w:type="dxa"/>
            <w:vAlign w:val="bottom"/>
            <w:shd w:val="clear" w:color="auto" w:fill="C6F4F9"/>
          </w:tcPr>
          <w:p>
            <w:pPr>
              <w:spacing w:after="0"/>
              <w:rPr>
                <w:sz w:val="12"/>
                <w:szCs w:val="12"/>
                <w:color w:val="auto"/>
              </w:rPr>
            </w:pPr>
          </w:p>
        </w:tc>
        <w:tc>
          <w:tcPr>
            <w:tcW w:w="360" w:type="dxa"/>
            <w:vAlign w:val="bottom"/>
            <w:shd w:val="clear" w:color="auto" w:fill="C6F4F9"/>
          </w:tcPr>
          <w:p>
            <w:pPr>
              <w:spacing w:after="0"/>
              <w:rPr>
                <w:sz w:val="12"/>
                <w:szCs w:val="12"/>
                <w:color w:val="auto"/>
              </w:rPr>
            </w:pPr>
          </w:p>
        </w:tc>
        <w:tc>
          <w:tcPr>
            <w:tcW w:w="880" w:type="dxa"/>
            <w:vAlign w:val="bottom"/>
            <w:shd w:val="clear" w:color="auto" w:fill="C6F4F9"/>
          </w:tcPr>
          <w:p>
            <w:pPr>
              <w:spacing w:after="0"/>
              <w:rPr>
                <w:sz w:val="12"/>
                <w:szCs w:val="12"/>
                <w:color w:val="auto"/>
              </w:rPr>
            </w:pPr>
          </w:p>
        </w:tc>
        <w:tc>
          <w:tcPr>
            <w:tcW w:w="160" w:type="dxa"/>
            <w:vAlign w:val="bottom"/>
            <w:shd w:val="clear" w:color="auto" w:fill="C6F4F9"/>
          </w:tcPr>
          <w:p>
            <w:pPr>
              <w:spacing w:after="0"/>
              <w:rPr>
                <w:sz w:val="12"/>
                <w:szCs w:val="12"/>
                <w:color w:val="auto"/>
              </w:rPr>
            </w:pPr>
          </w:p>
        </w:tc>
      </w:tr>
      <w:tr>
        <w:trPr>
          <w:trHeight w:val="239"/>
        </w:trPr>
        <w:tc>
          <w:tcPr>
            <w:tcW w:w="5620" w:type="dxa"/>
            <w:vAlign w:val="bottom"/>
          </w:tcPr>
          <w:p>
            <w:pPr>
              <w:spacing w:after="0"/>
              <w:rPr>
                <w:sz w:val="20"/>
                <w:szCs w:val="20"/>
                <w:color w:val="auto"/>
              </w:rPr>
            </w:pPr>
            <w:r>
              <w:rPr>
                <w:rFonts w:ascii="Arial" w:cs="Arial" w:eastAsia="Arial" w:hAnsi="Arial"/>
                <w:sz w:val="18"/>
                <w:szCs w:val="18"/>
                <w:color w:val="auto"/>
              </w:rPr>
              <w:t>Adjusted EBITDAR margin</w:t>
            </w:r>
          </w:p>
        </w:tc>
        <w:tc>
          <w:tcPr>
            <w:tcW w:w="2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15.2%</w:t>
            </w:r>
          </w:p>
        </w:tc>
      </w:tr>
    </w:tbl>
    <w:p>
      <w:pPr>
        <w:spacing w:after="0" w:line="16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(Expense)</w:t>
      </w:r>
    </w:p>
    <w:p>
      <w:pPr>
        <w:spacing w:after="0" w:line="85" w:lineRule="exact"/>
        <w:rPr>
          <w:sz w:val="20"/>
          <w:szCs w:val="20"/>
          <w:color w:val="auto"/>
        </w:rPr>
      </w:pPr>
    </w:p>
    <w:p>
      <w:pPr>
        <w:jc w:val="right"/>
        <w:spacing w:after="0"/>
        <w:tabs>
          <w:tab w:leader="none" w:pos="2920" w:val="left"/>
        </w:tabs>
        <w:rPr>
          <w:sz w:val="20"/>
          <w:szCs w:val="20"/>
          <w:color w:val="auto"/>
        </w:rPr>
      </w:pPr>
      <w:r>
        <w:rPr>
          <w:rFonts w:ascii="Times New Roman" w:cs="Times New Roman" w:eastAsia="Times New Roman" w:hAnsi="Times New Roman"/>
          <w:sz w:val="18"/>
          <w:szCs w:val="18"/>
          <w:color w:val="auto"/>
        </w:rPr>
        <w:t>Page 12</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11"/>
          <w:szCs w:val="11"/>
          <w:color w:val="7671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5171440</wp:posOffset>
            </wp:positionH>
            <wp:positionV relativeFrom="page">
              <wp:posOffset>157480</wp:posOffset>
            </wp:positionV>
            <wp:extent cx="2134235" cy="531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2134235" cy="531495"/>
                    </a:xfrm>
                    <a:prstGeom prst="rect">
                      <a:avLst/>
                    </a:prstGeom>
                    <a:noFill/>
                  </pic:spPr>
                </pic:pic>
              </a:graphicData>
            </a:graphic>
          </wp:anchor>
        </w:drawing>
        <w:t>Adjusted CASM</w:t>
      </w:r>
    </w:p>
    <w:p>
      <w:pPr>
        <w:spacing w:after="0" w:line="19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Adjusted CASM is a non-GAAP measure derived from CASM by excluding fuel costs, costs related to our cargo operations (starting in 2020 when we launched our cargo operations), stock based compensation,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 Adjusted CASM also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As derivations of CASM are not determined in accordance with GAAP, such measures are susceptible to varying calculations and not all companies calculate the measures in the same manner. As a result, derivations of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Total operating expense less fuel and special items per block hour is derived by excluding fuel expense and special items from total operating expense. By excluding volatile fuel expenses that are outside of our control from our unit metrics and certain special items that we consider to not be indicative of our ongoing operations, we believe that we have better visibility into the results of operations and our non-fuel cost initiatives. Accordingly, you are cautioned not to place undue reliance on this information.</w:t>
      </w:r>
    </w:p>
    <w:p>
      <w:pPr>
        <w:spacing w:after="0" w:line="81" w:lineRule="exact"/>
        <w:rPr>
          <w:sz w:val="20"/>
          <w:szCs w:val="20"/>
          <w:color w:val="auto"/>
        </w:rPr>
      </w:pPr>
    </w:p>
    <w:p>
      <w:pPr>
        <w:jc w:val="right"/>
        <w:spacing w:after="0"/>
        <w:tabs>
          <w:tab w:leader="none" w:pos="2920" w:val="left"/>
        </w:tabs>
        <w:rPr>
          <w:sz w:val="20"/>
          <w:szCs w:val="20"/>
          <w:color w:val="auto"/>
        </w:rPr>
      </w:pPr>
      <w:r>
        <w:rPr>
          <w:rFonts w:ascii="Times New Roman" w:cs="Times New Roman" w:eastAsia="Times New Roman" w:hAnsi="Times New Roman"/>
          <w:sz w:val="18"/>
          <w:szCs w:val="18"/>
          <w:color w:val="auto"/>
        </w:rPr>
        <w:t>Page 13</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11"/>
          <w:szCs w:val="11"/>
          <w:color w:val="7671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6" w:name="page17"/>
    <w:bookmarkEnd w:id="16"/>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5171440</wp:posOffset>
            </wp:positionH>
            <wp:positionV relativeFrom="page">
              <wp:posOffset>157480</wp:posOffset>
            </wp:positionV>
            <wp:extent cx="2134235" cy="531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2134235" cy="5314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Reconciliation of Adjusted CASM to CASM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may not recalculate due to rounding,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reconciliation of Adjusted CASM to CASM.</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20" w:type="dxa"/>
            <w:vAlign w:val="bottom"/>
            <w:gridSpan w:val="9"/>
          </w:tcPr>
          <w:p>
            <w:pPr>
              <w:jc w:val="right"/>
              <w:ind w:right="280"/>
              <w:spacing w:after="0"/>
              <w:rPr>
                <w:sz w:val="20"/>
                <w:szCs w:val="20"/>
                <w:color w:val="auto"/>
              </w:rPr>
            </w:pPr>
            <w:r>
              <w:rPr>
                <w:rFonts w:ascii="Arial" w:cs="Arial" w:eastAsia="Arial" w:hAnsi="Arial"/>
                <w:sz w:val="18"/>
                <w:szCs w:val="18"/>
                <w:b w:val="1"/>
                <w:bCs w:val="1"/>
                <w:color w:val="auto"/>
              </w:rPr>
              <w:t>Three Months Ended March 31,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5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2022</w:t>
            </w: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177"/>
        </w:trPr>
        <w:tc>
          <w:tcPr>
            <w:tcW w:w="5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3"/>
          </w:tcPr>
          <w:p>
            <w:pPr>
              <w:jc w:val="center"/>
              <w:ind w:right="460"/>
              <w:spacing w:after="0" w:line="177" w:lineRule="exact"/>
              <w:rPr>
                <w:sz w:val="20"/>
                <w:szCs w:val="20"/>
                <w:color w:val="auto"/>
              </w:rPr>
            </w:pPr>
            <w:r>
              <w:rPr>
                <w:rFonts w:ascii="Arial" w:cs="Arial" w:eastAsia="Arial" w:hAnsi="Arial"/>
                <w:sz w:val="18"/>
                <w:szCs w:val="18"/>
                <w:b w:val="1"/>
                <w:bCs w:val="1"/>
                <w:color w:val="auto"/>
                <w:w w:val="98"/>
              </w:rPr>
              <w:t>Operating</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440"/>
              <w:spacing w:after="0" w:line="177" w:lineRule="exact"/>
              <w:rPr>
                <w:sz w:val="20"/>
                <w:szCs w:val="20"/>
                <w:color w:val="auto"/>
              </w:rPr>
            </w:pPr>
            <w:r>
              <w:rPr>
                <w:rFonts w:ascii="Arial" w:cs="Arial" w:eastAsia="Arial" w:hAnsi="Arial"/>
                <w:sz w:val="18"/>
                <w:szCs w:val="18"/>
                <w:b w:val="1"/>
                <w:bCs w:val="1"/>
                <w:color w:val="auto"/>
              </w:rPr>
              <w:t>Operating</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3"/>
          </w:tcPr>
          <w:p>
            <w:pPr>
              <w:jc w:val="center"/>
              <w:ind w:right="460"/>
              <w:spacing w:after="0" w:line="202" w:lineRule="exact"/>
              <w:rPr>
                <w:sz w:val="20"/>
                <w:szCs w:val="20"/>
                <w:color w:val="auto"/>
              </w:rPr>
            </w:pPr>
            <w:r>
              <w:rPr>
                <w:rFonts w:ascii="Arial" w:cs="Arial" w:eastAsia="Arial" w:hAnsi="Arial"/>
                <w:sz w:val="18"/>
                <w:szCs w:val="18"/>
                <w:b w:val="1"/>
                <w:bCs w:val="1"/>
                <w:color w:val="auto"/>
                <w:w w:val="99"/>
              </w:rPr>
              <w:t>Expenses</w:t>
            </w:r>
          </w:p>
        </w:tc>
        <w:tc>
          <w:tcPr>
            <w:tcW w:w="1160" w:type="dxa"/>
            <w:vAlign w:val="bottom"/>
            <w:gridSpan w:val="3"/>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Per ASM</w:t>
            </w:r>
          </w:p>
        </w:tc>
        <w:tc>
          <w:tcPr>
            <w:tcW w:w="140" w:type="dxa"/>
            <w:vAlign w:val="bottom"/>
          </w:tcPr>
          <w:p>
            <w:pPr>
              <w:spacing w:after="0"/>
              <w:rPr>
                <w:sz w:val="17"/>
                <w:szCs w:val="17"/>
                <w:color w:val="auto"/>
              </w:rPr>
            </w:pPr>
          </w:p>
        </w:tc>
        <w:tc>
          <w:tcPr>
            <w:tcW w:w="1380" w:type="dxa"/>
            <w:vAlign w:val="bottom"/>
            <w:gridSpan w:val="3"/>
          </w:tcPr>
          <w:p>
            <w:pPr>
              <w:jc w:val="center"/>
              <w:ind w:right="460"/>
              <w:spacing w:after="0" w:line="202" w:lineRule="exact"/>
              <w:rPr>
                <w:sz w:val="20"/>
                <w:szCs w:val="20"/>
                <w:color w:val="auto"/>
              </w:rPr>
            </w:pPr>
            <w:r>
              <w:rPr>
                <w:rFonts w:ascii="Arial" w:cs="Arial" w:eastAsia="Arial" w:hAnsi="Arial"/>
                <w:sz w:val="18"/>
                <w:szCs w:val="18"/>
                <w:b w:val="1"/>
                <w:bCs w:val="1"/>
                <w:color w:val="auto"/>
                <w:w w:val="99"/>
              </w:rPr>
              <w:t>Expenses</w:t>
            </w: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Per ASM</w:t>
            </w:r>
          </w:p>
        </w:tc>
      </w:tr>
      <w:tr>
        <w:trPr>
          <w:trHeight w:val="221"/>
        </w:trPr>
        <w:tc>
          <w:tcPr>
            <w:tcW w:w="5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8"/>
                <w:szCs w:val="18"/>
                <w:b w:val="1"/>
                <w:bCs w:val="1"/>
                <w:color w:val="auto"/>
              </w:rPr>
              <w:t>- mm</w:t>
            </w:r>
          </w:p>
        </w:tc>
        <w:tc>
          <w:tcPr>
            <w:tcW w:w="11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8"/>
              </w:rPr>
              <w:t>(cents)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8"/>
                <w:szCs w:val="18"/>
                <w:b w:val="1"/>
                <w:bCs w:val="1"/>
                <w:color w:val="auto"/>
                <w:w w:val="97"/>
              </w:rPr>
              <w:t>- mm</w:t>
            </w:r>
          </w:p>
        </w:tc>
        <w:tc>
          <w:tcPr>
            <w:tcW w:w="10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(cents)</w:t>
            </w:r>
          </w:p>
        </w:tc>
      </w:tr>
      <w:tr>
        <w:trPr>
          <w:trHeight w:val="196"/>
        </w:trPr>
        <w:tc>
          <w:tcPr>
            <w:tcW w:w="598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CASM</w:t>
            </w:r>
          </w:p>
        </w:tc>
        <w:tc>
          <w:tcPr>
            <w:tcW w:w="14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6F4F9"/>
          </w:tcPr>
          <w:p>
            <w:pPr>
              <w:jc w:val="right"/>
              <w:ind w:right="170"/>
              <w:spacing w:after="0" w:line="196" w:lineRule="exact"/>
              <w:rPr>
                <w:sz w:val="20"/>
                <w:szCs w:val="20"/>
                <w:color w:val="auto"/>
              </w:rPr>
            </w:pPr>
            <w:r>
              <w:rPr>
                <w:rFonts w:ascii="Arial" w:cs="Arial" w:eastAsia="Arial" w:hAnsi="Arial"/>
                <w:sz w:val="18"/>
                <w:szCs w:val="18"/>
                <w:color w:val="auto"/>
              </w:rPr>
              <w:t>204.7</w:t>
            </w:r>
          </w:p>
        </w:tc>
        <w:tc>
          <w:tcPr>
            <w:tcW w:w="180" w:type="dxa"/>
            <w:vAlign w:val="bottom"/>
            <w:shd w:val="clear" w:color="auto" w:fill="C6F4F9"/>
          </w:tcPr>
          <w:p>
            <w:pPr>
              <w:spacing w:after="0"/>
              <w:rPr>
                <w:sz w:val="17"/>
                <w:szCs w:val="17"/>
                <w:color w:val="auto"/>
              </w:rPr>
            </w:pPr>
          </w:p>
        </w:tc>
        <w:tc>
          <w:tcPr>
            <w:tcW w:w="1060" w:type="dxa"/>
            <w:vAlign w:val="bottom"/>
            <w:gridSpan w:val="2"/>
            <w:shd w:val="clear" w:color="auto" w:fill="C6F4F9"/>
          </w:tcPr>
          <w:p>
            <w:pPr>
              <w:jc w:val="right"/>
              <w:ind w:right="120"/>
              <w:spacing w:after="0" w:line="196" w:lineRule="exact"/>
              <w:rPr>
                <w:sz w:val="20"/>
                <w:szCs w:val="20"/>
                <w:color w:val="auto"/>
              </w:rPr>
            </w:pPr>
            <w:r>
              <w:rPr>
                <w:rFonts w:ascii="Arial" w:cs="Arial" w:eastAsia="Arial" w:hAnsi="Arial"/>
                <w:sz w:val="18"/>
                <w:szCs w:val="18"/>
                <w:color w:val="auto"/>
              </w:rPr>
              <w:t>10.62</w:t>
            </w:r>
          </w:p>
        </w:tc>
        <w:tc>
          <w:tcPr>
            <w:tcW w:w="100" w:type="dxa"/>
            <w:vAlign w:val="bottom"/>
            <w:shd w:val="clear" w:color="auto" w:fill="C6F4F9"/>
          </w:tcPr>
          <w:p>
            <w:pPr>
              <w:spacing w:after="0"/>
              <w:rPr>
                <w:sz w:val="17"/>
                <w:szCs w:val="17"/>
                <w:color w:val="auto"/>
              </w:rPr>
            </w:pPr>
          </w:p>
        </w:tc>
        <w:tc>
          <w:tcPr>
            <w:tcW w:w="140" w:type="dxa"/>
            <w:vAlign w:val="bottom"/>
            <w:shd w:val="clear" w:color="auto" w:fill="C6F4F9"/>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6F4F9"/>
          </w:tcPr>
          <w:p>
            <w:pPr>
              <w:jc w:val="right"/>
              <w:ind w:right="220"/>
              <w:spacing w:after="0" w:line="196" w:lineRule="exact"/>
              <w:rPr>
                <w:sz w:val="20"/>
                <w:szCs w:val="20"/>
                <w:color w:val="auto"/>
              </w:rPr>
            </w:pPr>
            <w:r>
              <w:rPr>
                <w:rFonts w:ascii="Arial" w:cs="Arial" w:eastAsia="Arial" w:hAnsi="Arial"/>
                <w:sz w:val="18"/>
                <w:szCs w:val="18"/>
                <w:color w:val="auto"/>
              </w:rPr>
              <w:t>102.7</w:t>
            </w:r>
          </w:p>
        </w:tc>
        <w:tc>
          <w:tcPr>
            <w:tcW w:w="200" w:type="dxa"/>
            <w:vAlign w:val="bottom"/>
            <w:shd w:val="clear" w:color="auto" w:fill="C6F4F9"/>
          </w:tcPr>
          <w:p>
            <w:pPr>
              <w:spacing w:after="0"/>
              <w:rPr>
                <w:sz w:val="17"/>
                <w:szCs w:val="17"/>
                <w:color w:val="auto"/>
              </w:rPr>
            </w:pPr>
          </w:p>
        </w:tc>
        <w:tc>
          <w:tcPr>
            <w:tcW w:w="1020" w:type="dxa"/>
            <w:vAlign w:val="bottom"/>
            <w:gridSpan w:val="2"/>
            <w:shd w:val="clear" w:color="auto" w:fill="C6F4F9"/>
          </w:tcPr>
          <w:p>
            <w:pPr>
              <w:jc w:val="right"/>
              <w:ind w:right="100"/>
              <w:spacing w:after="0" w:line="196" w:lineRule="exact"/>
              <w:rPr>
                <w:sz w:val="20"/>
                <w:szCs w:val="20"/>
                <w:color w:val="auto"/>
              </w:rPr>
            </w:pPr>
            <w:r>
              <w:rPr>
                <w:rFonts w:ascii="Arial" w:cs="Arial" w:eastAsia="Arial" w:hAnsi="Arial"/>
                <w:sz w:val="18"/>
                <w:szCs w:val="18"/>
                <w:color w:val="auto"/>
              </w:rPr>
              <w:t>7.46</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8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Aircraft fuel</w:t>
            </w:r>
          </w:p>
        </w:tc>
        <w:tc>
          <w:tcPr>
            <w:tcW w:w="140" w:type="dxa"/>
            <w:vAlign w:val="bottom"/>
            <w:shd w:val="clear" w:color="auto" w:fill="C6F4F9"/>
          </w:tcPr>
          <w:p>
            <w:pPr>
              <w:spacing w:after="0"/>
              <w:rPr>
                <w:sz w:val="17"/>
                <w:szCs w:val="17"/>
                <w:color w:val="auto"/>
              </w:rPr>
            </w:pPr>
          </w:p>
        </w:tc>
        <w:tc>
          <w:tcPr>
            <w:tcW w:w="1240" w:type="dxa"/>
            <w:vAlign w:val="bottom"/>
            <w:gridSpan w:val="2"/>
            <w:shd w:val="clear" w:color="auto" w:fill="C6F4F9"/>
          </w:tcPr>
          <w:p>
            <w:pPr>
              <w:jc w:val="right"/>
              <w:ind w:right="170"/>
              <w:spacing w:after="0" w:line="202" w:lineRule="exact"/>
              <w:rPr>
                <w:sz w:val="20"/>
                <w:szCs w:val="20"/>
                <w:color w:val="auto"/>
              </w:rPr>
            </w:pPr>
            <w:r>
              <w:rPr>
                <w:rFonts w:ascii="Arial" w:cs="Arial" w:eastAsia="Arial" w:hAnsi="Arial"/>
                <w:sz w:val="18"/>
                <w:szCs w:val="18"/>
                <w:color w:val="auto"/>
              </w:rPr>
              <w:t>64.5</w:t>
            </w:r>
          </w:p>
        </w:tc>
        <w:tc>
          <w:tcPr>
            <w:tcW w:w="180" w:type="dxa"/>
            <w:vAlign w:val="bottom"/>
            <w:shd w:val="clear" w:color="auto" w:fill="C6F4F9"/>
          </w:tcPr>
          <w:p>
            <w:pPr>
              <w:spacing w:after="0"/>
              <w:rPr>
                <w:sz w:val="17"/>
                <w:szCs w:val="17"/>
                <w:color w:val="auto"/>
              </w:rPr>
            </w:pPr>
          </w:p>
        </w:tc>
        <w:tc>
          <w:tcPr>
            <w:tcW w:w="1060" w:type="dxa"/>
            <w:vAlign w:val="bottom"/>
            <w:gridSpan w:val="2"/>
            <w:shd w:val="clear" w:color="auto" w:fill="C6F4F9"/>
          </w:tcPr>
          <w:p>
            <w:pPr>
              <w:jc w:val="right"/>
              <w:ind w:right="120"/>
              <w:spacing w:after="0" w:line="202" w:lineRule="exact"/>
              <w:rPr>
                <w:sz w:val="20"/>
                <w:szCs w:val="20"/>
                <w:color w:val="auto"/>
              </w:rPr>
            </w:pPr>
            <w:r>
              <w:rPr>
                <w:rFonts w:ascii="Arial" w:cs="Arial" w:eastAsia="Arial" w:hAnsi="Arial"/>
                <w:sz w:val="18"/>
                <w:szCs w:val="18"/>
                <w:color w:val="auto"/>
              </w:rPr>
              <w:t>3.35</w:t>
            </w:r>
          </w:p>
        </w:tc>
        <w:tc>
          <w:tcPr>
            <w:tcW w:w="100" w:type="dxa"/>
            <w:vAlign w:val="bottom"/>
            <w:shd w:val="clear" w:color="auto" w:fill="C6F4F9"/>
          </w:tcPr>
          <w:p>
            <w:pPr>
              <w:spacing w:after="0"/>
              <w:rPr>
                <w:sz w:val="17"/>
                <w:szCs w:val="17"/>
                <w:color w:val="auto"/>
              </w:rPr>
            </w:pPr>
          </w:p>
        </w:tc>
        <w:tc>
          <w:tcPr>
            <w:tcW w:w="140" w:type="dxa"/>
            <w:vAlign w:val="bottom"/>
            <w:shd w:val="clear" w:color="auto" w:fill="C6F4F9"/>
          </w:tcPr>
          <w:p>
            <w:pPr>
              <w:spacing w:after="0"/>
              <w:rPr>
                <w:sz w:val="17"/>
                <w:szCs w:val="17"/>
                <w:color w:val="auto"/>
              </w:rPr>
            </w:pPr>
          </w:p>
        </w:tc>
        <w:tc>
          <w:tcPr>
            <w:tcW w:w="1180" w:type="dxa"/>
            <w:vAlign w:val="bottom"/>
            <w:gridSpan w:val="2"/>
            <w:shd w:val="clear" w:color="auto" w:fill="C6F4F9"/>
          </w:tcPr>
          <w:p>
            <w:pPr>
              <w:jc w:val="right"/>
              <w:ind w:right="220"/>
              <w:spacing w:after="0" w:line="202" w:lineRule="exact"/>
              <w:rPr>
                <w:sz w:val="20"/>
                <w:szCs w:val="20"/>
                <w:color w:val="auto"/>
              </w:rPr>
            </w:pPr>
            <w:r>
              <w:rPr>
                <w:rFonts w:ascii="Arial" w:cs="Arial" w:eastAsia="Arial" w:hAnsi="Arial"/>
                <w:sz w:val="18"/>
                <w:szCs w:val="18"/>
                <w:color w:val="auto"/>
              </w:rPr>
              <w:t>24.3</w:t>
            </w:r>
          </w:p>
        </w:tc>
        <w:tc>
          <w:tcPr>
            <w:tcW w:w="200" w:type="dxa"/>
            <w:vAlign w:val="bottom"/>
            <w:shd w:val="clear" w:color="auto" w:fill="C6F4F9"/>
          </w:tcPr>
          <w:p>
            <w:pPr>
              <w:spacing w:after="0"/>
              <w:rPr>
                <w:sz w:val="17"/>
                <w:szCs w:val="17"/>
                <w:color w:val="auto"/>
              </w:rPr>
            </w:pPr>
          </w:p>
        </w:tc>
        <w:tc>
          <w:tcPr>
            <w:tcW w:w="1020" w:type="dxa"/>
            <w:vAlign w:val="bottom"/>
            <w:gridSpan w:val="2"/>
            <w:shd w:val="clear" w:color="auto" w:fill="C6F4F9"/>
          </w:tcPr>
          <w:p>
            <w:pPr>
              <w:jc w:val="right"/>
              <w:ind w:right="100"/>
              <w:spacing w:after="0" w:line="202" w:lineRule="exact"/>
              <w:rPr>
                <w:sz w:val="20"/>
                <w:szCs w:val="20"/>
                <w:color w:val="auto"/>
              </w:rPr>
            </w:pPr>
            <w:r>
              <w:rPr>
                <w:rFonts w:ascii="Arial" w:cs="Arial" w:eastAsia="Arial" w:hAnsi="Arial"/>
                <w:sz w:val="18"/>
                <w:szCs w:val="18"/>
                <w:color w:val="auto"/>
              </w:rPr>
              <w:t>1.76</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Stock compensation expense</w:t>
            </w:r>
          </w:p>
        </w:tc>
        <w:tc>
          <w:tcPr>
            <w:tcW w:w="140" w:type="dxa"/>
            <w:vAlign w:val="bottom"/>
          </w:tcPr>
          <w:p>
            <w:pPr>
              <w:spacing w:after="0"/>
              <w:rPr>
                <w:sz w:val="17"/>
                <w:szCs w:val="17"/>
                <w:color w:val="auto"/>
              </w:rPr>
            </w:pPr>
          </w:p>
        </w:tc>
        <w:tc>
          <w:tcPr>
            <w:tcW w:w="12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0.9</w:t>
            </w:r>
          </w:p>
        </w:tc>
        <w:tc>
          <w:tcPr>
            <w:tcW w:w="18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0.21</w:t>
            </w:r>
          </w:p>
        </w:tc>
      </w:tr>
      <w:tr>
        <w:trPr>
          <w:trHeight w:val="243"/>
        </w:trPr>
        <w:tc>
          <w:tcPr>
            <w:tcW w:w="5980" w:type="dxa"/>
            <w:vAlign w:val="bottom"/>
            <w:shd w:val="clear" w:color="auto" w:fill="C6F4F9"/>
          </w:tcPr>
          <w:p>
            <w:pPr>
              <w:spacing w:after="0" w:line="243" w:lineRule="exact"/>
              <w:rPr>
                <w:sz w:val="20"/>
                <w:szCs w:val="20"/>
                <w:color w:val="auto"/>
              </w:rPr>
            </w:pPr>
            <w:r>
              <w:rPr>
                <w:rFonts w:ascii="Arial" w:cs="Arial" w:eastAsia="Arial" w:hAnsi="Arial"/>
                <w:sz w:val="17"/>
                <w:szCs w:val="17"/>
                <w:color w:val="auto"/>
              </w:rPr>
              <w:t>Special items, net</w:t>
            </w:r>
            <w:r>
              <w:rPr>
                <w:rFonts w:ascii="Arial" w:cs="Arial" w:eastAsia="Arial" w:hAnsi="Arial"/>
                <w:sz w:val="28"/>
                <w:szCs w:val="28"/>
                <w:color w:val="auto"/>
                <w:vertAlign w:val="superscript"/>
              </w:rPr>
              <w:t>(1)</w:t>
            </w:r>
          </w:p>
        </w:tc>
        <w:tc>
          <w:tcPr>
            <w:tcW w:w="140" w:type="dxa"/>
            <w:vAlign w:val="bottom"/>
            <w:shd w:val="clear" w:color="auto" w:fill="C6F4F9"/>
          </w:tcPr>
          <w:p>
            <w:pPr>
              <w:spacing w:after="0"/>
              <w:rPr>
                <w:sz w:val="21"/>
                <w:szCs w:val="21"/>
                <w:color w:val="auto"/>
              </w:rPr>
            </w:pPr>
          </w:p>
        </w:tc>
        <w:tc>
          <w:tcPr>
            <w:tcW w:w="1420" w:type="dxa"/>
            <w:vAlign w:val="bottom"/>
            <w:gridSpan w:val="3"/>
            <w:shd w:val="clear" w:color="auto" w:fill="C6F4F9"/>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6F4F9"/>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6F4F9"/>
          </w:tcPr>
          <w:p>
            <w:pPr>
              <w:spacing w:after="0"/>
              <w:rPr>
                <w:sz w:val="21"/>
                <w:szCs w:val="21"/>
                <w:color w:val="auto"/>
              </w:rPr>
            </w:pPr>
          </w:p>
        </w:tc>
        <w:tc>
          <w:tcPr>
            <w:tcW w:w="1180" w:type="dxa"/>
            <w:vAlign w:val="bottom"/>
            <w:gridSpan w:val="2"/>
            <w:shd w:val="clear" w:color="auto" w:fill="C6F4F9"/>
          </w:tcPr>
          <w:p>
            <w:pPr>
              <w:jc w:val="right"/>
              <w:ind w:right="160"/>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6F4F9"/>
          </w:tcPr>
          <w:p>
            <w:pPr>
              <w:spacing w:after="0"/>
              <w:rPr>
                <w:sz w:val="21"/>
                <w:szCs w:val="21"/>
                <w:color w:val="auto"/>
              </w:rPr>
            </w:pPr>
          </w:p>
        </w:tc>
        <w:tc>
          <w:tcPr>
            <w:tcW w:w="1020" w:type="dxa"/>
            <w:vAlign w:val="bottom"/>
            <w:gridSpan w:val="2"/>
            <w:shd w:val="clear" w:color="auto" w:fill="C6F4F9"/>
          </w:tcPr>
          <w:p>
            <w:pPr>
              <w:jc w:val="right"/>
              <w:ind w:right="40"/>
              <w:spacing w:after="0"/>
              <w:rPr>
                <w:sz w:val="20"/>
                <w:szCs w:val="20"/>
                <w:color w:val="auto"/>
              </w:rPr>
            </w:pPr>
            <w:r>
              <w:rPr>
                <w:rFonts w:ascii="Arial" w:cs="Arial" w:eastAsia="Arial" w:hAnsi="Arial"/>
                <w:sz w:val="18"/>
                <w:szCs w:val="18"/>
                <w:color w:val="auto"/>
              </w:rPr>
              <w:t>(1.95)</w:t>
            </w:r>
          </w:p>
        </w:tc>
      </w:tr>
      <w:tr>
        <w:trPr>
          <w:trHeight w:val="243"/>
        </w:trPr>
        <w:tc>
          <w:tcPr>
            <w:tcW w:w="5980" w:type="dxa"/>
            <w:vAlign w:val="bottom"/>
          </w:tcPr>
          <w:p>
            <w:pPr>
              <w:spacing w:after="0" w:line="243" w:lineRule="exact"/>
              <w:rPr>
                <w:sz w:val="20"/>
                <w:szCs w:val="20"/>
                <w:color w:val="auto"/>
              </w:rPr>
            </w:pPr>
            <w:r>
              <w:rPr>
                <w:rFonts w:ascii="Arial" w:cs="Arial" w:eastAsia="Arial" w:hAnsi="Arial"/>
                <w:sz w:val="17"/>
                <w:szCs w:val="17"/>
                <w:color w:val="auto"/>
              </w:rPr>
              <w:t>Tax receivable agreement expense</w:t>
            </w:r>
            <w:r>
              <w:rPr>
                <w:rFonts w:ascii="Arial" w:cs="Arial" w:eastAsia="Arial" w:hAnsi="Arial"/>
                <w:sz w:val="28"/>
                <w:szCs w:val="28"/>
                <w:color w:val="auto"/>
                <w:vertAlign w:val="superscript"/>
              </w:rPr>
              <w:t>(2)</w:t>
            </w:r>
          </w:p>
        </w:tc>
        <w:tc>
          <w:tcPr>
            <w:tcW w:w="140" w:type="dxa"/>
            <w:vAlign w:val="bottom"/>
          </w:tcPr>
          <w:p>
            <w:pPr>
              <w:spacing w:after="0"/>
              <w:rPr>
                <w:sz w:val="21"/>
                <w:szCs w:val="21"/>
                <w:color w:val="auto"/>
              </w:rPr>
            </w:pPr>
          </w:p>
        </w:tc>
        <w:tc>
          <w:tcPr>
            <w:tcW w:w="142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03"/>
        </w:trPr>
        <w:tc>
          <w:tcPr>
            <w:tcW w:w="598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Cargo expenses, not already adjusted above</w:t>
            </w:r>
          </w:p>
        </w:tc>
        <w:tc>
          <w:tcPr>
            <w:tcW w:w="140" w:type="dxa"/>
            <w:vAlign w:val="bottom"/>
            <w:shd w:val="clear" w:color="auto" w:fill="C6F4F9"/>
          </w:tcPr>
          <w:p>
            <w:pPr>
              <w:spacing w:after="0"/>
              <w:rPr>
                <w:sz w:val="17"/>
                <w:szCs w:val="17"/>
                <w:color w:val="auto"/>
              </w:rPr>
            </w:pPr>
          </w:p>
        </w:tc>
        <w:tc>
          <w:tcPr>
            <w:tcW w:w="1240" w:type="dxa"/>
            <w:vAlign w:val="bottom"/>
            <w:gridSpan w:val="2"/>
            <w:shd w:val="clear" w:color="auto" w:fill="C6F4F9"/>
          </w:tcPr>
          <w:p>
            <w:pPr>
              <w:jc w:val="right"/>
              <w:ind w:right="170"/>
              <w:spacing w:after="0" w:line="202" w:lineRule="exact"/>
              <w:rPr>
                <w:sz w:val="20"/>
                <w:szCs w:val="20"/>
                <w:color w:val="auto"/>
              </w:rPr>
            </w:pPr>
            <w:r>
              <w:rPr>
                <w:rFonts w:ascii="Arial" w:cs="Arial" w:eastAsia="Arial" w:hAnsi="Arial"/>
                <w:sz w:val="18"/>
                <w:szCs w:val="18"/>
                <w:color w:val="auto"/>
              </w:rPr>
              <w:t>19.1</w:t>
            </w:r>
          </w:p>
        </w:tc>
        <w:tc>
          <w:tcPr>
            <w:tcW w:w="180" w:type="dxa"/>
            <w:vAlign w:val="bottom"/>
            <w:shd w:val="clear" w:color="auto" w:fill="C6F4F9"/>
          </w:tcPr>
          <w:p>
            <w:pPr>
              <w:spacing w:after="0"/>
              <w:rPr>
                <w:sz w:val="17"/>
                <w:szCs w:val="17"/>
                <w:color w:val="auto"/>
              </w:rPr>
            </w:pPr>
          </w:p>
        </w:tc>
        <w:tc>
          <w:tcPr>
            <w:tcW w:w="1060" w:type="dxa"/>
            <w:vAlign w:val="bottom"/>
            <w:gridSpan w:val="2"/>
            <w:shd w:val="clear" w:color="auto" w:fill="C6F4F9"/>
          </w:tcPr>
          <w:p>
            <w:pPr>
              <w:jc w:val="right"/>
              <w:ind w:right="120"/>
              <w:spacing w:after="0" w:line="202" w:lineRule="exact"/>
              <w:rPr>
                <w:sz w:val="20"/>
                <w:szCs w:val="20"/>
                <w:color w:val="auto"/>
              </w:rPr>
            </w:pPr>
            <w:r>
              <w:rPr>
                <w:rFonts w:ascii="Arial" w:cs="Arial" w:eastAsia="Arial" w:hAnsi="Arial"/>
                <w:sz w:val="18"/>
                <w:szCs w:val="18"/>
                <w:color w:val="auto"/>
              </w:rPr>
              <w:t>0.99</w:t>
            </w:r>
          </w:p>
        </w:tc>
        <w:tc>
          <w:tcPr>
            <w:tcW w:w="100" w:type="dxa"/>
            <w:vAlign w:val="bottom"/>
            <w:shd w:val="clear" w:color="auto" w:fill="C6F4F9"/>
          </w:tcPr>
          <w:p>
            <w:pPr>
              <w:spacing w:after="0"/>
              <w:rPr>
                <w:sz w:val="17"/>
                <w:szCs w:val="17"/>
                <w:color w:val="auto"/>
              </w:rPr>
            </w:pPr>
          </w:p>
        </w:tc>
        <w:tc>
          <w:tcPr>
            <w:tcW w:w="140" w:type="dxa"/>
            <w:vAlign w:val="bottom"/>
            <w:shd w:val="clear" w:color="auto" w:fill="C6F4F9"/>
          </w:tcPr>
          <w:p>
            <w:pPr>
              <w:spacing w:after="0"/>
              <w:rPr>
                <w:sz w:val="17"/>
                <w:szCs w:val="17"/>
                <w:color w:val="auto"/>
              </w:rPr>
            </w:pPr>
          </w:p>
        </w:tc>
        <w:tc>
          <w:tcPr>
            <w:tcW w:w="1180" w:type="dxa"/>
            <w:vAlign w:val="bottom"/>
            <w:gridSpan w:val="2"/>
            <w:shd w:val="clear" w:color="auto" w:fill="C6F4F9"/>
          </w:tcPr>
          <w:p>
            <w:pPr>
              <w:jc w:val="right"/>
              <w:ind w:right="220"/>
              <w:spacing w:after="0" w:line="202" w:lineRule="exact"/>
              <w:rPr>
                <w:sz w:val="20"/>
                <w:szCs w:val="20"/>
                <w:color w:val="auto"/>
              </w:rPr>
            </w:pPr>
            <w:r>
              <w:rPr>
                <w:rFonts w:ascii="Arial" w:cs="Arial" w:eastAsia="Arial" w:hAnsi="Arial"/>
                <w:sz w:val="18"/>
                <w:szCs w:val="18"/>
                <w:color w:val="auto"/>
              </w:rPr>
              <w:t>17.2</w:t>
            </w:r>
          </w:p>
        </w:tc>
        <w:tc>
          <w:tcPr>
            <w:tcW w:w="200" w:type="dxa"/>
            <w:vAlign w:val="bottom"/>
            <w:shd w:val="clear" w:color="auto" w:fill="C6F4F9"/>
          </w:tcPr>
          <w:p>
            <w:pPr>
              <w:spacing w:after="0"/>
              <w:rPr>
                <w:sz w:val="17"/>
                <w:szCs w:val="17"/>
                <w:color w:val="auto"/>
              </w:rPr>
            </w:pPr>
          </w:p>
        </w:tc>
        <w:tc>
          <w:tcPr>
            <w:tcW w:w="1020" w:type="dxa"/>
            <w:vAlign w:val="bottom"/>
            <w:gridSpan w:val="2"/>
            <w:shd w:val="clear" w:color="auto" w:fill="C6F4F9"/>
          </w:tcPr>
          <w:p>
            <w:pPr>
              <w:jc w:val="right"/>
              <w:ind w:right="100"/>
              <w:spacing w:after="0" w:line="202" w:lineRule="exact"/>
              <w:rPr>
                <w:sz w:val="20"/>
                <w:szCs w:val="20"/>
                <w:color w:val="auto"/>
              </w:rPr>
            </w:pPr>
            <w:r>
              <w:rPr>
                <w:rFonts w:ascii="Arial" w:cs="Arial" w:eastAsia="Arial" w:hAnsi="Arial"/>
                <w:sz w:val="18"/>
                <w:szCs w:val="18"/>
                <w:color w:val="auto"/>
              </w:rPr>
              <w:t>1.25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Sun Country Vacations</w:t>
            </w:r>
          </w:p>
        </w:tc>
        <w:tc>
          <w:tcPr>
            <w:tcW w:w="140" w:type="dxa"/>
            <w:vAlign w:val="bottom"/>
          </w:tcPr>
          <w:p>
            <w:pPr>
              <w:spacing w:after="0"/>
              <w:rPr>
                <w:sz w:val="18"/>
                <w:szCs w:val="18"/>
                <w:color w:val="auto"/>
              </w:rPr>
            </w:pP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10"/>
        </w:trPr>
        <w:tc>
          <w:tcPr>
            <w:tcW w:w="5980" w:type="dxa"/>
            <w:vAlign w:val="bottom"/>
            <w:tcBorders>
              <w:top w:val="single" w:sz="8" w:color="C6F4F9"/>
              <w:bottom w:val="single" w:sz="8" w:color="C6F4F9"/>
            </w:tcBorders>
            <w:shd w:val="clear" w:color="auto" w:fill="C6F4F9"/>
          </w:tcPr>
          <w:p>
            <w:pPr>
              <w:spacing w:after="0"/>
              <w:rPr>
                <w:sz w:val="20"/>
                <w:szCs w:val="20"/>
                <w:color w:val="auto"/>
              </w:rPr>
            </w:pPr>
            <w:r>
              <w:rPr>
                <w:rFonts w:ascii="Arial" w:cs="Arial" w:eastAsia="Arial" w:hAnsi="Arial"/>
                <w:sz w:val="18"/>
                <w:szCs w:val="18"/>
                <w:color w:val="auto"/>
              </w:rPr>
              <w:t>Adjusted CASM</w:t>
            </w:r>
          </w:p>
        </w:tc>
        <w:tc>
          <w:tcPr>
            <w:tcW w:w="14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119.7</w:t>
            </w:r>
          </w:p>
        </w:tc>
        <w:tc>
          <w:tcPr>
            <w:tcW w:w="260" w:type="dxa"/>
            <w:vAlign w:val="bottom"/>
            <w:tcBorders>
              <w:top w:val="single" w:sz="8" w:color="C6F4F9"/>
              <w:bottom w:val="single" w:sz="8" w:color="C6F4F9"/>
            </w:tcBorders>
            <w:shd w:val="clear" w:color="auto" w:fill="C6F4F9"/>
          </w:tcPr>
          <w:p>
            <w:pPr>
              <w:spacing w:after="0"/>
              <w:rPr>
                <w:sz w:val="18"/>
                <w:szCs w:val="18"/>
                <w:color w:val="auto"/>
              </w:rPr>
            </w:pPr>
          </w:p>
        </w:tc>
        <w:tc>
          <w:tcPr>
            <w:tcW w:w="180" w:type="dxa"/>
            <w:vAlign w:val="bottom"/>
            <w:tcBorders>
              <w:top w:val="single" w:sz="8" w:color="auto"/>
              <w:bottom w:val="single" w:sz="8" w:color="auto"/>
            </w:tcBorders>
            <w:shd w:val="clear" w:color="auto" w:fill="C6F4F9"/>
          </w:tcPr>
          <w:p>
            <w:pPr>
              <w:spacing w:after="0"/>
              <w:rPr>
                <w:sz w:val="18"/>
                <w:szCs w:val="18"/>
                <w:color w:val="auto"/>
              </w:rPr>
            </w:pPr>
          </w:p>
        </w:tc>
        <w:tc>
          <w:tcPr>
            <w:tcW w:w="94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Borders>
              <w:top w:val="single" w:sz="8" w:color="C6F4F9"/>
              <w:bottom w:val="single" w:sz="8" w:color="C6F4F9"/>
            </w:tcBorders>
            <w:shd w:val="clear" w:color="auto" w:fill="C6F4F9"/>
          </w:tcPr>
          <w:p>
            <w:pPr>
              <w:spacing w:after="0"/>
              <w:rPr>
                <w:sz w:val="18"/>
                <w:szCs w:val="18"/>
                <w:color w:val="auto"/>
              </w:rPr>
            </w:pPr>
          </w:p>
        </w:tc>
        <w:tc>
          <w:tcPr>
            <w:tcW w:w="100" w:type="dxa"/>
            <w:vAlign w:val="bottom"/>
            <w:tcBorders>
              <w:top w:val="single" w:sz="8" w:color="C6F4F9"/>
              <w:bottom w:val="single" w:sz="8" w:color="C6F4F9"/>
            </w:tcBorders>
            <w:shd w:val="clear" w:color="auto" w:fill="C6F4F9"/>
          </w:tcPr>
          <w:p>
            <w:pPr>
              <w:spacing w:after="0"/>
              <w:rPr>
                <w:sz w:val="18"/>
                <w:szCs w:val="18"/>
                <w:color w:val="auto"/>
              </w:rPr>
            </w:pPr>
          </w:p>
        </w:tc>
        <w:tc>
          <w:tcPr>
            <w:tcW w:w="14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84.7</w:t>
            </w:r>
          </w:p>
        </w:tc>
        <w:tc>
          <w:tcPr>
            <w:tcW w:w="220" w:type="dxa"/>
            <w:vAlign w:val="bottom"/>
            <w:tcBorders>
              <w:top w:val="single" w:sz="8" w:color="C6F4F9"/>
              <w:bottom w:val="single" w:sz="8" w:color="C6F4F9"/>
            </w:tcBorders>
            <w:shd w:val="clear" w:color="auto" w:fill="C6F4F9"/>
          </w:tcPr>
          <w:p>
            <w:pPr>
              <w:spacing w:after="0"/>
              <w:rPr>
                <w:sz w:val="18"/>
                <w:szCs w:val="18"/>
                <w:color w:val="auto"/>
              </w:rPr>
            </w:pPr>
          </w:p>
        </w:tc>
        <w:tc>
          <w:tcPr>
            <w:tcW w:w="200" w:type="dxa"/>
            <w:vAlign w:val="bottom"/>
            <w:tcBorders>
              <w:top w:val="single" w:sz="8" w:color="auto"/>
              <w:bottom w:val="single" w:sz="8" w:color="auto"/>
            </w:tcBorders>
            <w:shd w:val="clear" w:color="auto" w:fill="C6F4F9"/>
          </w:tcPr>
          <w:p>
            <w:pPr>
              <w:spacing w:after="0"/>
              <w:rPr>
                <w:sz w:val="18"/>
                <w:szCs w:val="18"/>
                <w:color w:val="auto"/>
              </w:rPr>
            </w:pPr>
          </w:p>
        </w:tc>
        <w:tc>
          <w:tcPr>
            <w:tcW w:w="920" w:type="dxa"/>
            <w:vAlign w:val="bottom"/>
            <w:tcBorders>
              <w:top w:val="single" w:sz="8" w:color="auto"/>
              <w:bottom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top w:val="single" w:sz="8" w:color="C6F4F9"/>
              <w:bottom w:val="single" w:sz="8" w:color="C6F4F9"/>
            </w:tcBorders>
            <w:shd w:val="clear" w:color="auto" w:fill="C6F4F9"/>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5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598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Available seat miles (ASMs) - mm</w:t>
            </w:r>
          </w:p>
        </w:tc>
        <w:tc>
          <w:tcPr>
            <w:tcW w:w="140" w:type="dxa"/>
            <w:vAlign w:val="bottom"/>
            <w:shd w:val="clear" w:color="auto" w:fill="C6F4F9"/>
          </w:tcPr>
          <w:p>
            <w:pPr>
              <w:spacing w:after="0"/>
              <w:rPr>
                <w:sz w:val="17"/>
                <w:szCs w:val="17"/>
                <w:color w:val="auto"/>
              </w:rPr>
            </w:pPr>
          </w:p>
        </w:tc>
        <w:tc>
          <w:tcPr>
            <w:tcW w:w="1240" w:type="dxa"/>
            <w:vAlign w:val="bottom"/>
            <w:gridSpan w:val="2"/>
            <w:shd w:val="clear" w:color="auto" w:fill="C6F4F9"/>
          </w:tcPr>
          <w:p>
            <w:pPr>
              <w:jc w:val="right"/>
              <w:ind w:right="170"/>
              <w:spacing w:after="0" w:line="202" w:lineRule="exact"/>
              <w:rPr>
                <w:sz w:val="20"/>
                <w:szCs w:val="20"/>
                <w:color w:val="auto"/>
              </w:rPr>
            </w:pPr>
            <w:r>
              <w:rPr>
                <w:rFonts w:ascii="Arial" w:cs="Arial" w:eastAsia="Arial" w:hAnsi="Arial"/>
                <w:sz w:val="18"/>
                <w:szCs w:val="18"/>
                <w:color w:val="auto"/>
              </w:rPr>
              <w:t>1,928.1</w:t>
            </w:r>
          </w:p>
        </w:tc>
        <w:tc>
          <w:tcPr>
            <w:tcW w:w="180" w:type="dxa"/>
            <w:vAlign w:val="bottom"/>
            <w:shd w:val="clear" w:color="auto" w:fill="C6F4F9"/>
          </w:tcPr>
          <w:p>
            <w:pPr>
              <w:spacing w:after="0"/>
              <w:rPr>
                <w:sz w:val="17"/>
                <w:szCs w:val="17"/>
                <w:color w:val="auto"/>
              </w:rPr>
            </w:pPr>
          </w:p>
        </w:tc>
        <w:tc>
          <w:tcPr>
            <w:tcW w:w="940" w:type="dxa"/>
            <w:vAlign w:val="bottom"/>
            <w:shd w:val="clear" w:color="auto" w:fill="C6F4F9"/>
          </w:tcPr>
          <w:p>
            <w:pPr>
              <w:spacing w:after="0"/>
              <w:rPr>
                <w:sz w:val="17"/>
                <w:szCs w:val="17"/>
                <w:color w:val="auto"/>
              </w:rPr>
            </w:pPr>
          </w:p>
        </w:tc>
        <w:tc>
          <w:tcPr>
            <w:tcW w:w="120" w:type="dxa"/>
            <w:vAlign w:val="bottom"/>
            <w:shd w:val="clear" w:color="auto" w:fill="C6F4F9"/>
          </w:tcPr>
          <w:p>
            <w:pPr>
              <w:spacing w:after="0"/>
              <w:rPr>
                <w:sz w:val="17"/>
                <w:szCs w:val="17"/>
                <w:color w:val="auto"/>
              </w:rPr>
            </w:pPr>
          </w:p>
        </w:tc>
        <w:tc>
          <w:tcPr>
            <w:tcW w:w="100" w:type="dxa"/>
            <w:vAlign w:val="bottom"/>
            <w:shd w:val="clear" w:color="auto" w:fill="C6F4F9"/>
          </w:tcPr>
          <w:p>
            <w:pPr>
              <w:spacing w:after="0"/>
              <w:rPr>
                <w:sz w:val="17"/>
                <w:szCs w:val="17"/>
                <w:color w:val="auto"/>
              </w:rPr>
            </w:pPr>
          </w:p>
        </w:tc>
        <w:tc>
          <w:tcPr>
            <w:tcW w:w="140" w:type="dxa"/>
            <w:vAlign w:val="bottom"/>
            <w:shd w:val="clear" w:color="auto" w:fill="C6F4F9"/>
          </w:tcPr>
          <w:p>
            <w:pPr>
              <w:spacing w:after="0"/>
              <w:rPr>
                <w:sz w:val="17"/>
                <w:szCs w:val="17"/>
                <w:color w:val="auto"/>
              </w:rPr>
            </w:pPr>
          </w:p>
        </w:tc>
        <w:tc>
          <w:tcPr>
            <w:tcW w:w="1180" w:type="dxa"/>
            <w:vAlign w:val="bottom"/>
            <w:gridSpan w:val="2"/>
            <w:shd w:val="clear" w:color="auto" w:fill="C6F4F9"/>
          </w:tcPr>
          <w:p>
            <w:pPr>
              <w:jc w:val="right"/>
              <w:ind w:right="220"/>
              <w:spacing w:after="0" w:line="202" w:lineRule="exact"/>
              <w:rPr>
                <w:sz w:val="20"/>
                <w:szCs w:val="20"/>
                <w:color w:val="auto"/>
              </w:rPr>
            </w:pPr>
            <w:r>
              <w:rPr>
                <w:rFonts w:ascii="Arial" w:cs="Arial" w:eastAsia="Arial" w:hAnsi="Arial"/>
                <w:sz w:val="18"/>
                <w:szCs w:val="18"/>
                <w:color w:val="auto"/>
              </w:rPr>
              <w:t>1,376.8</w:t>
            </w:r>
          </w:p>
        </w:tc>
        <w:tc>
          <w:tcPr>
            <w:tcW w:w="200" w:type="dxa"/>
            <w:vAlign w:val="bottom"/>
            <w:shd w:val="clear" w:color="auto" w:fill="C6F4F9"/>
          </w:tcPr>
          <w:p>
            <w:pPr>
              <w:spacing w:after="0"/>
              <w:rPr>
                <w:sz w:val="17"/>
                <w:szCs w:val="17"/>
                <w:color w:val="auto"/>
              </w:rPr>
            </w:pPr>
          </w:p>
        </w:tc>
        <w:tc>
          <w:tcPr>
            <w:tcW w:w="920" w:type="dxa"/>
            <w:vAlign w:val="bottom"/>
            <w:shd w:val="clear" w:color="auto" w:fill="C6F4F9"/>
          </w:tcPr>
          <w:p>
            <w:pPr>
              <w:spacing w:after="0"/>
              <w:rPr>
                <w:sz w:val="17"/>
                <w:szCs w:val="17"/>
                <w:color w:val="auto"/>
              </w:rPr>
            </w:pPr>
          </w:p>
        </w:tc>
        <w:tc>
          <w:tcPr>
            <w:tcW w:w="100" w:type="dxa"/>
            <w:vAlign w:val="bottom"/>
            <w:shd w:val="clear" w:color="auto" w:fill="C6F4F9"/>
          </w:tcPr>
          <w:p>
            <w:pPr>
              <w:spacing w:after="0"/>
              <w:rPr>
                <w:sz w:val="17"/>
                <w:szCs w:val="17"/>
                <w:color w:val="auto"/>
              </w:rPr>
            </w:pPr>
          </w:p>
        </w:tc>
      </w:tr>
    </w:tbl>
    <w:p>
      <w:pPr>
        <w:spacing w:after="0" w:line="18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special items table above for more details</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total operating expense to total operating expense less fuel and special items per block hour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may not recalculate due to rounding, dollar amounts in millions except block hours and per block hour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presents the reconciliation of total operating expense to total operating expense less fuel and special items per block hour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1"/>
        </w:trPr>
        <w:tc>
          <w:tcPr>
            <w:tcW w:w="5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8"/>
                <w:szCs w:val="18"/>
                <w:b w:val="1"/>
                <w:bCs w:val="1"/>
                <w:color w:val="auto"/>
              </w:rPr>
              <w:t>% Change</w:t>
            </w:r>
          </w:p>
        </w:tc>
      </w:tr>
      <w:tr>
        <w:trPr>
          <w:trHeight w:val="196"/>
        </w:trPr>
        <w:tc>
          <w:tcPr>
            <w:tcW w:w="5540" w:type="dxa"/>
            <w:vAlign w:val="bottom"/>
            <w:shd w:val="clear" w:color="auto" w:fill="C6F4F9"/>
          </w:tcPr>
          <w:p>
            <w:pPr>
              <w:spacing w:after="0" w:line="196" w:lineRule="exact"/>
              <w:rPr>
                <w:sz w:val="20"/>
                <w:szCs w:val="20"/>
                <w:color w:val="auto"/>
              </w:rPr>
            </w:pPr>
            <w:r>
              <w:rPr>
                <w:rFonts w:ascii="Arial" w:cs="Arial" w:eastAsia="Arial" w:hAnsi="Arial"/>
                <w:sz w:val="18"/>
                <w:szCs w:val="18"/>
                <w:color w:val="auto"/>
              </w:rPr>
              <w:t>Total operating expense - GAAP</w:t>
            </w:r>
          </w:p>
        </w:tc>
        <w:tc>
          <w:tcPr>
            <w:tcW w:w="940" w:type="dxa"/>
            <w:vAlign w:val="bottom"/>
            <w:gridSpan w:val="2"/>
            <w:shd w:val="clear" w:color="auto" w:fill="C6F4F9"/>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6F4F9"/>
          </w:tcPr>
          <w:p>
            <w:pPr>
              <w:jc w:val="right"/>
              <w:ind w:right="280"/>
              <w:spacing w:after="0" w:line="196" w:lineRule="exact"/>
              <w:rPr>
                <w:sz w:val="20"/>
                <w:szCs w:val="20"/>
                <w:color w:val="auto"/>
              </w:rPr>
            </w:pPr>
            <w:r>
              <w:rPr>
                <w:rFonts w:ascii="Arial" w:cs="Arial" w:eastAsia="Arial" w:hAnsi="Arial"/>
                <w:sz w:val="18"/>
                <w:szCs w:val="18"/>
                <w:color w:val="auto"/>
              </w:rPr>
              <w:t>204.7</w:t>
            </w:r>
          </w:p>
        </w:tc>
        <w:tc>
          <w:tcPr>
            <w:tcW w:w="560" w:type="dxa"/>
            <w:vAlign w:val="bottom"/>
            <w:gridSpan w:val="2"/>
            <w:shd w:val="clear" w:color="auto" w:fill="C6F4F9"/>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6F4F9"/>
          </w:tcPr>
          <w:p>
            <w:pPr>
              <w:jc w:val="right"/>
              <w:ind w:right="300"/>
              <w:spacing w:after="0" w:line="196" w:lineRule="exact"/>
              <w:rPr>
                <w:sz w:val="20"/>
                <w:szCs w:val="20"/>
                <w:color w:val="auto"/>
              </w:rPr>
            </w:pPr>
            <w:r>
              <w:rPr>
                <w:rFonts w:ascii="Arial" w:cs="Arial" w:eastAsia="Arial" w:hAnsi="Arial"/>
                <w:sz w:val="18"/>
                <w:szCs w:val="18"/>
                <w:color w:val="auto"/>
              </w:rPr>
              <w:t>150.2</w:t>
            </w:r>
          </w:p>
        </w:tc>
        <w:tc>
          <w:tcPr>
            <w:tcW w:w="1580" w:type="dxa"/>
            <w:vAlign w:val="bottom"/>
            <w:gridSpan w:val="3"/>
            <w:shd w:val="clear" w:color="auto" w:fill="C6F4F9"/>
          </w:tcPr>
          <w:p>
            <w:pPr>
              <w:jc w:val="right"/>
              <w:ind w:right="100"/>
              <w:spacing w:after="0" w:line="196" w:lineRule="exact"/>
              <w:rPr>
                <w:sz w:val="20"/>
                <w:szCs w:val="20"/>
                <w:color w:val="auto"/>
              </w:rPr>
            </w:pPr>
            <w:r>
              <w:rPr>
                <w:rFonts w:ascii="Arial" w:cs="Arial" w:eastAsia="Arial" w:hAnsi="Arial"/>
                <w:sz w:val="18"/>
                <w:szCs w:val="18"/>
                <w:color w:val="auto"/>
              </w:rPr>
              <w:t>36.3</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Less - aircraft fuel expense</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64.5</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36.6</w:t>
            </w:r>
          </w:p>
        </w:tc>
        <w:tc>
          <w:tcPr>
            <w:tcW w:w="15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76.2</w:t>
            </w:r>
          </w:p>
        </w:tc>
      </w:tr>
      <w:tr>
        <w:trPr>
          <w:trHeight w:val="257"/>
        </w:trPr>
        <w:tc>
          <w:tcPr>
            <w:tcW w:w="5540" w:type="dxa"/>
            <w:vAlign w:val="bottom"/>
            <w:shd w:val="clear" w:color="auto" w:fill="C6F4F9"/>
          </w:tcPr>
          <w:p>
            <w:pPr>
              <w:spacing w:after="0" w:line="256" w:lineRule="exact"/>
              <w:rPr>
                <w:sz w:val="20"/>
                <w:szCs w:val="20"/>
                <w:color w:val="auto"/>
              </w:rPr>
            </w:pPr>
            <w:r>
              <w:rPr>
                <w:rFonts w:ascii="Arial" w:cs="Arial" w:eastAsia="Arial" w:hAnsi="Arial"/>
                <w:sz w:val="18"/>
                <w:szCs w:val="18"/>
                <w:color w:val="auto"/>
              </w:rPr>
              <w:t xml:space="preserve">Less - special items, net </w:t>
            </w:r>
            <w:r>
              <w:rPr>
                <w:rFonts w:ascii="Arial" w:cs="Arial" w:eastAsia="Arial" w:hAnsi="Arial"/>
                <w:sz w:val="29"/>
                <w:szCs w:val="29"/>
                <w:color w:val="auto"/>
                <w:vertAlign w:val="superscript"/>
              </w:rPr>
              <w:t>(1)</w:t>
            </w:r>
          </w:p>
        </w:tc>
        <w:tc>
          <w:tcPr>
            <w:tcW w:w="780" w:type="dxa"/>
            <w:vAlign w:val="bottom"/>
            <w:shd w:val="clear" w:color="auto" w:fill="C6F4F9"/>
          </w:tcPr>
          <w:p>
            <w:pPr>
              <w:spacing w:after="0"/>
              <w:rPr>
                <w:sz w:val="22"/>
                <w:szCs w:val="22"/>
                <w:color w:val="auto"/>
              </w:rPr>
            </w:pPr>
          </w:p>
        </w:tc>
        <w:tc>
          <w:tcPr>
            <w:tcW w:w="160" w:type="dxa"/>
            <w:vAlign w:val="bottom"/>
            <w:shd w:val="clear" w:color="auto" w:fill="C6F4F9"/>
          </w:tcPr>
          <w:p>
            <w:pPr>
              <w:spacing w:after="0"/>
              <w:rPr>
                <w:sz w:val="22"/>
                <w:szCs w:val="22"/>
                <w:color w:val="auto"/>
              </w:rPr>
            </w:pPr>
          </w:p>
        </w:tc>
        <w:tc>
          <w:tcPr>
            <w:tcW w:w="1360" w:type="dxa"/>
            <w:vAlign w:val="bottom"/>
            <w:gridSpan w:val="2"/>
            <w:shd w:val="clear" w:color="auto" w:fill="C6F4F9"/>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6F4F9"/>
          </w:tcPr>
          <w:p>
            <w:pPr>
              <w:spacing w:after="0"/>
              <w:rPr>
                <w:sz w:val="22"/>
                <w:szCs w:val="22"/>
                <w:color w:val="auto"/>
              </w:rPr>
            </w:pPr>
          </w:p>
        </w:tc>
        <w:tc>
          <w:tcPr>
            <w:tcW w:w="280" w:type="dxa"/>
            <w:vAlign w:val="bottom"/>
            <w:shd w:val="clear" w:color="auto" w:fill="C6F4F9"/>
          </w:tcPr>
          <w:p>
            <w:pPr>
              <w:spacing w:after="0"/>
              <w:rPr>
                <w:sz w:val="22"/>
                <w:szCs w:val="22"/>
                <w:color w:val="auto"/>
              </w:rPr>
            </w:pPr>
          </w:p>
        </w:tc>
        <w:tc>
          <w:tcPr>
            <w:tcW w:w="1260" w:type="dxa"/>
            <w:vAlign w:val="bottom"/>
            <w:gridSpan w:val="2"/>
            <w:shd w:val="clear" w:color="auto" w:fill="C6F4F9"/>
          </w:tcPr>
          <w:p>
            <w:pPr>
              <w:jc w:val="right"/>
              <w:ind w:right="24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6F4F9"/>
          </w:tcPr>
          <w:p>
            <w:pPr>
              <w:spacing w:after="0"/>
              <w:rPr>
                <w:sz w:val="22"/>
                <w:szCs w:val="22"/>
                <w:color w:val="auto"/>
              </w:rPr>
            </w:pPr>
          </w:p>
        </w:tc>
        <w:tc>
          <w:tcPr>
            <w:tcW w:w="1340" w:type="dxa"/>
            <w:vAlign w:val="bottom"/>
            <w:gridSpan w:val="2"/>
            <w:shd w:val="clear" w:color="auto" w:fill="C6F4F9"/>
          </w:tcPr>
          <w:p>
            <w:pPr>
              <w:jc w:val="right"/>
              <w:ind w:right="100"/>
              <w:spacing w:after="0"/>
              <w:rPr>
                <w:sz w:val="20"/>
                <w:szCs w:val="20"/>
                <w:color w:val="auto"/>
              </w:rPr>
            </w:pPr>
            <w:r>
              <w:rPr>
                <w:rFonts w:ascii="Arial" w:cs="Arial" w:eastAsia="Arial" w:hAnsi="Arial"/>
                <w:sz w:val="18"/>
                <w:szCs w:val="18"/>
                <w:color w:val="auto"/>
              </w:rPr>
              <w:t>NM</w:t>
            </w:r>
          </w:p>
        </w:tc>
      </w:tr>
      <w:tr>
        <w:trPr>
          <w:trHeight w:val="250"/>
        </w:trPr>
        <w:tc>
          <w:tcPr>
            <w:tcW w:w="5540" w:type="dxa"/>
            <w:vAlign w:val="bottom"/>
            <w:tcBorders>
              <w:bottom w:val="single" w:sz="8" w:color="C6F4F9"/>
            </w:tcBorders>
          </w:tcPr>
          <w:p>
            <w:pPr>
              <w:spacing w:after="0"/>
              <w:rPr>
                <w:sz w:val="20"/>
                <w:szCs w:val="20"/>
                <w:color w:val="auto"/>
              </w:rPr>
            </w:pPr>
            <w:r>
              <w:rPr>
                <w:rFonts w:ascii="Arial" w:cs="Arial" w:eastAsia="Arial" w:hAnsi="Arial"/>
                <w:sz w:val="18"/>
                <w:szCs w:val="18"/>
                <w:color w:val="auto"/>
              </w:rPr>
              <w:t>Total operating expense less fuel and specials</w:t>
            </w:r>
          </w:p>
        </w:tc>
        <w:tc>
          <w:tcPr>
            <w:tcW w:w="780" w:type="dxa"/>
            <w:vAlign w:val="bottom"/>
            <w:tcBorders>
              <w:bottom w:val="single" w:sz="8" w:color="C6F4F9"/>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280" w:type="dxa"/>
            <w:vAlign w:val="bottom"/>
            <w:tcBorders>
              <w:bottom w:val="single" w:sz="8" w:color="C6F4F9"/>
            </w:tcBorders>
          </w:tcPr>
          <w:p>
            <w:pPr>
              <w:spacing w:after="0"/>
              <w:rPr>
                <w:sz w:val="21"/>
                <w:szCs w:val="21"/>
                <w:color w:val="auto"/>
              </w:rPr>
            </w:pPr>
          </w:p>
        </w:tc>
        <w:tc>
          <w:tcPr>
            <w:tcW w:w="280" w:type="dxa"/>
            <w:vAlign w:val="bottom"/>
            <w:tcBorders>
              <w:bottom w:val="single" w:sz="8" w:color="C6F4F9"/>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320" w:type="dxa"/>
            <w:vAlign w:val="bottom"/>
            <w:tcBorders>
              <w:bottom w:val="single" w:sz="8" w:color="C6F4F9"/>
            </w:tcBorders>
          </w:tcPr>
          <w:p>
            <w:pPr>
              <w:spacing w:after="0"/>
              <w:rPr>
                <w:sz w:val="21"/>
                <w:szCs w:val="21"/>
                <w:color w:val="auto"/>
              </w:rPr>
            </w:pPr>
          </w:p>
        </w:tc>
        <w:tc>
          <w:tcPr>
            <w:tcW w:w="240" w:type="dxa"/>
            <w:vAlign w:val="bottom"/>
            <w:tcBorders>
              <w:bottom w:val="single" w:sz="8" w:color="C6F4F9"/>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6F4F9"/>
            </w:tcBorders>
          </w:tcPr>
          <w:p>
            <w:pPr>
              <w:spacing w:after="0"/>
              <w:rPr>
                <w:sz w:val="21"/>
                <w:szCs w:val="21"/>
                <w:color w:val="auto"/>
              </w:rPr>
            </w:pPr>
          </w:p>
        </w:tc>
      </w:tr>
      <w:tr>
        <w:trPr>
          <w:trHeight w:val="142"/>
        </w:trPr>
        <w:tc>
          <w:tcPr>
            <w:tcW w:w="5540" w:type="dxa"/>
            <w:vAlign w:val="bottom"/>
            <w:shd w:val="clear" w:color="auto" w:fill="C6F4F9"/>
          </w:tcPr>
          <w:p>
            <w:pPr>
              <w:spacing w:after="0"/>
              <w:rPr>
                <w:sz w:val="12"/>
                <w:szCs w:val="12"/>
                <w:color w:val="auto"/>
              </w:rPr>
            </w:pPr>
          </w:p>
        </w:tc>
        <w:tc>
          <w:tcPr>
            <w:tcW w:w="780" w:type="dxa"/>
            <w:vAlign w:val="bottom"/>
            <w:shd w:val="clear" w:color="auto" w:fill="C6F4F9"/>
          </w:tcPr>
          <w:p>
            <w:pPr>
              <w:spacing w:after="0"/>
              <w:rPr>
                <w:sz w:val="12"/>
                <w:szCs w:val="12"/>
                <w:color w:val="auto"/>
              </w:rPr>
            </w:pPr>
          </w:p>
        </w:tc>
        <w:tc>
          <w:tcPr>
            <w:tcW w:w="160" w:type="dxa"/>
            <w:vAlign w:val="bottom"/>
            <w:shd w:val="clear" w:color="auto" w:fill="C6F4F9"/>
          </w:tcPr>
          <w:p>
            <w:pPr>
              <w:spacing w:after="0"/>
              <w:rPr>
                <w:sz w:val="12"/>
                <w:szCs w:val="12"/>
                <w:color w:val="auto"/>
              </w:rPr>
            </w:pPr>
          </w:p>
        </w:tc>
        <w:tc>
          <w:tcPr>
            <w:tcW w:w="1080" w:type="dxa"/>
            <w:vAlign w:val="bottom"/>
            <w:shd w:val="clear" w:color="auto" w:fill="C6F4F9"/>
          </w:tcPr>
          <w:p>
            <w:pPr>
              <w:spacing w:after="0"/>
              <w:rPr>
                <w:sz w:val="12"/>
                <w:szCs w:val="12"/>
                <w:color w:val="auto"/>
              </w:rPr>
            </w:pPr>
          </w:p>
        </w:tc>
        <w:tc>
          <w:tcPr>
            <w:tcW w:w="280" w:type="dxa"/>
            <w:vAlign w:val="bottom"/>
            <w:shd w:val="clear" w:color="auto" w:fill="C6F4F9"/>
          </w:tcPr>
          <w:p>
            <w:pPr>
              <w:spacing w:after="0"/>
              <w:rPr>
                <w:sz w:val="12"/>
                <w:szCs w:val="12"/>
                <w:color w:val="auto"/>
              </w:rPr>
            </w:pPr>
          </w:p>
        </w:tc>
        <w:tc>
          <w:tcPr>
            <w:tcW w:w="280" w:type="dxa"/>
            <w:vAlign w:val="bottom"/>
            <w:shd w:val="clear" w:color="auto" w:fill="C6F4F9"/>
          </w:tcPr>
          <w:p>
            <w:pPr>
              <w:spacing w:after="0"/>
              <w:rPr>
                <w:sz w:val="12"/>
                <w:szCs w:val="12"/>
                <w:color w:val="auto"/>
              </w:rPr>
            </w:pPr>
          </w:p>
        </w:tc>
        <w:tc>
          <w:tcPr>
            <w:tcW w:w="280" w:type="dxa"/>
            <w:vAlign w:val="bottom"/>
            <w:shd w:val="clear" w:color="auto" w:fill="C6F4F9"/>
          </w:tcPr>
          <w:p>
            <w:pPr>
              <w:spacing w:after="0"/>
              <w:rPr>
                <w:sz w:val="12"/>
                <w:szCs w:val="12"/>
                <w:color w:val="auto"/>
              </w:rPr>
            </w:pPr>
          </w:p>
        </w:tc>
        <w:tc>
          <w:tcPr>
            <w:tcW w:w="940" w:type="dxa"/>
            <w:vAlign w:val="bottom"/>
            <w:shd w:val="clear" w:color="auto" w:fill="C6F4F9"/>
          </w:tcPr>
          <w:p>
            <w:pPr>
              <w:spacing w:after="0"/>
              <w:rPr>
                <w:sz w:val="12"/>
                <w:szCs w:val="12"/>
                <w:color w:val="auto"/>
              </w:rPr>
            </w:pPr>
          </w:p>
        </w:tc>
        <w:tc>
          <w:tcPr>
            <w:tcW w:w="320" w:type="dxa"/>
            <w:vAlign w:val="bottom"/>
            <w:shd w:val="clear" w:color="auto" w:fill="C6F4F9"/>
          </w:tcPr>
          <w:p>
            <w:pPr>
              <w:spacing w:after="0"/>
              <w:rPr>
                <w:sz w:val="12"/>
                <w:szCs w:val="12"/>
                <w:color w:val="auto"/>
              </w:rPr>
            </w:pPr>
          </w:p>
        </w:tc>
        <w:tc>
          <w:tcPr>
            <w:tcW w:w="240" w:type="dxa"/>
            <w:vAlign w:val="bottom"/>
            <w:shd w:val="clear" w:color="auto" w:fill="C6F4F9"/>
          </w:tcPr>
          <w:p>
            <w:pPr>
              <w:spacing w:after="0"/>
              <w:rPr>
                <w:sz w:val="12"/>
                <w:szCs w:val="12"/>
                <w:color w:val="auto"/>
              </w:rPr>
            </w:pPr>
          </w:p>
        </w:tc>
        <w:tc>
          <w:tcPr>
            <w:tcW w:w="1240" w:type="dxa"/>
            <w:vAlign w:val="bottom"/>
            <w:shd w:val="clear" w:color="auto" w:fill="C6F4F9"/>
          </w:tcPr>
          <w:p>
            <w:pPr>
              <w:spacing w:after="0"/>
              <w:rPr>
                <w:sz w:val="12"/>
                <w:szCs w:val="12"/>
                <w:color w:val="auto"/>
              </w:rPr>
            </w:pPr>
          </w:p>
        </w:tc>
        <w:tc>
          <w:tcPr>
            <w:tcW w:w="100" w:type="dxa"/>
            <w:vAlign w:val="bottom"/>
            <w:shd w:val="clear" w:color="auto" w:fill="C6F4F9"/>
          </w:tcPr>
          <w:p>
            <w:pPr>
              <w:spacing w:after="0"/>
              <w:rPr>
                <w:sz w:val="12"/>
                <w:szCs w:val="12"/>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Total system block hours</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33,805</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26,011</w:t>
            </w:r>
          </w:p>
        </w:tc>
        <w:tc>
          <w:tcPr>
            <w:tcW w:w="15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30.0</w:t>
            </w:r>
          </w:p>
        </w:tc>
      </w:tr>
      <w:tr>
        <w:trPr>
          <w:trHeight w:val="203"/>
        </w:trPr>
        <w:tc>
          <w:tcPr>
            <w:tcW w:w="5540" w:type="dxa"/>
            <w:vAlign w:val="bottom"/>
            <w:shd w:val="clear" w:color="auto" w:fill="C6F4F9"/>
          </w:tcPr>
          <w:p>
            <w:pPr>
              <w:spacing w:after="0" w:line="202" w:lineRule="exact"/>
              <w:rPr>
                <w:sz w:val="20"/>
                <w:szCs w:val="20"/>
                <w:color w:val="auto"/>
              </w:rPr>
            </w:pPr>
            <w:r>
              <w:rPr>
                <w:rFonts w:ascii="Arial" w:cs="Arial" w:eastAsia="Arial" w:hAnsi="Arial"/>
                <w:sz w:val="18"/>
                <w:szCs w:val="18"/>
                <w:color w:val="auto"/>
              </w:rPr>
              <w:t>Total operating expense less fuel and special per block hour</w:t>
            </w:r>
          </w:p>
        </w:tc>
        <w:tc>
          <w:tcPr>
            <w:tcW w:w="940" w:type="dxa"/>
            <w:vAlign w:val="bottom"/>
            <w:gridSpan w:val="2"/>
            <w:shd w:val="clear" w:color="auto" w:fill="C6F4F9"/>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6F4F9"/>
          </w:tcPr>
          <w:p>
            <w:pPr>
              <w:jc w:val="right"/>
              <w:ind w:right="280"/>
              <w:spacing w:after="0" w:line="202" w:lineRule="exact"/>
              <w:rPr>
                <w:sz w:val="20"/>
                <w:szCs w:val="20"/>
                <w:color w:val="auto"/>
              </w:rPr>
            </w:pPr>
            <w:r>
              <w:rPr>
                <w:rFonts w:ascii="Arial" w:cs="Arial" w:eastAsia="Arial" w:hAnsi="Arial"/>
                <w:sz w:val="18"/>
                <w:szCs w:val="18"/>
                <w:color w:val="auto"/>
              </w:rPr>
              <w:t>4,147</w:t>
            </w:r>
          </w:p>
        </w:tc>
        <w:tc>
          <w:tcPr>
            <w:tcW w:w="560" w:type="dxa"/>
            <w:vAlign w:val="bottom"/>
            <w:gridSpan w:val="2"/>
            <w:shd w:val="clear" w:color="auto" w:fill="C6F4F9"/>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6F4F9"/>
          </w:tcPr>
          <w:p>
            <w:pPr>
              <w:jc w:val="right"/>
              <w:ind w:right="300"/>
              <w:spacing w:after="0" w:line="202" w:lineRule="exact"/>
              <w:rPr>
                <w:sz w:val="20"/>
                <w:szCs w:val="20"/>
                <w:color w:val="auto"/>
              </w:rPr>
            </w:pPr>
            <w:r>
              <w:rPr>
                <w:rFonts w:ascii="Arial" w:cs="Arial" w:eastAsia="Arial" w:hAnsi="Arial"/>
                <w:sz w:val="18"/>
                <w:szCs w:val="18"/>
                <w:color w:val="auto"/>
              </w:rPr>
              <w:t>4,406</w:t>
            </w:r>
          </w:p>
        </w:tc>
        <w:tc>
          <w:tcPr>
            <w:tcW w:w="1580" w:type="dxa"/>
            <w:vAlign w:val="bottom"/>
            <w:gridSpan w:val="3"/>
            <w:shd w:val="clear" w:color="auto" w:fill="C6F4F9"/>
          </w:tcPr>
          <w:p>
            <w:pPr>
              <w:jc w:val="right"/>
              <w:ind w:right="40"/>
              <w:spacing w:after="0" w:line="202" w:lineRule="exact"/>
              <w:rPr>
                <w:sz w:val="20"/>
                <w:szCs w:val="20"/>
                <w:color w:val="auto"/>
              </w:rPr>
            </w:pPr>
            <w:r>
              <w:rPr>
                <w:rFonts w:ascii="Arial" w:cs="Arial" w:eastAsia="Arial" w:hAnsi="Arial"/>
                <w:sz w:val="18"/>
                <w:szCs w:val="18"/>
                <w:color w:val="auto"/>
              </w:rPr>
              <w:t>(5.9)</w:t>
            </w: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See special items table above for more details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0A0A0A"/>
        </w:rPr>
        <w:t>“NM” stands for not meaningful</w:t>
      </w:r>
    </w:p>
    <w:p>
      <w:pPr>
        <w:spacing w:after="0" w:line="288" w:lineRule="exact"/>
        <w:rPr>
          <w:sz w:val="20"/>
          <w:szCs w:val="20"/>
          <w:color w:val="auto"/>
        </w:rPr>
      </w:pPr>
    </w:p>
    <w:p>
      <w:pPr>
        <w:jc w:val="right"/>
        <w:spacing w:after="0"/>
        <w:tabs>
          <w:tab w:leader="none" w:pos="2920" w:val="left"/>
        </w:tabs>
        <w:rPr>
          <w:sz w:val="20"/>
          <w:szCs w:val="20"/>
          <w:color w:val="auto"/>
        </w:rPr>
      </w:pPr>
      <w:r>
        <w:rPr>
          <w:rFonts w:ascii="Times New Roman" w:cs="Times New Roman" w:eastAsia="Times New Roman" w:hAnsi="Times New Roman"/>
          <w:sz w:val="18"/>
          <w:szCs w:val="18"/>
          <w:color w:val="auto"/>
        </w:rPr>
        <w:t>Page 14</w:t>
      </w:r>
      <w:r>
        <w:rPr>
          <w:sz w:val="20"/>
          <w:szCs w:val="20"/>
          <w:color w:val="auto"/>
        </w:rPr>
        <w:tab/>
      </w:r>
      <w:r>
        <w:rPr>
          <w:rFonts w:ascii="Arial" w:cs="Arial" w:eastAsia="Arial" w:hAnsi="Arial"/>
          <w:sz w:val="14"/>
          <w:szCs w:val="14"/>
          <w:color w:val="767171"/>
        </w:rPr>
        <w:t>Sun Country, Inc. d/b/a Sun Country Airlines</w:t>
      </w:r>
      <w:r>
        <w:rPr>
          <w:rFonts w:ascii="Arial" w:cs="Arial" w:eastAsia="Arial" w:hAnsi="Arial"/>
          <w:sz w:val="11"/>
          <w:szCs w:val="11"/>
          <w:color w:val="7671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2022-05-05T07:37:43Z</dcterms:created>
  <dcterms:modified xsi:type="dcterms:W3CDTF">2022-05-05T07:37:43Z</dcterms:modified>
</cp:coreProperties>
</file>