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86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62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Chief Revenue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10/02/2023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3,597</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9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jc w:val="right"/>
              <w:ind w:right="321"/>
              <w:spacing w:after="0"/>
              <w:rPr>
                <w:sz w:val="20"/>
                <w:szCs w:val="20"/>
                <w:color w:val="auto"/>
              </w:rPr>
            </w:pPr>
            <w:r>
              <w:rPr>
                <w:rFonts w:ascii="Arial" w:cs="Arial" w:eastAsia="Arial" w:hAnsi="Arial"/>
                <w:sz w:val="17"/>
                <w:szCs w:val="17"/>
                <w:color w:val="0000FF"/>
                <w:w w:val="88"/>
              </w:rPr>
              <w:t>15,700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10/02/2023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3,597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14.4094</w:t>
            </w:r>
            <w:r>
              <w:rPr>
                <w:rFonts w:ascii="Arial" w:cs="Arial" w:eastAsia="Arial" w:hAnsi="Arial"/>
                <w:sz w:val="21"/>
                <w:szCs w:val="21"/>
                <w:color w:val="008000"/>
                <w:w w:val="86"/>
                <w:vertAlign w:val="superscript"/>
              </w:rPr>
              <w:t>(2)</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w w:val="88"/>
              </w:rPr>
              <w:t>12,103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10/03/2023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397</w:t>
            </w:r>
            <w:r>
              <w:rPr>
                <w:rFonts w:ascii="Arial" w:cs="Arial" w:eastAsia="Arial" w:hAnsi="Arial"/>
                <w:sz w:val="21"/>
                <w:szCs w:val="21"/>
                <w:color w:val="008000"/>
                <w:w w:val="83"/>
                <w:vertAlign w:val="superscript"/>
              </w:rPr>
              <w:t>(3)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14.3864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w w:val="88"/>
              </w:rPr>
              <w:t>11,706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3,597</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10/02/2023</w:t>
            </w: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jc w:val="right"/>
              <w:ind w:right="80"/>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w w:val="98"/>
              </w:rPr>
              <w:t>3,597</w:t>
            </w:r>
          </w:p>
        </w:tc>
        <w:tc>
          <w:tcPr>
            <w:tcW w:w="800" w:type="dxa"/>
            <w:vAlign w:val="bottom"/>
            <w:vMerge w:val="continue"/>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3"/>
                <w:szCs w:val="13"/>
                <w:color w:val="0000FF"/>
                <w:w w:val="92"/>
              </w:rPr>
              <w:t>07/31/2029</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gridSpan w:val="2"/>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60" w:type="dxa"/>
            <w:vAlign w:val="bottom"/>
          </w:tcPr>
          <w:p>
            <w:pPr>
              <w:spacing w:after="0"/>
              <w:rPr>
                <w:sz w:val="10"/>
                <w:szCs w:val="10"/>
                <w:color w:val="auto"/>
              </w:rPr>
            </w:pPr>
          </w:p>
        </w:tc>
        <w:tc>
          <w:tcPr>
            <w:tcW w:w="700" w:type="dxa"/>
            <w:vAlign w:val="bottom"/>
          </w:tcPr>
          <w:p>
            <w:pPr>
              <w:ind w:left="260"/>
              <w:spacing w:after="0" w:line="126" w:lineRule="exact"/>
              <w:rPr>
                <w:sz w:val="20"/>
                <w:szCs w:val="20"/>
                <w:color w:val="auto"/>
              </w:rPr>
            </w:pPr>
            <w:r>
              <w:rPr>
                <w:rFonts w:ascii="Arial" w:cs="Arial" w:eastAsia="Arial" w:hAnsi="Arial"/>
                <w:sz w:val="13"/>
                <w:szCs w:val="13"/>
                <w:color w:val="0000FF"/>
                <w:w w:val="89"/>
              </w:rPr>
              <w:t>212,526</w:t>
            </w:r>
          </w:p>
        </w:tc>
        <w:tc>
          <w:tcPr>
            <w:tcW w:w="24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effected pursuant to a Rule 10b5-1 trading plan. The 10b5-1 trading plan was adopted on May 5, 2023.</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$14.27 to $14.67,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Rose Neale, as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10/04/2023</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 for Grant Whitney</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2023-10-04T17:25:53Z</dcterms:created>
  <dcterms:modified xsi:type="dcterms:W3CDTF">2023-10-04T17:25:53Z</dcterms:modified>
</cp:coreProperties>
</file>