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10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ANNUAL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2025</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0" w:lineRule="exact"/>
        <w:rPr>
          <w:sz w:val="24"/>
          <w:szCs w:val="24"/>
          <w:color w:val="auto"/>
        </w:rPr>
      </w:pPr>
    </w:p>
    <w:p>
      <w:pPr>
        <w:ind w:left="4300" w:right="2340" w:hanging="4274"/>
        <w:spacing w:after="0" w:line="497" w:lineRule="auto"/>
        <w:tabs>
          <w:tab w:leader="none" w:pos="642"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-97155</wp:posOffset>
            </wp:positionV>
            <wp:extent cx="19888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274320"/>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Sun Country Airlines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Delaware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tcPr>
          <w:p>
            <w:pPr>
              <w:jc w:val="right"/>
              <w:ind w:right="2348"/>
              <w:spacing w:after="0"/>
              <w:rPr>
                <w:sz w:val="20"/>
                <w:szCs w:val="20"/>
                <w:color w:val="auto"/>
              </w:rPr>
            </w:pPr>
            <w:r>
              <w:rPr>
                <w:rFonts w:ascii="Arial" w:cs="Arial" w:eastAsia="Arial" w:hAnsi="Arial"/>
                <w:sz w:val="14"/>
                <w:szCs w:val="14"/>
                <w:color w:val="auto"/>
              </w:rPr>
              <w:t>82-4092570</w:t>
            </w:r>
          </w:p>
        </w:tc>
      </w:tr>
      <w:tr>
        <w:trPr>
          <w:trHeight w:val="203"/>
        </w:trPr>
        <w:tc>
          <w:tcPr>
            <w:tcW w:w="7280" w:type="dxa"/>
            <w:vAlign w:val="bottom"/>
            <w:gridSpan w:val="6"/>
          </w:tcPr>
          <w:p>
            <w:pPr>
              <w:jc w:val="center"/>
              <w:ind w:right="1640"/>
              <w:spacing w:after="0"/>
              <w:rPr>
                <w:sz w:val="20"/>
                <w:szCs w:val="20"/>
                <w:color w:val="auto"/>
              </w:rPr>
            </w:pPr>
            <w:r>
              <w:rPr>
                <w:rFonts w:ascii="Arial" w:cs="Arial" w:eastAsia="Arial" w:hAnsi="Arial"/>
                <w:sz w:val="14"/>
                <w:szCs w:val="14"/>
                <w:color w:val="auto"/>
              </w:rPr>
              <w:t>(State or other jurisdiction of incorporation or organization)</w:t>
            </w:r>
          </w:p>
        </w:tc>
        <w:tc>
          <w:tcPr>
            <w:tcW w:w="3960" w:type="dxa"/>
            <w:vAlign w:val="bottom"/>
          </w:tcPr>
          <w:p>
            <w:pPr>
              <w:jc w:val="center"/>
              <w:ind w:right="1588"/>
              <w:spacing w:after="0"/>
              <w:rPr>
                <w:sz w:val="20"/>
                <w:szCs w:val="20"/>
                <w:color w:val="auto"/>
              </w:rPr>
            </w:pPr>
            <w:r>
              <w:rPr>
                <w:rFonts w:ascii="Arial" w:cs="Arial" w:eastAsia="Arial" w:hAnsi="Arial"/>
                <w:sz w:val="14"/>
                <w:szCs w:val="14"/>
                <w:color w:val="auto"/>
              </w:rPr>
              <w:t>(I.R.S. Employer Identification No.)</w:t>
            </w:r>
          </w:p>
        </w:tc>
      </w:tr>
      <w:tr>
        <w:trPr>
          <w:trHeight w:val="203"/>
        </w:trPr>
        <w:tc>
          <w:tcPr>
            <w:tcW w:w="3680" w:type="dxa"/>
            <w:vAlign w:val="bottom"/>
          </w:tcPr>
          <w:p>
            <w:pPr>
              <w:jc w:val="center"/>
              <w:ind w:left="1868"/>
              <w:spacing w:after="0"/>
              <w:rPr>
                <w:sz w:val="20"/>
                <w:szCs w:val="20"/>
                <w:color w:val="auto"/>
              </w:rPr>
            </w:pPr>
            <w:r>
              <w:rPr>
                <w:rFonts w:ascii="Arial" w:cs="Arial" w:eastAsia="Arial" w:hAnsi="Arial"/>
                <w:sz w:val="14"/>
                <w:szCs w:val="14"/>
                <w:color w:val="auto"/>
              </w:rPr>
              <w:t>2005 Cargo Road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03"/>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Minneapolis, Minnesota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jc w:val="right"/>
              <w:ind w:right="2528"/>
              <w:spacing w:after="0"/>
              <w:rPr>
                <w:sz w:val="20"/>
                <w:szCs w:val="20"/>
                <w:color w:val="auto"/>
              </w:rPr>
            </w:pPr>
            <w:r>
              <w:rPr>
                <w:rFonts w:ascii="Arial" w:cs="Arial" w:eastAsia="Arial" w:hAnsi="Arial"/>
                <w:sz w:val="14"/>
                <w:szCs w:val="14"/>
                <w:color w:val="auto"/>
              </w:rPr>
              <w:t>55450</w:t>
            </w:r>
          </w:p>
        </w:tc>
      </w:tr>
      <w:tr>
        <w:trPr>
          <w:trHeight w:val="203"/>
        </w:trPr>
        <w:tc>
          <w:tcPr>
            <w:tcW w:w="7280" w:type="dxa"/>
            <w:vAlign w:val="bottom"/>
            <w:gridSpan w:val="6"/>
          </w:tcPr>
          <w:p>
            <w:pPr>
              <w:jc w:val="center"/>
              <w:ind w:right="1660"/>
              <w:spacing w:after="0"/>
              <w:rPr>
                <w:sz w:val="20"/>
                <w:szCs w:val="20"/>
                <w:color w:val="auto"/>
              </w:rPr>
            </w:pPr>
            <w:r>
              <w:rPr>
                <w:rFonts w:ascii="Arial" w:cs="Arial" w:eastAsia="Arial" w:hAnsi="Arial"/>
                <w:sz w:val="14"/>
                <w:szCs w:val="14"/>
                <w:color w:val="auto"/>
              </w:rPr>
              <w:t>(Address of principal executive offices)</w:t>
            </w:r>
          </w:p>
        </w:tc>
        <w:tc>
          <w:tcPr>
            <w:tcW w:w="3960" w:type="dxa"/>
            <w:vAlign w:val="bottom"/>
          </w:tcPr>
          <w:p>
            <w:pPr>
              <w:jc w:val="center"/>
              <w:ind w:right="1568"/>
              <w:spacing w:after="0"/>
              <w:rPr>
                <w:sz w:val="20"/>
                <w:szCs w:val="20"/>
                <w:color w:val="auto"/>
              </w:rPr>
            </w:pPr>
            <w:r>
              <w:rPr>
                <w:rFonts w:ascii="Arial" w:cs="Arial" w:eastAsia="Arial" w:hAnsi="Arial"/>
                <w:sz w:val="14"/>
                <w:szCs w:val="14"/>
                <w:color w:val="auto"/>
              </w:rPr>
              <w:t>(Zip Code)</w:t>
            </w:r>
          </w:p>
        </w:tc>
      </w:tr>
      <w:tr>
        <w:trPr>
          <w:trHeight w:val="287"/>
        </w:trPr>
        <w:tc>
          <w:tcPr>
            <w:tcW w:w="3680" w:type="dxa"/>
            <w:vAlign w:val="bottom"/>
          </w:tcPr>
          <w:p>
            <w:pPr>
              <w:spacing w:after="0"/>
              <w:rPr>
                <w:sz w:val="24"/>
                <w:szCs w:val="24"/>
                <w:color w:val="auto"/>
              </w:rPr>
            </w:pPr>
          </w:p>
        </w:tc>
        <w:tc>
          <w:tcPr>
            <w:tcW w:w="7560" w:type="dxa"/>
            <w:vAlign w:val="bottom"/>
            <w:gridSpan w:val="6"/>
          </w:tcPr>
          <w:p>
            <w:pPr>
              <w:jc w:val="center"/>
              <w:ind w:right="3608"/>
              <w:spacing w:after="0"/>
              <w:rPr>
                <w:sz w:val="20"/>
                <w:szCs w:val="20"/>
                <w:color w:val="auto"/>
              </w:rPr>
            </w:pPr>
            <w:r>
              <w:rPr>
                <w:rFonts w:ascii="Arial" w:cs="Arial" w:eastAsia="Arial" w:hAnsi="Arial"/>
                <w:sz w:val="13"/>
                <w:szCs w:val="13"/>
                <w:color w:val="auto"/>
                <w:w w:val="96"/>
              </w:rPr>
              <w:t>Registrant’s telephone number, including area code: (651) 681-3900</w:t>
            </w:r>
          </w:p>
        </w:tc>
      </w:tr>
      <w:tr>
        <w:trPr>
          <w:trHeight w:val="166"/>
        </w:trPr>
        <w:tc>
          <w:tcPr>
            <w:tcW w:w="3680" w:type="dxa"/>
            <w:vAlign w:val="bottom"/>
          </w:tcPr>
          <w:p>
            <w:pPr>
              <w:spacing w:after="0"/>
              <w:rPr>
                <w:sz w:val="14"/>
                <w:szCs w:val="14"/>
                <w:color w:val="auto"/>
              </w:rPr>
            </w:pPr>
          </w:p>
        </w:tc>
        <w:tc>
          <w:tcPr>
            <w:tcW w:w="3600" w:type="dxa"/>
            <w:vAlign w:val="bottom"/>
            <w:gridSpan w:val="5"/>
          </w:tcPr>
          <w:p>
            <w:pPr>
              <w:jc w:val="center"/>
              <w:ind w:left="217"/>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3960" w:type="dxa"/>
            <w:vAlign w:val="bottom"/>
          </w:tcPr>
          <w:p>
            <w:pPr>
              <w:spacing w:after="0"/>
              <w:rPr>
                <w:sz w:val="14"/>
                <w:szCs w:val="14"/>
                <w:color w:val="auto"/>
              </w:rPr>
            </w:pPr>
          </w:p>
        </w:tc>
      </w:tr>
      <w:tr>
        <w:trPr>
          <w:trHeight w:val="334"/>
        </w:trPr>
        <w:tc>
          <w:tcPr>
            <w:tcW w:w="368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color w:val="auto"/>
              </w:rPr>
              <w:t>Title of each class</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w:t>
            </w: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center"/>
              <w:ind w:right="568"/>
              <w:spacing w:after="0"/>
              <w:rPr>
                <w:sz w:val="20"/>
                <w:szCs w:val="20"/>
                <w:color w:val="auto"/>
              </w:rPr>
            </w:pPr>
            <w:r>
              <w:rPr>
                <w:rFonts w:ascii="Arial" w:cs="Arial" w:eastAsia="Arial" w:hAnsi="Arial"/>
                <w:sz w:val="14"/>
                <w:szCs w:val="14"/>
                <w:color w:val="auto"/>
              </w:rPr>
              <w:t>Name of each exchange on which registered</w:t>
            </w:r>
          </w:p>
        </w:tc>
      </w:tr>
      <w:tr>
        <w:trPr>
          <w:trHeight w:val="192"/>
        </w:trPr>
        <w:tc>
          <w:tcPr>
            <w:tcW w:w="3680" w:type="dxa"/>
            <w:vAlign w:val="bottom"/>
          </w:tcPr>
          <w:p>
            <w:pPr>
              <w:jc w:val="center"/>
              <w:ind w:left="868"/>
              <w:spacing w:after="0"/>
              <w:rPr>
                <w:sz w:val="20"/>
                <w:szCs w:val="20"/>
                <w:color w:val="auto"/>
              </w:rPr>
            </w:pPr>
            <w:r>
              <w:rPr>
                <w:rFonts w:ascii="Arial" w:cs="Arial" w:eastAsia="Arial" w:hAnsi="Arial"/>
                <w:sz w:val="14"/>
                <w:szCs w:val="14"/>
                <w:color w:val="auto"/>
              </w:rPr>
              <w:t>Common Stock, par value $0.01 per share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3"/>
          </w:tcPr>
          <w:p>
            <w:pPr>
              <w:jc w:val="center"/>
              <w:ind w:right="720"/>
              <w:spacing w:after="0"/>
              <w:rPr>
                <w:sz w:val="20"/>
                <w:szCs w:val="20"/>
                <w:color w:val="auto"/>
              </w:rPr>
            </w:pPr>
            <w:r>
              <w:rPr>
                <w:rFonts w:ascii="Arial" w:cs="Arial" w:eastAsia="Arial" w:hAnsi="Arial"/>
                <w:sz w:val="14"/>
                <w:szCs w:val="14"/>
                <w:color w:val="auto"/>
              </w:rPr>
              <w:t>SNCY</w:t>
            </w:r>
          </w:p>
        </w:tc>
        <w:tc>
          <w:tcPr>
            <w:tcW w:w="3960" w:type="dxa"/>
            <w:vAlign w:val="bottom"/>
          </w:tcPr>
          <w:p>
            <w:pPr>
              <w:jc w:val="center"/>
              <w:ind w:right="568"/>
              <w:spacing w:after="0"/>
              <w:rPr>
                <w:sz w:val="20"/>
                <w:szCs w:val="20"/>
                <w:color w:val="auto"/>
              </w:rPr>
            </w:pPr>
            <w:r>
              <w:rPr>
                <w:rFonts w:ascii="Arial" w:cs="Arial" w:eastAsia="Arial" w:hAnsi="Arial"/>
                <w:sz w:val="14"/>
                <w:szCs w:val="14"/>
                <w:color w:val="auto"/>
              </w:rPr>
              <w:t>The Nasdaq Stock Market LLC</w:t>
            </w:r>
          </w:p>
        </w:tc>
      </w:tr>
    </w:tbl>
    <w:p>
      <w:pPr>
        <w:spacing w:after="0" w:line="13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right="20" w:firstLine="324"/>
        <w:spacing w:after="0" w:line="26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2" w:lineRule="exact"/>
        <w:rPr>
          <w:sz w:val="24"/>
          <w:szCs w:val="24"/>
          <w:color w:val="auto"/>
        </w:rPr>
      </w:pPr>
    </w:p>
    <w:p>
      <w:pPr>
        <w:ind w:firstLine="324"/>
        <w:spacing w:after="0" w:line="258"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2" w:lineRule="exact"/>
        <w:rPr>
          <w:sz w:val="24"/>
          <w:szCs w:val="24"/>
          <w:color w:val="auto"/>
        </w:rPr>
      </w:pPr>
    </w:p>
    <w:p>
      <w:pPr>
        <w:ind w:firstLine="324"/>
        <w:spacing w:after="0" w:line="2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70" w:right="339" w:bottom="1440" w:gutter="0" w:footer="0" w:header="0"/>
        </w:sectPr>
      </w:pPr>
    </w:p>
    <w:p>
      <w:pPr>
        <w:spacing w:after="0" w:line="103"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92"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6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173" w:lineRule="exact"/>
        <w:rPr>
          <w:sz w:val="24"/>
          <w:szCs w:val="24"/>
          <w:color w:val="auto"/>
        </w:rPr>
      </w:pPr>
    </w:p>
    <w:p>
      <w:pPr>
        <w:sectPr>
          <w:pgSz w:w="11900" w:h="16838" w:orient="portrait"/>
          <w:cols w:equalWidth="0" w:num="6">
            <w:col w:w="2120" w:space="720"/>
            <w:col w:w="100" w:space="520"/>
            <w:col w:w="2080" w:space="720"/>
            <w:col w:w="120" w:space="500"/>
            <w:col w:w="2100" w:space="720"/>
            <w:col w:w="1540"/>
          </w:cols>
          <w:pgMar w:left="320" w:top="270" w:right="339" w:bottom="1440" w:gutter="0" w:footer="0" w:header="0"/>
          <w:type w:val="continuous"/>
        </w:sectPr>
      </w:pPr>
    </w:p>
    <w:p>
      <w:pPr>
        <w:ind w:firstLine="324"/>
        <w:spacing w:after="0" w:line="286"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8" w:lineRule="exact"/>
        <w:rPr>
          <w:sz w:val="24"/>
          <w:szCs w:val="24"/>
          <w:color w:val="auto"/>
        </w:rPr>
      </w:pPr>
    </w:p>
    <w:p>
      <w:pPr>
        <w:ind w:firstLine="324"/>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p>
    <w:p>
      <w:pPr>
        <w:ind w:right="20" w:firstLine="324"/>
        <w:spacing w:after="0" w:line="264" w:lineRule="auto"/>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36" w:lineRule="exact"/>
        <w:rPr>
          <w:sz w:val="24"/>
          <w:szCs w:val="24"/>
          <w:color w:val="auto"/>
        </w:rPr>
      </w:pPr>
    </w:p>
    <w:p>
      <w:pPr>
        <w:ind w:firstLine="324"/>
        <w:spacing w:after="0" w:line="264" w:lineRule="auto"/>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1320" w:right="1320" w:hanging="997"/>
        <w:spacing w:after="0" w:line="424" w:lineRule="auto"/>
        <w:rPr>
          <w:sz w:val="20"/>
          <w:szCs w:val="20"/>
          <w:color w:val="auto"/>
        </w:rPr>
      </w:pPr>
      <w:r>
        <w:rPr>
          <w:rFonts w:ascii="Arial" w:cs="Arial" w:eastAsia="Arial" w:hAnsi="Arial"/>
          <w:sz w:val="12"/>
          <w:szCs w:val="12"/>
          <w:color w:val="auto"/>
        </w:rPr>
        <w:t>The aggregate market value of the voting and non-voting common equity held by non-affiliates of the registrant as of June 30, 2025 was approximately $624 million</w:t>
      </w:r>
      <w:r>
        <w:rPr>
          <w:rFonts w:ascii="Arial" w:cs="Arial" w:eastAsia="Arial" w:hAnsi="Arial"/>
          <w:sz w:val="12"/>
          <w:szCs w:val="12"/>
          <w:color w:val="EF2724"/>
        </w:rPr>
        <w:t>.</w:t>
      </w:r>
      <w:r>
        <w:rPr>
          <w:rFonts w:ascii="Arial" w:cs="Arial" w:eastAsia="Arial" w:hAnsi="Arial"/>
          <w:sz w:val="12"/>
          <w:szCs w:val="12"/>
          <w:color w:val="auto"/>
        </w:rPr>
        <w:t xml:space="preserve"> Number of shares outstanding by each class of common stock, as of December 31, 2025: Common Stock, $0.01 par value 53,223,302 shares outstanding</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60" w:lineRule="exact"/>
        <w:rPr>
          <w:sz w:val="24"/>
          <w:szCs w:val="24"/>
          <w:color w:val="auto"/>
        </w:rPr>
      </w:pPr>
    </w:p>
    <w:p>
      <w:pPr>
        <w:spacing w:after="0" w:line="264" w:lineRule="auto"/>
        <w:rPr>
          <w:sz w:val="20"/>
          <w:szCs w:val="20"/>
          <w:color w:val="auto"/>
        </w:rPr>
      </w:pPr>
      <w:r>
        <w:rPr>
          <w:rFonts w:ascii="Arial" w:cs="Arial" w:eastAsia="Arial" w:hAnsi="Arial"/>
          <w:sz w:val="13"/>
          <w:szCs w:val="13"/>
          <w:color w:val="auto"/>
        </w:rPr>
        <w:t>Portions of the registrant’s definitive proxy statement relating to the 2026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20" w:type="dxa"/>
            <w:vAlign w:val="bottom"/>
            <w:tcBorders>
              <w:top w:val="single" w:sz="8" w:color="0000FF"/>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5"/>
              </w:rPr>
              <w:t>Item 1A.</w:t>
            </w:r>
          </w:p>
        </w:tc>
        <w:tc>
          <w:tcPr>
            <w:tcW w:w="680" w:type="dxa"/>
            <w:vAlign w:val="bottom"/>
            <w:gridSpan w:val="2"/>
          </w:tcPr>
          <w:p>
            <w:pPr>
              <w:spacing w:after="0"/>
              <w:rPr>
                <w:sz w:val="18"/>
                <w:szCs w:val="18"/>
                <w:color w:val="auto"/>
              </w:rPr>
            </w:pPr>
          </w:p>
        </w:tc>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7860" w:type="dxa"/>
            <w:vAlign w:val="bottom"/>
            <w:gridSpan w:val="18"/>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209"/>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1B.</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Item 1C.</w:t>
            </w:r>
          </w:p>
        </w:tc>
        <w:tc>
          <w:tcPr>
            <w:tcW w:w="660" w:type="dxa"/>
            <w:vAlign w:val="bottom"/>
          </w:tcPr>
          <w:p>
            <w:pPr>
              <w:spacing w:after="0"/>
              <w:rPr>
                <w:sz w:val="18"/>
                <w:szCs w:val="18"/>
                <w:color w:val="auto"/>
              </w:rPr>
            </w:pPr>
          </w:p>
        </w:tc>
        <w:tc>
          <w:tcPr>
            <w:tcW w:w="1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Cybersecurity</w:t>
            </w:r>
          </w:p>
        </w:tc>
        <w:tc>
          <w:tcPr>
            <w:tcW w:w="7760" w:type="dxa"/>
            <w:vAlign w:val="bottom"/>
            <w:gridSpan w:val="17"/>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51</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2.</w:t>
            </w:r>
          </w:p>
        </w:tc>
        <w:tc>
          <w:tcPr>
            <w:tcW w:w="800" w:type="dxa"/>
            <w:vAlign w:val="bottom"/>
            <w:gridSpan w:val="5"/>
          </w:tcPr>
          <w:p>
            <w:pPr>
              <w:spacing w:after="0"/>
              <w:rPr>
                <w:sz w:val="18"/>
                <w:szCs w:val="18"/>
                <w:color w:val="auto"/>
              </w:rPr>
            </w:pP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Properties</w:t>
            </w:r>
          </w:p>
        </w:tc>
        <w:tc>
          <w:tcPr>
            <w:tcW w:w="8040" w:type="dxa"/>
            <w:vAlign w:val="bottom"/>
            <w:gridSpan w:val="21"/>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53</w:t>
            </w: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PART II</w:t>
            </w:r>
          </w:p>
        </w:tc>
        <w:tc>
          <w:tcPr>
            <w:tcW w:w="72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5.</w:t>
            </w:r>
          </w:p>
        </w:tc>
        <w:tc>
          <w:tcPr>
            <w:tcW w:w="800" w:type="dxa"/>
            <w:vAlign w:val="bottom"/>
            <w:gridSpan w:val="5"/>
          </w:tcPr>
          <w:p>
            <w:pPr>
              <w:spacing w:after="0"/>
              <w:rPr>
                <w:sz w:val="24"/>
                <w:szCs w:val="24"/>
                <w:color w:val="auto"/>
              </w:rPr>
            </w:pPr>
          </w:p>
        </w:tc>
        <w:tc>
          <w:tcPr>
            <w:tcW w:w="88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54</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6.</w:t>
            </w:r>
          </w:p>
        </w:tc>
        <w:tc>
          <w:tcPr>
            <w:tcW w:w="800" w:type="dxa"/>
            <w:vAlign w:val="bottom"/>
            <w:gridSpan w:val="5"/>
          </w:tcPr>
          <w:p>
            <w:pPr>
              <w:spacing w:after="0"/>
              <w:rPr>
                <w:sz w:val="18"/>
                <w:szCs w:val="18"/>
                <w:color w:val="auto"/>
              </w:rPr>
            </w:pPr>
          </w:p>
        </w:tc>
        <w:tc>
          <w:tcPr>
            <w:tcW w:w="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[Reserved]</w:t>
            </w:r>
          </w:p>
        </w:tc>
        <w:tc>
          <w:tcPr>
            <w:tcW w:w="7980" w:type="dxa"/>
            <w:vAlign w:val="bottom"/>
            <w:gridSpan w:val="19"/>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7.</w:t>
            </w:r>
          </w:p>
        </w:tc>
        <w:tc>
          <w:tcPr>
            <w:tcW w:w="800" w:type="dxa"/>
            <w:vAlign w:val="bottom"/>
            <w:gridSpan w:val="5"/>
          </w:tcPr>
          <w:p>
            <w:pPr>
              <w:spacing w:after="0"/>
              <w:rPr>
                <w:sz w:val="18"/>
                <w:szCs w:val="18"/>
                <w:color w:val="auto"/>
              </w:rPr>
            </w:pP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80" w:type="dxa"/>
            <w:vAlign w:val="bottom"/>
            <w:gridSpan w:val="3"/>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7A.</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76</w:t>
            </w: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rPr>
              <w:t>Item 8.</w:t>
            </w:r>
          </w:p>
        </w:tc>
        <w:tc>
          <w:tcPr>
            <w:tcW w:w="40" w:type="dxa"/>
            <w:vAlign w:val="bottom"/>
            <w:tcBorders>
              <w:top w:val="single" w:sz="8" w:color="0000FF"/>
            </w:tcBorders>
          </w:tcPr>
          <w:p>
            <w:pPr>
              <w:spacing w:after="0"/>
              <w:rPr>
                <w:sz w:val="18"/>
                <w:szCs w:val="18"/>
                <w:color w:val="auto"/>
              </w:rPr>
            </w:pPr>
          </w:p>
        </w:tc>
        <w:tc>
          <w:tcPr>
            <w:tcW w:w="680" w:type="dxa"/>
            <w:vAlign w:val="bottom"/>
            <w:gridSpan w:val="2"/>
          </w:tcPr>
          <w:p>
            <w:pPr>
              <w:spacing w:after="0"/>
              <w:rPr>
                <w:sz w:val="18"/>
                <w:szCs w:val="18"/>
                <w:color w:val="auto"/>
              </w:rPr>
            </w:pPr>
          </w:p>
        </w:tc>
        <w:tc>
          <w:tcPr>
            <w:tcW w:w="3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FF"/>
            </w:tcBorders>
            <w:gridSpan w:val="2"/>
          </w:tcPr>
          <w:p>
            <w:pPr>
              <w:spacing w:after="0"/>
              <w:rPr>
                <w:sz w:val="18"/>
                <w:szCs w:val="18"/>
                <w:color w:val="auto"/>
              </w:rPr>
            </w:pPr>
          </w:p>
        </w:tc>
        <w:tc>
          <w:tcPr>
            <w:tcW w:w="4160" w:type="dxa"/>
            <w:vAlign w:val="bottom"/>
            <w:gridSpan w:val="6"/>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78</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9.</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124</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9A.</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124</w:t>
            </w:r>
          </w:p>
        </w:tc>
      </w:tr>
      <w:tr>
        <w:trPr>
          <w:trHeight w:val="209"/>
        </w:trPr>
        <w:tc>
          <w:tcPr>
            <w:tcW w:w="20" w:type="dxa"/>
            <w:vAlign w:val="bottom"/>
          </w:tcPr>
          <w:p>
            <w:pPr>
              <w:spacing w:after="0"/>
              <w:rPr>
                <w:sz w:val="18"/>
                <w:szCs w:val="18"/>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5"/>
              </w:rPr>
              <w:t>Item 9B.</w:t>
            </w:r>
          </w:p>
        </w:tc>
        <w:tc>
          <w:tcPr>
            <w:tcW w:w="680" w:type="dxa"/>
            <w:vAlign w:val="bottom"/>
            <w:gridSpan w:val="2"/>
          </w:tcPr>
          <w:p>
            <w:pPr>
              <w:spacing w:after="0"/>
              <w:rPr>
                <w:sz w:val="18"/>
                <w:szCs w:val="18"/>
                <w:color w:val="auto"/>
              </w:rPr>
            </w:pPr>
          </w:p>
        </w:tc>
        <w:tc>
          <w:tcPr>
            <w:tcW w:w="14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6880" w:type="dxa"/>
            <w:vAlign w:val="bottom"/>
            <w:gridSpan w:val="12"/>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125</w:t>
            </w: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Item 9C.</w:t>
            </w:r>
          </w:p>
        </w:tc>
        <w:tc>
          <w:tcPr>
            <w:tcW w:w="660" w:type="dxa"/>
            <w:vAlign w:val="bottom"/>
          </w:tcPr>
          <w:p>
            <w:pPr>
              <w:spacing w:after="0"/>
              <w:rPr>
                <w:sz w:val="18"/>
                <w:szCs w:val="18"/>
                <w:color w:val="auto"/>
              </w:rPr>
            </w:pPr>
          </w:p>
        </w:tc>
        <w:tc>
          <w:tcPr>
            <w:tcW w:w="54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460" w:type="dxa"/>
            <w:vAlign w:val="bottom"/>
            <w:gridSpan w:val="5"/>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125</w:t>
            </w: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III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10.</w:t>
            </w:r>
          </w:p>
        </w:tc>
        <w:tc>
          <w:tcPr>
            <w:tcW w:w="680" w:type="dxa"/>
            <w:vAlign w:val="bottom"/>
            <w:gridSpan w:val="2"/>
          </w:tcPr>
          <w:p>
            <w:pPr>
              <w:spacing w:after="0"/>
              <w:rPr>
                <w:sz w:val="24"/>
                <w:szCs w:val="24"/>
                <w:color w:val="auto"/>
              </w:rPr>
            </w:pPr>
          </w:p>
        </w:tc>
        <w:tc>
          <w:tcPr>
            <w:tcW w:w="4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360" w:type="dxa"/>
            <w:vAlign w:val="bottom"/>
            <w:gridSpan w:val="7"/>
          </w:tcPr>
          <w:p>
            <w:pPr>
              <w:spacing w:after="0"/>
              <w:rPr>
                <w:sz w:val="24"/>
                <w:szCs w:val="24"/>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125</w:t>
            </w: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11.</w:t>
            </w:r>
          </w:p>
        </w:tc>
        <w:tc>
          <w:tcPr>
            <w:tcW w:w="886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125</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12.</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125</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13.</w:t>
            </w:r>
          </w:p>
        </w:tc>
        <w:tc>
          <w:tcPr>
            <w:tcW w:w="680" w:type="dxa"/>
            <w:vAlign w:val="bottom"/>
            <w:gridSpan w:val="2"/>
          </w:tcPr>
          <w:p>
            <w:pPr>
              <w:spacing w:after="0"/>
              <w:rPr>
                <w:sz w:val="18"/>
                <w:szCs w:val="18"/>
                <w:color w:val="auto"/>
              </w:rPr>
            </w:pPr>
          </w:p>
        </w:tc>
        <w:tc>
          <w:tcPr>
            <w:tcW w:w="80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6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126</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14.</w:t>
            </w:r>
          </w:p>
        </w:tc>
        <w:tc>
          <w:tcPr>
            <w:tcW w:w="680" w:type="dxa"/>
            <w:vAlign w:val="bottom"/>
            <w:gridSpan w:val="2"/>
          </w:tcPr>
          <w:p>
            <w:pPr>
              <w:spacing w:after="0"/>
              <w:rPr>
                <w:sz w:val="18"/>
                <w:szCs w:val="18"/>
                <w:color w:val="auto"/>
              </w:rPr>
            </w:pPr>
          </w:p>
        </w:tc>
        <w:tc>
          <w:tcPr>
            <w:tcW w:w="31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Principal Accountant Fees and Services</w:t>
            </w:r>
          </w:p>
        </w:tc>
        <w:tc>
          <w:tcPr>
            <w:tcW w:w="2840" w:type="dxa"/>
            <w:vAlign w:val="bottom"/>
            <w:tcBorders>
              <w:top w:val="single" w:sz="8" w:color="0000FF"/>
            </w:tcBorders>
            <w:gridSpan w:val="6"/>
          </w:tcPr>
          <w:p>
            <w:pPr>
              <w:spacing w:after="0"/>
              <w:rPr>
                <w:sz w:val="18"/>
                <w:szCs w:val="18"/>
                <w:color w:val="auto"/>
              </w:rPr>
            </w:pPr>
          </w:p>
        </w:tc>
        <w:tc>
          <w:tcPr>
            <w:tcW w:w="2840" w:type="dxa"/>
            <w:vAlign w:val="bottom"/>
            <w:gridSpan w:val="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126</w:t>
            </w:r>
          </w:p>
        </w:tc>
      </w:tr>
      <w:tr>
        <w:trPr>
          <w:trHeight w:val="479"/>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15.</w:t>
            </w:r>
          </w:p>
        </w:tc>
        <w:tc>
          <w:tcPr>
            <w:tcW w:w="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126</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16.</w:t>
            </w:r>
          </w:p>
        </w:tc>
        <w:tc>
          <w:tcPr>
            <w:tcW w:w="680" w:type="dxa"/>
            <w:vAlign w:val="bottom"/>
            <w:gridSpan w:val="2"/>
          </w:tcPr>
          <w:p>
            <w:pPr>
              <w:spacing w:after="0"/>
              <w:rPr>
                <w:sz w:val="18"/>
                <w:szCs w:val="18"/>
                <w:color w:val="auto"/>
              </w:rPr>
            </w:pPr>
          </w:p>
        </w:tc>
        <w:tc>
          <w:tcPr>
            <w:tcW w:w="35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Form 10-K Summary</w:t>
            </w:r>
          </w:p>
        </w:tc>
        <w:tc>
          <w:tcPr>
            <w:tcW w:w="5360" w:type="dxa"/>
            <w:vAlign w:val="bottom"/>
            <w:gridSpan w:val="9"/>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133</w:t>
            </w:r>
          </w:p>
        </w:tc>
      </w:tr>
      <w:tr>
        <w:trPr>
          <w:trHeight w:val="210"/>
        </w:trPr>
        <w:tc>
          <w:tcPr>
            <w:tcW w:w="2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800" w:type="dxa"/>
            <w:vAlign w:val="bottom"/>
            <w:tcBorders>
              <w:top w:val="single" w:sz="8" w:color="0000FF"/>
            </w:tcBorders>
            <w:gridSpan w:val="6"/>
          </w:tcPr>
          <w:p>
            <w:pPr>
              <w:spacing w:after="0"/>
              <w:rPr>
                <w:sz w:val="18"/>
                <w:szCs w:val="18"/>
                <w:color w:val="auto"/>
              </w:rPr>
            </w:pPr>
          </w:p>
        </w:tc>
        <w:tc>
          <w:tcPr>
            <w:tcW w:w="7200" w:type="dxa"/>
            <w:vAlign w:val="bottom"/>
            <w:gridSpan w:val="1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134</w:t>
            </w:r>
          </w:p>
        </w:tc>
      </w:tr>
      <w:tr>
        <w:trPr>
          <w:trHeight w:val="91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16"/>
          </w:tcPr>
          <w:p>
            <w:pPr>
              <w:ind w:left="4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glossary of certain terms used in this annual report on Form 10-K (this “Annual Report”):</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“Acquisition Date” means April 11, 2018, the date that certain investment funds managed by affiliates of Apollo Global Management, Inc. and its subsidiaries (the “Apollo Funds”) acquired Sun Country, Inc.</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“Adjusted CASM” means </w:t>
      </w:r>
      <w:r>
        <w:rPr>
          <w:rFonts w:ascii="Arial" w:cs="Arial" w:eastAsia="Arial" w:hAnsi="Arial"/>
          <w:sz w:val="18"/>
          <w:szCs w:val="18"/>
          <w:color w:val="0A0A0A"/>
        </w:rPr>
        <w:t>CASM excluding fuel costs, non-cash management stock compensation expense, costs arising from our Cargo</w:t>
      </w:r>
      <w:r>
        <w:rPr>
          <w:rFonts w:ascii="Arial" w:cs="Arial" w:eastAsia="Arial" w:hAnsi="Arial"/>
          <w:sz w:val="18"/>
          <w:szCs w:val="18"/>
          <w:color w:val="auto"/>
        </w:rPr>
        <w:t xml:space="preserve"> </w:t>
      </w:r>
      <w:r>
        <w:rPr>
          <w:rFonts w:ascii="Arial" w:cs="Arial" w:eastAsia="Arial" w:hAnsi="Arial"/>
          <w:sz w:val="18"/>
          <w:szCs w:val="18"/>
          <w:color w:val="0A0A0A"/>
        </w:rPr>
        <w:t xml:space="preserve">operations, </w:t>
      </w:r>
      <w:r>
        <w:rPr>
          <w:rFonts w:ascii="Arial" w:cs="Arial" w:eastAsia="Arial" w:hAnsi="Arial"/>
          <w:sz w:val="18"/>
          <w:szCs w:val="18"/>
          <w:color w:val="000000"/>
        </w:rPr>
        <w:t>depreciation and amortization recognized on certain assets that generate lease income,</w:t>
      </w:r>
      <w:r>
        <w:rPr>
          <w:rFonts w:ascii="Arial" w:cs="Arial" w:eastAsia="Arial" w:hAnsi="Arial"/>
          <w:sz w:val="18"/>
          <w:szCs w:val="18"/>
          <w:color w:val="0A0A0A"/>
        </w:rPr>
        <w:t xml:space="preserve"> certain commissions, and other costs of selling our vacations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"AMFA" means Aircraft Mechanics Fraternal Organization, the union representing our technicians and related craft employees.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priority check-in and boarding fees, other fees and on-board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“Apollo” means Apollo Global Management,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“SCA Horus Stockholder” means SCA Horus Holdings, LLC, which is an affiliate of certain investment funds managed by affiliates of Apollo.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"ASAP" means Aviation Safety Action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 update.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“ATSA” means the Air Transportation Services Agreement, dated as of December 13, 2019, as amended as of June 30, 2020, by and between Sun Country, Inc. and Amazon.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"A&amp;R ATSA" means the Amended and Restated Air Transportation Services Agreement, dated as of June 18, 2024, by and between Sun Country, Inc. and Amazon which was signed in June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miles” or “ASMs” means the number of seats available for passengers multiplied by the number of miles the seats are flown.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monthly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Coronavirus Aid, Relief, and Economic Security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“Cargo service” includes our CMI service operations under the A&amp;R ATSA.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“CASM” or “unit costs” is Cost per Available Seat Mile and is calculated using total operating expenses divided by total ASMs.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“CBA” means a collective bargaining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 means flights operated for specific customers who purchase the entire flight from us and specify the origination and destination.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"CIO" means Chief Information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"CISO" means Chief Information Security Officer.</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"CODM" means Chief Operating Decision Maker.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"CO2" means carbon dioxide.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“CORSIA” means Carbon Offsetting and Reduction Scheme for International Aviation.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"COSO" means Committee of Sponsoring Organizations of the Treadway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Card Program" means the new co-branded credit card program entered into in March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"DDTL" means the Delayed Draw Term Loan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“DoW” means the United States Department of War.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"DTC" means Depository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“ESG” means environmental, social and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"FASB" means Financial Accounting Standards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“FCPA” means the Foreign Corrupt Practices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“Freighters” include the aircraft operated under the A&amp;R ATSA, which are configured exclusively for Cargo operations.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"ICAO" means the International Civil Aviation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"IPO" means the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"IRS" means the Internal Revenue Service.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“LCC” means low-cost carrier and includes JetBlue Airways, Southwest Airlines, and Alaska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"Legacy Network Airlines" includes Delta Air Lines, American Airlines, and United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“Load factor” means the percentage of aircraft seat miles actually occupied on a flight (RPMs divided by ASMs) for Scheduled Service.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"Merger Agreement" means the agreement entered into on January 11, 2026 under which Allegiant Travel Company will acquire Sun Country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"MLS" means Major League Soccer.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“MSP” means Minneapolis – St. Paul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 means Nasdaq Global Select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“NCAA” means the National Collegiate Athletic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"NG" means Next Generation.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“NMB” means the National Mediation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"NYSE" means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"OBBBA" means the One Big Beautiful Bill Act which was signed into law on July 4,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“OFAC” means the Office of Foreign Assets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“On-Time Arrival” means percentage of scheduled flights that arrived at their scheduled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"Owned Aircraft Held for Operating Lease" means the Company's Boeing 737-900ERs that are currently on lease to an unaffiliated airline.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"PEB" means the Presidential Emergency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"PRSUs" means Performance-Based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means the four-year revolving credit facility executed on March 24,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“RLA” means the United States Railway Labor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"RSUs" mean Time-Based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10b5-1" means Rule 10b5-1 under the Exchange Act.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Service Revenue” consists of base fares, unused and expired passenger credits and other expired travel credits for Scheduled Service.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“SCV” means Sun Country Vacations.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 means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"SFO" San Francisco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"SLA" means Service Level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“SMS” means Safety Management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 means the Income Tax Receivable Agreement with pre-IPO stockholders.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“TRASM” or “unit revenue” means total revenue divided by total ASMs. Scheduled Service TRASM includes Scheduled Service revenue, Ancillary revenue, and ASM generating revenue classified within Other Revenue on the Consolidated Statement of Operations divided by Scheduled Service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 Airlines.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Citizens"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“VFR” means visiting friends and relatives.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"VIEs" means variable interest entities.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"VIP" means Very Important Person.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"2019-1 EETC" means the issuance of Class A, Class B and Class C trust certificates Series 2019-1.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"2022-1 EETC" means the issuance of Class A and Class B trust certificates Series 2022-1.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Annual Report, including statements regarding our strategy, future operations, future financial position, future revenue, projected costs, prospects, plans, objectives of management, expected market growth, as well as statements regarding the proposed transaction between the Company and Allegiant (as defined below), including the timing of completion and receipt of necessary approvals to complete the Merger (as defined below) are forward-looking statements. The forward-looking statements are contained principally in the sections entitled “Business,” “Risk Factors” and “Management’s Discussion and Analysis of Financial Condition and Results of Operations”.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statements are based on assumptions and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the items discussed under “Risk Factors” in this Annual Report, including risk factors related to the Merger. Given these uncertainties, undue reliance should not be placed on these forward-looking statements. Except as required by law, we undertake no obligation to update or revise publicly any forward-looking statements, whether as a result of new information, future events or otherwise. We anticipate that subsequent events and developments will cause our views to change. This Annual Report and the documents filed as exhibits hereto should be read completely and with the understanding that our actual future results may be materially different from what we expect. Our forward-looking statements do not reflect the potential impact of any future acquisitions, mergers (excluding the Merger), dispositions, joint ventures, or investments we may undertake. We qualify all our forward-looking statements by these cautionary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of this Annual Report.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Changes in economic conditions, including inflationary pressures.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price and availability of aircraft fuel and our ability to control other costs.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Our reliance on our and third-party technology and systems.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ability to operate in an exceedingly competitive industry.</w:t>
      </w:r>
    </w:p>
    <w:p>
      <w:pPr>
        <w:spacing w:after="0" w:line="219" w:lineRule="exact"/>
        <w:rPr>
          <w:sz w:val="20"/>
          <w:szCs w:val="20"/>
          <w:color w:val="auto"/>
        </w:rPr>
      </w:pPr>
    </w:p>
    <w:p>
      <w:pPr>
        <w:ind w:left="660" w:hanging="324"/>
        <w:spacing w:after="0" w:line="27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Factors beyond our control, including air traffic congestion, adverse weather, federal government shutdowns, aircraft-type</w:t>
      </w:r>
      <w:r>
        <w:rPr>
          <w:rFonts w:ascii="Arial" w:cs="Arial" w:eastAsia="Arial" w:hAnsi="Arial"/>
          <w:sz w:val="22"/>
          <w:szCs w:val="22"/>
          <w:color w:val="auto"/>
        </w:rPr>
        <w:t xml:space="preserve"> </w:t>
      </w:r>
      <w:r>
        <w:rPr>
          <w:rFonts w:ascii="Arial" w:cs="Arial" w:eastAsia="Arial" w:hAnsi="Arial"/>
          <w:sz w:val="17"/>
          <w:szCs w:val="17"/>
          <w:i w:val="1"/>
          <w:iCs w:val="1"/>
          <w:color w:val="auto"/>
        </w:rPr>
        <w:t>groundings, threatened or actual terrorist attacks, war or security concerns resulting in increased security measures or outbreaks or rapid spread of disease.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Any restrictions on or increased taxes applicable to charges for ancillary products and services.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concentration of our business in the Minneapolis-St. Paul market and the concentration of our Cargo business with Amazon.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Risks associated with our presence in international markets.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Changes in applicable laws and regulations, including regulation to reduce emissions of greenhouse gases.</w:t>
      </w:r>
    </w:p>
    <w:p>
      <w:pPr>
        <w:spacing w:after="0" w:line="215" w:lineRule="exact"/>
        <w:rPr>
          <w:sz w:val="20"/>
          <w:szCs w:val="20"/>
          <w:color w:val="auto"/>
        </w:rPr>
      </w:pPr>
    </w:p>
    <w:p>
      <w:pPr>
        <w:ind w:left="660" w:hanging="324"/>
        <w:spacing w:after="0" w:line="285" w:lineRule="auto"/>
        <w:rPr>
          <w:sz w:val="20"/>
          <w:szCs w:val="20"/>
          <w:color w:val="auto"/>
        </w:rPr>
      </w:pPr>
      <w:r>
        <w:rPr>
          <w:rFonts w:ascii="Arial" w:cs="Arial" w:eastAsia="Arial" w:hAnsi="Arial"/>
          <w:sz w:val="18"/>
          <w:szCs w:val="18"/>
          <w:i w:val="1"/>
          <w:iCs w:val="1"/>
          <w:color w:val="auto"/>
        </w:rPr>
        <w:t>– Risks associated with the loss of key personnel, increased labor costs, union disputes, employee strikes and other labor-related disruptions.</w:t>
      </w:r>
    </w:p>
    <w:p>
      <w:pPr>
        <w:spacing w:after="0" w:line="160" w:lineRule="exact"/>
        <w:rPr>
          <w:sz w:val="20"/>
          <w:szCs w:val="20"/>
          <w:color w:val="auto"/>
        </w:rPr>
      </w:pPr>
    </w:p>
    <w:p>
      <w:pPr>
        <w:ind w:left="660" w:right="20" w:hanging="324"/>
        <w:spacing w:after="0" w:line="29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Labor shortages and our ability to attract and retain qualified personnel, including but not limited to, pilots and technicians, at a</w:t>
      </w:r>
      <w:r>
        <w:rPr>
          <w:rFonts w:ascii="Arial" w:cs="Arial" w:eastAsia="Arial" w:hAnsi="Arial"/>
          <w:sz w:val="22"/>
          <w:szCs w:val="22"/>
          <w:color w:val="auto"/>
        </w:rPr>
        <w:t xml:space="preserve"> </w:t>
      </w:r>
      <w:r>
        <w:rPr>
          <w:rFonts w:ascii="Arial" w:cs="Arial" w:eastAsia="Arial" w:hAnsi="Arial"/>
          <w:sz w:val="17"/>
          <w:szCs w:val="17"/>
          <w:i w:val="1"/>
          <w:iCs w:val="1"/>
          <w:color w:val="auto"/>
        </w:rPr>
        <w:t>reasonable cost or maintain our company culture.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Increases in insurance costs or reductions in insurance coverage.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Failure to receive regulatory approvals required to complete the Merger or failure to complete the Merger on a timely basis, or at all.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Expenses, litigation, or disruption to our business relating to the pending Merger.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Restrictions under the Merger Agreement on our ability to consider alternative transaction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or the context otherwise requires, all dollars are stated in thousands within this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passenger service (including Scheduled Service and Charter) and cargo service segments. By doing so, we generate high growth, high margins and strong cash flows with greater resilience than other passenger airlines. Based in Minnesota, we focus on serving leisure and VFR passengers, Charter customers, and providing CMI service to Amazon, with flights throughout the United States and to destinations in Canada, Mexico, Central America and the Caribbean. We share resources, such as flight crews, across our Passenger and Cargo segments with the objective of generating higher returns and margins while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ULCCs, resulting in strong unit profitability, while also providing greater resiliency to economic or industry downturns. This strategy has been implemented and executed by an experienced management team with deep knowledge of the industry.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flex our capacity by day of the week, time of year and line of business to capture what we believe are the most profitable, peak demand, flying opportunities available from both our MSP home market and our network of non-MSP markets. In addition to these network shifts, we also shift aircraft within our Passenger segment, the Scheduled Service and Charter businesses, to maximize return on our assets. We regularly schedule our fleet using what we refer to as "Power Patterns", which involves scheduling aircraft and crew on trips that combine Scheduled Service and Charter legs, dynamically replacing what would be lower margin Scheduled Service flights with Charter opportunities. Our agility is supported by owning lower cost used aircraft, a highly variable low-cost structure, and the cross-utilization of our people and assets between our lines of business. Our synergies from cross-utilization have increased since we began providing CMI services because our pilots are interchangeably deployed between Passenger service and Cargo flights.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Allegiant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11, 2026, Sun Country, entered into the Merger Agreement with Allegiant Travel Company, a Nevada corporation (“Allegiant”), under which Allegiant will acquire the Company. Pursuant to the Merger Agreement, each existing share of Sun Country Common Stock will be converted into the right to receive (i) $4.10 in cash, without interest and (ii) 0.1557 shares of Allegiant Common Stock. Capitalized terms used herein, but not otherwise defined, have the meanings set forth in the Merger Agreement.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Completion of the Merger is subject to the satisfaction or waiver of certain closing conditions, including, among other things that (1) Allegiant stockholders approving the share issuance proposal and Sun Country stockholders approving the Merger Agreement proposal, (2) the waiting period applicable to the closing under the HSR Act (and any customary timing agreement with any governmental entity to toll, stay or extend such waiting period, or to delay or not to consummate the mergers) will have expired or been terminated, (3) all consents, registrations, notices, waivers, exemptions, approvals, confirmations, clearances, permits, certificates, orders and authorizations required to be obtained from, or delivered to, as applicable, the U.S. Federal Aviation Administration, the U.S. Department of Transportation and the U.S. Department of Homeland Security, including the TSA, in connection with the closing will have been obtained or delivered, as applicable, (4) there will be no law in effect, whether preliminary, temporary or permanent, which makes the proposed transaction illegal or prohibits or otherwise prevents the closing, (5) the registration statement to be filed by Allegiant and Sun Country with the SEC pursuant to the Merger Agreement, will have become effective in accordance with the provisions of the Securities Act of 1933, as amended, and no stop order suspending the effectiveness of the registration statement will have been issued by the SEC and remain in effect and no proceeding to that effect will have been commenced or threatened unless subsequently withdrawn; and (6)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shares of Allegiant common stock to be issued in the Merger will have been authorized and approved for listing on Nasdaq.</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Merger Agreement includes customary termination rights in favor of each party. In certain circumstances, the Company may be required to pay Allegiant, or Allegiant may be required to pay the Company, a termination fee or expense reimbursement in connection with the termination of the Merger Agreement. The Merger is expected to close in the second half of 2026, subject to certain closing conditions as detailed above.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If the Merger is consummated, the Sun Country Common Stock will be delisted from Nasdaq and deregistered under the Securities Exchange Act of 1934, as amended (the "Exchange Act") as promptly as practicable following the closing. For additional information on the Merger Agreement with Allegiant, refer to the information included in Part II, </w:t>
      </w:r>
      <w:r>
        <w:rPr>
          <w:rFonts w:ascii="Arial" w:cs="Arial" w:eastAsia="Arial" w:hAnsi="Arial"/>
          <w:sz w:val="18"/>
          <w:szCs w:val="18"/>
          <w:u w:val="single" w:color="auto"/>
          <w:color w:val="0000FF"/>
        </w:rPr>
        <w:t>Item 7</w:t>
      </w:r>
      <w:r>
        <w:rPr>
          <w:rFonts w:ascii="Arial" w:cs="Arial" w:eastAsia="Arial" w:hAnsi="Arial"/>
          <w:sz w:val="18"/>
          <w:szCs w:val="18"/>
          <w:color w:val="auto"/>
        </w:rPr>
        <w:t xml:space="preserve">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fly a single-family fleet of mid-life Boeing 737-NG aircraft, which allows us to maintain a cost base comparable to ULCCs. Flying mid-life Boeing 737-NG aircraft allows us to maintain low aircraft ownership costs and have lower acquisition costs when compared to new Boeing 737 aircraft, both of which more than offset their higher ongoing maintenance and repair costs. Lower ownership costs allow us to maintain lower unit costs at lower levels of utilization. This allows us to concentrate our Scheduled Service flying during periods of peak demand, and also allows us to park aircraft during periods of low demand at a lower cost than other airlines.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benefits of lower all-in ownership costs, we do not have an aircraft order book because we only purchase mid-life aircraft. As a result, unlike many other airlines, we are not locked into large future capital expenditures. Rather, we have the ability to opportunistically take advantage of aircraft prices with purchases at the time of our choosing. Our single-family aircraft fleet also has operational and cost advantages, such as allowing for optimization of crew scheduling and training and lower maintenance costs. Our fleet is reliable, and we have demonstrated the ability to maintain our high completion factor during harsh weather conditions. For more information on our operational performance and comparisons to our competitors, see "Operational Performance" included within Part I, Item 1, "Business".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2025, our fleet consisted of 70 Boeing 737-NG aircraft. This includes 47 aircraft in the passenger fleet, 20 cargo operated aircraft through the A&amp;R ATSA with Amazon, and three aircraft that are currently on lease to unaffiliated airlines. Our fleet is managed through our two reportable segments: Passenger, which is comprised of Scheduled Service and Charter, and Cargo. The 20 cargo aircraft are subleased directly from Amazon and we operate them pursuant to the A&amp;R ATSA. The three aircraft that are currently on lease to unaffiliated airlines are expected to be inducted into our passenger fleet upon lease expiry. As of December 31, 2025, the leases expire at various dates through the fourth quarter of 2026. In February 2026, an amendment was executed to extend the lease expiry term for the one aircraft subleased to an unaffiliated airline. As of the date of this filing, the lease expires in the fourth quarter of 2026.</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2024, the Company entered into the A&amp;R ATSA with Amazon that increased the number of Boeing 737-800 cargo aircraft that we operate on behalf of Amazon from 12 to 20, and we received and placed in-service all eight additional cargo aircraft in 2025. In early 2026, we agreed to operate two additional cargo aircraft on behalf of Amazon. This will increase the total aircraft that we operate on behalf of Amazon from 20 to 22. For more information on the A&amp;R ATSA, see the "Cargo" discussion included within Part I, Item 1,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Scheduled Service. </w:t>
      </w:r>
      <w:r>
        <w:rPr>
          <w:rFonts w:ascii="Arial" w:cs="Arial" w:eastAsia="Arial" w:hAnsi="Arial"/>
          <w:sz w:val="18"/>
          <w:szCs w:val="18"/>
          <w:color w:val="auto"/>
        </w:rPr>
        <w:t>Our Scheduled Service business combines low costs with a high-quality product which we believe can generate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TRASM than ULCCs while maintaining lower Adjusted CASM than LCCs, resulting in best-in-class unit profitability. We offer a high-quality product that we believe is superior to ULCCs and consistent with that of LCCs. Our product includes non-stop flights to popular destinations, generous legroom, complimentary beverages, in-flight entertainment, and in-seat power. For the years ended December 31, 2025 and 2024, we flew 4.2 million and 4.5 million Scheduled Service passengers, respectively. For the years ended December 31, 2025 and 2024, our average total fare per passenger was approximately $166.17 and $159.93,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low-fare passenger airline service primarily to leisure and VFR travelers. Our low fares are designed to stimulate demand from price-sensitive travelers seeking a superior product to ULCCs. We operate our Scheduled Service business using a flexible capacity model focused on peak demand. Our flexible business model provides greater resiliency to economic and industry downturns than a traditional Scheduled Service carrier. Our flying continued to be seasonal in 2025, as only 4% of our total Scheduled Service routes were daily, year-round routes to four locations.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demonstrate the variability in our Scheduled Service flying by day of the week and time of year.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vMerge w:val="restart"/>
            <w:shd w:val="clear" w:color="auto" w:fill="004787"/>
          </w:tcPr>
          <w:p>
            <w:pPr>
              <w:jc w:val="center"/>
              <w:spacing w:after="0"/>
              <w:rPr>
                <w:sz w:val="20"/>
                <w:szCs w:val="20"/>
                <w:color w:val="auto"/>
              </w:rPr>
            </w:pPr>
            <w:r>
              <w:rPr>
                <w:rFonts w:ascii="Arial" w:cs="Arial" w:eastAsia="Arial" w:hAnsi="Arial"/>
                <w:sz w:val="16"/>
                <w:szCs w:val="16"/>
                <w:b w:val="1"/>
                <w:bCs w:val="1"/>
                <w:color w:val="FFFFFF"/>
              </w:rPr>
              <w:t>Seasonal Demand Dictates Monthly Scheduled Service Schedule</w:t>
            </w:r>
          </w:p>
        </w:tc>
        <w:tc>
          <w:tcPr>
            <w:tcW w:w="240" w:type="dxa"/>
            <w:vAlign w:val="bottom"/>
          </w:tcPr>
          <w:p>
            <w:pPr>
              <w:spacing w:after="0"/>
              <w:rPr>
                <w:sz w:val="16"/>
                <w:szCs w:val="16"/>
                <w:color w:val="auto"/>
              </w:rPr>
            </w:pPr>
          </w:p>
        </w:tc>
        <w:tc>
          <w:tcPr>
            <w:tcW w:w="5520" w:type="dxa"/>
            <w:vAlign w:val="bottom"/>
            <w:gridSpan w:val="2"/>
            <w:shd w:val="clear" w:color="auto" w:fill="004787"/>
          </w:tcPr>
          <w:p>
            <w:pPr>
              <w:jc w:val="center"/>
              <w:spacing w:after="0"/>
              <w:rPr>
                <w:sz w:val="20"/>
                <w:szCs w:val="20"/>
                <w:color w:val="auto"/>
              </w:rPr>
            </w:pPr>
            <w:r>
              <w:rPr>
                <w:rFonts w:ascii="Arial" w:cs="Arial" w:eastAsia="Arial" w:hAnsi="Arial"/>
                <w:sz w:val="16"/>
                <w:szCs w:val="16"/>
                <w:b w:val="1"/>
                <w:bCs w:val="1"/>
                <w:color w:val="FFFFFF"/>
              </w:rPr>
              <w:t>Day-of-Week Capacity Determined by Scheduled Service Demand</w:t>
            </w:r>
          </w:p>
        </w:tc>
        <w:tc>
          <w:tcPr>
            <w:tcW w:w="0" w:type="dxa"/>
            <w:vAlign w:val="bottom"/>
          </w:tcPr>
          <w:p>
            <w:pPr>
              <w:spacing w:after="0"/>
              <w:rPr>
                <w:sz w:val="1"/>
                <w:szCs w:val="1"/>
                <w:color w:val="auto"/>
              </w:rPr>
            </w:pPr>
          </w:p>
        </w:tc>
      </w:tr>
      <w:tr>
        <w:trPr>
          <w:trHeight w:val="216"/>
        </w:trPr>
        <w:tc>
          <w:tcPr>
            <w:tcW w:w="5480" w:type="dxa"/>
            <w:vAlign w:val="bottom"/>
            <w:vMerge w:val="continue"/>
            <w:shd w:val="clear" w:color="auto" w:fill="004787"/>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shd w:val="clear" w:color="auto" w:fill="004787"/>
          </w:tcPr>
          <w:p>
            <w:pPr>
              <w:spacing w:after="0"/>
              <w:rPr>
                <w:sz w:val="18"/>
                <w:szCs w:val="18"/>
                <w:color w:val="auto"/>
              </w:rPr>
            </w:pPr>
          </w:p>
        </w:tc>
        <w:tc>
          <w:tcPr>
            <w:tcW w:w="3600" w:type="dxa"/>
            <w:vAlign w:val="bottom"/>
            <w:shd w:val="clear" w:color="auto" w:fill="004787"/>
          </w:tcPr>
          <w:p>
            <w:pPr>
              <w:jc w:val="center"/>
              <w:ind w:right="1844"/>
              <w:spacing w:after="0" w:line="216" w:lineRule="exact"/>
              <w:rPr>
                <w:sz w:val="20"/>
                <w:szCs w:val="20"/>
                <w:color w:val="auto"/>
              </w:rPr>
            </w:pPr>
            <w:r>
              <w:rPr>
                <w:rFonts w:ascii="Arial" w:cs="Arial" w:eastAsia="Arial" w:hAnsi="Arial"/>
                <w:sz w:val="16"/>
                <w:szCs w:val="16"/>
                <w:b w:val="1"/>
                <w:bCs w:val="1"/>
                <w:color w:val="FFFFFF"/>
                <w:w w:val="98"/>
              </w:rPr>
              <w:t xml:space="preserve">Patterns </w:t>
            </w:r>
            <w:r>
              <w:rPr>
                <w:rFonts w:ascii="Arial" w:cs="Arial" w:eastAsia="Arial" w:hAnsi="Arial"/>
                <w:sz w:val="21"/>
                <w:szCs w:val="21"/>
                <w:b w:val="1"/>
                <w:bCs w:val="1"/>
                <w:color w:val="FFFFFF"/>
                <w:w w:val="98"/>
                <w:vertAlign w:val="superscript"/>
              </w:rPr>
              <w:t>(1)</w:t>
            </w:r>
          </w:p>
        </w:tc>
        <w:tc>
          <w:tcPr>
            <w:tcW w:w="0" w:type="dxa"/>
            <w:vAlign w:val="bottom"/>
          </w:tcPr>
          <w:p>
            <w:pPr>
              <w:spacing w:after="0"/>
              <w:rPr>
                <w:sz w:val="1"/>
                <w:szCs w:val="1"/>
                <w:color w:val="auto"/>
              </w:rPr>
            </w:pPr>
          </w:p>
        </w:tc>
      </w:tr>
      <w:tr>
        <w:trPr>
          <w:trHeight w:val="194"/>
        </w:trPr>
        <w:tc>
          <w:tcPr>
            <w:tcW w:w="5480" w:type="dxa"/>
            <w:vAlign w:val="bottom"/>
          </w:tcPr>
          <w:p>
            <w:pPr>
              <w:jc w:val="center"/>
              <w:spacing w:after="0"/>
              <w:rPr>
                <w:sz w:val="20"/>
                <w:szCs w:val="20"/>
                <w:color w:val="auto"/>
              </w:rPr>
            </w:pPr>
            <w:r>
              <w:rPr>
                <w:rFonts w:ascii="Arial" w:cs="Arial" w:eastAsia="Arial" w:hAnsi="Arial"/>
                <w:sz w:val="14"/>
                <w:szCs w:val="14"/>
                <w:i w:val="1"/>
                <w:iCs w:val="1"/>
                <w:color w:val="0A2299"/>
              </w:rPr>
              <w:t>Monthly Seats as a % of March 2025 Seats</w:t>
            </w:r>
          </w:p>
        </w:tc>
        <w:tc>
          <w:tcPr>
            <w:tcW w:w="240" w:type="dxa"/>
            <w:vAlign w:val="bottom"/>
          </w:tcPr>
          <w:p>
            <w:pPr>
              <w:spacing w:after="0"/>
              <w:rPr>
                <w:sz w:val="16"/>
                <w:szCs w:val="16"/>
                <w:color w:val="auto"/>
              </w:rPr>
            </w:pPr>
          </w:p>
        </w:tc>
        <w:tc>
          <w:tcPr>
            <w:tcW w:w="1920" w:type="dxa"/>
            <w:vAlign w:val="bottom"/>
          </w:tcPr>
          <w:p>
            <w:pPr>
              <w:ind w:left="20"/>
              <w:spacing w:after="0"/>
              <w:rPr>
                <w:sz w:val="20"/>
                <w:szCs w:val="20"/>
                <w:color w:val="auto"/>
              </w:rPr>
            </w:pPr>
            <w:r>
              <w:rPr>
                <w:rFonts w:ascii="Arial" w:cs="Arial" w:eastAsia="Arial" w:hAnsi="Arial"/>
                <w:sz w:val="14"/>
                <w:szCs w:val="14"/>
                <w:i w:val="1"/>
                <w:iCs w:val="1"/>
                <w:color w:val="0A2299"/>
              </w:rPr>
              <w:t>(% of Peak Day ASMs)</w:t>
            </w:r>
          </w:p>
        </w:tc>
        <w:tc>
          <w:tcPr>
            <w:tcW w:w="3600" w:type="dxa"/>
            <w:vAlign w:val="bottom"/>
          </w:tcPr>
          <w:p>
            <w:pPr>
              <w:ind w:left="2440"/>
              <w:spacing w:after="0"/>
              <w:rPr>
                <w:sz w:val="20"/>
                <w:szCs w:val="20"/>
                <w:color w:val="auto"/>
              </w:rPr>
            </w:pPr>
            <w:r>
              <w:rPr>
                <w:rFonts w:ascii="Arial" w:cs="Arial" w:eastAsia="Arial" w:hAnsi="Arial"/>
                <w:sz w:val="14"/>
                <w:szCs w:val="14"/>
                <w:i w:val="1"/>
                <w:iCs w:val="1"/>
                <w:color w:val="0A2299"/>
              </w:rPr>
              <w:t>(TRASM in cents)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64770</wp:posOffset>
            </wp:positionV>
            <wp:extent cx="5940425" cy="2297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042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60" w:hanging="553"/>
        <w:spacing w:after="0"/>
        <w:tabs>
          <w:tab w:leader="none" w:pos="960" w:val="left"/>
        </w:tabs>
        <w:numPr>
          <w:ilvl w:val="0"/>
          <w:numId w:val="4"/>
        </w:numPr>
        <w:rPr>
          <w:rFonts w:ascii="Arial" w:cs="Arial" w:eastAsia="Arial" w:hAnsi="Arial"/>
          <w:sz w:val="14"/>
          <w:szCs w:val="14"/>
          <w:color w:val="0A2299"/>
        </w:rPr>
      </w:pPr>
      <w:r>
        <w:rPr>
          <w:rFonts w:ascii="Arial" w:cs="Arial" w:eastAsia="Arial" w:hAnsi="Arial"/>
          <w:sz w:val="14"/>
          <w:szCs w:val="14"/>
          <w:color w:val="0A2299"/>
        </w:rPr>
        <w:t>Based on fiscal year 2025 data</w:t>
      </w: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Scheduled Service business includes many cost characteristics of ULCCs, such as an unbundled product (which means we offer a low base fare and allow customers to purchase ancillary products and services for an additional fee), and point-to-point service. Sources of our ancillary revenue include air travel-related services such as baggage fees, seat selection and upgrade fees, priority check-in and boarding fees, other fees and on-board sales. Part of our strategy is to reduce base fares to stimulate demand while increasing ancillary revenue per passenger, which we believe offers passengers more choice and generates more ancillary revenue. Our on-board sales are also designed to enhance the customer experience, including local passenger favorite brands of beer, wine and spirits. For the years ended December 31, 2025 and 2024, our average ancillary revenue per passenger was approximately $70.12 and $68.68, respectively.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earn revenue from our SCV products, including commissions from the sale of third-party hotel rooms and rental cars. Our SCV products facilitate booking a flight and land package at a discounted price for our customers. We offer vacation products to promote “one stop shopping.” Our Other Revenue also includes revenue from our co-branded credit card and rental revenue related to certain transactions where the Company serves as a lessor.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657850" cy="258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Scheduled Service Route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Minnesota’s hometown airline, a substantial portion of our business is serving markets originating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in MSP. We fly out of Terminal 2 at MSP, which we believe is preferred by many flyers because of its smaller layout, shorter security wait times, close parking relative to check-in and full suite of retail shops. As of December 31, 2025, we have access to eight of the 16 gates in Terminal 2 and use of additional gates as needed. As of January 1, 2026, we have access to nine of the 16 gates in Terminal 2 and use of additional gates as needed.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based in the Minneapolis-St. Paul area since our founding over 40 years ago, where our brand is well-known and well-respected. We are the largest low-cost airline operating at MSP, which is our largest base, and the second largest airline at MSP after Delta Air Lines. Our MSP network served approximately 95 markets in 2025. As a result of our focus on flying during seasonal peak periods, our well-respected brand and product, and our strong position in Minneapolis, we have historically enjoyed a TRASM premium to other leisure airlines at MSP. We also served 17 non-MSP markets in 2025. Serving markets with origins and destinations outside of MSP is an important portion of our business, comprising 15% of all the markets served in 2025.</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peak demand strategy focuses on profitable flying opportunities available from both our MSP home market and our network of non-MSP markets. As a result, our route network varies widely throughout the year. We have a successful history of opening and closing stations to meet seasonal demand and we expect to continue to identify high demand markets where other airlines have been unable to respond to market needs during periods of seasonal demand.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part of the ongoing assessment of market opportunities, we continue to identify future growth opportunities, primarily to warm weather leisure destinations and large markets with fragmented and seasonal demand peaks.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004787"/>
          </w:tcPr>
          <w:p>
            <w:pPr>
              <w:ind w:left="2120"/>
              <w:spacing w:after="0"/>
              <w:rPr>
                <w:sz w:val="20"/>
                <w:szCs w:val="20"/>
                <w:color w:val="auto"/>
              </w:rPr>
            </w:pPr>
            <w:r>
              <w:rPr>
                <w:rFonts w:ascii="Arial" w:cs="Arial" w:eastAsia="Arial" w:hAnsi="Arial"/>
                <w:sz w:val="16"/>
                <w:szCs w:val="16"/>
                <w:b w:val="1"/>
                <w:bCs w:val="1"/>
                <w:color w:val="FFFFFF"/>
              </w:rPr>
              <w:t>MSP Departures</w:t>
            </w:r>
          </w:p>
        </w:tc>
        <w:tc>
          <w:tcPr>
            <w:tcW w:w="240" w:type="dxa"/>
            <w:vAlign w:val="bottom"/>
          </w:tcPr>
          <w:p>
            <w:pPr>
              <w:spacing w:after="0"/>
              <w:rPr>
                <w:sz w:val="18"/>
                <w:szCs w:val="18"/>
                <w:color w:val="auto"/>
              </w:rPr>
            </w:pPr>
          </w:p>
        </w:tc>
        <w:tc>
          <w:tcPr>
            <w:tcW w:w="600" w:type="dxa"/>
            <w:vAlign w:val="bottom"/>
            <w:tcBorders>
              <w:right w:val="single" w:sz="8" w:color="004787"/>
            </w:tcBorders>
            <w:shd w:val="clear" w:color="auto" w:fill="004787"/>
          </w:tcPr>
          <w:p>
            <w:pPr>
              <w:spacing w:after="0"/>
              <w:rPr>
                <w:sz w:val="18"/>
                <w:szCs w:val="18"/>
                <w:color w:val="auto"/>
              </w:rPr>
            </w:pPr>
          </w:p>
        </w:tc>
        <w:tc>
          <w:tcPr>
            <w:tcW w:w="4920" w:type="dxa"/>
            <w:vAlign w:val="bottom"/>
            <w:gridSpan w:val="3"/>
            <w:shd w:val="clear" w:color="auto" w:fill="004787"/>
          </w:tcPr>
          <w:p>
            <w:pPr>
              <w:ind w:left="860"/>
              <w:spacing w:after="0"/>
              <w:rPr>
                <w:sz w:val="20"/>
                <w:szCs w:val="20"/>
                <w:color w:val="auto"/>
              </w:rPr>
            </w:pPr>
            <w:r>
              <w:rPr>
                <w:rFonts w:ascii="Arial" w:cs="Arial" w:eastAsia="Arial" w:hAnsi="Arial"/>
                <w:sz w:val="16"/>
                <w:szCs w:val="16"/>
                <w:b w:val="1"/>
                <w:bCs w:val="1"/>
                <w:color w:val="FFFFFF"/>
              </w:rPr>
              <w:t>Top 5 Destinations from MSP in....</w:t>
            </w:r>
          </w:p>
        </w:tc>
        <w:tc>
          <w:tcPr>
            <w:tcW w:w="0" w:type="dxa"/>
            <w:vAlign w:val="bottom"/>
          </w:tcPr>
          <w:p>
            <w:pPr>
              <w:spacing w:after="0"/>
              <w:rPr>
                <w:sz w:val="1"/>
                <w:szCs w:val="1"/>
                <w:color w:val="auto"/>
              </w:rPr>
            </w:pPr>
          </w:p>
        </w:tc>
      </w:tr>
      <w:tr>
        <w:trPr>
          <w:trHeight w:val="194"/>
        </w:trPr>
        <w:tc>
          <w:tcPr>
            <w:tcW w:w="5480" w:type="dxa"/>
            <w:vAlign w:val="bottom"/>
          </w:tcPr>
          <w:p>
            <w:pPr>
              <w:ind w:left="20"/>
              <w:spacing w:after="0"/>
              <w:rPr>
                <w:sz w:val="20"/>
                <w:szCs w:val="20"/>
                <w:color w:val="auto"/>
              </w:rPr>
            </w:pPr>
            <w:r>
              <w:rPr>
                <w:rFonts w:ascii="Arial" w:cs="Arial" w:eastAsia="Arial" w:hAnsi="Arial"/>
                <w:sz w:val="14"/>
                <w:szCs w:val="14"/>
                <w:i w:val="1"/>
                <w:iCs w:val="1"/>
                <w:color w:val="0A2299"/>
              </w:rPr>
              <w:t>(# of Departures)</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right w:val="single" w:sz="8" w:color="D76428"/>
            </w:tcBorders>
          </w:tcPr>
          <w:p>
            <w:pPr>
              <w:spacing w:after="0"/>
              <w:rPr>
                <w:sz w:val="17"/>
                <w:szCs w:val="17"/>
                <w:color w:val="auto"/>
              </w:rPr>
            </w:pPr>
          </w:p>
        </w:tc>
        <w:tc>
          <w:tcPr>
            <w:tcW w:w="2720" w:type="dxa"/>
            <w:vAlign w:val="bottom"/>
            <w:tcBorders>
              <w:bottom w:val="single" w:sz="8" w:color="00497F"/>
            </w:tcBorders>
            <w:shd w:val="clear" w:color="auto" w:fill="D76428"/>
          </w:tcPr>
          <w:p>
            <w:pPr>
              <w:jc w:val="center"/>
              <w:ind w:left="1634"/>
              <w:spacing w:after="0"/>
              <w:rPr>
                <w:sz w:val="20"/>
                <w:szCs w:val="20"/>
                <w:color w:val="auto"/>
              </w:rPr>
            </w:pPr>
            <w:r>
              <w:rPr>
                <w:rFonts w:ascii="Arial" w:cs="Arial" w:eastAsia="Arial" w:hAnsi="Arial"/>
                <w:sz w:val="14"/>
                <w:szCs w:val="14"/>
                <w:b w:val="1"/>
                <w:bCs w:val="1"/>
                <w:color w:val="FFFFFF"/>
              </w:rPr>
              <w:t>March 2025</w:t>
            </w:r>
          </w:p>
        </w:tc>
        <w:tc>
          <w:tcPr>
            <w:tcW w:w="1720" w:type="dxa"/>
            <w:vAlign w:val="bottom"/>
            <w:tcBorders>
              <w:bottom w:val="single" w:sz="8" w:color="00497F"/>
            </w:tcBorders>
            <w:shd w:val="clear" w:color="auto" w:fill="D76428"/>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7"/>
              </w:rPr>
              <w:t>Orlando, Florida</w:t>
            </w:r>
          </w:p>
        </w:tc>
        <w:tc>
          <w:tcPr>
            <w:tcW w:w="1720" w:type="dxa"/>
            <w:vAlign w:val="bottom"/>
            <w:vMerge w:val="restart"/>
          </w:tcPr>
          <w:p>
            <w:pPr>
              <w:jc w:val="center"/>
              <w:ind w:right="428"/>
              <w:spacing w:after="0" w:line="332" w:lineRule="exact"/>
              <w:rPr>
                <w:sz w:val="20"/>
                <w:szCs w:val="20"/>
                <w:color w:val="auto"/>
              </w:rPr>
            </w:pPr>
            <w:r>
              <w:rPr>
                <w:rFonts w:ascii="Arial" w:cs="Arial" w:eastAsia="Arial" w:hAnsi="Arial"/>
                <w:sz w:val="31"/>
                <w:szCs w:val="31"/>
                <w:b w:val="1"/>
                <w:bCs w:val="1"/>
                <w:color w:val="0A2299"/>
                <w:w w:val="99"/>
              </w:rPr>
              <w:t>41%</w:t>
            </w: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00497F"/>
            </w:tcBorders>
          </w:tcPr>
          <w:p>
            <w:pPr>
              <w:spacing w:after="0"/>
              <w:rPr>
                <w:sz w:val="13"/>
                <w:szCs w:val="13"/>
                <w:color w:val="auto"/>
              </w:rPr>
            </w:pPr>
          </w:p>
        </w:tc>
        <w:tc>
          <w:tcPr>
            <w:tcW w:w="2720" w:type="dxa"/>
            <w:vAlign w:val="bottom"/>
            <w:vMerge w:val="restart"/>
          </w:tcPr>
          <w:p>
            <w:pPr>
              <w:jc w:val="center"/>
              <w:ind w:right="474"/>
              <w:spacing w:after="0"/>
              <w:rPr>
                <w:sz w:val="20"/>
                <w:szCs w:val="20"/>
                <w:color w:val="auto"/>
              </w:rPr>
            </w:pPr>
            <w:r>
              <w:rPr>
                <w:rFonts w:ascii="Arial" w:cs="Arial" w:eastAsia="Arial" w:hAnsi="Arial"/>
                <w:sz w:val="13"/>
                <w:szCs w:val="13"/>
                <w:b w:val="1"/>
                <w:bCs w:val="1"/>
                <w:color w:val="0A2299"/>
                <w:w w:val="98"/>
              </w:rPr>
              <w:t>Fort Meyers, Florida</w:t>
            </w:r>
          </w:p>
        </w:tc>
        <w:tc>
          <w:tcPr>
            <w:tcW w:w="1720" w:type="dxa"/>
            <w:vAlign w:val="bottom"/>
            <w:vMerge w:val="continue"/>
          </w:tcPr>
          <w:p>
            <w:pPr>
              <w:spacing w:after="0"/>
              <w:rPr>
                <w:sz w:val="13"/>
                <w:szCs w:val="13"/>
                <w:color w:val="auto"/>
              </w:rPr>
            </w:pPr>
          </w:p>
        </w:tc>
        <w:tc>
          <w:tcPr>
            <w:tcW w:w="480" w:type="dxa"/>
            <w:vAlign w:val="bottom"/>
            <w:tcBorders>
              <w:left w:val="single" w:sz="8" w:color="00497F"/>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right w:val="single" w:sz="8" w:color="00497F"/>
            </w:tcBorders>
          </w:tcPr>
          <w:p>
            <w:pPr>
              <w:spacing w:after="0"/>
              <w:rPr>
                <w:sz w:val="4"/>
                <w:szCs w:val="4"/>
                <w:color w:val="auto"/>
              </w:rPr>
            </w:pPr>
          </w:p>
        </w:tc>
        <w:tc>
          <w:tcPr>
            <w:tcW w:w="27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480" w:type="dxa"/>
            <w:vAlign w:val="bottom"/>
            <w:tcBorders>
              <w:left w:val="single" w:sz="8" w:color="00497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right w:val="single" w:sz="8" w:color="00497F"/>
            </w:tcBorders>
          </w:tcPr>
          <w:p>
            <w:pPr>
              <w:spacing w:after="0"/>
              <w:rPr>
                <w:sz w:val="18"/>
                <w:szCs w:val="18"/>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4"/>
              </w:rPr>
              <w:t>Cancun, Mexico</w:t>
            </w:r>
          </w:p>
        </w:tc>
        <w:tc>
          <w:tcPr>
            <w:tcW w:w="1720" w:type="dxa"/>
            <w:vAlign w:val="bottom"/>
          </w:tcPr>
          <w:p>
            <w:pPr>
              <w:spacing w:after="0"/>
              <w:rPr>
                <w:sz w:val="18"/>
                <w:szCs w:val="18"/>
                <w:color w:val="auto"/>
              </w:rPr>
            </w:pPr>
          </w:p>
        </w:tc>
        <w:tc>
          <w:tcPr>
            <w:tcW w:w="480" w:type="dxa"/>
            <w:vAlign w:val="bottom"/>
            <w:tcBorders>
              <w:left w:val="single" w:sz="8" w:color="00497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right w:val="single" w:sz="8" w:color="00497F"/>
            </w:tcBorders>
          </w:tcPr>
          <w:p>
            <w:pPr>
              <w:spacing w:after="0"/>
              <w:rPr>
                <w:sz w:val="20"/>
                <w:szCs w:val="20"/>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6"/>
              </w:rPr>
              <w:t>Phoenix, Arizona</w:t>
            </w:r>
          </w:p>
        </w:tc>
        <w:tc>
          <w:tcPr>
            <w:tcW w:w="1720" w:type="dxa"/>
            <w:vAlign w:val="bottom"/>
          </w:tcPr>
          <w:p>
            <w:pPr>
              <w:jc w:val="center"/>
              <w:ind w:right="428"/>
              <w:spacing w:after="0"/>
              <w:rPr>
                <w:sz w:val="20"/>
                <w:szCs w:val="20"/>
                <w:color w:val="auto"/>
              </w:rPr>
            </w:pPr>
            <w:r>
              <w:rPr>
                <w:rFonts w:ascii="Arial" w:cs="Arial" w:eastAsia="Arial" w:hAnsi="Arial"/>
                <w:sz w:val="14"/>
                <w:szCs w:val="14"/>
                <w:b w:val="1"/>
                <w:bCs w:val="1"/>
                <w:color w:val="0A2299"/>
              </w:rPr>
              <w:t>of Departures</w:t>
            </w:r>
          </w:p>
        </w:tc>
        <w:tc>
          <w:tcPr>
            <w:tcW w:w="480" w:type="dxa"/>
            <w:vAlign w:val="bottom"/>
            <w:tcBorders>
              <w:left w:val="single" w:sz="8" w:color="00497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Borders>
              <w:bottom w:val="single" w:sz="8" w:color="00497F"/>
            </w:tcBorders>
          </w:tcPr>
          <w:p>
            <w:pPr>
              <w:jc w:val="center"/>
              <w:ind w:right="474"/>
              <w:spacing w:after="0"/>
              <w:rPr>
                <w:sz w:val="20"/>
                <w:szCs w:val="20"/>
                <w:color w:val="auto"/>
              </w:rPr>
            </w:pPr>
            <w:r>
              <w:rPr>
                <w:rFonts w:ascii="Arial" w:cs="Arial" w:eastAsia="Arial" w:hAnsi="Arial"/>
                <w:sz w:val="13"/>
                <w:szCs w:val="13"/>
                <w:b w:val="1"/>
                <w:bCs w:val="1"/>
                <w:color w:val="0A2299"/>
                <w:w w:val="97"/>
              </w:rPr>
              <w:t>Tampa, Florida</w:t>
            </w:r>
          </w:p>
        </w:tc>
        <w:tc>
          <w:tcPr>
            <w:tcW w:w="1720" w:type="dxa"/>
            <w:vAlign w:val="bottom"/>
            <w:tcBorders>
              <w:bottom w:val="single" w:sz="8" w:color="00497F"/>
            </w:tcBorders>
          </w:tcPr>
          <w:p>
            <w:pPr>
              <w:spacing w:after="0"/>
              <w:rPr>
                <w:sz w:val="15"/>
                <w:szCs w:val="15"/>
                <w:color w:val="auto"/>
              </w:rPr>
            </w:pP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right w:val="single" w:sz="8" w:color="D76428"/>
            </w:tcBorders>
          </w:tcPr>
          <w:p>
            <w:pPr>
              <w:spacing w:after="0"/>
              <w:rPr>
                <w:sz w:val="17"/>
                <w:szCs w:val="17"/>
                <w:color w:val="auto"/>
              </w:rPr>
            </w:pPr>
          </w:p>
        </w:tc>
        <w:tc>
          <w:tcPr>
            <w:tcW w:w="2720" w:type="dxa"/>
            <w:vAlign w:val="bottom"/>
            <w:tcBorders>
              <w:bottom w:val="single" w:sz="8" w:color="00497F"/>
            </w:tcBorders>
            <w:shd w:val="clear" w:color="auto" w:fill="D76428"/>
          </w:tcPr>
          <w:p>
            <w:pPr>
              <w:jc w:val="center"/>
              <w:ind w:left="1614"/>
              <w:spacing w:after="0"/>
              <w:rPr>
                <w:sz w:val="20"/>
                <w:szCs w:val="20"/>
                <w:color w:val="auto"/>
              </w:rPr>
            </w:pPr>
            <w:r>
              <w:rPr>
                <w:rFonts w:ascii="Arial" w:cs="Arial" w:eastAsia="Arial" w:hAnsi="Arial"/>
                <w:sz w:val="14"/>
                <w:szCs w:val="14"/>
                <w:b w:val="1"/>
                <w:bCs w:val="1"/>
                <w:color w:val="FFFFFF"/>
              </w:rPr>
              <w:t>July 2025</w:t>
            </w:r>
          </w:p>
        </w:tc>
        <w:tc>
          <w:tcPr>
            <w:tcW w:w="1720" w:type="dxa"/>
            <w:vAlign w:val="bottom"/>
            <w:tcBorders>
              <w:bottom w:val="single" w:sz="8" w:color="00497F"/>
            </w:tcBorders>
            <w:shd w:val="clear" w:color="auto" w:fill="D76428"/>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5"/>
              </w:rPr>
              <w:t>Los Angeles, California</w:t>
            </w:r>
          </w:p>
        </w:tc>
        <w:tc>
          <w:tcPr>
            <w:tcW w:w="1720" w:type="dxa"/>
            <w:vAlign w:val="bottom"/>
            <w:vMerge w:val="restart"/>
          </w:tcPr>
          <w:p>
            <w:pPr>
              <w:jc w:val="center"/>
              <w:ind w:right="428"/>
              <w:spacing w:after="0" w:line="332" w:lineRule="exact"/>
              <w:rPr>
                <w:sz w:val="20"/>
                <w:szCs w:val="20"/>
                <w:color w:val="auto"/>
              </w:rPr>
            </w:pPr>
            <w:r>
              <w:rPr>
                <w:rFonts w:ascii="Arial" w:cs="Arial" w:eastAsia="Arial" w:hAnsi="Arial"/>
                <w:sz w:val="31"/>
                <w:szCs w:val="31"/>
                <w:b w:val="1"/>
                <w:bCs w:val="1"/>
                <w:color w:val="0A2299"/>
                <w:w w:val="99"/>
              </w:rPr>
              <w:t>26%</w:t>
            </w: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right w:val="single" w:sz="8" w:color="00497F"/>
            </w:tcBorders>
          </w:tcPr>
          <w:p>
            <w:pPr>
              <w:spacing w:after="0"/>
              <w:rPr>
                <w:sz w:val="13"/>
                <w:szCs w:val="13"/>
                <w:color w:val="auto"/>
              </w:rPr>
            </w:pPr>
          </w:p>
        </w:tc>
        <w:tc>
          <w:tcPr>
            <w:tcW w:w="2720" w:type="dxa"/>
            <w:vAlign w:val="bottom"/>
            <w:vMerge w:val="restart"/>
          </w:tcPr>
          <w:p>
            <w:pPr>
              <w:jc w:val="center"/>
              <w:ind w:right="474"/>
              <w:spacing w:after="0"/>
              <w:rPr>
                <w:sz w:val="20"/>
                <w:szCs w:val="20"/>
                <w:color w:val="auto"/>
              </w:rPr>
            </w:pPr>
            <w:r>
              <w:rPr>
                <w:rFonts w:ascii="Arial" w:cs="Arial" w:eastAsia="Arial" w:hAnsi="Arial"/>
                <w:sz w:val="13"/>
                <w:szCs w:val="13"/>
                <w:b w:val="1"/>
                <w:bCs w:val="1"/>
                <w:color w:val="0A2299"/>
                <w:w w:val="94"/>
              </w:rPr>
              <w:t>Seattle, Washington</w:t>
            </w:r>
          </w:p>
        </w:tc>
        <w:tc>
          <w:tcPr>
            <w:tcW w:w="1720" w:type="dxa"/>
            <w:vAlign w:val="bottom"/>
            <w:vMerge w:val="continue"/>
          </w:tcPr>
          <w:p>
            <w:pPr>
              <w:spacing w:after="0"/>
              <w:rPr>
                <w:sz w:val="13"/>
                <w:szCs w:val="13"/>
                <w:color w:val="auto"/>
              </w:rPr>
            </w:pPr>
          </w:p>
        </w:tc>
        <w:tc>
          <w:tcPr>
            <w:tcW w:w="480" w:type="dxa"/>
            <w:vAlign w:val="bottom"/>
            <w:tcBorders>
              <w:left w:val="single" w:sz="8" w:color="00497F"/>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Borders>
              <w:right w:val="single" w:sz="8" w:color="00497F"/>
            </w:tcBorders>
          </w:tcPr>
          <w:p>
            <w:pPr>
              <w:spacing w:after="0"/>
              <w:rPr>
                <w:sz w:val="4"/>
                <w:szCs w:val="4"/>
                <w:color w:val="auto"/>
              </w:rPr>
            </w:pPr>
          </w:p>
        </w:tc>
        <w:tc>
          <w:tcPr>
            <w:tcW w:w="27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480" w:type="dxa"/>
            <w:vAlign w:val="bottom"/>
            <w:tcBorders>
              <w:left w:val="single" w:sz="8" w:color="00497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right w:val="single" w:sz="8" w:color="00497F"/>
            </w:tcBorders>
          </w:tcPr>
          <w:p>
            <w:pPr>
              <w:spacing w:after="0"/>
              <w:rPr>
                <w:sz w:val="18"/>
                <w:szCs w:val="18"/>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6"/>
              </w:rPr>
              <w:t>San Francisco, California</w:t>
            </w:r>
          </w:p>
        </w:tc>
        <w:tc>
          <w:tcPr>
            <w:tcW w:w="1720" w:type="dxa"/>
            <w:vAlign w:val="bottom"/>
          </w:tcPr>
          <w:p>
            <w:pPr>
              <w:spacing w:after="0"/>
              <w:rPr>
                <w:sz w:val="18"/>
                <w:szCs w:val="18"/>
                <w:color w:val="auto"/>
              </w:rPr>
            </w:pPr>
          </w:p>
        </w:tc>
        <w:tc>
          <w:tcPr>
            <w:tcW w:w="480" w:type="dxa"/>
            <w:vAlign w:val="bottom"/>
            <w:tcBorders>
              <w:left w:val="single" w:sz="8" w:color="00497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right w:val="single" w:sz="8" w:color="00497F"/>
            </w:tcBorders>
          </w:tcPr>
          <w:p>
            <w:pPr>
              <w:spacing w:after="0"/>
              <w:rPr>
                <w:sz w:val="20"/>
                <w:szCs w:val="20"/>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6"/>
              </w:rPr>
              <w:t>Las Vegas, Nevada</w:t>
            </w:r>
          </w:p>
        </w:tc>
        <w:tc>
          <w:tcPr>
            <w:tcW w:w="1720" w:type="dxa"/>
            <w:vAlign w:val="bottom"/>
          </w:tcPr>
          <w:p>
            <w:pPr>
              <w:jc w:val="center"/>
              <w:ind w:right="428"/>
              <w:spacing w:after="0"/>
              <w:rPr>
                <w:sz w:val="20"/>
                <w:szCs w:val="20"/>
                <w:color w:val="auto"/>
              </w:rPr>
            </w:pPr>
            <w:r>
              <w:rPr>
                <w:rFonts w:ascii="Arial" w:cs="Arial" w:eastAsia="Arial" w:hAnsi="Arial"/>
                <w:sz w:val="14"/>
                <w:szCs w:val="14"/>
                <w:b w:val="1"/>
                <w:bCs w:val="1"/>
                <w:color w:val="0A2299"/>
              </w:rPr>
              <w:t>of Departures</w:t>
            </w:r>
          </w:p>
        </w:tc>
        <w:tc>
          <w:tcPr>
            <w:tcW w:w="480" w:type="dxa"/>
            <w:vAlign w:val="bottom"/>
            <w:tcBorders>
              <w:left w:val="single" w:sz="8" w:color="00497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right w:val="single" w:sz="8" w:color="00497F"/>
            </w:tcBorders>
          </w:tcPr>
          <w:p>
            <w:pPr>
              <w:spacing w:after="0"/>
              <w:rPr>
                <w:sz w:val="15"/>
                <w:szCs w:val="15"/>
                <w:color w:val="auto"/>
              </w:rPr>
            </w:pPr>
          </w:p>
        </w:tc>
        <w:tc>
          <w:tcPr>
            <w:tcW w:w="2720" w:type="dxa"/>
            <w:vAlign w:val="bottom"/>
            <w:tcBorders>
              <w:bottom w:val="single" w:sz="8" w:color="00497F"/>
            </w:tcBorders>
          </w:tcPr>
          <w:p>
            <w:pPr>
              <w:jc w:val="center"/>
              <w:ind w:right="474"/>
              <w:spacing w:after="0"/>
              <w:rPr>
                <w:sz w:val="20"/>
                <w:szCs w:val="20"/>
                <w:color w:val="auto"/>
              </w:rPr>
            </w:pPr>
            <w:r>
              <w:rPr>
                <w:rFonts w:ascii="Arial" w:cs="Arial" w:eastAsia="Arial" w:hAnsi="Arial"/>
                <w:sz w:val="13"/>
                <w:szCs w:val="13"/>
                <w:b w:val="1"/>
                <w:bCs w:val="1"/>
                <w:color w:val="0A2299"/>
                <w:w w:val="97"/>
              </w:rPr>
              <w:t>Anchorage, Alaska</w:t>
            </w:r>
          </w:p>
        </w:tc>
        <w:tc>
          <w:tcPr>
            <w:tcW w:w="1720" w:type="dxa"/>
            <w:vAlign w:val="bottom"/>
            <w:tcBorders>
              <w:bottom w:val="single" w:sz="8" w:color="00497F"/>
            </w:tcBorders>
          </w:tcPr>
          <w:p>
            <w:pPr>
              <w:spacing w:after="0"/>
              <w:rPr>
                <w:sz w:val="15"/>
                <w:szCs w:val="15"/>
                <w:color w:val="auto"/>
              </w:rPr>
            </w:pPr>
          </w:p>
        </w:tc>
        <w:tc>
          <w:tcPr>
            <w:tcW w:w="48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-1748155</wp:posOffset>
            </wp:positionV>
            <wp:extent cx="2734310" cy="257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343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Charter</w:t>
      </w:r>
      <w:r>
        <w:rPr>
          <w:rFonts w:ascii="Arial" w:cs="Arial" w:eastAsia="Arial" w:hAnsi="Arial"/>
          <w:sz w:val="18"/>
          <w:szCs w:val="18"/>
          <w:color w:val="auto"/>
        </w:rPr>
        <w:t>.  Our Charter business, which is one of the largest narrow body Charter operations in the United States, is a key component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both because it provides inherent diversification and downside demand protection, and because it is synergistic with our other businesses. This allows for the most profitable use of the aircraft to be selected at any point in time. Our Charter business has several favorable characteristics, including large repeat customers, and the ability to pass through certain costs, including fuel. Our air carrier operating certificate, labor agreements and operating capabilities allow us to fly to numerous destinations, permitting us to enter into a variety of Charter contracts.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Charter business includes ad hoc, short-term and long-term service contracts with pass-through fuel arrangements and annual rate escalations. Our diverse Charter customer base includes, but is not limited to the DoW, collegiate and professional sports teams, and casinos. In October 2021, we signed a five-year agreement to provide Charter service to all MLS teams. MLS featured 30 clubs throughout the United States and Canada during the 2025 season and may have future expansion teams in later seasons. We are a leading Charter airline for collegiate sports including the NCAA Championships, as well as individual team travel. Most of our contracts are non-cyclical because the DoW and sports teams still fly during normal economic downturns, and our casino contracts are long-term in nature. We also operate regularly scheduled VIP Charter services to certain specified locations with continuous service and an aircraft outfitted with an all first-class configuration. For the years ended December 31, 2025 and 2024, Charter block hours under long-term contracts comprised 72% and 74% of total Charter flying, respectively.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b w:val="1"/>
          <w:bCs w:val="1"/>
          <w:color w:val="auto"/>
        </w:rPr>
        <w:t>.</w:t>
      </w:r>
      <w:r>
        <w:rPr>
          <w:rFonts w:ascii="Arial" w:cs="Arial" w:eastAsia="Arial" w:hAnsi="Arial"/>
          <w:sz w:val="18"/>
          <w:szCs w:val="18"/>
          <w:color w:val="auto"/>
        </w:rPr>
        <w:t xml:space="preserve">  We are currently flying 20 Boeing 737-800 cargo aircraft for Amazon. All aircraft in our Cargo service are subleased directly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Amazon, serve destinations in Amazon's network and are operated pursuant to the A&amp;R ATSA. The A&amp;R ATSA includes an initial six-year term, which expires in October 2030. The agreement includes two additional, two-year renewal terms exercisable at Amazon's option, and a subsequent three-year renewal term subject to mutual written agreement, which, if not agreed to, will trigger a final two-year wind-down term.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 To the extent we can optimize flight crew on cargo aircraft with overlapping Passenger service flights, we attempt to capture those synergies as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well. However, like the Charter and Scheduled Service business, aircraft and crew utilization can be optimized by filling in Cargo service in periods when Passenger flying is less profitable.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2024, the Company entered into the A&amp;R ATSA with Amazon that increased the number of Boeing 737-800 cargo aircraft that we</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operate on behalf of Amazon from 12 to 20 in 2025, and we received and placed in-service all eight additional aircraft in 2025. In early 2026, we agreed to operate two additional cargo aircraft on behalf of Amazon. This will increase the total aircraft that we operate on behalf of Amazon from 20 to 22.</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CMI service is asset-light,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Passenger service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passenger amenities, customer service, reputation and loyalty programs. We have different competitive sets in our Passenger service segment, comprising of Scheduled Service and Charter lines of business, and our Cargo segment.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as well as other scheduled passenger carriers who also operate charter flying, such as Delta Air Lines. Air Transport Services Group and Alaska Airlines (acquired through the Hawaiian Airlines transaction) also perform U.S. domestic flying for Amazon utilizing widebody aircraft while we operate narrowbody 737-800 freighters for Amazon. The performance of our Cargo line of business is strong and reliable, which gives us a stable position with our customer, Amazon. Our strong relationship with Amazon is evidenced by the most recent A&amp;R ATSA, which increased the number of aircraft operated on behalf of Amazon from 12 to 20, making us the sole operator of Amazon 737-800 freighters in their U.S. domestic network. In early 2026, we agreed to operate two additional cargo aircraft on behalf of Amazon. This will increase the total aircraft that we operate on behalf of Amazon from 20 to 22.</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competitive advantages include our: diversified and resilient business model, agile peak demand scheduling strategy, tactical mid-life fleet with flexible operations, superior low-cost product and brand, competitive low-cost structure, strong position in our profitable MSP home market and our seasoned management team.</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majority of our competitors maintain higher utilization to keep their unit costs low, which makes it difficult for them to serve markets on a highly seasonal or day-of-week basis. 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“Risk Factors - Risks Related to Our Industry - The airline industry is exceedingly competitive, and we compete against new</w:t>
      </w:r>
      <w:r>
        <w:rPr>
          <w:rFonts w:ascii="Arial" w:cs="Arial" w:eastAsia="Arial" w:hAnsi="Arial"/>
          <w:sz w:val="18"/>
          <w:szCs w:val="18"/>
          <w:color w:val="auto"/>
        </w:rPr>
        <w:t xml:space="preserve"> </w:t>
      </w:r>
      <w:r>
        <w:rPr>
          <w:rFonts w:ascii="Arial" w:cs="Arial" w:eastAsia="Arial" w:hAnsi="Arial"/>
          <w:sz w:val="18"/>
          <w:szCs w:val="18"/>
          <w:i w:val="1"/>
          <w:iCs w:val="1"/>
          <w:color w:val="auto"/>
        </w:rPr>
        <w:t>entrants, LCCs, ULCCs, legacy network airlines and cargo carriers, as well as air travel substitutes; if we are not able to compete successfully in our markets, our business will be materially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airline industry has significant seasonal fluctuation in leisure demand. Our network strategy is designed to take advantage of the seasonal nature of the leisure customer's needs by concentrating our flying in seasons when demand is strongest and flying significantly less in seasons when demand is lower. As a result, our passenger business is subject to significant seasonal fluctuations, especially our Scheduled Service business line. We grow and obtain new opportunities for our Charter service when Scheduled Service demand is reduced. While our passenger business will remain highly seasonal, our Cargo operations will have the effect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mitigating seasonal troughs. For example, when our scheduled flying demand is lower during the fall and early December, we fly Charter contracts such as our contracts for collegiate sports. Our Cargo service remains consistent and grows until Christmas.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our Scheduled Service flights through direct and indirect distribution channels with the goal of selling in the most efficient way across our customer base. Our direct distribution channels include our website, mobile app and call center, and indirect distribution channels include third parties, such as travel agents and OTAs (e.g., Priceline and Expedia).</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direct distribution channels are our lowest cost methods of distributing our product. In addition, they provide more opportunities to sell ancillary products and services, such as baggage fees, seat selection and upgrade fees, priority check-in and boarding fees, and other fees. With our Navitaire-based reservation system, enhanced website, and mobile app, we sell a large proportion of our bookings through direct channels. Sales through direct channels for the years ended December 31, 2025 and 2024 were 80% and 78%, respectively.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Indirect distribution channels remain important outlets to sell our flights. Our movement in and out of markets where we may not have an established brand presence, is facilitated by the availability of our inventory through GDS companies (e.g., Amadeus and Sabre). We also generate sales through OTAs, which also broadens our ability to sell in highly seasonal markets. Sales through these relatively higher cost indirect channels for the years ended December 31, 2025 and 2024 were 20% and 22%, respectively.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While our CMI service is presently dedicated to Amazon and governed by the A&amp;R ATSA, we may expand our Cargo business by marketing to new potential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to stimulate demand.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marketing tools are our proprietary email distribution list consisting of approximately two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Sun Country Rewards loyalty program rewards and encourages Scheduled Service customer loyalty and we believe it is well tailored to serving the leisure passenger. Points earned are treated like currency and can be applied towards the purchase price of all or a portion of our air travel tickets and ancillary products. This makes our program more valuable to leisure customers who travel less frequently and would have difficultly accumulating enough points to get discounted travel on other airlines. The Sun Country Airlines co-branded credit card is the primary vehicle for our customers to earn points and our loyalty program is geared specifically towards supporting adoption and continued use of the credit card. Sun Country Rewards offers award travel on every flight without blackout dates. Points expire 36 months after the date they were earned, except those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points held by Sun Country co-branded credit cardholders do not expire so long as the holder maintains the card as active.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March 2025, we entered into a Credit Card Program Agreement for a new co -branded credit card program. The Credit Card Program launched in the third quarter of 2025. Subject to certain exceptions, the Credit Card Program has a term of seven years following its launch.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Performance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A&amp;R ATSA. Our operational performance is enabled by our capable and dedicated workforce in maintenance, ground, flight crew and system operations, as well as our highly capable fleet of Boeing 737-NG aircraft, which are equipped to operate in adverse weather conditions. Our primary operational metric is completion factor because most of our markets are operated less than daily. Our Scheduled Service completion factor, including the adverse impact of weather, was 98.9% and 98.7% for the years ended December 31, 2025 and 2024,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Aircraft fuel is one of our largest individual expenses, representing approximately 21% and 24% of our total operating costs for the years ended December 31, 2025 and 2024, respectively. The price and availability of jet fuel are volatile due to global economic and geopolitical factors as well as domestic and local supply factors. Our historical fuel consumption and costs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209"/>
        </w:trPr>
        <w:tc>
          <w:tcPr>
            <w:tcW w:w="7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8"/>
                <w:szCs w:val="18"/>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(in thousands)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86,185</w:t>
            </w:r>
          </w:p>
        </w:tc>
      </w:tr>
      <w:tr>
        <w:trPr>
          <w:trHeight w:val="239"/>
        </w:trPr>
        <w:tc>
          <w:tcPr>
            <w:tcW w:w="7200" w:type="dxa"/>
            <w:vAlign w:val="bottom"/>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1240" w:type="dxa"/>
            <w:vAlign w:val="bottom"/>
          </w:tcPr>
          <w:p>
            <w:pPr>
              <w:jc w:val="right"/>
              <w:ind w:right="104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0"/>
                <w:szCs w:val="20"/>
                <w:color w:val="auto"/>
              </w:rPr>
            </w:pP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2.77</w:t>
            </w: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Gallons consumed includes Scheduled Service and some Charter operations where we are responsible for fuel and are later reimbursed by the customer but does not include Cargo. In general, our Charter operations and the A&amp;R ATSA have pass-through provisions for fuel costs. Under our Charter agreements, we are either responsible for arranging for fuel on behalf of the customer (agent), or we are directly responsible for providing fuel (principal). The fuel costs under both Charter arrangements are reimbursed by the customer. When we are acting as an agent for the Customer, reimbursable fuel costs are recorded net of the revenue recognized. For those reasons, they are not included in the measure above. In Charter arrangements where we are the principal, the reimbursed fuel costs are recognized as revenue and the fuel costs are recognized in Aircraft Fuel Expense on the Statement of Operations. These amounts are reflected in the measure above.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Average price per gallon includes related fuel fees and taxes, as well as indirect fuel credits that are recognized within Aircraft Fuel expense but are not directly related to our Fuel Cost per Gallon.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low-cost business model demands that we consistently look for ways to reduce the amount of jet fuel we consume. These jet fuel reduction initiatives include the following:</w:t>
      </w:r>
    </w:p>
    <w:p>
      <w:pPr>
        <w:spacing w:after="0" w:line="15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Efficient seating - </w:t>
      </w:r>
      <w:r>
        <w:rPr>
          <w:rFonts w:ascii="Arial" w:cs="Arial" w:eastAsia="Arial" w:hAnsi="Arial"/>
          <w:sz w:val="18"/>
          <w:szCs w:val="18"/>
          <w:color w:val="auto"/>
        </w:rPr>
        <w:t>we optimize the number of seats on our planes, making each flight as fuel efficient as possible.</w:t>
      </w:r>
    </w:p>
    <w:p>
      <w:pPr>
        <w:spacing w:after="0" w:line="225" w:lineRule="exact"/>
        <w:rPr>
          <w:rFonts w:ascii="Arial" w:cs="Arial" w:eastAsia="Arial" w:hAnsi="Arial"/>
          <w:sz w:val="18"/>
          <w:szCs w:val="18"/>
          <w:i w:val="1"/>
          <w:iCs w:val="1"/>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Focus on demand </w:t>
      </w:r>
      <w:r>
        <w:rPr>
          <w:rFonts w:ascii="Arial" w:cs="Arial" w:eastAsia="Arial" w:hAnsi="Arial"/>
          <w:sz w:val="18"/>
          <w:szCs w:val="18"/>
          <w:color w:val="auto"/>
        </w:rPr>
        <w:t>- we understand our customers' travel needs and patterns. We conserve fuel by limiting ferry flights and flying only</w:t>
      </w:r>
      <w:r>
        <w:rPr>
          <w:rFonts w:ascii="Arial" w:cs="Arial" w:eastAsia="Arial" w:hAnsi="Arial"/>
          <w:sz w:val="18"/>
          <w:szCs w:val="18"/>
          <w:i w:val="1"/>
          <w:iCs w:val="1"/>
          <w:color w:val="auto"/>
        </w:rPr>
        <w:t xml:space="preserve"> </w:t>
      </w:r>
      <w:r>
        <w:rPr>
          <w:rFonts w:ascii="Arial" w:cs="Arial" w:eastAsia="Arial" w:hAnsi="Arial"/>
          <w:sz w:val="18"/>
          <w:szCs w:val="18"/>
          <w:color w:val="auto"/>
        </w:rPr>
        <w:t>when and where demand exists.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On-the-ground tactics </w:t>
      </w:r>
      <w:r>
        <w:rPr>
          <w:rFonts w:ascii="Arial" w:cs="Arial" w:eastAsia="Arial" w:hAnsi="Arial"/>
          <w:sz w:val="18"/>
          <w:szCs w:val="18"/>
          <w:color w:val="auto"/>
        </w:rPr>
        <w:t>- our commitment to fuel efficiency includes tactical on-ground procedures, such as only using one engine to</w:t>
      </w:r>
      <w:r>
        <w:rPr>
          <w:rFonts w:ascii="Arial" w:cs="Arial" w:eastAsia="Arial" w:hAnsi="Arial"/>
          <w:sz w:val="18"/>
          <w:szCs w:val="18"/>
          <w:i w:val="1"/>
          <w:iCs w:val="1"/>
          <w:color w:val="auto"/>
        </w:rPr>
        <w:t xml:space="preserve"> </w:t>
      </w:r>
      <w:r>
        <w:rPr>
          <w:rFonts w:ascii="Arial" w:cs="Arial" w:eastAsia="Arial" w:hAnsi="Arial"/>
          <w:sz w:val="18"/>
          <w:szCs w:val="18"/>
          <w:color w:val="auto"/>
        </w:rPr>
        <w:t>taxi around the airport and utilizing super tugs to position aircraft, which allows us to reduce fuel consumption.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an FAA mandated and approved maintenance program, which is administered by an experienced group of Technical Operations leaders. All our technicians are licensed for both Airframe and Powerplant and undergo extensive initial and recurrent training. Aircraft maintenance and repair consists of routine and non-routine maintenance. Work performed is divided into three general categories: line maintenance, heavy maintenance, and component maintenance.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Line maintenance work is handled by our employees and maintenance contractors and consists of work performed between flights or overnight. Performing effective line maintenance is critical in maintaining reliable operations and represents the majority of and most extensive maintenance we perform. Line maintenance consists of routine daily and weekly scheduled maintenance checks and unplanned maintenance on our aircraft. We maintain Sun Country technicians in Minneapolis, with limited line maintenance capabilities in Gulfport, Mississippi; Dallas-Fort Worth/Alliance Fort Worth, Texas; Lakeland Linder Airport, Florida; Laughlin/Bullhead International Airport, Arizona; Fort Meyers, Florida and Reno, Nevada. All other line maintenance is provided by third-party maintenance contractors, as needed.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Heavy maintenance consists of engine, auxiliary power units, landing gear, and airframe overhauls, some of which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cargo aircraft, heavy maintenance is a pass-through expense to our customer, Amazon.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we had 3,281 employees.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Technicians,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2025, approximately 66% of our employees were represented by labor unions as set forth in the table below. AMFA organized our technicians in 2022 and negotiations for an initial CBA with our technicians and related craft employees began in October 2022, and involved the assistance of a federal mediator through the NMB. The parties reached an agreement in principle in December 2025, which is yet to be ratified by the technicians. IBT organized our below-the-wing fleet service employees in 2023 and negotiations began in March of 2023. We reached an agreement in August 2025, and our below-the-wing fleet service employees ratified the CBA in November 2025. Our CBA with our below-the-wing fleet service employees will become amendable on November 6, 2028. Our CBA with our pilots became amendable on December 21, 2025 and negotiations are ongoing. In March 2025, our flight attendants ratified a new CBA. Our CBA with our flight attendants will become amendable on February 28, 2030. Our dispatchers ratified a new CBA in March 2025. Our CBA with our dispatchers will become amendable on February 28, 2030.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status of the CBAs for our employees was as follows:</w:t>
      </w:r>
    </w:p>
    <w:p>
      <w:pPr>
        <w:spacing w:after="0" w:line="25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Employee Group</w:t>
            </w:r>
          </w:p>
        </w:tc>
        <w:tc>
          <w:tcPr>
            <w:tcW w:w="1860" w:type="dxa"/>
            <w:vAlign w:val="bottom"/>
          </w:tcPr>
          <w:p>
            <w:pPr>
              <w:ind w:left="860"/>
              <w:spacing w:after="0"/>
              <w:rPr>
                <w:sz w:val="20"/>
                <w:szCs w:val="20"/>
                <w:color w:val="auto"/>
              </w:rPr>
            </w:pPr>
            <w:r>
              <w:rPr>
                <w:rFonts w:ascii="Arial" w:cs="Arial" w:eastAsia="Arial" w:hAnsi="Arial"/>
                <w:sz w:val="14"/>
                <w:szCs w:val="14"/>
                <w:b w:val="1"/>
                <w:bCs w:val="1"/>
                <w:color w:val="auto"/>
              </w:rPr>
              <w:t>Number of</w:t>
            </w:r>
          </w:p>
        </w:tc>
        <w:tc>
          <w:tcPr>
            <w:tcW w:w="2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Representative</w:t>
            </w:r>
          </w:p>
        </w:tc>
        <w:tc>
          <w:tcPr>
            <w:tcW w:w="2700" w:type="dxa"/>
            <w:vAlign w:val="bottom"/>
          </w:tcPr>
          <w:p>
            <w:pPr>
              <w:jc w:val="center"/>
              <w:ind w:left="648"/>
              <w:spacing w:after="0"/>
              <w:rPr>
                <w:sz w:val="20"/>
                <w:szCs w:val="20"/>
                <w:color w:val="auto"/>
              </w:rPr>
            </w:pPr>
            <w:r>
              <w:rPr>
                <w:rFonts w:ascii="Arial" w:cs="Arial" w:eastAsia="Arial" w:hAnsi="Arial"/>
                <w:sz w:val="14"/>
                <w:szCs w:val="14"/>
                <w:b w:val="1"/>
                <w:bCs w:val="1"/>
                <w:color w:val="auto"/>
              </w:rPr>
              <w:t>Status of</w:t>
            </w:r>
          </w:p>
        </w:tc>
        <w:tc>
          <w:tcPr>
            <w:tcW w:w="0" w:type="dxa"/>
            <w:vAlign w:val="bottom"/>
          </w:tcPr>
          <w:p>
            <w:pPr>
              <w:spacing w:after="0"/>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860" w:type="dxa"/>
            <w:vAlign w:val="bottom"/>
          </w:tcPr>
          <w:p>
            <w:pPr>
              <w:ind w:left="840"/>
              <w:spacing w:after="0"/>
              <w:rPr>
                <w:sz w:val="20"/>
                <w:szCs w:val="20"/>
                <w:color w:val="auto"/>
              </w:rPr>
            </w:pPr>
            <w:r>
              <w:rPr>
                <w:rFonts w:ascii="Arial" w:cs="Arial" w:eastAsia="Arial" w:hAnsi="Arial"/>
                <w:sz w:val="14"/>
                <w:szCs w:val="14"/>
                <w:b w:val="1"/>
                <w:bCs w:val="1"/>
                <w:color w:val="auto"/>
              </w:rPr>
              <w:t>Employees</w:t>
            </w:r>
          </w:p>
        </w:tc>
        <w:tc>
          <w:tcPr>
            <w:tcW w:w="2080" w:type="dxa"/>
            <w:vAlign w:val="bottom"/>
            <w:vMerge w:val="continue"/>
          </w:tcPr>
          <w:p>
            <w:pPr>
              <w:spacing w:after="0"/>
              <w:rPr>
                <w:sz w:val="17"/>
                <w:szCs w:val="17"/>
                <w:color w:val="auto"/>
              </w:rPr>
            </w:pPr>
          </w:p>
        </w:tc>
        <w:tc>
          <w:tcPr>
            <w:tcW w:w="2700" w:type="dxa"/>
            <w:vAlign w:val="bottom"/>
          </w:tcPr>
          <w:p>
            <w:pPr>
              <w:jc w:val="center"/>
              <w:ind w:left="708"/>
              <w:spacing w:after="0"/>
              <w:rPr>
                <w:sz w:val="20"/>
                <w:szCs w:val="20"/>
                <w:color w:val="auto"/>
              </w:rPr>
            </w:pPr>
            <w:r>
              <w:rPr>
                <w:rFonts w:ascii="Arial" w:cs="Arial" w:eastAsia="Arial" w:hAnsi="Arial"/>
                <w:sz w:val="14"/>
                <w:szCs w:val="14"/>
                <w:b w:val="1"/>
                <w:bCs w:val="1"/>
                <w:color w:val="auto"/>
              </w:rPr>
              <w:t>Agreement/Amendable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r>
              <w:rPr>
                <w:rFonts w:ascii="Arial" w:cs="Arial" w:eastAsia="Arial" w:hAnsi="Arial"/>
                <w:sz w:val="18"/>
                <w:szCs w:val="18"/>
                <w:color w:val="auto"/>
              </w:rPr>
              <w:t>Pilots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682</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5"/>
              </w:rPr>
              <w:t>ALPA</w:t>
            </w:r>
          </w:p>
        </w:tc>
      </w:tr>
      <w:tr>
        <w:trPr>
          <w:trHeight w:val="338"/>
        </w:trPr>
        <w:tc>
          <w:tcPr>
            <w:tcW w:w="3840" w:type="dxa"/>
            <w:vAlign w:val="bottom"/>
          </w:tcPr>
          <w:p>
            <w:pPr>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753</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9"/>
              </w:rPr>
              <w:t>IBT</w:t>
            </w:r>
          </w:p>
        </w:tc>
      </w:tr>
      <w:tr>
        <w:trPr>
          <w:trHeight w:val="257"/>
        </w:trPr>
        <w:tc>
          <w:tcPr>
            <w:tcW w:w="3840" w:type="dxa"/>
            <w:vAlign w:val="bottom"/>
          </w:tcPr>
          <w:p>
            <w:pPr>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7"/>
              </w:rPr>
              <w:t>TWU</w:t>
            </w:r>
          </w:p>
        </w:tc>
      </w:tr>
      <w:tr>
        <w:trPr>
          <w:trHeight w:val="256"/>
        </w:trPr>
        <w:tc>
          <w:tcPr>
            <w:tcW w:w="3840" w:type="dxa"/>
            <w:vAlign w:val="bottom"/>
          </w:tcPr>
          <w:p>
            <w:pPr>
              <w:spacing w:after="0"/>
              <w:rPr>
                <w:sz w:val="20"/>
                <w:szCs w:val="20"/>
                <w:color w:val="auto"/>
              </w:rPr>
            </w:pPr>
            <w:r>
              <w:rPr>
                <w:rFonts w:ascii="Arial" w:cs="Arial" w:eastAsia="Arial" w:hAnsi="Arial"/>
                <w:sz w:val="18"/>
                <w:szCs w:val="18"/>
                <w:color w:val="auto"/>
              </w:rPr>
              <w:t>Technicians and related craft employees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202</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5"/>
              </w:rPr>
              <w:t>AMFA</w:t>
            </w:r>
          </w:p>
        </w:tc>
      </w:tr>
      <w:tr>
        <w:trPr>
          <w:trHeight w:val="257"/>
        </w:trPr>
        <w:tc>
          <w:tcPr>
            <w:tcW w:w="3840" w:type="dxa"/>
            <w:vAlign w:val="bottom"/>
          </w:tcPr>
          <w:p>
            <w:pPr>
              <w:spacing w:after="0"/>
              <w:rPr>
                <w:sz w:val="20"/>
                <w:szCs w:val="20"/>
                <w:color w:val="auto"/>
              </w:rPr>
            </w:pPr>
            <w:r>
              <w:rPr>
                <w:rFonts w:ascii="Arial" w:cs="Arial" w:eastAsia="Arial" w:hAnsi="Arial"/>
                <w:sz w:val="18"/>
                <w:szCs w:val="18"/>
                <w:color w:val="auto"/>
              </w:rPr>
              <w:t>Below the Wing Fleet Service Employees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505</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9"/>
              </w:rPr>
              <w:t>IBT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60"/>
        <w:spacing w:after="0"/>
        <w:rPr>
          <w:sz w:val="20"/>
          <w:szCs w:val="20"/>
          <w:color w:val="auto"/>
        </w:rPr>
      </w:pPr>
      <w:r>
        <w:rPr>
          <w:rFonts w:ascii="Arial" w:cs="Arial" w:eastAsia="Arial" w:hAnsi="Arial"/>
          <w:sz w:val="18"/>
          <w:szCs w:val="18"/>
          <w:color w:val="auto"/>
        </w:rPr>
        <w:t>Currently amendable (commenced as of December 2025)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Amendable in February 2030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Amendable in February 2030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 in principle as of December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Amendable in November 2028</w:t>
      </w:r>
    </w:p>
    <w:p>
      <w:pPr>
        <w:spacing w:after="0" w:line="211" w:lineRule="exact"/>
        <w:rPr>
          <w:sz w:val="20"/>
          <w:szCs w:val="20"/>
          <w:color w:val="auto"/>
        </w:rPr>
      </w:pPr>
    </w:p>
    <w:p>
      <w:pPr>
        <w:sectPr>
          <w:pgSz w:w="11900" w:h="16838" w:orient="portrait"/>
          <w:cols w:equalWidth="0" w:num="2">
            <w:col w:w="6220" w:space="580"/>
            <w:col w:w="4440"/>
          </w:cols>
          <w:pgMar w:left="320" w:top="270" w:right="339" w:bottom="1440" w:gutter="0" w:footer="0" w:header="0"/>
          <w:type w:val="continuous"/>
        </w:sectPr>
      </w:pPr>
    </w:p>
    <w:p>
      <w:pPr>
        <w:jc w:val="both"/>
        <w:spacing w:after="0" w:line="253" w:lineRule="auto"/>
        <w:rPr>
          <w:sz w:val="20"/>
          <w:szCs w:val="20"/>
          <w:color w:val="auto"/>
        </w:rPr>
      </w:pPr>
      <w:r>
        <w:rPr>
          <w:rFonts w:ascii="Arial" w:cs="Arial" w:eastAsia="Arial" w:hAnsi="Arial"/>
          <w:sz w:val="18"/>
          <w:szCs w:val="18"/>
          <w:color w:val="auto"/>
        </w:rPr>
        <w:t>The RLA governs our relations with labor organizations. Under the RLA, the CBA's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a strike and “self-help” by enacting legislation that, among other things, imposes a settlement on the 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Security</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Sun Country Airlines prioritizes the safety and security of its employees and customers. We are committed to maintaining the highest level of safety compliance, with all operations guided by procedures and policies.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Ensuring that employees are trained to the proper standards and equipped with the necessary tools and resources to perform their roles safely and efficiently is essential to our operations. We gather employee feedback through annual safety culture surveys to identify improvement areas, which are used to develop corrective action plans.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also engage in industry best practices by participating in safety-sharing programs with other airlines and using the FAA’s Aviation Safety Information Analysis and Sharing System to exchange critical safety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Sun Country invests in safety and security programs, including:</w:t>
      </w:r>
    </w:p>
    <w:p>
      <w:pPr>
        <w:spacing w:after="0" w:line="279" w:lineRule="exact"/>
        <w:rPr>
          <w:sz w:val="20"/>
          <w:szCs w:val="20"/>
          <w:color w:val="auto"/>
        </w:rPr>
      </w:pPr>
    </w:p>
    <w:p>
      <w:pPr>
        <w:ind w:left="660" w:right="20" w:hanging="328"/>
        <w:spacing w:after="0" w:line="230"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Flight Operations Quality Assurance, a program designed to collect and analyze flight operations data to identify areas for safety, efficiency, and training improvements.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Investments in advanced training devices, such as a new cabin simulator, to enhance flight attendant training.</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ProSafeT, an SMS that enables anonymous safety concern reporting and supports hazard identification and mitigation efforts.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ASAP, a partnership with the FAA and labor unions to encourage the reporting of safety issues without fear of FAA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information from these safety programs is used to inform management, ensuring the ongoing health and effectiveness of our SMS. Sun Country Airlines is dedicated to fostering a culture of safety and security that meets the highest industry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Involvement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Sun Country, we place tremendous value in our stakeholders, such as our customers, partners, and members of our community. As a fast-growing and dynamic airline, we know our success depends on collaboration with stakeholders, and we strive to engage with stakeholders in our community and more broadly.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longtime partner with Make-A-Wish Minnesota and provide flights for children with critical illnesses to help them safely travel to and from their wish destinations. In 2021, we made a three-year commitment to donate travel to accommodate every Wish Kid traveling anywhere that our airline flies. In 2024, we continued our commitment to donate travel to Make-A-Wish Minnesota by signing a new three-year agreement that automatically renews at the end of the agreement. Each December, our “Flight to the North Pole” helps bring holiday cheer to Wish Kids by “flying” them to the home of Santa Claus.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 Country is a proud partner of the DoW, and we take pride in providing Charter service for our nation’s military domestically and abroad. Additionally, Sun Country is proud to help transport military veterans to Washington, D.C. aboard Honor Flights to share in a day of honor at our nation’s memorials. These trips are an important way to commemorate the courage and dedication of our nation’s veterans and provide them a day filled with reflection, support, and thanks. Many of our pilots and other team members are armed forces veterans and we are proud to fly the DoW.</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sponsor the Hennepin Theatre Trust Spotlight Education program. We also support the development of a “workforce of tomorrow” by investing in initiatives like STARBASE STEM and Girls in Aviation, which both serve to educate and create a pipeline for historically disadvantaged students.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insurance policies that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 We also require our lessees to carry hull all risks, hull war and allied perils, spares all risks (including war and allied perils), and aircraft third party, passenger, baggage, cargo and mail, and airline general third party legal liability insurance.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Ownership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We are currently in compliance with these ownership provisions. For a discussion of the procedures we instituted to ensure compliance with these foreign ownership rules, please see </w:t>
      </w:r>
      <w:r>
        <w:rPr>
          <w:rFonts w:ascii="Arial" w:cs="Arial" w:eastAsia="Arial" w:hAnsi="Arial"/>
          <w:sz w:val="18"/>
          <w:szCs w:val="18"/>
          <w:i w:val="1"/>
          <w:iCs w:val="1"/>
          <w:color w:val="auto"/>
        </w:rPr>
        <w:t>“Risk Factors - Risks Related to Ownership of Our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 Our certificate of incorporation and bylaws include provisions limiting ownership and voting by non-U.S. citizens</w:t>
      </w:r>
      <w:r>
        <w:rPr>
          <w:rFonts w:ascii="Arial" w:cs="Arial" w:eastAsia="Arial" w:hAnsi="Arial"/>
          <w:sz w:val="18"/>
          <w:szCs w:val="18"/>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airline industry is heavily regulated, especially by the federal government. Two of the primary regulatory authorities overseeing air transportation in the United States are the DOT and the FAA.</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DOT regulates economic operating authority for air carriers and consumer protection for airline passengers. The DOT has authority to issue certificates of public convenience and necessity required for airlines to provide domestic air transportation. Additional DOT authority, in the form of a certificate or an exemption from certificate requirements, is required for a U.S. airline to serve foreign destinations either with its own aircraft or via code-sharing with another airline. A U.S. airline’s ability to operate flights to and from international destinations is also subject to the air transport agreements between the United States and the foreign country as well as the airline's ability to obtain the necessary authority from the applicable foreign government.</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 or from these countries.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FAA became a part of the DOT in 1967 and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 and are dependent on the operations of the FAA. A U.S. government shutdown resulting in government agency closures and employee furloughs may impact our ability to secure registrations, permits or approvals from the FAA.</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lessees are also subject to extensive, direct regulation under the laws of the jurisdictions in which they are registered and where they operate. Such laws govern, among other things, the registration, operation, security, and maintenance of our aircraft, environmental issues and the financial oversight of their operations. To the extent that a lessee is not in compliance, we may be required to comply with such requirements, possibly at our own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Access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1) demand for airport infrastructure significantly exceeds the airport’s capacity during the relevant period, 2) expansion of airport infrastructure to meet demand is not possible in the short term, 3) attempts to resolve the problem through voluntary schedule adjustments have failed or are ineffective, and 4) as a result, a process of slot allocation is required whereby it is necessary for all airlines and other aircraft operators to have a slot allocated by a coordinator in order to arrive or depart at the airport during the periods when slot allocation occurs. We have operated in and out of JFK, a Level 3 airport, since April 2023. We also currently operate in and out of the following Level 2 airports: SFO, LAX, ORD and EWR.</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currently have the access we need to accommodate our planned service, and we have generally been able to obtain the rights to expand our operations and to change our schedules. There is no assurance, however,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that we will be able to do so in the future because, among other reasons, such allocations are subject to changes in governmental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GHG Emissions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CO2 certification standards for new aircraft beginning in 2020. The new CO2 standards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Like the ICAO standards, the final EPA standards would not apply retroactively to engines on in-service aircraft. These final standards have been challenged by several states and environmental groups. On November 15, 2021, the EPA announced that it would not rewrite the existing aircraft engine GHG emissions standards but would seek more ambitious new aircraft GHG emission standards within the ICAO process. The outcome of the legal challenge and whether there will be any development of new aircraft GHG emissions standards cannot be predicted at this time. On November 23, 2022, the EPA published the final rule for particulate matter emission standards and test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procedures for civil aircraft engines, which took effect on January 1, 2023. There may be future rulemaking that may result in stricter GHG emissions standards than those contained in the proposed rule.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 October 2016, ICAO adopted the CORSIA, which is a global, market-based emissions offset program designed to encourage carbon-neutral growth beyond 2020. CORSIA will increase operating costs for us and other U.S. airlines that operate internationally. CORSIA is being implemented in phases, with information sharing that began in 2019 and a pilot phase that began in 2021, followed by a first phase of the program beginning in 2024 and a second phase to begin in 2027. ICAO member states have agreed that 2019 emissions would continue to be used as the baseline for the CORSIA “pilot phase” (2021-2023) and that 85% of 2019 emissions would be used as the baseline for the remainder of CORSIA’s term (2024-2035). Accordingly, ICAO member countries further agreed to a long-term aspirational goal of reaching net zero aviation emissions by 2050. Countries can voluntarily participate in the pilot and first phase, and the United States agreed to participate in these voluntary phases. Participation in the second phase is mandatory for certain countries, including the United States. Certain details are still being developed and the impact cannot be fully predicted.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costs of complying with our future obligations under CORSIA are uncertain because there is significant uncertainty with respect to the future supply and price of carbon offset credits and lower-carbon aircraft fuels. We were not required to purchase any carbon offset credits or lower-carbon aircraft fuels for the CORSIA pilot phase (2021-2023). In addition, as described above, we will not directly control our CORSIA compliance costs because our compliance obligations through 2032 are based on the growth in emissions of the global aviation sector and will begin to incorporate a factor for individual airline operator emissions growth starting in 2033.</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2023, the State of California adopted broad climate reporting laws that will require large businesses to report on GHG emissions and climate-related financial risk. The California laws include: Climate Corporate Data Accountability Act ("SB-253") and Greenhouse Gasses: Climate-Related Financial Risk ("SB-261"). SB-253 requires reporting entities to publicly disclose their GHG emissions on an annual basis, beginning in 2026. SB-261 requires covered entities to publicly disclose their climate-related financial risk and the measures adopted to reduce and adapt to those risks. The deadline for the first report required by SB-261 was January 1, 2026, but the deadline was not enforced due to pending litigation. The deadline for the first report required by SB-253 is August 10, 2026. The Company is considered a reporting entity and a covered entity under SB-253 and SB-261,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the ICAO or locally imposed regulations become more restrictive or widespread. In addition, foreign governments may allow airports to enact similar restrictions, which could adversely impact our international operations or require significant expenditures in order for our aircraft to comply with the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our website www.suncountry.com, our annual report on Form 10-K, quarterly reports on Form 10-Q, current reports on Form 8-K, and amendments to those reports filed or furnished pursuant to the Exchange Act, as soon as reasonably practicable after electronically filing such material with, or furnishing such material to, the SEC. Materials filed with the SEC are available at www.sec.gov. The information contained on, or that can be accessed through, our website is not incorporated by reference into this Annual Report.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contained in this Annual Report, including our consolidated financial statements and the related notes thereto included elsewhere in this Annual Report and “Management’s Discussion and Analysis of Financial Condition and Results of Operations.”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 recession or similar or worse economic downturn in the United States would weaken demand for our services and have a material adverse effect on our business, results of operations and financial condition.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actual or perceived unfavorable economic conditions, travelers have often elected to replace air travel at such times with car travel or other forms of ground transportation or have opted not to travel at all. Additionally, any significant increases in unemployment in the United States would likely have a negative impact on passenger bookings, especially when the customers we serve are generally paying with their own money. Likewise, during periods of unfavorable economic conditions, businesses have deferred air travel or forgone it altogether. Additionally, retail and thus cargo demand can also decrease. Furthermore, most of our Charter revenue is generated from ad hoc, short-term contracts with repeat customers, or long-term customers with utilization variability and these customers may cease, or limit,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have an adverse impact on our business, results of operations and financial condition.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Inflation risk is the risk that the value of assets or income will be worth less in the future as inflation decreases the value of money. In recent years, inflationary pressures have been elevated and volatile throughout the U.S. economy. In response, the Federal Reserve raised certain benchmark interest rates in an effort to combat inflation and has gradually started to lower these benchmark interest rates, though there can be no guarantee when or if it will continue to lower the benchmark interest rates. Inflation can adversely affect us by resulting in increased costs of goods and services, including those we use in our operations, which would increase our expenses. In addition, our customers could also be affected by inflation, which could have a negative impact on demand for air travel. If inflation increases or continues, the U.S. economy may feel the effects of inflationary pressures and our business, results of operations and financial condition could be materially adversely affected.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cost of aircraft fuel is highly volatile and is one of our largest individual operating expenses, accounting for approximately 21% and 24% of our operating expenses for the years ended December 31, 2025 and 2024, respectively. High fuel prices or increases in fuel costs (or in the price of crude oil) could have a material adverse effect on our business, results of operations and financial condition, including as a result of legacy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also dependent on the availability of aircraft fuel (or crude oil), which is not predictable. Weather-related events, natural disasters, terrorism, wars (including as a result of the Russia-Ukraine military conflict), supply chain disruptions,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In general, our Charter and Cargo operations have pass-through provisions for fuel costs, and as such, we do not hedge our fuel requirements for that portion of our business. As of December 31, 2025, we had no outstanding fuel derivative contracts.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airline industry is exceedingly competitive, and we compete against new entrants, LCCs, ULCCs, legacy network airlines and cargo carriers, as well as air travel substitutes; if we are not able to compete successfully in our markets, our business will be materially adversely affected.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 capacity that drives down fares, which could have a material adverse effect on our business, results of operations and financial condition.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develop, continue to offer, or increase the number of its low-cost products, or if we were to experience increased competition from LCCs, our business could be materially adversely affected. Regardless of cost structure, the domestic airline industry has often been the source of fare wars undertaken to grow market share or for other reasons.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LCC and ULCC competitors may choose to enhance their product offerings, including the addition of premium products, which could have an adverse effect on our business, results of operations and financial condition.</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low-cost structure is one of our primary competitive advantages. A competitor adopting an LCC or ULCC strategy may have greater financial resources and access to lower cost sources of capital than we do, which could enable them to operate their business with a lower cost structure or lower marginal revenues without substantial adverse effects than we can. Further, we have limited control over many of our costs and cannot guarantee we will be able to maintain our relatively low costs. If these competitors adopt and successfully execute an LCC or ULCC business model, or if our cost structure increases and we are no longer able to maintain a competitive cost structure, our business could be materially adversely affected.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competitors may also choose to commence, or expand their existing, Cargo operations. In addition, our competitors could seek to provide Cargo services to Amazon, which could adversely impact our ability to maintain or renew the A&amp;R ATSA. This could result in reduced frequencies for our Cargo operations, which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has been significant consolidation within the airline industry and there may be additional consolidation in our industry in the future. Business combinations could significantly alter industry conditions and competition within the airline industry and could permit our competitors to reduce their fares.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airline competition from legacy network airlines, LCCs and ULCCs, we also face competition from air travel substitutes. On our domestic routes, particularly those with shorter stage lengths, we face competition from some other transportation alternatives, such as bus, train or automobile. In addition, technology advancements may limit the demand for air travel.</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air traffic control staffing; air traffic incidents; government shutdowns or mandates; FAA grounding of aircraft; major construction or improvements at airports; adverse weather conditions, such as hurricanes or blizzards; threatened or actual terrorist attacks, war or other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security concerns; or the outbreak or rapid spread of disease, any of which could have a material adverse effect on our business, results of operations and financial condition.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Like other airlines, our business is affected by factors beyond our control, including air traffic congestion at airports, air traffic control inefficiencies, air traffic incidents, major construction or improvements at airports at which we operate, increased security measures, adverse weather conditions, threatened or actual terrorist attacks, war,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accident, catastrophe or incident could have an adverse effect on the airline industry and our business, results of operations and financial condition if such accident, catastrophe or incident creates a public perception that air travel is not safe or there are air traffic controller staffing shortages. If any such accident, catastrophe or incident were to involve our aircraft or personnel or a type of aircraft in our fleet, the impact to our business, results of operations and financial condition could be even more significant.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there are proposals before Congress that would treat a wide range of consumer protection issues, which could increase the costs of doing business. Further, implementation of the Next Generation Air Transportation System, or NextGen, by the FAA would result in changes to aircraft routings and flight paths that could lead to increased noise complaints and lawsuits, resulting in increased costs. NextGen is a multi-year modernization project which had an initial target of having all major components in place by 2025. The FAA now expects to complete the remaining components by 2030. Furthermore, a federal government grounding of our aircraft type could result in flight cancellations and adversely affect our business. Governmental mandates requiring certain behaviors from employees, such as vaccine mandates, could limit our ability to staff to meet demand because employees may choose to resign or decide not to apply for or accept open positions.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Terrorist attacks (including attempted attacks) particularly those involving airlines, heightened security and military action in response thereto, and war could cause substantial revenue losses and increased security costs, and such event, even if not directly involving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customer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Outbreaks or rapid spreads of pandemic or contagious viral or bacterial infections, diseases or similar public health threats, such as Ebola, measles, avian flu, severe acute respiratory syndrome (SARS), COVID-19, H1N1 (swine) flu, pertussis (whooping cough) and zika virus, or their respective variants, could result in the implementation of restrictions and regulations, including travel restrictions, quarantines, limitations on aircraft capacity, supply chain disruptions, testing requirements and restrictions on our ability to access our facilities 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aircraft or requirements to collect additional passenger data or our ability to maintain a suitably skilled and sized workforce.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and other restrictions and regulations, as well as general concerns about traveling during a public health threat, could have a material adverse impact on our business, operating results, financial condition and liquidity. In the past, passenger bookings during a significant disease outbreak were, on average, closer to the date of service than in prior periods, which reduced our visibility into future revenue.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Federal government shutdowns can also affect the availability of federal resources necessary to provide air traffic control and airport security and impact our ability to take delivery of aircraft and commence operations in new domestic stations. Another extended shutdown like those in December 2018-January 2019 and October 2025-November 2025 may have a negative impact on our operations and financial results.</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industry is experiencing increased competition in pilot hiring, more stringent duty time regulations, increased flight hour requirements for commercial airline pilots, reductions in the number of military pilots entering the commercial workforce, increased training requirements and other factors that have led to a shortage of pilots, which could materially adversely affect our business.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Commercial airline pilots are subject to rigorous certification standards and must adhere to flight time and rest requirements.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 FAA also mandates that pilots retire at age 65. These and other factors have led to a shortage of qualified, entry-level pilots and increased compensation costs, particularly at carriers other than the large legacy carriers. The foregoing factors have led to additional competition from carriers attempting to meet their hiring needs. With the current pilot shortage,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our insurance were to take place, our business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have grown significantly in the past decade for domestic flights, and various U.S. fees and taxes also are assessed on international flights.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that can drive down demand as we operate in a highly elastic environment.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regulations set forth by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years ended December 31, 2025 and 2024 we generated ancillary revenues of $294,904 and $307,909, respectively. Our ancillary revenue consists primarily of revenue generated from air travel-related services such as baggage fees, seat selection and upgrade fees, priority check-in and boarding fees, other fees and on-board sales.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In 2024, the Senate’s Homeland Security Permanent Subcommittee on Investigations released a report that included criticism of ancillary product fees.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“—Risks Related to Our Business—We are subject to extensive regulation by the FAA, the DOT, the TSA, CBP and other U.S. and foreign governmental agencies. We cannot assure you that compliance with laws, regulations, orders, rulings and guidance will not have a material adverse effect on our business, results of operations and financial condition.”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and risks associated with climate change, including increased regulation to reduce emissions of greenhouse gases, which could have a material adverse effect on our business, results of operations and financial condition.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petroleum industry, or airport facilities at which we operate) on our operations. In addition, U.S. airport authorities are exploring ways to limit de-icing fluid discharges.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Compliance with existing and future environmental laws and regulations, including, but not limited to, CORSIA, ICAO standards and any existing or new laws or regulations adopted by the SEC or states, can require significant expenditures and operational changes, and</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violations can lead to significant fines and penalties and reputational harm. The impact of complying with any existing and future environmental laws and regulations could have an adverse impact on our financial position, results of operations, business and prospects. Please see “Business—Government Regulation—Environmental Regulation,” for additional information on environmental regulation impacting the Company.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extensive regulation by the FAA, the DOT, the TSA, the CBP and other U.S. and foreign governmental agencies. We cannot assure you that compliance with and changes in laws, regulations, orders, rulings and guidance will not have a material adverse effect on our business, results of operations and financial condition.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Compliance with and changes in the laws, regulations, orders, rulings and guidance applicable to the airline industry may increase our costs, which could have a material adverse effect on our business. 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 Furthermore, the DoW continues to issue new IT systems security requirements which require expenditures in order to bring our systems into compliance.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“Business—Foreign Ownership.”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“Business—Government Regulation.”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international business also exposes us to trade and economic sanctions and other restrictions imposed by the United States or other governments or organizations. The U.S. Departments of Justice, Commerce, State and Treasury, and other foreign authorities have a broad range of civil and criminal penalties they may seek to impose against corporations and individuals for violations of economic sanctions laws, export control laws, the FCPA and other federal statutes and regulations, including the International Traffic in Arms Regulations and those established by the OFAC, and similar or more restrictive foreign laws, rules and regulations, which may also apply to us. Under these laws and regulations, the government may require export licenses, or impose restrictions that would require modifications to business practices, including cessation of business activities in sanctioned countries or with sanctioned persons or entities, and modifications to compliance programs, which may increase compliance costs. Failure to implement changes may subject us to fines, penalties and other sanctions. 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that our employees, third-party providers or partners will adhere to our code of ethics and other policies. In the event we believe or have reason to believe our employees, third-party providers or partners have or may have violated applicable laws or regulations, we may incur investigation costs, potential penalties and other related costs.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public company reporting requirements; environmental regulation, including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environmental, social and governance disclosures required by the SEC;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includes growth in our aircraft fleet, expansion of markets we serve by building out our MSP hub, growing our seat share at MSP and growing non-MSP point-to-point markets,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We face numerous challenges in implementing our growth strategy, including our ability to:</w:t>
      </w:r>
    </w:p>
    <w:p>
      <w:pPr>
        <w:spacing w:after="0" w:line="182" w:lineRule="exact"/>
        <w:rPr>
          <w:sz w:val="20"/>
          <w:szCs w:val="20"/>
          <w:color w:val="auto"/>
        </w:rPr>
      </w:pPr>
    </w:p>
    <w:p>
      <w:pPr>
        <w:ind w:left="660" w:right="2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balanced with a low aircraft acquisition cost, to execute our Scheduled, Cargo and Charter operations;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staffing levels sufficient to operate the full schedule and to grow rapidly;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that we will be able to profitably expand our existing markets or establish new markets.</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Unauthorized use, incursion or breach of our information technology infrastructure, or that of our third-party providers,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party providers store this data is a critical element of our business, and these systems and our network may be 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As the cyber-threat landscape evolves, attacks are growing in frequency, sophistication, and intensity, and are becoming increasingly difficult to detect. We have in the past, and may in the future, experience such cybersecurity threats.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the vendors who service us may not have the resources or technical sophistication to anticipate or prevent rapidly evolving types of cyber attacks. Attacks may be targeted at us, our customers (including the DoW) and our third-party service providers, including air navigation service providers, or others who have entrusted us with information, including regulators such as the DoW,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as injunctive relief requiring costly compliance measures. A cybersecurity incident could also impact our brand, harm our reputation and adversely impact our relationship with our customers, employees and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utilize artificial intelligence, which could expose us to liability or adversely affect our business.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and may in the future, use artificial intelligence, generative artificial intelligence, machine learning and similar tools and technologies (collectively, “AI”) in connection with our business. There are significant risks involved in utilizing AI and no assurance can be provided that our use will enhance our products or services or produce the intended results. For example, AI algorithms may be flawed, insufficient, of poor quality, reflect unwanted forms of bias, or contain other errors or inadequacies, any of which may not be easily detectable; AI</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has been known to produce false or “hallucinatory” inferences or outputs; AI can present ethical issues and may subject us to new or heightened legal, regulatory, ethical, or other challenges; and inappropriate or controversial data practices by developers and end-users, or other factors adversely affecting public opinion of AI, could impair the acceptance of AI solutions, including those incorporated in our processes. If the AI solutions that we create or use are deficient, inaccurate or controversial, we could incur operational inefficiencies, competitive harm, legal liability, brand or reputational harm, or other adverse impacts on our business and financial results. If we do not have sufficient rights to use the data or other material or content on which our AI solutions or other AI tools we use rely, we also may incur liability through the violation of applicable laws and regulations, third-party intellectual property, privacy or other rights, or contracts to which we are a party.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regulatory framework for AI is rapidly evolving worldwide as legislators and regulators are increasingly focused on these powerful emerging technologies. It is possible that new laws and regulations will be adopted in the United States and in international jurisdictions, or that existing laws and regulations may be interpreted in ways that would affect the operation of our products and services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Moreover, because these technologies are themselves highly complex and rapidly developing, it is not possible to predict all of the legal or regulatory risks that may arise relating to our use of AI. Further, the cost to comply with such laws or regulations could be significant and would increase our operating expenses, which could adversely affect our business, financial condition and results of operations.</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or a termination of the A&amp;R ATSA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could have a material adverse effect on our business, operations, financial condition and brand.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2025, Cargo revenue under the A&amp;R ATSA represented 14% of our total operating revenues and our Cargo revenue consisted entirely of air cargo transportation services provided to Amazon under the A&amp;R ATSA. The A&amp;R ATSA does not require a minimum amount of flying and Amazon is permitted to decrease flying volume at any time. Our Cargo business would decline if Amazon’s use of our Cargo services decreases for any reason, including due to general economic conditions or preferences of Amazon and its customers. A decline in our Cargo business would materially adversely affect our business, results of operations, and prospects.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profitability of the A&amp;R ATSA is dependent on our ability to manage and accurately predict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A&amp;R ATSA and future operating results may be negatively impacted. We rely on flight crews that are unionized. If CBAs increase our costs and we cannot recover such increases, our operating results would be negatively impacted. It may be necessary for us to terminate certain customer contracts or curtail planned growth.</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Performance under the A&amp;R ATSA is subject to a number of challenges and uncertainties, such as: unforeseen maintenance and other costs; our ability to hire pilots, crew and other personnel necessary to support our CMI services, which can be impacted by industry-wide staffing shortages; interruptions in the operations under the A&amp;R ATSA as a result of unexpected or unforeseen events, whether as a result of factors within the Company’s control or outside of the Company’s control; and the level of operations and results of operations, including margins, under the A&amp;R ATSA being less than the Company’s current expectations and projections. The A&amp;R ATSA also contains monthly incentive payments for reaching specific on-time arrival performance thresholds and there are monetary penalties for on-time arrival performance below certain thresholds. As a result, our operating revenues may vary from period-to-period depending on the achievement of monthly incentives or the imposition of penalties. Further, we could be found in default of the A&amp;R ATSA if we do not maintain certain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 Amazon may also terminate the A&amp;R ATSA for convenience, subject to certain notice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requirements and payment of a termination fee. The A&amp;R ATSA is also subject to two, two-year extension options, which Amazon may choose not to exercise.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the extent our volume of flying for Amazon decreases or costs associated with our Cargo business increase, or if the A&amp;R ATSA is terminated for any reason, our business, results of operations and financial condition could be materially and adversely affected.</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service is concentrated around our hub in MSP and our business is impacted by economic and geophysical factors of this region. We maintain a large presence in MSP. For example, approximately 93% of 2025 Scheduled Service capacity, as measured by ASMs, had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we were to experience increased competition from LCCs or ULCCs, or increased competition on low-fare products from Delta Air Lines or another legacy network airline in the Minneapolis market, our business, results of operations and prospects could be materially adversely affected.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would also be negatively impacted by any circumstances causing a reduction in demand for air transportation in the Minneapolis area, such as adverse changes in local economic conditions, local regulations and/or mandates, health concerns, adverse weather conditions, negative public perception of Minneapolis, riots, social unrest, terrorist attacks or significant price or tax increases linked to increases in airport access costs and fees imposed on passengers.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reputation, brand and business could be adversely affected if we were to experience significant publicity, including in the event of an accident or similar public incident involving our aircraft or personnel, or through social media, or if we were unable to adequately protect our intellectual property rights.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any accident involving the Boeing 737-NG or an aircraft similar to the Boeing 737-NG that we operate, or essential parts of our aircraft, could result in the curtailment of such aircraft or parts by aviation regulators, manufacturers and other airlines and could create a negative public perception about the safety of our aircraft, any of which could have a material adverse effect on our business, results of operations and financial condition. The pendency and resolution of any such matters or similar matters may be time-consuming and costly and could have an adverse impact on our results of operations, financial condition, business and prospects.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be exposed to adverse publicity in the ordinary course of business.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Additionally, we operate in a public-facing industry with significant exposure to social media. Negative publicity, whether or not justified, can spread rapidly through social media. In particular, passengers can use social media to portray interactions with Sun Country, without context, in a manner that can be quickly and broadly disseminated. To the extent that we are unable to respond timely and appropriately to negative publicity, our reputation and brand can be harmed. Damage to our overall reputation and brand could have a negative impact on our financial results.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on third-party service providers and other commercial partners to perform functions integral to our operations, including distributing a portion of our airline tickets.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 or that such third-party providers will be available to service us.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or sufficiently staff their operation,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rely on third-party distribution channels, including those provided by or through GDS, conventional travel agents and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highly dependent on technology and computer systems and networks to operate our business. These technologies and systems include our computerized airline reservation system provided by Navitaire, a unit of Amadeus, operational control systems, telecommunications systems, mobile phone application, airline website and maintenance systems as well as government and other third-party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again in the future occur on our system, a third-party system we rely on, or in connection with any system upgrade or migration. We also rely on third-party providers, including government agencies, to maintain our operational control systems, and if those systems are not functioning, we have in the past and may again experience service disruptions, which could result in the loss of important data, increase our expenses, decrease our operational performance and temporarily stall our operations, which may have a materially adverse effect on our business, results of operation, and financial condition.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failure of the technologies and systems we use could materially adversely affect our business. For example, if our reservation system fails or experiences interruptions, and we are unable to book seats for a period of time, we could lose a significant amount of revenue as customers book seats on other airlines, and our reputation could be harmed. Additionally, if our flight systems fail or experience disruption, we could suffer reputational harm and incur costs associated with cancelled and delayed flights.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telecommunications failures or the failure of government or other third-party systems. We have previously experienced a software outage that resulted in cancelled flights and delayed flights for several hours, which could impact our on-time performance and completion factor.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the ordinary course of business, our systems will continue to require modifications, upgrades and refinements to address growth and changing business requirements and to enable us to comply with changing regulatory requirements. Modifications, upgrades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or upgrade our systems as necessary or appropriately balance the introduction of new capabilities with the management of existing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that the initiatives we have implemented will continue to be successful or that the initiatives we intend to implement will be successful.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operate a single aircraft type and may be dependent on a sole-source for the majority of our aircraft parts at certain locations within our network.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Near term supply constraints from original equipment manufacturers pressure the availability and cost of the Boeing 737-NG aircraft and CFM56 engines Sun Country operates. While our fleet strategy partially mitigates these pressures, our business could be materially adversely impacted by broader industry trends.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contract with Delta Air Lines, Inc., or Delta, one of our competitors that is also the largest airline operating at MSP, to supply us with aircraft parts. Due to our operational strategy, we may be dependent on Delta for the majority of our aircraft parts at certain locations within our network. Accordingly, we may be vulnerable to any problems associated with the performance of Delta’s obligations to supply our aircraft parts, including design defects, mechanical problems and regulatory issues associated with engines and other parts, which would have a material adverse effect on our business, results of operations and financial condition.</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Loss of the services of key personnel, increased labor costs, union disputes, employee strikes and other labor-related disruption may adversely affect our business, results of operations and financial condition.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President and Chief Executive Officer.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business is labor intensive, with labor costs representing approximately 36% and 34% of our total operating costs for the years ended December 31, 2025 and 2024, respectively. As of December 31, 2025, approximately 66%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various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segments of our business, including Cargo. We may also become subject to additional CBAs in the future as non-unionized workers may unionize.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CBA, or the parties have been released to “self-help” by the NMB. In most circumstances, the RLA prohibits strikes; however, after release by the NMB, carriers and unions are free to engage in self-help measures such as lockouts and strikes.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 2025, our dispatchers ratified a new CBA. Our CBA with our dispatchers will become amendable on February 28, 2030. In March 2025, our flight attendants ratified a new CBA. Our CBA with our flight attendants is amendable on February 28, 2030. Our CBA with our pilots became amendable on December 21, 2025 and negotiations are ongoing. Negotiations for a new CBA with our technicians and related craft employees began in October of 2022 and involved the assistance of a federal mediator appointed by the NMB. The parties reached an agreement in principle in December 2025, which is yet to be ratified by the technicians. Our below-the-wing fleet service employees (cargo, commissary/catering, ramp agents, and bag room agents) elected to be represented by the International Brotherhood of Teamsters on January 4, 2023 and negotiations for a new CBA began in March of 2023. The parties reached an agreement in August 2025, and our below-the-wing fleet service employees ratified the CBA in November 2025. Our CBA with our below-the-wing fleet service employees will become amendable on November 6, 2028. See also “Business—Human Capital” in this Annual Report. The outcome of our collective bargaining negotiations cannot presently be determined and the terms and conditions of our future CBAs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CBAs,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9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aim to optimize our daily aircraft utilization rate by tailoring service to customer demand patterns, which are seasonal and vary by day of the week. Our average daily aircraft utilization was 7.1 hours and 7.3 hours for the years ended December 31, 2025 and 2024,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accommodation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attract, retain and train qualified personnel at reasonable costs or fail to maintain our company culture, our business could be harmed.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including related vendor partners, is experiencing and may continue to experience a shortage of qualified personnel and we face added challenges with attracting and retaining qualified personnel due to the relatively low unemployment rate in Minnesota. In particular, as more pilots in the industry approach mandatory retirement age, or retired early during the COVID-19 pandemic, the U.S. airline industry is being affected by a pilot shortage. We and other airlines also face shortages of qualified aircraft mechanics, dispatchers, ground handlers, flight attendants and other personnel. As is common with most of our competitors, we have also faced turnover of our employees. As a result of the foregoing, we may not be able to attract, retain or train qualified personnel or may be required to increase wages and/or benefits in order to do so. If we are unable to hire, train and retain qualified employees, our business could be harmed and we may be unable to implement our growth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retain and train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15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highly dependent upon our cash and investment balances, Operating Cash Flows and availability under our Revolving Credit Facility.</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principal sources of liquidity are cash and cash equivalents, investments and availability under our Revolving Credit Facility. We are and will continue to be dependent on our Operating Cash Flows, Cash and Cash Equivalents, and Short-Term Investment balances to fund our operations, provide capital reserves and make scheduled payments on our aircraft-related fixed obligations. If our operating cash flows become insufficient to cover the entirety of our cash outflows, the Revolving Credit Facility may not be adequate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finance our operations. If we fail to generate sufficient funds from operations to meet our operating cash requirements or do not have access to availability under the Revolving Credit Facility, or other sources of borrowings or equity financing, we could default on our obligations. Our inability to meet our obligations as they become due would have a material adverse effect on our business, results of operations and financial condition.</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2025,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maintenance costs will fluctuate over time; additionally we will periodically incur substantial maintenance costs due to the maintenance schedules of our aircraft fleet and obligations to the lessors, and we could incur significant maintenance expenses outside of such maintenance schedules in the future. The cost of aircraft repairs and maintenance and unexpected delays in the time required to complete aircraft maintenance could negatively affect our operating results.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substantial maintenance expense obligations. 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 We also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the terms of certain of our lease agreements require us to pay maintenance reserves to the lessor in advance of the performance of major maintenance, resulting in our recording significant prepaid deposits on our Balance Sheets, and there are restrictions on the extent to which such maintenance reserves are available for reimbursement. As of December 31, 2025, all maintenance deposits are estimated to be recoverable either through reimbursable maintenance events or through application towards the purchase of the aircraft.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“Management’s Discussion and Analysis of Financial Condition and Results of Operations— Operating Expenses—Maintenance.”</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airline business is capital intensive. As of December 31, 2025, our 47 passenger aircraft fleet consisted of 12 aircraft financed under finance leases and 35 aircraft financed under secured debt arrangements or owned outright. As of December 31, 2025, we had three aircraft that are currently on lease to unaffiliated airlines. As of December 31, 2025, we had future debt principal obligations of $326,410 and future finance lease obligations of $299,382. During 2026, based on our aircraft leases and debt structure as of December 31, 2025, we expect to make payments of $69,057 related to debt principal obligations and $ 77,905 related to finance lease obligations. Additionally, we made payments for maintenance reserves of $14,932 for 2025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171" w:lineRule="exact"/>
        <w:rPr>
          <w:sz w:val="20"/>
          <w:szCs w:val="20"/>
          <w:color w:val="auto"/>
        </w:rPr>
      </w:pPr>
    </w:p>
    <w:p>
      <w:pPr>
        <w:ind w:left="660" w:right="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 substantial portion of cash flows be used for aircraft leases and maintenance deposit payments and interest expense,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jc w:val="both"/>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ability to obtain financing or access capital markets may be limited and there can be no assurance that we will be able to obtain sufficient funds to enable us to repay or refinance our debt obligations on commercially reasonable terms, or at all. There are a number of factors that</w:t>
      </w:r>
    </w:p>
    <w:p>
      <w:pPr>
        <w:jc w:val="both"/>
        <w:spacing w:after="0" w:line="226" w:lineRule="auto"/>
        <w:rPr>
          <w:sz w:val="20"/>
          <w:szCs w:val="20"/>
          <w:color w:val="auto"/>
        </w:rPr>
      </w:pPr>
      <w:r>
        <w:rPr>
          <w:rFonts w:ascii="Arial" w:cs="Arial" w:eastAsia="Arial" w:hAnsi="Arial"/>
          <w:sz w:val="18"/>
          <w:szCs w:val="18"/>
          <w:color w:val="auto"/>
        </w:rPr>
        <w:t>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position of the major providers of commercial aircraft financing. A failure to pay our operating lease, debt and other fixed cost obligations or a breach of our contractual obligations, including the Revolving Credit Facility.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DoW troop movements or fewer sports events and related travel, or from Amazon under the A&amp;R ATSA could have a material and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comparisons of our key operating statistics may not be reliable indicators of our future performance. Seasonality may cause our quarterly results to fluctuate since historically our passengers tend to fly more during the winter months and less in the summer and fall months. We cannot assure you that we will find profitable markets in which to operate during the off-peak season. Lower demand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air travel during the fall and other off-peak months could have a material adverse effect on our business, results of operations and financial condition. We may not realize any or all of our estimated cost savings, which would have a negative effect on our results of operations.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strategy, we expect to implement certain operational improvements and cost savings initiatives. Any cost savings that we realize from such efforts may differ materially from our estimates. Our estimates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business model includes lessee and sublease arrangements for aircrafts, engines and aircraft equipment. Any lessee defaults or reorganizations, failure by our lessees to meet their maintenance and recordkeeping obligations, failure by our lessees to adequately insure our aircraft or obtain required licenses, consents and approvals or changes in fuel costs could materially adversely affect our business, financial condition and results of operations and result in lost revenue and additional costs.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entered into certain transactions where it serves as a lessor. Some of our lessees may experience payment difficulties, particularly in difficult economic or operating environments. The airline industry is cyclical, economically sensitive and highly competitive, and our lessees are affected by several factors over which we and they have limited control. In the event that a lessee defaults under a lease or files for bankruptcy, any security deposit paid or letter of credit provided by the lessee may not be sufficient to cover the lessee’s outstanding or unpaid lease obligations and required maintenance and transition expenses. In such instances, the lessee may not make lease payments or may return aircraft to us before the lease expires or may elect or be required to restructure the lease. If a lessee files for bankruptcy with the intent of reorganizing its business, we may agree to adjust our lease terms, including reducing lease payments by a significant amount. Certain jurisdictions give rights to the trustee in a bankruptcy to assume or reject the lease or to assign it to a third party, or entitle the lessee or another third party to retain possession of the aircraft without paying lease rentals or performing all or some of the obligations under the relevant lease. Although we have the right to repossess the aircraft and to exercise other remedies upon a lessee default, repossession of an aircraft would likely lead to significant costs for us.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value and income producing potential of an engine or aircraft depends heavily on it being maintained in accordance with an approved maintenance system and complying with all applicable governmental directives and manufacturer requirements. Prior to an aircraft being returned in connection with an aircraft lease, we will incur costs to restore these aircraft to the condition required by the terms of the underlying leases. The amount and timing of these so-called “return conditions” costs can prove unpredictable due to uncertainty regarding the maintenance status of each particular aircraft at the time it is to be returned and it is not unusual for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disagreements to ensue between the airline and the leasing company as to the required redelivery conditions on a given aircraft or engine. Also, under certain customer agreements, we are required to provide a spare aircraft while scheduled maintenance is completed. If delays occur in the completion of aircraft maintenance, we may incur additional expense to provide airlift capacity and forgo revenues. In addition, for an engine or aircraft to be available for service, all records, logs, licenses and documentation relating to maintenance and operations of the engine or aircraft must be maintained in accordance with governmental and manufacturer specifications. Our leases make the lessees primarily responsible for maintaining the engines or aircraft, keeping related records and complying with governmental directives and manufacturer requirements. Failures by lessees to meet their maintenance and recordkeeping obligations under our leases could adversely affect the value of our leased engines and aircraft and our ability to lease the engines and aircraft in a timely manner following termination of the leases.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an aircraft is on lease, we do not directly control its operation. Nevertheless, because we hold title to the aircraft, we could be sued or held strictly liable for losses resulting from the operation of such aircraft, or may be held liable for losses on other legal theories or claims may be made against us as the owner of an aircraft requiring us to expend resources in our defense. As a result, we separately purchase contingent liability insurance and contingent hull insurance on all aircraft in our owned fleet. We also separately require our lessees to obtain specified levels of insurance customary in the aviation industry and indemnify us for, and insure against, liabilities arising out of the lessee’s use and operation of the aircraft. Our or our lessees’ failure to adequately insure our aircraft, or our lessees’ failure to fulfill their indemnity obligations to us, could reduce insurance proceeds otherwise payable to us in certain cases, and may result in increased costs and liabilities for our business.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Airlines are subject to extensive regulation in the jurisdictions in which they are registered and operate. As a result, we expect some of our leases will require licenses, consents or approvals, including consents from governmental or regulatory authorities for certain payments under our leases and for the import, export or deregistration of aircraft. Subsequent changes in applicable law or administrative practice may require additional licenses and consents or result in revocation of prior licenses and consents. A lessee’s failure to obtain required licenses, consents and approvals could negatively affect our ability to remarket, sell, or induct such aircraft into our fleet.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fuel prices have fluctuated widely depending primarily on international market conditions, geopolitical and environmental events, and currency exchange rates. The cost of fuel represents a major expense that is not within the control of airlines, and significant increases in fuel costs or hedges that inaccurately assess the direction of fuel costs can adversely affect our and other airlines’ operating results. Changes in fuel costs could negatively affect our lessees, and by extension, the demand for our aircraft, which may negatively impact our earnings and cash flows.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Export restrictions and tariffs may impact where we can place and deliver our aircraft and negatively impact our earnings and cash flows.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Existing export restrictions impact where we can place and deliver our aircraft. New export restrictions, including those implemented quickly or as a result of geopolitical events, may impact where we can place and deliver our aircraft or the ability of our lessees to operate our aircraft in certain jurisdictions, which may negatively impact our earnings and cash flows.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of the products and services that we purchase, including aircraft parts, are sourced from suppliers located outside the United States, and the imposition of new tariffs, or any increase in existing tariffs, by the U.S. government on the importation of such products or services could materially increase the amounts we pay for them.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what further actions may ultimately be taken with respect to export controls, tariffs or trade relations between the U.S. and other countries. Accordingly, it is difficult to predict exactly how, and to what extent, such actions may impact our business, or the business of our lessees or aircraft manufacturers. Any unfavorable government policies on international trade, such as export controls, capital controls or tariffs, may affect the demand for aircraft, increase the cost of aircraft components, delay production, or impact the competitive position of certain aircraft manufacturers. Any such action could have a material adverse effect 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size of our fleet, business, financial condition, and results of operations and may impact where we can place and deliver our aircraft, which may negatively impact our earnings and cash flows.</w:t>
      </w:r>
    </w:p>
    <w:p>
      <w:pPr>
        <w:spacing w:after="0" w:line="15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Political and economic instability in the international markets we operate as well as income and other taxes could negatively affect our business and operating results due to our multi-jurisdictional operations.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operating in multiple jurisdictions we may also become subject to a wide range of income and other taxes. If we are unable to execute our business in jurisdictions with favorable tax treatment, our operations may be subject to significant income and other taxes. Further, any changes in tax laws in any of the jurisdictions that subject us to income or other taxes, such as increases in tax rates or limitations on our ability to deduct certain expenses from taxable income, such as depreciation expense and interest expense, could materially affect our tax obligations and effective tax 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matters may impose additional costs and expose us to new risks.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Public ESG and sustainability reporting is becoming more broadly expected by investors, shareholders, regulatory agencies and other third parties. Certain organizations that provide corporate governance and other corporate risk information to investors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also face reputational damage in the event our corporate responsibility initiatives or objectives do not meet the standards set by our investors, shareholders, lawmakers, listing exchanges or other constituencies, or if we are unable to achieve an acceptable ESG or sustainability rating from third party rating services.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Major bank failure or sustained financial market illiquidity, or illiquidity at our clearing, cash management and custodial financial institutions, could adversely affect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We would face certain risks in the event of a sustained deterioration of financial market liquidity, as well as in the event of sustained deterioration in the liquidity, or failure, of our clearing, cash management and custodial financial institutions. In particular, in the event of a major bank or credit card failure, we could be unable to process credit card transactions. In such a case, or if financial liquidity deteriorates for other reasons, our ability to operate our business and our financial condition and results of operations could be significantly harmed.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indebtedness of ours could contain restrictions that limit our flexibility.</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Any future indebtedness of ours could contain covenants that impose significant operating and financial restrictions on us, such as restrictions on our and our subsidiaries’ ability to, among other things:</w:t>
      </w:r>
    </w:p>
    <w:p>
      <w:pPr>
        <w:spacing w:after="0" w:line="1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stock price: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7"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Adjusted EBITDA and Adjusted CASM;</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or withdrawal of research coverage, by equity research analysts;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rapid spread of a viral or bacterial infection, disease or similar public health threat and its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restrictions on ownership and control of shares of our common stock could adversely impact the price that investors might be willing to pay in the future for shares of our common stock.</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57% of which had vested as of December 31, 2025. A portion of the 2019 Warrants will vest incrementally based on aggregate global payments by Amazon to the Company or its affiliates pursuant under both the original and A&amp;R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we had 53,223,302 shares of common stock outstanding, warrants to purchase 9,482,606 shares of common stock, options to purchase 2,367,380 shares of common stock and 914,052</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shares of common stock that may be issued upon the vesting of outstanding restricted stock units. In addition, certain of our existing stockholders, including Amazon, have certain rights to require us to register the sale of common stock held by them including in connection with underwritten offerings. Pursuant to these registration rights, we filed a "shelf" registration statement, under which Amazon could offer and sell, from time to time, up to 9,482,606 shares of our common stock issuable upon exercise of outstanding warrants. Additionally, we filed a registration statement in respect of all shares of common stock that we may issue under the Omnibus Incentive Plan and the SCA Acquisition Equity Plan. After registration, these shares can be freely sold in the public market upon issuance. While the Merger Agreement limits our ability to issue new shares of common stock, sales of significant amounts of stock in the public market upon exercise of warrants, options or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stockholders for certain tax benefits, and the amounts of such payments could be material.</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$87,169 as of December 31, 2025. Payments in accordance with the terms of the income tax receivable agreement could have an adverse effect on our liquidity and financial condition.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under some circumstances, including such as if we breach our obligations under the TRA or in the case of a merger, asset sale or other transaction constituting a “change of control” thereunder, including our currently contemplated Merger with Allegiant, the TRA will terminate and the Company must pay an amount equal to the outstanding balance of the TRA at time of closing. In these situations, our obligations under the income tax receivable agreement could have a material and adverse impact on our liquidity.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extent that we are unable to make payments under the TRA for any reason, such payments will be deferred and will accrue interest until paid, which could adversely affect our results of operations and could also affect our liquidity in periods in which such payments are made.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the income tax receivable agreement,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of the Consolidated Financial Statements included in Part II, Item 8 of this Annual Report.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Pending Transaction with Allegiant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will involve substantial costs and the pendency of the Merger may cause disruption in our business.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Merger Agreement requires us to operate in the ordinary course of business and restricts us from taking specified actions without Allegiant’s consent until the pending Merger occurs or the Merger Agreement terminates. Matters relating to the Merger are expected to occupy a significant amount of management’s time. The diversion of management’s attention away from day-to-day business concerns and any difficulties encountered in the transition and integration process could adversely affect our business, results of operations and financial condition.</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have incurred and will continue to incur significant costs, expenses and fees in connection with the Merger. The substantial majority of these costs will be non-recurring expenses relating to the Merger, some of which are payable regardless of whether or not the Merger is consummated. Litigation may be filed in connection with the Merger and defending any such litigation could prove costly and time consuming.</w:t>
      </w:r>
    </w:p>
    <w:p>
      <w:pPr>
        <w:spacing w:after="0" w:line="17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Shareholder litigation could prevent or delay the consummation of the Merger or otherwise negatively impact our business, operating results and financial condition.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class action lawsuits and derivative lawsuits are often brought against public companies that have entered into acquisition, merger, or other business combination agreements. Even if such a lawsuit is without merit, defending against or settlement of these claims can result in substantial additional costs and diversion of management time and resources. Any such future lawsuit or litigation may adversely affect our ability to complete the Merger. We could incur significant costs in connection with any such litigation, including costs associated with an adverse judgment resulting in monetary damages and the indemnification of our directors and officers, which could have a negative impact on our liquidity and financial position.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one of the conditions to the consummation of the Merger is the absence of any governmental order or law preventing the consummation of the Merger or making the consummation of the Merger illegal. Consequently, if a plaintiff were to secure injunctive or other relief prohibiting, delaying or otherwise adversely affecting our ability to complete the consummation of the Merger, then such injunctive or other relief may prevent the Merger from becoming effective within the expected time frame or at all.</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to complete the Merger in a timely manner or at all could negatively impact the market price of our common stock, as well as our future business and our results of operations and financial condition.</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Consummation of the Merger is subject to various customary conditions set forth in the Merger Agreement beyond our control. The failure to satisfy the required conditions could delay the completion of the Merger for a significant period of time or prevent it from occurring. Further, there can be no assurance that the conditions to the closing of the Merger will be satisfied or waived or that the Merger will be completed.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predict whether and when the conditions to the Merger will be satisfied. If one or more of these conditions are not satisfied, and as a result, we do not complete the Merger, we may remain liable for significant transaction costs, and the focus of our management would have been diverted from seeking other potential strategic opportunities, in each case without realizing any benefits of the Merger. The Merger Agreement includes customary termination rights in favor of each party. In certain circumstances, we may be required to pay Allegiant a termination fee of $33,020 or expense reimbursement of up to $11,000 in connection with the termination of the Merger Agreement. Any requirement to pay a termination fee to Allegiant may have an adverse effect on our liquidity and results of operations. Although Allegiant may be required to pay us a termination fee or expense reimbursement under certain circumstances, the receipt of any termination fee or expense reimbursement from Allegiant may not be sufficient to compensate us for all of the expenses incurred, and opportunities forgone, as a result of our pursuit of the Merger.</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price of our common stock may also fluctuate significantly based on Allegiant results of operation, announcements by Allegiant, other third parties, or us regarding the Merger or based on market perceptions and other conditions to the consummation of the Merger. Such announcements may lead to perceptions in the market that the Merger may not be completed, which could cause our share price to fluctuate or decline.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the Merger is not completed in a timely manner or at all, holders of our common stock and warrants will not receive the Merger Consideration. In addition, our ongoing business may be adversely affected, including as follows:</w:t>
      </w:r>
    </w:p>
    <w:p>
      <w:pPr>
        <w:spacing w:after="0" w:line="153" w:lineRule="exact"/>
        <w:rPr>
          <w:sz w:val="20"/>
          <w:szCs w:val="20"/>
          <w:color w:val="auto"/>
        </w:rPr>
      </w:pPr>
    </w:p>
    <w:p>
      <w:pPr>
        <w:ind w:left="6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and our stock price could decline to the extent that the current market price reflects an assumption that the Merger will be completed;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negative reactions from employees, passengers, suppliers, communities or other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litigation, which could result in significant costs and expenses;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management’s focus may be diverted from our day-to-day business operations and from pursuing other opportunities that could have been beneficial to the Company;</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costs of pursuing the Merger may be higher than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difficulties in attracting and/or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access to capital markets may be limited and we may experience increased borrowing costs.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Merger is not consummated, there can be no assurance that these risks will not materialize and will not materially adversely affect our stock price, business, results of operations and financial condition.</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Merger Consideration payable to holders of our common stock will not be adjusted for changes in our business, assets, liabilities, prospects, outlook, financial condition or results of operations, or in the event of any change in the price of our common stock.</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Merger Consideration payable to holders of our common stock will not be adjusted for changes in our business, assets, liabilities, prospects, outlook, financial condition or results of operations, or changes in the market price of, analyst estimates of, or projections relating to, our common stock. For example, if we experienced an improvement in our business, assets, liabilities, prospects, outlook, financial condition or results of operations prior to the consummation of the Merger, there would be no adjustment to the amount of the Merger Consideration.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In order to complete the Merger, the Company and Allegiant must obtain certain regulatory approvals, and if such approvals are not granted or are granted with conditions, completion of the Merger may be jeopardized or the anticipated benefits of the Merger could be reduced.</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 Company and Allegiant have agreed to use reasonable best efforts, subject to certain limitations, to make certain governmental filings and obtain the required regulatory approvals, there can be no assurance that the relevant approvals will be obtained (including through the expiration of applicable waiting periods).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Governmental authorities may also commence litigation against us, Allegiant or both to prevent the Merger from occurring. Defending any such lawsuit will be time-consuming and expensive and there can be no assurance that we and Allegiant would ultimately be successful.</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an actual or threatened U.S. government shutdown resulting in government agency closures and employee furloughs may impact, could delay or disrupt the ability of the Company and Allegiant to obtain certain regulatory approvals which could result in delays to regulatory waiting periods or prevent regulatory clearances required for the consummation of the Merger.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contains provisions that restrict our ability to consider alternative transaction proposals.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Agreement contains non-solicitation provisions that, subject to limited exceptions which apply prior to obtaining the requisite stockholder approval of the Merger, restrict our ability to solicit, initiate, or knowingly encourage or facilitate competing third-party proposals (or engage in, continue to participate in, knowingly encourage or knowingly facilitate negotiations or discussions regarding such third-party proposals) for the acquisition of our stock or assets. Under certain limited circumstances, our Board of Directors may (i) change, withhold, withdraw or modify its recommendation that our stockholders adopt the Merger Agreement and/or (ii) terminate the Merger Agreement to enter into a definitive agreement with respect to a third-party acquisition proposal. However, before doing so, our Board of Directors must abide by certain procedures described in the Merger Agreement that give Allegiant an opportunity to negotiate to modify the terms of the Merger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 manner that any such third-party acquisition proposal would not constitute a superior proposal. In some circumstances, upon termination of the Merger Agreement, we may be required to pay a termination fee of $33,020.</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the Merger Agreement remains in effect, these provisions might discourage a third-party that might have an interest in acquiring all or a significant portion of us, even if the acquirer was prepared to pay consideration with a higher per share cash or market value than the market value proposed to be received or realized in the Merger, or might result in a potential acquirer proposing to pay a lower price than it would otherwise propose to pay due to the added expense of the termination fee that may become payable in certain circumstances.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Merger Agreement is terminated and we decide to seek another business combination, we may not be able to negotiate or consummate a transaction with another party on terms comparable to, or better than, the terms of the Merger Agreement.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the matters described above, alone or in combination, could materially and adversely affect our business, financial condition, results of operations and stock price.</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Merger may impair our ability to attract and retain qualified employees or retain and maintain relationships with our suppliers and other business partners.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employees and other key personnel may have uncertainties about the effect of the Merger, and these uncertainties may impact our ability to retain, recruit and hire key personnel while the Merger is pending or if it fails to close. Furthermore, if key personnel depart because of such uncertainties, or because they do not wish to remain with the combined company after the consummation of the Merger, our business and results of operations may be adversely affected. In addition, we cannot predict how our suppliers and other business partners will view or react to the Merger upon consummation. If we are unable to reassure our suppliers and other business partners to continue their business with us, our financial condition and results of operations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regular part of our ordinary business operations, we collect and store sensitive data, including information necessary for our operations, information from our passengers, customers (including the DoW), employees and our business partners. The secure operation of our networks and systems, and those of our business partners and third-party service providers, on which this type of information is collected, processed, maintained and stored is critical to our business operations and strategy. We recognize these networks and systems may be subject to increasing and continually evolving cybersecurity risks.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cybersecurity incident to us or one of our third-party partners could result in a range of potentially material negative consequences for us, which could include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fees, fines, sanctions or other penalties, as well as injunctive relief requiring costly compliance measures. Due to the significant competition within the airline industry, a cybersecurity incident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could also impact our brand, harm our reputation and adversely impact our relationship with our customers, employees and stockholders.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reasons mentioned above, the secure operation of our networks and systems, and those of our business partners and third-party service providers, on which this type of information is collected, processed, maintained and stored is critical to our business operations and strategy. We regularly review and update our procedures, processes and technologies to prevent and protect against unauthorized access to, and to ensure the confidentiality, integrity, and availability of, our networks and systems. We have programs in place to identify and protect against cybersecurity weaknesses in our networks and systems, detect, contain, evaluate and respond to data security incidents and provide employee awareness training regarding phishing, malware and other cybersecurity risks.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policies align with the National Institute of Standards and Technology Cybersecurity Framework and we continually evaluate and enhance our cybersecurity procedures. Activities include mandatory online training for all employees, technical security controls, enhanced data protection, the maintenance of backup and protective systems, policy review and implementation, the evaluation and retention of cybersecurity insurance, periodic assessments of third-party service providers to assess cyber preparedness of key vendors, and running simulated cybersecurity drills, including vulnerability scanning, penetration testing and disaster recovery exercises, throughout the organization. These cybersecurity drills are performed both in-house and by third-party service providers. We use automated tools that monitor, detect, and prevent cybersecurity risks and have a third-party security operations center to alert us to any potential cybersecurity threats. We have effected comprehensive incident response plans that outline the appropriate communication flow and response for certain categories of potential cybersecurity incidents.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third-party vendors to provide software solutions that are critical to our operations. We assess cybersecurity risk during onboarding for material vendors that receive sensitive information or provide services that are critical to our business, and regularly audit these providers after onboarding. We review vendors that are material to our ordinary business operations on an annual basis and monitor these vendors for compliance with cybersecurity best practices.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assist in the review of our cybersecurity risks, as well as the risks associated with our material vendors, we engage third-party cybersecurity professionals. For example, we engage vendors to assist in vetting the cybersecurity of our material vendors and to facilitate incident response tabletop exercises.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Board of Directors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the duty of the Board of Directors to serve as a prudent fiduciary for shareholders and to oversee the management of our business. Our Board of Directors is responsible for establishing accountability for our executive officers and ensuring reasonable internal controls are in place, including processes and procedures for detecting, containing, evaluating and responding to cybersecurity incidents. The Board of Directors is informed of the cybersecurity threats potentially facing the Company and the Company’s prevention activities on a quarterly basis, or more frequently if needed, through discussions and presentations with our management and individuals directly responsible for our cybersecurity. These presentations include, as applicable, reports on the overall status of the Company’s cybersecurity program, discussion of material cybersecurity matters, including the results of penetration or other security testing, security incidents, and violations of the Company’s security policy, and recommended changes to the Company’s cybersecurity program. The Board of Directors is actively engaged in the Company’s ongoing efforts to increase incident response preparedness.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is responsible for establishing and maintaining adequate cybersecurity over the secure operation of our networks and systems, and for evaluating and monitoring our cybersecurity risks associated with our business partners and third-party service providers. The Company’s CIO and CISO are responsible for managing these risks. These individuals have extensive experience in technology and information security within the airline industry.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CIO and CISO are responsible for assessing the Company’s cybersecurity risks and, in conjunction with Legal where appropriate, establishing and maintaining a cybersecurity program to manage such risks. For example, the CIO and CISO oversee cybersecurity training for our employees and establish standards used to evaluate and monitor the process and control requirements we expect of our third-party partners as part of the Company’s overall cybersecurity program. The CIO and CISO lead a team that includes third-party cybersecurity professionals to administer the Company’s cybersecurity program. The CIO and CISO are responsible for the reporting of cybersecurity matters to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Fleet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As of December 31, 2025, Sun Country's fleet consisted of 70 Boeing 737-NG aircraft, comprised of 65 Boeing 737-800s and five Boeing 737-900ERs. This includes 47 aircraft in the passenger fleet, 20 cargo operated aircraft through the A&amp;R ATSA with Amazon, and three aircraft that are currently on lease to unaffiliated airlines. We do not have an aircraft order book because we only purchase mid-life aircraft. As a result, unlike many other airlines, we are not locked into large future capital expenditures. Rather, we opportunistically take advantage of aircraft prices with purchases at the time of our choosing.</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we operated 47 aircraft in our passenger fleet. Of these passenger aircraft, 12 were financed under finance leases. Of the 37 owned aircraft and Owned Aircraft Held for Operating Lease as of December 31, 2025, 31 aircraft were financed, five aircraft have been pledged to support the ability to efficiently utilize the Company's four-year $75,000 Revolving Credit Facility, and one aircraft was unencumbered. The average age of the passenger aircraft in our fleet was approximately 17 years as of December 31, 2025.</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has three aircraft that are currently on lease to unaffiliated airlines, which is comprised of two Owned Aircraft Held for Operating Lease and one subleased aircraft. The Company owns five Boeing 737-900ERs, two of which are currently on lease. The Company is entitled to fixed payments over the remaining lease term for each aircraft, which expire at various dates through the fourth quarter of 2026. On each lease expiry date, the Owned Aircraft Held for Operating Lease will be redelivered to Sun Country and are expected to be inducted into the Company’s fleet. The average age of the Owned Aircraft Held for Operating lease in our fleet was approximately 11 years as of December 31, 2025.</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subleased one Boeing 737-800 aircraft, which will be delivered to Sun Country on the sublease expiry date. The sublease is classified as an operating lease and does not relieve the Company of its primary lease obligations with the lessor. The Company operates the subleased aircraft under finance leases and will continue to be leased upon redelivery. The Company is entitled to fixed payments over the remaining lease term, with additional variable lease payments based on aircraft utilization. During the year ended December 31, 2025, an amendment was executed to extend the lease expiry term for the subleased aircraft through the second quarter of 2026. In February 2026, an additional amendment was executed to extend the sublease expiry term through the fourth quarter of 2026. Upon expiry of the sublease, the aircraft will be redelivered to the Company and is expected to be inducted into the Company's passenger fleet. The age of the one subleased aircraft was 13 years as of December 31, 2025.</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currently operate 20 aircraft dedicated to our Cargo business. These freighters had an average age of 23 years as of December 31, 2025. All freighters are subleased directly from Amazon and we operate them pursuant to the A&amp;R ATSA. In June 2024, the Company entered into the A&amp;R ATSA with Amazon that increased the number of Boeing 737-800 cargo aircraft that Sun Country operates on behalf of Amazon from 12 to 20. During the year ended December 31, 2025, the Company received and placed in-service all eight additional cargo aircraft under the A&amp;R ATSA. In early 2026, the Company agreed to operate another two additional cargo aircraft, which will increase the total from 20 to 22 once the aircraft are received and placed in-service. Based upon review of the A&amp;R ATSA, the sublease arrangement does not qualify as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because the Company does not control the use of the aircraft. As such, no right-of-use asset and lease liability is recognized in these financial statements for the Amazon arrangement. This conclusion is unchanged from the original ATSA.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primarily operate out of eight of the 16 gates at Terminal 2 at MSP, which we have access to on an "Enhanced Priority" basis through 2028, with common use access to the remaining gates. As of January 1, 2026, we have Enhanced Priority access to nine of the 16 gates, with common use access to the remaining gates. All other leases for our terminal passenger service facilities, which include operational support space and baggage service offices, are leased on a month-to-month basis.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Gate space and ticket counter space is used and billed on a per operation (each arrival and departure) basis until an annual operating cap is met. Our leases also include two hangars:</w:t>
      </w:r>
    </w:p>
    <w:p>
      <w:pPr>
        <w:spacing w:after="0" w:line="153" w:lineRule="exact"/>
        <w:rPr>
          <w:sz w:val="20"/>
          <w:szCs w:val="20"/>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108,000 square foot maintenance hangar, which includes office space and is where we provide certain maintenance on our aircraft; and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AND EQUITY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17, 2021, our common stock began trading on the Nasdaq under the symbol “SNCY”. Prior to that date, there was no public market for our common stock. As of December 31, 2025, there were 53,223,302 shares of common stock outstanding and held of record by three stockholders and no shares of preferred stock were outstanding. The number of record holders of our common stock does not include DTC participants or beneficial owners holding shares through nominee names. We are unable to estimate the total number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stockholders represented by the holders. For this reason, the actual number of stockholders is greater than this number of record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has 3,600,000 shares authorized under the Sun Country Airlines Holdings, Inc. 2021 Omnibus Incentive Plan, of which 1,808,707 remain available as of December 31, 2025. For more information on the Company's compensation plans,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Weighted-average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be issued upon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rPr>
              <w:t>exercise price of</w:t>
            </w:r>
          </w:p>
        </w:tc>
        <w:tc>
          <w:tcPr>
            <w:tcW w:w="21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 of outstanding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outstanding</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4"/>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80" w:type="dxa"/>
            <w:vAlign w:val="bottom"/>
            <w:vMerge w:val="restart"/>
          </w:tcPr>
          <w:p>
            <w:pPr>
              <w:spacing w:after="0"/>
              <w:rPr>
                <w:sz w:val="12"/>
                <w:szCs w:val="12"/>
                <w:color w:val="auto"/>
              </w:rPr>
            </w:pPr>
          </w:p>
        </w:tc>
        <w:tc>
          <w:tcPr>
            <w:tcW w:w="2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options, warrants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options, warrants</w:t>
            </w: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and rights</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Sun Country Airlines Holdings, Inc. 2021 Omnibus</w:t>
            </w:r>
          </w:p>
        </w:tc>
        <w:tc>
          <w:tcPr>
            <w:tcW w:w="80" w:type="dxa"/>
            <w:vAlign w:val="bottom"/>
            <w:shd w:val="clear" w:color="auto" w:fill="CCEEFF"/>
          </w:tcPr>
          <w:p>
            <w:pPr>
              <w:spacing w:after="0"/>
              <w:rPr>
                <w:sz w:val="14"/>
                <w:szCs w:val="14"/>
                <w:color w:val="auto"/>
              </w:rPr>
            </w:pPr>
          </w:p>
        </w:tc>
        <w:tc>
          <w:tcPr>
            <w:tcW w:w="216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68,540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4"/>
                <w:szCs w:val="14"/>
                <w:color w:val="auto"/>
              </w:rPr>
            </w:pPr>
          </w:p>
        </w:tc>
        <w:tc>
          <w:tcPr>
            <w:tcW w:w="21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1,808,707</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2160" w:type="dxa"/>
            <w:vAlign w:val="bottom"/>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Sun Country Airlines 2018 Equity Incentive Plan</w:t>
            </w:r>
          </w:p>
        </w:tc>
        <w:tc>
          <w:tcPr>
            <w:tcW w:w="2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2,298,840</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2,367,380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1,808,707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Security by the Issuer and Affiliated Purchasers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may purchase shares of its Common Stock on a discretionary basis from time to time through open market repurchases, privately negotiated transactions, accelerated share repurchase, or other means, including through Rule 10b5-1 trading plans. Any repurchases made under this program will be funded from the Company’s existing cash flows, or future cash flows. The Company did not repurchase any shares of its Common Stock during the three months ended December 31, 2025. As of December 31, 2025, the Company had $15,000 remaining of Board authorization to repurchase shares of its Common Stock. Under the Merger Agreement with Allegiant, the Company is prohibited from repurchasing any shares of its Common Stock during the period from January 11, 2026 to the time of closing of the Merger.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return from March 17, 2021 through December 31, 2025 on our common stock with the cumulative total return on the NASDAQ Composite Index and the NYSE ARCA Airline Index. The graph assumes that the value of the investment on our common stock and each of the Indexes was $100 on March 17, 2021, and further assumes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123825</wp:posOffset>
            </wp:positionV>
            <wp:extent cx="5254625" cy="3257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3/17/2021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12/31/2023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12/31/2024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12/31/2025</w:t>
            </w:r>
          </w:p>
        </w:tc>
      </w:tr>
      <w:tr>
        <w:trPr>
          <w:trHeight w:val="224"/>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SNCY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NYSE Arca Airline Index</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61.36</w:t>
            </w: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171.84</w:t>
            </w: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stock performance depicted in the graph above represents historical performance and is not to be relied upon as indicative of future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years ended December 31, 2025 and 2024. Also discussed is our financial position as of December 31, 2025 and 2024. Unless expressly stated otherwise, for discussion and analysis of fiscal year 2023 items and fiscal year 2024 compared to fiscal year 2023, please refer to Item 7 of Part II, "Management's Discussion and Analysis of Financial Condition and Results of Operations" in our Annual Report on Form 10-K, for the fiscal year ended December 31, 2024, which was filed with the SEC and is incorporated herein by reference. This section should be read in conjunction with our Consolidated Financial Statements and related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notes appearing elsewhere in this Annual Report. This discussion contains forward-looking statements that involve risks,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“Cautionary Note Regarding Forward-Looking Statements” and elsewhere in this Annual Report. The “Risk Factors” and the “Cautionary Note Regarding Forward-Looking Statements” should be read carefully to gain an understanding of the important factors that could cause actual results to differ materially from our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passenger service (including Scheduled Service and Charter), and cargo service segments. By doing so, we generate high growth, high margins and strong cash flows with greater resilience than other passenger airlines. Based in Minnesota, we focus on serving leisure and VFR passengers, Charter customers and providing CMI service to Amazon, with flights throughout the U.S. and to destinations in Canada, Mexico, Central America and the Caribbean. We share resources, such as flight crews, across our Passenger and Cargo segments with the objective of generating higher returns and margins while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ULCCs resulting in relatively high unit profitability, while also providing greater resiliency to economic or industry downturns.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and Plan of Merger with Allegiant Travel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11, 2026, Sun Country, entered into the Merger Agreement with Allegiant Travel Company, a Nevada corporation (“Allegiant”), Mirage Merger Sub, Inc., a Delaware corporation and a direct wholly owned subsidiary of Allegiant (“Merger Sub 1”), and Sawdust Merger Sub, LLC, a Nevada limited liability company and a direct wholly owned subsidiary of Allegiant (“Merger Sub 2”, together with Merger Sub 1, the “Merger Subs”), providing for the merger of Merger Sub 1 with and into Sun Country (the “First Merger”), with Sun Country surviving the First Merger as a direct wholly owned subsidiary of Allegiant and immediately following the First Merger, the merger of Sun Country with and into Merger Sub 2 (the “Second Merger” and, together with the First Merger, the “Merger”), with Merger Sub 2 surviving the Second Merger as a direct, wholly owned subsidiary of Allegiant. Capitalized terms used herein, but not otherwise defined, have the meanings set forth in the Merger Agreement.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effective time of the First Merger (the “First Effective Time”), each existing share of Sun Country common stock outstanding immediately prior to the First Effective Time (other than (i) shares held by a holder who is entitled to demand and has properly demanded appraisal in accordance with, and who complies in all respects with, Section 262 of the General Corporation Law of the State of Delaware (the “DGCL”);, (ii) treasury shares; and (iii) shares held by Allegiant, Merger Subs or any of their respective wholly owned subsidiaries) will be converted into the right to receive the merger consideration, which is the per share cash consideration amount of $4.10, without interest, and the per share stock consideration amount of 0.1557 fully paid and nonassessable shares of Allegiant common stock in book entry form, subject to adjustments for fractional shares as set forth in the Merger Agreement (such consideration, the “Merger Consideration”). All shares of Sun Country common stock that are held in the treasury of Sun Country, or owned of record by Allegiant, Merger Subs or any of their respective wholly-owned subsidiaries, will be cancelled and will cease to exist, with no payment being made with respect thereto.</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Completion of the Merger is subject to the satisfaction or waiver of certain closing conditions, including, among other things, that (1) Allegiant stockholders approved the share issuance proposal and Sun Country stockholders approved the Merger Agreement proposal; (2) the waiting period applicable to the closing under the Hart-Scott-Rodino Antitrust Improvements Act of 1976, as amended (the “HSR Act”) (and any customary timing agreement with any governmental entity to toll, stay or extend such waiting period, or to delay or not to consummate the mergers) will have expired or been terminated; (3) all consents, registrations, notices, waivers, exemptions, approvals, confirmations, clearances, permits, certificates, orders and authorizations required to be obtained from, or delivered to, as applicable, the U.S. Federal Aviation Administration, the U.S. Department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Transportation and the U.S. Department of Homeland Security, including the TSA, in connection with the closing will have been obtained or delivered, as applicable; (4) there will be no law in effect, whether preliminary, temporary or permanent, which makes the proposed transaction illegal or prohibits or otherwise prevents the closing; (5) the registration statement to be filed by Allegiant and Sun Country with the SEC pursuant to the Merger Agreement will have become effective in accordance with the provisions of the Securities Act of 1933, as amended, and no stop order suspending the effectiveness of the registration statement will have been issued by the SEC and remain in effect and no proceeding to that effect will have been commenced or threatened unless subsequently withdrawn, and; (6) the shares of Allegiant common stock to be issued in the Merger will have been authorized and approved for listing on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requires us to use commercially reasonable efforts to (i) conduct our operations in the ordinary course of business;</w:t>
      </w:r>
    </w:p>
    <w:p>
      <w:pPr>
        <w:spacing w:after="0" w:line="27" w:lineRule="exact"/>
        <w:rPr>
          <w:sz w:val="20"/>
          <w:szCs w:val="20"/>
          <w:color w:val="auto"/>
        </w:rPr>
      </w:pPr>
    </w:p>
    <w:p>
      <w:pPr>
        <w:jc w:val="both"/>
        <w:ind w:firstLine="8"/>
        <w:spacing w:after="0" w:line="254"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preserve intact our business organization and goodwill; (iii) maintain in effect all permits held thereby; and (iv) maintain satisfactory relationships with our material customers, lenders, suppliers, landlords, licensees, licensors and any other person having material business relationships with it and with governmental entities having jurisdiction over its business and operations, and restricts us, without consent from Allegiant from taking certain specified actions outside of the ordinary course of business until the Merger is consummated or the Merger Agreement is terminated.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complimentary streaming of in-flight entertainment to passenger devices, seat reclining and seat-back power in all of our aircraft.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air travel services has historically been affected by U.S. and global economic conditions, or other geopolitical events. Our diversified business model, which includes a focus on leisure and VFR passengers, Charter and Cargo service, all primarily within the U.S., is unique in the airline sector and helps mitigate the impact of cyclical, economic, and industry downturns on our business when compared with other large U.S. passenger airlines. Our business model is flexible, which gives us the ability to adjust our services in response to market conditions and is intended to produce the highest possible returns for Sun Country.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2024, the Company entered into the A&amp;R ATSA with Amazon that increased the number of Boeing 737-800 cargo aircraft that we operate on behalf of Amazon from 12 to 20 in 2025. During the year ended December 31, 2025</w:t>
      </w:r>
      <w:r>
        <w:rPr>
          <w:rFonts w:ascii="Arial" w:cs="Arial" w:eastAsia="Arial" w:hAnsi="Arial"/>
          <w:sz w:val="18"/>
          <w:szCs w:val="18"/>
          <w:i w:val="1"/>
          <w:iCs w:val="1"/>
          <w:color w:val="auto"/>
        </w:rPr>
        <w:t>,</w:t>
      </w:r>
      <w:r>
        <w:rPr>
          <w:rFonts w:ascii="Arial" w:cs="Arial" w:eastAsia="Arial" w:hAnsi="Arial"/>
          <w:sz w:val="18"/>
          <w:szCs w:val="18"/>
          <w:color w:val="auto"/>
        </w:rPr>
        <w:t xml:space="preserve"> we received and placed in-service all eight additional aircraft. In early 2026, we agreed to operate two additional cargo aircraft on behalf of Amazon. This will increase the total aircraft that Sun Country operates on behalf of Amazon from 20 to 22.</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aircraft that we operate on behalf of Amazon will result in more resources being allocated to the Cargo business. This aligns with our strategy of long-term flexibility and supports our ability to mitigate the impact of economic and industry downturns on our business.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March 2025, we entered into a new co-branded Credit Card Program which launched in the third quarter of 2025. Subject to certain exceptions, the Credit Card Program has a term of seven years following its launch.</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January 2026, we entered into the Merger Agreement with Allegiant. We expect to incur material expenses related to the Merger which will have an impact to earnings in 2026. The Merger is expected to close in the second half of 2026. For more information, refer to the Merger Agreement with Allegiant discussion above.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Macroeconomic conditions, continue to impact the Company, as well as the industry. For example, airports were using CARES Act funding to mitigate certain price increases. As of December 31, 2024, these funds have been largely exhausted, resulting in price increases. Certain of our operating costs have been further impacted by inflationary pressures, supply chain issues, and other macroeconomic conditions. To date, our strategy has allowed us to offset a majority of additional costs associated with the impact of macroeconomic conditions. Additionally, our Charter and Cargo businesses have the ability to pass on certain costs to customers.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our business and strategic advantages, see the "Business" section within Part I,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of this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mainly consists of base fares and expired passenger travel credits.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Charter revenue consists of revenue earned from our Charter business, primarily generated through our service to the DoW,</w:t>
      </w:r>
      <w:r>
        <w:rPr>
          <w:rFonts w:ascii="Arial" w:cs="Arial" w:eastAsia="Arial" w:hAnsi="Arial"/>
          <w:sz w:val="18"/>
          <w:szCs w:val="18"/>
          <w:i w:val="1"/>
          <w:iCs w:val="1"/>
          <w:color w:val="auto"/>
        </w:rPr>
        <w:t xml:space="preserve"> </w:t>
      </w:r>
      <w:r>
        <w:rPr>
          <w:rFonts w:ascii="Arial" w:cs="Arial" w:eastAsia="Arial" w:hAnsi="Arial"/>
          <w:sz w:val="18"/>
          <w:szCs w:val="18"/>
          <w:color w:val="auto"/>
        </w:rPr>
        <w:t>collegiate and professional sports teams, and casinos.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other fees and on-board sales.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A&amp;R ATSA with Amazon, primarily related to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services.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SCV products, including organizing ground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hotel, car and transfers, as well as the rental revenue related to certain transactions where we act as a lessor. Other revenue also includes services not directly related to providing passenger services such as the advertising, marketing and brand elements resulting from our co-branded credit card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includes jet fuel, federal and state taxes, and other fees. Aircraft fuel expense can be volatile, even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quarters, due to global economic and geopolitical factors, as well as domestic and local supply factors that impact the price of crude oil.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profit sharing paid to employees for their services, as well as related expenses associated with medical benefits, employee benefit plans, employer payroll taxes and other employee related costs.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 terms of the related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probable costs that would be incurred at the return of the aircraft, including costs incurred to return the airframe and engines to the condition required by the lease. As of December 31, 2025 and 2024, we are not operating any aircraft under an operating lease. The acquisition of future aircraft through operating leases is at the discretion of management.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w:t>
      </w:r>
      <w:r>
        <w:rPr>
          <w:rFonts w:ascii="Arial" w:cs="Arial" w:eastAsia="Arial" w:hAnsi="Arial"/>
          <w:sz w:val="18"/>
          <w:szCs w:val="18"/>
          <w:i w:val="1"/>
          <w:iCs w:val="1"/>
          <w:color w:val="auto"/>
        </w:rPr>
        <w:t xml:space="preserve"> </w:t>
      </w:r>
      <w:r>
        <w:rPr>
          <w:rFonts w:ascii="Arial" w:cs="Arial" w:eastAsia="Arial" w:hAnsi="Arial"/>
          <w:sz w:val="18"/>
          <w:szCs w:val="18"/>
          <w:color w:val="auto"/>
        </w:rPr>
        <w:t>to maintain our fleet. It excludes direct labor costs related to our own mechanics, which are included in salaries, wages, and benefits expense. It also excludes maintenance expenses, which are deferred based on the built-in overhaul method for owned and certain finance leased aircraft, which is subsequently amortized as a component of depreciation and amortization expense.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 commissions and related GDS fees,</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sponsorship and distribution costs, such as the costs of our call centers, and costs associated with our loyalty program. It excludes related salary and wages of personnel, which are included in salaries, wages, and benefits expense.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amortization of finance leased assets, as well as the amortization of certain finite-lived other intangible assets. It also includes the depreciation of significant maintenance expenses deferred under the built-in overhaul method for owned and certain finance leased aircraft.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services at airports, including baggage handling, ticket counter and other ground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 use of airport facilities.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Special Items, net. </w:t>
      </w:r>
      <w:r>
        <w:rPr>
          <w:rFonts w:ascii="Arial" w:cs="Arial" w:eastAsia="Arial" w:hAnsi="Arial"/>
          <w:sz w:val="18"/>
          <w:szCs w:val="18"/>
          <w:color w:val="auto"/>
        </w:rPr>
        <w:t>Expenses, or credits to expense, that are not representative of our ongoing costs for the periods presented and may vary</w:t>
      </w:r>
      <w:r>
        <w:rPr>
          <w:rFonts w:ascii="Arial" w:cs="Arial" w:eastAsia="Arial" w:hAnsi="Arial"/>
          <w:sz w:val="18"/>
          <w:szCs w:val="18"/>
          <w:i w:val="1"/>
          <w:iCs w:val="1"/>
          <w:color w:val="auto"/>
        </w:rPr>
        <w:t xml:space="preserve"> </w:t>
      </w:r>
      <w:r>
        <w:rPr>
          <w:rFonts w:ascii="Arial" w:cs="Arial" w:eastAsia="Arial" w:hAnsi="Arial"/>
          <w:sz w:val="18"/>
          <w:szCs w:val="18"/>
          <w:color w:val="auto"/>
        </w:rPr>
        <w:t>from period to period in nature, frequency, and amount.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taxes and insurance, including hull-liability insurance, supplies, legal and other professional fees, facilities and all other administrative and operational overhead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cash equivalents and investment balances.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and fees related to our outstanding debt and our finance leases,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financing costs.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 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Income taxes are accounted for using the asset and liability method. Deferred taxes are recorded based on differences between the financial statement basis and tax basis of assets and liabilities and available tax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9"/>
              </w:rPr>
              <w:t xml:space="preserve">Year Ended December 31, 2025 </w:t>
            </w:r>
            <w:r>
              <w:rPr>
                <w:rFonts w:ascii="Arial" w:cs="Arial" w:eastAsia="Arial" w:hAnsi="Arial"/>
                <w:sz w:val="16"/>
                <w:szCs w:val="16"/>
                <w:b w:val="1"/>
                <w:bCs w:val="1"/>
                <w:color w:val="auto"/>
                <w:w w:val="99"/>
                <w:vertAlign w:val="superscript"/>
              </w:rPr>
              <w:t>(1)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w w:val="97"/>
              </w:rPr>
              <w:t xml:space="preserve">Year Ended December 31, 2024 </w:t>
            </w:r>
            <w:r>
              <w:rPr>
                <w:rFonts w:ascii="Arial" w:cs="Arial" w:eastAsia="Arial" w:hAnsi="Arial"/>
                <w:sz w:val="16"/>
                <w:szCs w:val="16"/>
                <w:b w:val="1"/>
                <w:bCs w:val="1"/>
                <w:color w:val="auto"/>
                <w:w w:val="97"/>
                <w:vertAlign w:val="superscript"/>
              </w:rPr>
              <w:t>(1)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337"/>
              <w:spacing w:after="0" w:line="115" w:lineRule="exact"/>
              <w:rPr>
                <w:sz w:val="20"/>
                <w:szCs w:val="20"/>
                <w:color w:val="auto"/>
              </w:rPr>
            </w:pPr>
            <w:r>
              <w:rPr>
                <w:rFonts w:ascii="Arial" w:cs="Arial" w:eastAsia="Arial" w:hAnsi="Arial"/>
                <w:sz w:val="13"/>
                <w:szCs w:val="13"/>
                <w:b w:val="1"/>
                <w:bCs w:val="1"/>
                <w:color w:val="auto"/>
                <w:w w:val="97"/>
              </w:rPr>
              <w:t>Scheduled</w:t>
            </w: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Charter</w:t>
            </w: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Cargo</w:t>
            </w:r>
          </w:p>
        </w:tc>
        <w:tc>
          <w:tcPr>
            <w:tcW w:w="160" w:type="dxa"/>
            <w:vAlign w:val="bottom"/>
          </w:tcPr>
          <w:p>
            <w:pPr>
              <w:spacing w:after="0"/>
              <w:rPr>
                <w:sz w:val="10"/>
                <w:szCs w:val="10"/>
                <w:color w:val="auto"/>
              </w:rPr>
            </w:pPr>
          </w:p>
        </w:tc>
        <w:tc>
          <w:tcPr>
            <w:tcW w:w="104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1100" w:type="dxa"/>
            <w:vAlign w:val="bottom"/>
            <w:gridSpan w:val="3"/>
          </w:tcPr>
          <w:p>
            <w:pPr>
              <w:jc w:val="center"/>
              <w:ind w:right="317"/>
              <w:spacing w:after="0" w:line="115" w:lineRule="exact"/>
              <w:rPr>
                <w:sz w:val="20"/>
                <w:szCs w:val="20"/>
                <w:color w:val="auto"/>
              </w:rPr>
            </w:pPr>
            <w:r>
              <w:rPr>
                <w:rFonts w:ascii="Arial" w:cs="Arial" w:eastAsia="Arial" w:hAnsi="Arial"/>
                <w:sz w:val="13"/>
                <w:szCs w:val="13"/>
                <w:b w:val="1"/>
                <w:bCs w:val="1"/>
                <w:color w:val="auto"/>
                <w:w w:val="97"/>
              </w:rPr>
              <w:t>Scheduled</w:t>
            </w: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Charter</w:t>
            </w:r>
          </w:p>
        </w:tc>
        <w:tc>
          <w:tcPr>
            <w:tcW w:w="1280" w:type="dxa"/>
            <w:vAlign w:val="bottom"/>
            <w:gridSpan w:val="3"/>
            <w:vMerge w:val="restart"/>
          </w:tcPr>
          <w:p>
            <w:pPr>
              <w:jc w:val="right"/>
              <w:ind w:right="620"/>
              <w:spacing w:after="0"/>
              <w:rPr>
                <w:sz w:val="20"/>
                <w:szCs w:val="20"/>
                <w:color w:val="auto"/>
              </w:rPr>
            </w:pPr>
            <w:r>
              <w:rPr>
                <w:rFonts w:ascii="Arial" w:cs="Arial" w:eastAsia="Arial" w:hAnsi="Arial"/>
                <w:sz w:val="13"/>
                <w:szCs w:val="13"/>
                <w:b w:val="1"/>
                <w:bCs w:val="1"/>
                <w:color w:val="auto"/>
              </w:rPr>
              <w:t>Cargo</w:t>
            </w:r>
          </w:p>
        </w:tc>
        <w:tc>
          <w:tcPr>
            <w:tcW w:w="82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317"/>
              <w:spacing w:after="0"/>
              <w:rPr>
                <w:sz w:val="20"/>
                <w:szCs w:val="20"/>
                <w:color w:val="auto"/>
              </w:rPr>
            </w:pPr>
            <w:r>
              <w:rPr>
                <w:rFonts w:ascii="Arial" w:cs="Arial" w:eastAsia="Arial" w:hAnsi="Arial"/>
                <w:sz w:val="13"/>
                <w:szCs w:val="13"/>
                <w:b w:val="1"/>
                <w:bCs w:val="1"/>
                <w:color w:val="auto"/>
                <w:w w:val="99"/>
              </w:rPr>
              <w:t>Service</w:t>
            </w:r>
          </w:p>
        </w:tc>
        <w:tc>
          <w:tcPr>
            <w:tcW w:w="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100" w:type="dxa"/>
            <w:vAlign w:val="bottom"/>
            <w:gridSpan w:val="3"/>
          </w:tcPr>
          <w:p>
            <w:pPr>
              <w:jc w:val="center"/>
              <w:ind w:right="337"/>
              <w:spacing w:after="0"/>
              <w:rPr>
                <w:sz w:val="20"/>
                <w:szCs w:val="20"/>
                <w:color w:val="auto"/>
              </w:rPr>
            </w:pPr>
            <w:r>
              <w:rPr>
                <w:rFonts w:ascii="Arial" w:cs="Arial" w:eastAsia="Arial" w:hAnsi="Arial"/>
                <w:sz w:val="13"/>
                <w:szCs w:val="13"/>
                <w:b w:val="1"/>
                <w:bCs w:val="1"/>
                <w:color w:val="auto"/>
                <w:w w:val="99"/>
              </w:rPr>
              <w:t>Service</w:t>
            </w:r>
          </w:p>
        </w:tc>
        <w:tc>
          <w:tcPr>
            <w:tcW w:w="96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8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3"/>
                <w:szCs w:val="13"/>
                <w:color w:val="auto"/>
              </w:rPr>
              <w:t xml:space="preserve">Departures </w:t>
            </w:r>
            <w:r>
              <w:rPr>
                <w:rFonts w:ascii="Arial" w:cs="Arial" w:eastAsia="Arial" w:hAnsi="Arial"/>
                <w:sz w:val="16"/>
                <w:szCs w:val="16"/>
                <w:color w:val="auto"/>
                <w:vertAlign w:val="superscript"/>
              </w:rPr>
              <w:t>(2)</w:t>
            </w: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27,037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11,069</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16,709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55,357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29,039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10,359</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13,094</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53,009</w:t>
            </w: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Block hours </w:t>
            </w:r>
            <w:r>
              <w:rPr>
                <w:rFonts w:ascii="Arial" w:cs="Arial" w:eastAsia="Arial" w:hAnsi="Arial"/>
                <w:sz w:val="16"/>
                <w:szCs w:val="16"/>
                <w:color w:val="auto"/>
                <w:vertAlign w:val="superscript"/>
              </w:rPr>
              <w:t>(2)</w:t>
            </w:r>
          </w:p>
        </w:tc>
        <w:tc>
          <w:tcPr>
            <w:tcW w:w="12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88,417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22,970</w:t>
            </w:r>
          </w:p>
        </w:tc>
        <w:tc>
          <w:tcPr>
            <w:tcW w:w="10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41,896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155,313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92,391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20,775</w:t>
            </w:r>
          </w:p>
        </w:tc>
        <w:tc>
          <w:tcPr>
            <w:tcW w:w="1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33,744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148,518</w:t>
            </w: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Aircraft miles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34,492,185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7,922,137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15,798,169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58,752,120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36,060,794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7,191,928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12,770,713</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56,538,114</w:t>
            </w: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ASMs (thousands) </w:t>
            </w:r>
            <w:r>
              <w:rPr>
                <w:rFonts w:ascii="Arial" w:cs="Arial" w:eastAsia="Arial" w:hAnsi="Arial"/>
                <w:sz w:val="16"/>
                <w:szCs w:val="16"/>
                <w:color w:val="auto"/>
                <w:vertAlign w:val="superscript"/>
              </w:rPr>
              <w:t>(2)</w:t>
            </w:r>
          </w:p>
        </w:tc>
        <w:tc>
          <w:tcPr>
            <w:tcW w:w="12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6,416,830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1,408,600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7,923,857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6,707,308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1,270,455</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8,071,949</w:t>
            </w: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TRASM (cents) </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15.51</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w w:val="96"/>
              </w:rPr>
              <w:t xml:space="preserve">Average passenger aircraft during the period </w:t>
            </w:r>
            <w:r>
              <w:rPr>
                <w:rFonts w:ascii="Arial" w:cs="Arial" w:eastAsia="Arial" w:hAnsi="Arial"/>
                <w:sz w:val="16"/>
                <w:szCs w:val="16"/>
                <w:color w:val="auto"/>
                <w:w w:val="96"/>
                <w:vertAlign w:val="superscript"/>
              </w:rPr>
              <w:t>(4)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Passenger aircraft at end of period </w:t>
            </w:r>
            <w:r>
              <w:rPr>
                <w:rFonts w:ascii="Arial" w:cs="Arial" w:eastAsia="Arial" w:hAnsi="Arial"/>
                <w:sz w:val="16"/>
                <w:szCs w:val="16"/>
                <w:color w:val="auto"/>
                <w:vertAlign w:val="superscript"/>
              </w:rPr>
              <w:t>(4)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Leased aircraft </w:t>
            </w:r>
            <w:r>
              <w:rPr>
                <w:rFonts w:ascii="Arial" w:cs="Arial" w:eastAsia="Arial" w:hAnsi="Arial"/>
                <w:sz w:val="16"/>
                <w:szCs w:val="16"/>
                <w:color w:val="auto"/>
                <w:vertAlign w:val="superscript"/>
              </w:rPr>
              <w:t>(5)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Cargo aircraft at end of period</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Average daily aircraft utilization (hours) </w:t>
            </w:r>
            <w:r>
              <w:rPr>
                <w:rFonts w:ascii="Arial" w:cs="Arial" w:eastAsia="Arial" w:hAnsi="Arial"/>
                <w:sz w:val="16"/>
                <w:szCs w:val="16"/>
                <w:color w:val="auto"/>
                <w:vertAlign w:val="superscript"/>
              </w:rPr>
              <w:t>(4)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stage length (miles)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1,098</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Revenue passengers carried </w:t>
            </w:r>
            <w:r>
              <w:rPr>
                <w:rFonts w:ascii="Arial" w:cs="Arial" w:eastAsia="Arial" w:hAnsi="Arial"/>
                <w:sz w:val="16"/>
                <w:szCs w:val="16"/>
                <w:color w:val="auto"/>
                <w:vertAlign w:val="superscript"/>
              </w:rPr>
              <w:t>(6)</w:t>
            </w:r>
          </w:p>
        </w:tc>
        <w:tc>
          <w:tcPr>
            <w:tcW w:w="12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4,205,847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4,483,515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7"/>
              </w:rPr>
              <w:t>Revenue passenger miles (RPMs) (thousands)</w:t>
            </w: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5,362,531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5,648,351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20"/>
              <w:spacing w:after="0"/>
              <w:rPr>
                <w:sz w:val="20"/>
                <w:szCs w:val="20"/>
                <w:color w:val="auto"/>
              </w:rPr>
            </w:pPr>
            <w:r>
              <w:rPr>
                <w:rFonts w:ascii="Arial" w:cs="Arial" w:eastAsia="Arial" w:hAnsi="Arial"/>
                <w:sz w:val="8"/>
                <w:szCs w:val="8"/>
                <w:color w:val="auto"/>
              </w:rPr>
              <w:t>(6)</w:t>
            </w: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Load factor </w:t>
            </w:r>
            <w:r>
              <w:rPr>
                <w:rFonts w:ascii="Arial" w:cs="Arial" w:eastAsia="Arial" w:hAnsi="Arial"/>
                <w:sz w:val="16"/>
                <w:szCs w:val="16"/>
                <w:color w:val="auto"/>
                <w:vertAlign w:val="superscript"/>
              </w:rPr>
              <w:t>(6)</w:t>
            </w:r>
          </w:p>
        </w:tc>
        <w:tc>
          <w:tcPr>
            <w:tcW w:w="12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83.6%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Average base fare per passenger </w:t>
            </w:r>
            <w:r>
              <w:rPr>
                <w:rFonts w:ascii="Arial" w:cs="Arial" w:eastAsia="Arial" w:hAnsi="Arial"/>
                <w:sz w:val="16"/>
                <w:szCs w:val="16"/>
                <w:color w:val="auto"/>
                <w:vertAlign w:val="superscript"/>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96.06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Ancillary revenue per passenger </w:t>
            </w:r>
            <w:r>
              <w:rPr>
                <w:rFonts w:ascii="Arial" w:cs="Arial" w:eastAsia="Arial" w:hAnsi="Arial"/>
                <w:sz w:val="16"/>
                <w:szCs w:val="16"/>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70.12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68.68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Total fare per passenger </w:t>
            </w:r>
            <w:r>
              <w:rPr>
                <w:rFonts w:ascii="Arial" w:cs="Arial" w:eastAsia="Arial" w:hAnsi="Arial"/>
                <w:sz w:val="16"/>
                <w:szCs w:val="16"/>
                <w:color w:val="auto"/>
                <w:vertAlign w:val="superscript"/>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166.17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Charter revenue per block hour </w:t>
            </w:r>
            <w:r>
              <w:rPr>
                <w:rFonts w:ascii="Arial" w:cs="Arial" w:eastAsia="Arial" w:hAnsi="Arial"/>
                <w:sz w:val="16"/>
                <w:szCs w:val="16"/>
                <w:color w:val="auto"/>
                <w:vertAlign w:val="superscript"/>
              </w:rPr>
              <w:t>(6)</w:t>
            </w:r>
          </w:p>
        </w:tc>
        <w:tc>
          <w:tcPr>
            <w:tcW w:w="120" w:type="dxa"/>
            <w:vAlign w:val="bottom"/>
          </w:tcPr>
          <w:p>
            <w:pPr>
              <w:spacing w:after="0"/>
              <w:rPr>
                <w:sz w:val="15"/>
                <w:szCs w:val="15"/>
                <w:color w:val="auto"/>
              </w:rPr>
            </w:pPr>
          </w:p>
        </w:tc>
        <w:tc>
          <w:tcPr>
            <w:tcW w:w="1120" w:type="dxa"/>
            <w:vAlign w:val="bottom"/>
            <w:gridSpan w:val="3"/>
          </w:tcPr>
          <w:p>
            <w:pPr>
              <w:ind w:left="96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9,762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9,485</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Fuel gallons consumed (thousands) </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68,539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15,173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84,647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71,631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13,666</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86,185</w:t>
            </w:r>
          </w:p>
        </w:tc>
        <w:tc>
          <w:tcPr>
            <w:tcW w:w="0" w:type="dxa"/>
            <w:vAlign w:val="bottom"/>
          </w:tcPr>
          <w:p>
            <w:pPr>
              <w:spacing w:after="0"/>
              <w:rPr>
                <w:sz w:val="1"/>
                <w:szCs w:val="1"/>
                <w:color w:val="auto"/>
              </w:rPr>
            </w:pPr>
          </w:p>
        </w:tc>
      </w:tr>
      <w:tr>
        <w:trPr>
          <w:trHeight w:val="122"/>
        </w:trPr>
        <w:tc>
          <w:tcPr>
            <w:tcW w:w="2680" w:type="dxa"/>
            <w:vAlign w:val="bottom"/>
          </w:tcPr>
          <w:p>
            <w:pPr>
              <w:ind w:left="20"/>
              <w:spacing w:after="0" w:line="122" w:lineRule="exact"/>
              <w:rPr>
                <w:sz w:val="20"/>
                <w:szCs w:val="20"/>
                <w:color w:val="auto"/>
              </w:rPr>
            </w:pPr>
            <w:r>
              <w:rPr>
                <w:rFonts w:ascii="Arial" w:cs="Arial" w:eastAsia="Arial" w:hAnsi="Arial"/>
                <w:sz w:val="13"/>
                <w:szCs w:val="13"/>
                <w:color w:val="auto"/>
              </w:rPr>
              <w:t>Fuel cost per gallon, excluding indirect fuel</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680" w:type="dxa"/>
            <w:vAlign w:val="bottom"/>
          </w:tcPr>
          <w:p>
            <w:pPr>
              <w:ind w:left="20"/>
              <w:spacing w:after="0"/>
              <w:rPr>
                <w:sz w:val="20"/>
                <w:szCs w:val="20"/>
                <w:color w:val="auto"/>
              </w:rPr>
            </w:pPr>
            <w:r>
              <w:rPr>
                <w:rFonts w:ascii="Arial" w:cs="Arial" w:eastAsia="Arial" w:hAnsi="Arial"/>
                <w:sz w:val="13"/>
                <w:szCs w:val="13"/>
                <w:color w:val="auto"/>
              </w:rPr>
              <w:t>credits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 at end of period</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3,141</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CASM (cents) </w:t>
            </w:r>
            <w:r>
              <w:rPr>
                <w:rFonts w:ascii="Arial" w:cs="Arial" w:eastAsia="Arial" w:hAnsi="Arial"/>
                <w:sz w:val="16"/>
                <w:szCs w:val="16"/>
                <w:color w:val="auto"/>
                <w:vertAlign w:val="superscript"/>
              </w:rPr>
              <w:t>(7)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12.95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12.01</w:t>
            </w:r>
          </w:p>
        </w:tc>
        <w:tc>
          <w:tcPr>
            <w:tcW w:w="0" w:type="dxa"/>
            <w:vAlign w:val="bottom"/>
          </w:tcPr>
          <w:p>
            <w:pPr>
              <w:spacing w:after="0"/>
              <w:rPr>
                <w:sz w:val="1"/>
                <w:szCs w:val="1"/>
                <w:color w:val="auto"/>
              </w:rPr>
            </w:pPr>
          </w:p>
        </w:tc>
      </w:tr>
      <w:tr>
        <w:trPr>
          <w:trHeight w:val="176"/>
        </w:trPr>
        <w:tc>
          <w:tcPr>
            <w:tcW w:w="26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Adjusted CASM (cents) </w:t>
            </w:r>
            <w:r>
              <w:rPr>
                <w:rFonts w:ascii="Arial" w:cs="Arial" w:eastAsia="Arial" w:hAnsi="Arial"/>
                <w:sz w:val="16"/>
                <w:szCs w:val="16"/>
                <w:color w:val="auto"/>
                <w:vertAlign w:val="superscript"/>
              </w:rPr>
              <w:t>(8)</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7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5"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and Cargo amounts.</w:t>
      </w:r>
    </w:p>
    <w:p>
      <w:pPr>
        <w:ind w:left="340" w:hanging="332"/>
        <w:spacing w:after="0" w:line="261"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Consolidated Statements of Operations.</w:t>
      </w: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Scheduled Service and Charter utilize the same fleet of aircraft. Aircraft counts and utilization metrics are shown on a system basis only.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2025 and 2024</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4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2040" w:type="dxa"/>
            <w:vAlign w:val="bottom"/>
            <w:vMerge w:val="restart"/>
          </w:tcPr>
          <w:p>
            <w:pPr>
              <w:jc w:val="right"/>
              <w:ind w:right="8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9"/>
        </w:trPr>
        <w:tc>
          <w:tcPr>
            <w:tcW w:w="52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vMerge w:val="restart"/>
          </w:tcPr>
          <w:p>
            <w:pPr>
              <w:jc w:val="right"/>
              <w:ind w:right="6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vMerge w:val="restart"/>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403,998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409,133</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307,909</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914,087</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107,174</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54,478</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Revenues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372,597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326,775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Landing Fees and Airport Rent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Special Items, net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105,457</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1,026,196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969,753</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105,986</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69,574</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"NM" stands for not meaningful</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2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Revenues increased $51,030, or 5%, to $1,126,769 for the year ended December 31, 2025 as compared to the year ended December 31, 2024. The increase was primarily the result of growth in Cargo revenue due to additional aircraft received and operated, as well as contractual rate increases under the A&amp;R ATSA. Revenue growth for the Passenger business was mostly flat, as growth in the first quarter of 2025 was offset by reduced capacity in the remainder of 2025, as we focused our operations on growth in the Cargo business. These items, as well as other changes to revenue, are discussed in further detail below.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Passenger</w:t>
      </w:r>
      <w:r>
        <w:rPr>
          <w:rFonts w:ascii="Arial" w:cs="Arial" w:eastAsia="Arial" w:hAnsi="Arial"/>
          <w:sz w:val="18"/>
          <w:szCs w:val="18"/>
          <w:color w:val="auto"/>
        </w:rPr>
        <w:t>. Passenger revenue increased by $9,042, or 1%, to $923,129 for the year ended December 31, 2025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The table below presents select operating data for lines of revenue within Passenger: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c>
          <w:tcPr>
            <w:tcW w:w="1800" w:type="dxa"/>
            <w:vAlign w:val="bottom"/>
            <w:gridSpan w:val="2"/>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4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60" w:type="dxa"/>
            <w:vAlign w:val="bottom"/>
            <w:vMerge w:val="restart"/>
          </w:tcPr>
          <w:p>
            <w:pPr>
              <w:jc w:val="right"/>
              <w:ind w:right="79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vMerge w:val="restart"/>
          </w:tcPr>
          <w:p>
            <w:pPr>
              <w:jc w:val="right"/>
              <w:ind w:right="771"/>
              <w:spacing w:after="0"/>
              <w:rPr>
                <w:sz w:val="20"/>
                <w:szCs w:val="20"/>
                <w:color w:val="auto"/>
              </w:rPr>
            </w:pPr>
            <w:r>
              <w:rPr>
                <w:rFonts w:ascii="Arial" w:cs="Arial" w:eastAsia="Arial" w:hAnsi="Arial"/>
                <w:sz w:val="14"/>
                <w:szCs w:val="14"/>
                <w:b w:val="1"/>
                <w:bCs w:val="1"/>
                <w:color w:val="auto"/>
              </w:rPr>
              <w:t>2024</w:t>
            </w:r>
          </w:p>
        </w:tc>
        <w:tc>
          <w:tcPr>
            <w:tcW w:w="180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27,037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29,039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88,417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92,391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Passengers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4,205,847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4,483,515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base fare per passenger</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96.06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91.25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Ancillary revenue per passenger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70.12</w:t>
            </w:r>
          </w:p>
        </w:tc>
        <w:tc>
          <w:tcPr>
            <w:tcW w:w="8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68.68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Fare per passenger</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166.17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159.93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RPMs (thousands)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5,362,531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5,648,351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ASMs (thousands)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6,416,830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6,707,308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TRASM (cents)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10.87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83.6 %</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5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11,069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10,359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22,970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20,775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220"/>
              <w:spacing w:after="0"/>
              <w:rPr>
                <w:sz w:val="20"/>
                <w:szCs w:val="20"/>
                <w:color w:val="auto"/>
              </w:rPr>
            </w:pPr>
            <w:r>
              <w:rPr>
                <w:rFonts w:ascii="Arial" w:cs="Arial" w:eastAsia="Arial" w:hAnsi="Arial"/>
                <w:sz w:val="18"/>
                <w:szCs w:val="18"/>
                <w:color w:val="auto"/>
              </w:rPr>
              <w:t>Charter revenue per block hour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9,762</w:t>
            </w:r>
          </w:p>
        </w:tc>
        <w:tc>
          <w:tcPr>
            <w:tcW w:w="8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9,485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(1) Percentage point difference</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Passenger revenue was impacted by reduced capacity as we focused our operations on growth in the Cargo business. This resulted in a 7% decrease in Scheduled Service departures, which was offset by a 4% increase in total fare per passenger. Ancillary revenues were negatively impacted by the 6% decrease in passengers, partially offset by a 2% increase in Ancillary revenue per passenger.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Passenger revenue benefited from the $27,182, or 14%, increase in Charter revenue during the year ended December 31, 2025, as compared to the year ended December 31, 2024. This increase was the result of a 11% increase in block hours and a 3% increase in Charter revenue per block hour. The increase in block hours was due to an increase in flying by large program customers and ad hoc flying. The improvement in Charter revenue per block hour was primarily driven by rate increases, partially offset by lower fuel recovery revenue due to the decrease in fuel cost per gallon.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$47,853, or 45%, to $155,027 for the year ended December 31,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2024. The increase was primarily due to additional aircraft and contractual rate increases. During the year ended December 31, 2025, the Company received and placed in-service all eight additional cargo aircraft under the A&amp;R ATSA. In early 2026, we agreed to operate two additional cargo aircraft on behalf of Amazon. This will increase the total aircraft that Sun Country operates on behalf of Amazon from 20 to 22.</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decreased $5,865, or 11%, to $48,613 for the year ended December 31, 2025,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2024. The decrease was driven by lower aircraft lease revenue. This was partially offset by a $2,959 increase in end of lease compensation revenue, due to the return of two Owned Aircraft Held for Operating Lease during the year ended December 31, 2025 that were previously leased to an unaffiliated airline as compared to one during the year ended December 31, 2024. For the years ended December 31, 2025 and 2024, there were an average of 5 and 7 aircraft on lease to unaffiliated airlines, respectively. For more information on the components of our lease income,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Consolidated Financial Statements included in Part II,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2140" w:type="dxa"/>
            <w:vAlign w:val="bottom"/>
            <w:gridSpan w:val="2"/>
            <w:vMerge w:val="restart"/>
          </w:tcPr>
          <w:p>
            <w:pPr>
              <w:jc w:val="right"/>
              <w:ind w:right="8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9"/>
        </w:trPr>
        <w:tc>
          <w:tcPr>
            <w:tcW w:w="522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1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2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216,343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238,621</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1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86,185</w:t>
            </w:r>
          </w:p>
        </w:tc>
        <w:tc>
          <w:tcPr>
            <w:tcW w:w="2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by 10% year-over-year, due to an 8% decrease in the average fuel cost per gallon and a 2% decrease in consumption.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Salaries, Wages, and Benefits</w:t>
      </w:r>
      <w:r>
        <w:rPr>
          <w:rFonts w:ascii="Arial" w:cs="Arial" w:eastAsia="Arial" w:hAnsi="Arial"/>
          <w:sz w:val="18"/>
          <w:szCs w:val="18"/>
          <w:color w:val="auto"/>
        </w:rPr>
        <w:t>. Salaries, wages, and benefits expense increased $45,822, or 14%, to $372,597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2025, as compared to the year ended December 31, 2024. The year-over-year increase in Salaries, Wages, and Benefits was impacted by a 4% increase in employee headcount to support our expanding operations, contractual rate increases for our pilots, and contractual pay increases as a result of new CBAs.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expense increased $11,579, or 17%, to $80,349 for the year ended December 31, 2025,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2024. The year-over-year increase in Maintenance expense was primarily driven by growth in our fleet and operations and higher rates for service. The number of routine, time-based airframe heavy maintenance events were consistent year-over-year.</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decreased $1,635, or 5%, to $33,300 for the year ended December 31,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year ended December 31, 2024. The year-over-year decrease was primarily driven by lower booking and credit card transaction fees due to the shift in capacity growth from the Passenger segment to the Cargo segment.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$3,889, or 4%, to $98,878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2025, as compared to the year ended December 31, 2024. The increase was primarily due to an increase in certain capitalized costs associated with three aircraft being returned to the Company from leases to unaffiliated airlines, as well as a non-cash expense of $737 due to an unplanned engine retirement.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$2,583, or 6%, to $44,701 for the year ended December 31, 2025,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2024. This year-over-year increase was the result of rate increases due to market pressures, partially offset by a 3% decrease in Passenger segment departures, as we focused our operations on the growth in Cargo.</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$5,212, or 9%, to $64,761 for the year ended December 31,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year ended December 31, 2024. This year-over-year increase was driven by rate increases at airports due to market pressures, primarily at MSP, partially offset by a 3% decrease in Passenger segment departures.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Special Items, net. </w:t>
      </w:r>
      <w:r>
        <w:rPr>
          <w:rFonts w:ascii="Arial" w:cs="Arial" w:eastAsia="Arial" w:hAnsi="Arial"/>
          <w:sz w:val="18"/>
          <w:szCs w:val="18"/>
          <w:color w:val="auto"/>
        </w:rPr>
        <w:t>Special Items, net consisted of $1,886 of ratification bonuses for the new five-year CBA paid to eligible flight attendants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period, as well as the related payroll tax expense. For more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to the Consolidated Financial Statements included in Part II, Item 8 of this Annual Report.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$10,787, or 10%, to $116,244 for the year ended December 31, 2025,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year ended December 31, 2024. This was primarily the result of an increase in operations, partially offset by increased year-over-year activity from our aircraft parts sales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decreased by $860, or 11%, to $6,973 for the year ended December 31, 2025,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The decrease was primarily due to the reduction in the Company's average investment balance year-over-year.</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decreased $7,439, or 17%, to $36,861 for the year ended December 31, 2025,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December 31, 2024. The decrease was due to year-over-year decreases in debt balances, as well as the refinancing of the 2023 Term Loan Credit Facility which resulted in a lower interest rate. For more information on the Company's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expense increased $529 to $474 for the year ended December 31, 2025,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2024. The increase was primarily driven by expenses of $481 the Company incurred in conjunction with the secondary public offering. For more information on the secondary public offering,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to the Consolidated Financial Statements included in Part II, Item 8 of this Annual Report.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tax rate increased by 0.8% to 24.8% for the year ended December 31, 2025, as compared to 24.0%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year ended December 31, 2024. The slight increase is driven by a discrete state tax rate true-up adjustment recorded in the current year partially offset by a favorable impact from tax benefits related to share-based compensation. For more information on the Company's tax rate,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4"/>
                <w:szCs w:val="14"/>
                <w:b w:val="1"/>
                <w:bCs w:val="1"/>
                <w:color w:val="auto"/>
              </w:rPr>
              <w:t>Year Ended December 31, 2025</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4"/>
                <w:szCs w:val="14"/>
                <w:b w:val="1"/>
                <w:bCs w:val="1"/>
                <w:color w:val="auto"/>
              </w:rPr>
              <w:t>Year Ended December 31, 2024</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Cargo</w:t>
            </w:r>
          </w:p>
        </w:tc>
        <w:tc>
          <w:tcPr>
            <w:tcW w:w="38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Cargo</w:t>
            </w:r>
          </w:p>
        </w:tc>
        <w:tc>
          <w:tcPr>
            <w:tcW w:w="36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971,742</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155,027</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1,126,769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968,565</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107,174</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1,075,739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213,109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213,480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237,108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237,160</w:t>
            </w:r>
          </w:p>
        </w:tc>
        <w:tc>
          <w:tcPr>
            <w:tcW w:w="0" w:type="dxa"/>
            <w:vAlign w:val="bottom"/>
          </w:tcPr>
          <w:p>
            <w:pPr>
              <w:spacing w:after="0"/>
              <w:rPr>
                <w:sz w:val="1"/>
                <w:szCs w:val="1"/>
                <w:color w:val="auto"/>
              </w:rPr>
            </w:pPr>
          </w:p>
        </w:tc>
      </w:tr>
      <w:tr>
        <w:trPr>
          <w:trHeight w:val="176"/>
        </w:trPr>
        <w:tc>
          <w:tcPr>
            <w:tcW w:w="2420" w:type="dxa"/>
            <w:vAlign w:val="bottom"/>
          </w:tcPr>
          <w:p>
            <w:pPr>
              <w:ind w:left="140"/>
              <w:spacing w:after="0" w:line="176" w:lineRule="exact"/>
              <w:rPr>
                <w:sz w:val="20"/>
                <w:szCs w:val="20"/>
                <w:color w:val="auto"/>
              </w:rPr>
            </w:pPr>
            <w:r>
              <w:rPr>
                <w:rFonts w:ascii="Arial" w:cs="Arial" w:eastAsia="Arial" w:hAnsi="Arial"/>
                <w:sz w:val="18"/>
                <w:szCs w:val="18"/>
                <w:color w:val="auto"/>
              </w:rPr>
              <w:t>Salaries, Wages, and</w:t>
            </w:r>
          </w:p>
        </w:tc>
        <w:tc>
          <w:tcPr>
            <w:tcW w:w="200" w:type="dxa"/>
            <w:vAlign w:val="bottom"/>
          </w:tcPr>
          <w:p>
            <w:pPr>
              <w:spacing w:after="0"/>
              <w:rPr>
                <w:sz w:val="15"/>
                <w:szCs w:val="15"/>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272,841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99,756</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372,597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ind w:right="32"/>
              <w:spacing w:after="0"/>
              <w:rPr>
                <w:sz w:val="20"/>
                <w:szCs w:val="20"/>
                <w:color w:val="auto"/>
              </w:rPr>
            </w:pPr>
            <w:r>
              <w:rPr>
                <w:rFonts w:ascii="Arial" w:cs="Arial" w:eastAsia="Arial" w:hAnsi="Arial"/>
                <w:sz w:val="18"/>
                <w:szCs w:val="18"/>
                <w:color w:val="auto"/>
              </w:rPr>
              <w:t>255,887</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70,888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326,775</w:t>
            </w:r>
          </w:p>
        </w:tc>
        <w:tc>
          <w:tcPr>
            <w:tcW w:w="0" w:type="dxa"/>
            <w:vAlign w:val="bottom"/>
          </w:tcPr>
          <w:p>
            <w:pPr>
              <w:spacing w:after="0"/>
              <w:rPr>
                <w:sz w:val="1"/>
                <w:szCs w:val="1"/>
                <w:color w:val="auto"/>
              </w:rPr>
            </w:pPr>
          </w:p>
        </w:tc>
      </w:tr>
      <w:tr>
        <w:trPr>
          <w:trHeight w:val="243"/>
        </w:trPr>
        <w:tc>
          <w:tcPr>
            <w:tcW w:w="2420" w:type="dxa"/>
            <w:vAlign w:val="bottom"/>
          </w:tcPr>
          <w:p>
            <w:pPr>
              <w:ind w:left="300"/>
              <w:spacing w:after="0"/>
              <w:rPr>
                <w:sz w:val="20"/>
                <w:szCs w:val="20"/>
                <w:color w:val="auto"/>
              </w:rPr>
            </w:pPr>
            <w:r>
              <w:rPr>
                <w:rFonts w:ascii="Arial" w:cs="Arial" w:eastAsia="Arial" w:hAnsi="Arial"/>
                <w:sz w:val="18"/>
                <w:szCs w:val="18"/>
                <w:color w:val="auto"/>
              </w:rPr>
              <w:t>Benefits</w:t>
            </w:r>
          </w:p>
        </w:tc>
        <w:tc>
          <w:tcPr>
            <w:tcW w:w="2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59,124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21,225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54,619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14,151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68,770</w:t>
            </w: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33,300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34,935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34,935</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Depreciation and</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98,860</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98,878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94,971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94,989</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2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44,691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42,102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42,118</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Landing Fees and Airport</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64,029</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64,761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58,951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59,549</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Rent</w:t>
            </w:r>
          </w:p>
        </w:tc>
        <w:tc>
          <w:tcPr>
            <w:tcW w:w="2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Special Items, net</w:t>
            </w:r>
          </w:p>
        </w:tc>
        <w:tc>
          <w:tcPr>
            <w:tcW w:w="2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86,839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29,405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116,244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85,199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20,258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105,457</w:t>
            </w:r>
          </w:p>
        </w:tc>
        <w:tc>
          <w:tcPr>
            <w:tcW w:w="0" w:type="dxa"/>
            <w:vAlign w:val="bottom"/>
          </w:tcPr>
          <w:p>
            <w:pPr>
              <w:spacing w:after="0"/>
              <w:rPr>
                <w:sz w:val="1"/>
                <w:szCs w:val="1"/>
                <w:color w:val="auto"/>
              </w:rPr>
            </w:pPr>
          </w:p>
        </w:tc>
      </w:tr>
      <w:tr>
        <w:trPr>
          <w:trHeight w:val="156"/>
        </w:trPr>
        <w:tc>
          <w:tcPr>
            <w:tcW w:w="2420" w:type="dxa"/>
            <w:vAlign w:val="bottom"/>
          </w:tcPr>
          <w:p>
            <w:pPr>
              <w:ind w:left="360"/>
              <w:spacing w:after="0" w:line="156" w:lineRule="exact"/>
              <w:rPr>
                <w:sz w:val="20"/>
                <w:szCs w:val="20"/>
                <w:color w:val="auto"/>
              </w:rPr>
            </w:pPr>
            <w:r>
              <w:rPr>
                <w:rFonts w:ascii="Arial" w:cs="Arial" w:eastAsia="Arial" w:hAnsi="Arial"/>
                <w:sz w:val="18"/>
                <w:szCs w:val="18"/>
                <w:color w:val="auto"/>
              </w:rPr>
              <w:t>Total Operating</w:t>
            </w:r>
          </w:p>
        </w:tc>
        <w:tc>
          <w:tcPr>
            <w:tcW w:w="200" w:type="dxa"/>
            <w:vAlign w:val="bottom"/>
          </w:tcPr>
          <w:p>
            <w:pPr>
              <w:spacing w:after="0"/>
              <w:rPr>
                <w:sz w:val="13"/>
                <w:szCs w:val="13"/>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874,679</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151,517</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1,026,196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32"/>
              <w:spacing w:after="0"/>
              <w:rPr>
                <w:sz w:val="20"/>
                <w:szCs w:val="20"/>
                <w:color w:val="auto"/>
              </w:rPr>
            </w:pPr>
            <w:r>
              <w:rPr>
                <w:rFonts w:ascii="Arial" w:cs="Arial" w:eastAsia="Arial" w:hAnsi="Arial"/>
                <w:sz w:val="18"/>
                <w:szCs w:val="18"/>
                <w:color w:val="auto"/>
              </w:rPr>
              <w:t>863,772</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105,981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969,753</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97,063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3,510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104,793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105,986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 %</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by $7,730 to $97,063 for the year ended December 31, 2025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2024. Operating Margin Percentage decreased by 0.8 percentage points, to 10.0%, as compared to the year ended December 31, 2024. Passenger results for the year ended December 31, 2025 were impacted by reduced capacity as we focused our operations on growth in the Cargo business. The year-over-year decrease in Passenger Operating Income and Operating Margin Percentage were primarily driven by contractual rate increases for our pilots, contractual pay increases as a result of new collective bargaining agreements, rate increases for Ground Handling and Landing Fees and Airport Rent, and the ratification bonus paid to eligible flight attendants during the period; partially offset by an 8% decrease in the average fuel cost per gallon.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increased by $2,317 to $3,510 for the year ended December 31, 2025,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2024. Operating Margin Percentage increased by 1.2 percentage points, to 2.3%, as compared to the year ended December 31, 2024. The changes in both Operating Income and Operating Margin Percentage were primarily driven by contractual rate increases, partially offset by contractual rate increases for our pilots as well as operational challenges as a result of significant growth in the segment. Further, during the year ended December 31, 2025, the Company received and placed in-service all eight additional cargo aircraft under the A&amp;R ATSA. For more information on the components of Operating Income for the Cargo segment, refer to the Results of Operations discussion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guidance. The tables below show a reconciliation of non-GAAP financial measures used in this Annual Report to the most directly comparable GAAP financial measures.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w w:val="96"/>
              </w:rPr>
              <w:t>2024</w:t>
            </w: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1,126,769</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1,075,739</w:t>
            </w:r>
          </w:p>
        </w:tc>
      </w:tr>
      <w:tr>
        <w:trPr>
          <w:trHeight w:val="23"/>
        </w:trPr>
        <w:tc>
          <w:tcPr>
            <w:tcW w:w="7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100,573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105,986</w:t>
            </w:r>
          </w:p>
        </w:tc>
      </w:tr>
      <w:tr>
        <w:trPr>
          <w:trHeight w:val="270"/>
        </w:trPr>
        <w:tc>
          <w:tcPr>
            <w:tcW w:w="710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480" w:type="dxa"/>
            <w:vAlign w:val="bottom"/>
          </w:tcPr>
          <w:p>
            <w:pPr>
              <w:spacing w:after="0"/>
              <w:rPr>
                <w:sz w:val="23"/>
                <w:szCs w:val="23"/>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6,020</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4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8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109,501</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112,006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7"/>
        </w:trPr>
        <w:tc>
          <w:tcPr>
            <w:tcW w:w="7100" w:type="dxa"/>
            <w:vAlign w:val="bottom"/>
          </w:tcPr>
          <w:p>
            <w:pPr>
              <w:ind w:left="20"/>
              <w:spacing w:after="0"/>
              <w:rPr>
                <w:sz w:val="20"/>
                <w:szCs w:val="20"/>
                <w:color w:val="auto"/>
              </w:rPr>
            </w:pPr>
            <w:r>
              <w:rPr>
                <w:rFonts w:ascii="Arial" w:cs="Arial" w:eastAsia="Arial" w:hAnsi="Arial"/>
                <w:sz w:val="18"/>
                <w:szCs w:val="18"/>
                <w:color w:val="auto"/>
              </w:rPr>
              <w:t>Adjusted Operating Income Margin</w:t>
            </w: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10.4 %</w:t>
            </w:r>
          </w:p>
        </w:tc>
      </w:tr>
      <w:tr>
        <w:trPr>
          <w:trHeight w:val="338"/>
        </w:trPr>
        <w:tc>
          <w:tcPr>
            <w:tcW w:w="710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7" w:lineRule="exact"/>
        <w:rPr>
          <w:sz w:val="20"/>
          <w:szCs w:val="20"/>
          <w:color w:val="auto"/>
        </w:rPr>
      </w:pPr>
    </w:p>
    <w:p>
      <w:pPr>
        <w:ind w:left="520" w:hanging="494"/>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15</w:t>
      </w:r>
      <w:r>
        <w:rPr>
          <w:rFonts w:ascii="Arial" w:cs="Arial" w:eastAsia="Arial" w:hAnsi="Arial"/>
          <w:sz w:val="14"/>
          <w:szCs w:val="14"/>
          <w:color w:val="auto"/>
        </w:rPr>
        <w:t xml:space="preserve"> of these Consolidated Financial Statements.</w:t>
      </w:r>
    </w:p>
    <w:p>
      <w:pPr>
        <w:spacing w:after="0" w:line="41" w:lineRule="exact"/>
        <w:rPr>
          <w:rFonts w:ascii="Arial" w:cs="Arial" w:eastAsia="Arial" w:hAnsi="Arial"/>
          <w:sz w:val="14"/>
          <w:szCs w:val="14"/>
          <w:color w:val="auto"/>
        </w:rPr>
      </w:pPr>
    </w:p>
    <w:p>
      <w:pPr>
        <w:ind w:left="520" w:right="440" w:hanging="494"/>
        <w:spacing w:after="0" w:line="244"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July 2025, an engine experienced an in-flight shut down ("IFSD"). The engine was subsequently deemed beyond economic repair, which resulted in a non-cash expense due to an unplanned engine retirement. Management does not consider this activity in assessing its operational performance.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2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1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52,809</w:t>
            </w:r>
          </w:p>
        </w:tc>
        <w:tc>
          <w:tcPr>
            <w:tcW w:w="100" w:type="dxa"/>
            <w:vAlign w:val="bottom"/>
          </w:tcPr>
          <w:p>
            <w:pPr>
              <w:spacing w:after="0"/>
              <w:rPr>
                <w:sz w:val="21"/>
                <w:szCs w:val="21"/>
                <w:color w:val="auto"/>
              </w:rPr>
            </w:pP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52,903</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6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47"/>
        </w:trPr>
        <w:tc>
          <w:tcPr>
            <w:tcW w:w="72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Refinancing</w:t>
            </w:r>
          </w:p>
        </w:tc>
        <w:tc>
          <w:tcPr>
            <w:tcW w:w="1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0"/>
        </w:trPr>
        <w:tc>
          <w:tcPr>
            <w:tcW w:w="7260" w:type="dxa"/>
            <w:vAlign w:val="bottom"/>
          </w:tcPr>
          <w:p>
            <w:pPr>
              <w:ind w:left="1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1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Credit Facility</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26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(3)</w:t>
            </w: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63"/>
        </w:trPr>
        <w:tc>
          <w:tcPr>
            <w:tcW w:w="72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60,498</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57,963</w:t>
            </w:r>
          </w:p>
        </w:tc>
        <w:tc>
          <w:tcPr>
            <w:tcW w:w="0" w:type="dxa"/>
            <w:vAlign w:val="bottom"/>
          </w:tcPr>
          <w:p>
            <w:pPr>
              <w:spacing w:after="0"/>
              <w:rPr>
                <w:sz w:val="1"/>
                <w:szCs w:val="1"/>
                <w:color w:val="auto"/>
              </w:rPr>
            </w:pPr>
          </w:p>
        </w:tc>
      </w:tr>
      <w:tr>
        <w:trPr>
          <w:trHeight w:val="21"/>
        </w:trPr>
        <w:tc>
          <w:tcPr>
            <w:tcW w:w="726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7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hanging="534"/>
        <w:spacing w:after="0"/>
        <w:tabs>
          <w:tab w:leader="none" w:pos="5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15</w:t>
      </w:r>
      <w:r>
        <w:rPr>
          <w:rFonts w:ascii="Arial" w:cs="Arial" w:eastAsia="Arial" w:hAnsi="Arial"/>
          <w:sz w:val="14"/>
          <w:szCs w:val="14"/>
          <w:color w:val="auto"/>
        </w:rPr>
        <w:t xml:space="preserve"> of these Consolidated Financial Statements.</w:t>
      </w:r>
    </w:p>
    <w:p>
      <w:pPr>
        <w:spacing w:after="0" w:line="82" w:lineRule="exact"/>
        <w:rPr>
          <w:rFonts w:ascii="Arial" w:cs="Arial" w:eastAsia="Arial" w:hAnsi="Arial"/>
          <w:sz w:val="14"/>
          <w:szCs w:val="14"/>
          <w:color w:val="auto"/>
        </w:rPr>
      </w:pPr>
    </w:p>
    <w:p>
      <w:pPr>
        <w:ind w:left="560" w:right="580" w:hanging="534"/>
        <w:spacing w:after="0" w:line="181" w:lineRule="auto"/>
        <w:tabs>
          <w:tab w:leader="none" w:pos="560" w:val="left"/>
        </w:tabs>
        <w:numPr>
          <w:ilvl w:val="0"/>
          <w:numId w:val="17"/>
        </w:numPr>
        <w:rPr>
          <w:rFonts w:ascii="Arial" w:cs="Arial" w:eastAsia="Arial" w:hAnsi="Arial"/>
          <w:sz w:val="26"/>
          <w:szCs w:val="26"/>
          <w:color w:val="auto"/>
          <w:vertAlign w:val="superscript"/>
        </w:rPr>
      </w:pPr>
      <w:r>
        <w:rPr>
          <w:rFonts w:ascii="Arial" w:cs="Arial" w:eastAsia="Arial" w:hAnsi="Arial"/>
          <w:sz w:val="13"/>
          <w:szCs w:val="13"/>
          <w:color w:val="auto"/>
        </w:rPr>
        <w:t>In July 2025, an engine experienced an IFSD. The engine was subsequently deemed beyond economic repair, which resulted in a non-cash expense due to an unplanned engine retirement. Management does not consider this activity in assessing its operational performance.</w:t>
      </w:r>
    </w:p>
    <w:p>
      <w:pPr>
        <w:ind w:left="560" w:hanging="534"/>
        <w:spacing w:after="0" w:line="184" w:lineRule="auto"/>
        <w:tabs>
          <w:tab w:leader="none" w:pos="560" w:val="left"/>
        </w:tabs>
        <w:numPr>
          <w:ilvl w:val="0"/>
          <w:numId w:val="17"/>
        </w:numPr>
        <w:rPr>
          <w:rFonts w:ascii="Arial" w:cs="Arial" w:eastAsia="Arial" w:hAnsi="Arial"/>
          <w:sz w:val="26"/>
          <w:szCs w:val="26"/>
          <w:color w:val="auto"/>
          <w:vertAlign w:val="superscript"/>
        </w:rPr>
      </w:pPr>
      <w:r>
        <w:rPr>
          <w:rFonts w:ascii="Arial" w:cs="Arial" w:eastAsia="Arial" w:hAnsi="Arial"/>
          <w:sz w:val="13"/>
          <w:szCs w:val="13"/>
          <w:color w:val="auto"/>
        </w:rPr>
        <w:t>The tax effect of adjusting items, net is calculated at the Company’s statutory rate for the applicable period.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32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1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ind w:right="99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52,809</w:t>
            </w:r>
          </w:p>
        </w:tc>
        <w:tc>
          <w:tcPr>
            <w:tcW w:w="80" w:type="dxa"/>
            <w:vAlign w:val="bottom"/>
          </w:tcPr>
          <w:p>
            <w:pPr>
              <w:spacing w:after="0"/>
              <w:rPr>
                <w:sz w:val="21"/>
                <w:szCs w:val="21"/>
                <w:color w:val="auto"/>
              </w:rPr>
            </w:pP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52,903</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6,305</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(6,973)</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0" w:type="dxa"/>
            <w:vAlign w:val="bottom"/>
          </w:tcPr>
          <w:p>
            <w:pPr>
              <w:spacing w:after="0"/>
              <w:rPr>
                <w:sz w:val="1"/>
                <w:szCs w:val="1"/>
                <w:color w:val="auto"/>
              </w:rPr>
            </w:pPr>
          </w:p>
        </w:tc>
      </w:tr>
      <w:tr>
        <w:trPr>
          <w:trHeight w:val="247"/>
        </w:trPr>
        <w:tc>
          <w:tcPr>
            <w:tcW w:w="72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17,402</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16,671</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1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98,878</w:t>
            </w:r>
          </w:p>
        </w:tc>
        <w:tc>
          <w:tcPr>
            <w:tcW w:w="8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94,989</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207,649</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72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hanging="534"/>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15</w:t>
      </w:r>
      <w:r>
        <w:rPr>
          <w:rFonts w:ascii="Arial" w:cs="Arial" w:eastAsia="Arial" w:hAnsi="Arial"/>
          <w:sz w:val="14"/>
          <w:szCs w:val="14"/>
          <w:color w:val="auto"/>
        </w:rPr>
        <w:t xml:space="preserve"> of these Consolidated Financial Statements.</w:t>
      </w:r>
    </w:p>
    <w:p>
      <w:pPr>
        <w:spacing w:after="0" w:line="82" w:lineRule="exact"/>
        <w:rPr>
          <w:rFonts w:ascii="Arial" w:cs="Arial" w:eastAsia="Arial" w:hAnsi="Arial"/>
          <w:sz w:val="14"/>
          <w:szCs w:val="14"/>
          <w:color w:val="auto"/>
        </w:rPr>
      </w:pPr>
    </w:p>
    <w:p>
      <w:pPr>
        <w:ind w:left="560" w:right="100" w:hanging="534"/>
        <w:spacing w:after="0" w:line="190" w:lineRule="auto"/>
        <w:tabs>
          <w:tab w:leader="none" w:pos="560" w:val="left"/>
        </w:tabs>
        <w:numPr>
          <w:ilvl w:val="0"/>
          <w:numId w:val="18"/>
        </w:numPr>
        <w:rPr>
          <w:rFonts w:ascii="Arial" w:cs="Arial" w:eastAsia="Arial" w:hAnsi="Arial"/>
          <w:sz w:val="26"/>
          <w:szCs w:val="26"/>
          <w:color w:val="auto"/>
          <w:vertAlign w:val="superscript"/>
        </w:rPr>
      </w:pPr>
      <w:r>
        <w:rPr>
          <w:rFonts w:ascii="Arial" w:cs="Arial" w:eastAsia="Arial" w:hAnsi="Arial"/>
          <w:sz w:val="13"/>
          <w:szCs w:val="13"/>
          <w:color w:val="auto"/>
        </w:rPr>
        <w:t>In July 2025, an engine experienced an IFSD. The engine was subsequently deemed beyond economic repair, which resulted in a $737 non-cash expense due to an unplanned engine retirement. The Company recognized the $737 non-cash expense within Depreciation and Amortization. Management does not consider this activity in assessing its operational performance.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metric that uses a non-GAAP measure derived from CASM by excluding fuel costs, costs related to our Cargo operations, depreciation and amortization recognized on certain assets that generate lease income,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unplanned engine events,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The Company has entered into certain transactions where it serves as a lessor. As of December 31, 2025, three of our aircraft were leased or subleased. Depreciation and Amortization expense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23"/>
        </w:trPr>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220" w:type="dxa"/>
            <w:vAlign w:val="bottom"/>
            <w:tcBorders>
              <w:bottom w:val="single" w:sz="8" w:color="auto"/>
            </w:tcBorders>
          </w:tcPr>
          <w:p>
            <w:pPr>
              <w:spacing w:after="0"/>
              <w:rPr>
                <w:sz w:val="19"/>
                <w:szCs w:val="19"/>
                <w:color w:val="auto"/>
              </w:rPr>
            </w:pPr>
          </w:p>
        </w:tc>
      </w:tr>
      <w:tr>
        <w:trPr>
          <w:trHeight w:val="180"/>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5"/>
                <w:szCs w:val="15"/>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Operating</w:t>
            </w: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rPr>
              <w:t>Per ASM</w:t>
            </w:r>
          </w:p>
        </w:tc>
      </w:tr>
      <w:tr>
        <w:trPr>
          <w:trHeight w:val="196"/>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7"/>
                <w:szCs w:val="17"/>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(in cents)</w:t>
            </w:r>
          </w:p>
        </w:tc>
      </w:tr>
      <w:tr>
        <w:trPr>
          <w:trHeight w:val="29"/>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1,026,196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49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213,480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4960" w:type="dxa"/>
            <w:vAlign w:val="bottom"/>
          </w:tcPr>
          <w:p>
            <w:pPr>
              <w:ind w:left="180"/>
              <w:spacing w:after="0"/>
              <w:rPr>
                <w:sz w:val="20"/>
                <w:szCs w:val="20"/>
                <w:color w:val="auto"/>
              </w:rPr>
            </w:pPr>
            <w:r>
              <w:rPr>
                <w:rFonts w:ascii="Arial" w:cs="Arial" w:eastAsia="Arial" w:hAnsi="Arial"/>
                <w:sz w:val="18"/>
                <w:szCs w:val="18"/>
                <w:color w:val="auto"/>
              </w:rPr>
              <w:t xml:space="preserve">Unplanned Engine Retirement </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7"/>
        </w:trPr>
        <w:tc>
          <w:tcPr>
            <w:tcW w:w="496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Leased Aircraft, Depreciation and Amortization Expense </w:t>
            </w:r>
            <w:r>
              <w:rPr>
                <w:rFonts w:ascii="Arial" w:cs="Arial" w:eastAsia="Arial" w:hAnsi="Arial"/>
                <w:sz w:val="23"/>
                <w:szCs w:val="23"/>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647,482</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612,623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4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ASM (thousands)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7,923,857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8,071,949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13" w:lineRule="exact"/>
        <w:rPr>
          <w:sz w:val="20"/>
          <w:szCs w:val="20"/>
          <w:color w:val="auto"/>
        </w:rPr>
      </w:pPr>
    </w:p>
    <w:p>
      <w:pPr>
        <w:ind w:left="560" w:hanging="534"/>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included in </w:t>
      </w:r>
      <w:r>
        <w:rPr>
          <w:rFonts w:ascii="Arial" w:cs="Arial" w:eastAsia="Arial" w:hAnsi="Arial"/>
          <w:sz w:val="14"/>
          <w:szCs w:val="14"/>
          <w:u w:val="single" w:color="auto"/>
          <w:color w:val="auto"/>
        </w:rPr>
        <w:t>Note 15</w:t>
      </w:r>
      <w:r>
        <w:rPr>
          <w:rFonts w:ascii="Arial" w:cs="Arial" w:eastAsia="Arial" w:hAnsi="Arial"/>
          <w:sz w:val="14"/>
          <w:szCs w:val="14"/>
          <w:color w:val="auto"/>
        </w:rPr>
        <w:t xml:space="preserve"> of these Consolidated Financial Statements.</w:t>
      </w:r>
    </w:p>
    <w:p>
      <w:pPr>
        <w:spacing w:after="0" w:line="82" w:lineRule="exact"/>
        <w:rPr>
          <w:rFonts w:ascii="Arial" w:cs="Arial" w:eastAsia="Arial" w:hAnsi="Arial"/>
          <w:sz w:val="14"/>
          <w:szCs w:val="14"/>
          <w:color w:val="auto"/>
        </w:rPr>
      </w:pPr>
    </w:p>
    <w:p>
      <w:pPr>
        <w:ind w:left="560" w:right="580" w:hanging="534"/>
        <w:spacing w:after="0" w:line="181" w:lineRule="auto"/>
        <w:tabs>
          <w:tab w:leader="none" w:pos="560" w:val="left"/>
        </w:tabs>
        <w:numPr>
          <w:ilvl w:val="0"/>
          <w:numId w:val="19"/>
        </w:numPr>
        <w:rPr>
          <w:rFonts w:ascii="Arial" w:cs="Arial" w:eastAsia="Arial" w:hAnsi="Arial"/>
          <w:sz w:val="26"/>
          <w:szCs w:val="26"/>
          <w:color w:val="auto"/>
          <w:vertAlign w:val="superscript"/>
        </w:rPr>
      </w:pPr>
      <w:r>
        <w:rPr>
          <w:rFonts w:ascii="Arial" w:cs="Arial" w:eastAsia="Arial" w:hAnsi="Arial"/>
          <w:sz w:val="13"/>
          <w:szCs w:val="13"/>
          <w:color w:val="auto"/>
        </w:rPr>
        <w:t>In July 2025, an engine experienced an IFSD. The engine was subsequently deemed beyond economic repair, which resulted in a non-cash expense due to an unplanned engine retirement. Management does not consider this activity in assessing its operational performance.</w:t>
      </w:r>
    </w:p>
    <w:p>
      <w:pPr>
        <w:ind w:left="560" w:hanging="534"/>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December 31, 2025 included our existing cash and cash equivalents of $144,684 and short-term investments of $ 89,629, our expected cash generated from operations, and the $75,000 of available funds from the Revolving Credit Facility. We invest cash and cash equivalents in highly liquid securities with strong credit ratings. We classify our investments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had restricted cash of $21,357 as of December 31, 2025, which generally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purchase options on finance leases we are reasonably certain to exercise, debt repayments, working capital requirements, TRA payments to the pre-IPO stockholders (the “TRA holders”), and other general corporate purposes. Our single largest capital expenditure requirement relates to the acquisition of aircraft. We do not maintain an aircraft order book; instead, we enter into aircraft transactions on an opportunistic basis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market conditions, our prevailing level of liquidity and capital market availability. As a result, we are not locked into large future capital expenditures. We have historically acquired aircraft through operating leases, finance leases, and debt. Our management team retains broad discretion to allocate liquidity.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geopolitical factors, regulations, or acts of terrorism.</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December 31, 2025, we had a fleet of 70 Boeing 737-NG aircraft. This includes 47 aircraft in the passenger fleet and 20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cargo operated aircraft through the A&amp;R ATSA and three aircraft that are currently on lease to unaffiliated airlines. For more information on our fleet and related lease payments,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Consolidated Financial Statements included in Part II, Item 8 of this Annual Report.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of scheduled maintenance to act as collateral for the benefit of lessors. Qualifying payments that are expected to be recovered from lessors are recorded as Lessor Maintenance Deposits on our Consolidated Balance Sheets. As of December 31, 2025, we had $ 68,099 in total Lessor Maintenance Deposits. As of December 31, 2025, all maintenance deposits are estimated to be recoverable either through reimbursable maintenance events or through application towards the purchase of the aircraft.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support for general corporate purposes and to finance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aircraft. In March 2025, the Company executed a new $75,000 Revolving Credit Facility with a group of lenders. The new Revolving Credit Facility replaces the Company's previous $25,000 revolving credit facility. The Company pledged certain assets, including certain previously unencumbered aircraft, to support the ability to efficiently utilize the Revolving Credit Facility. As of December 31, 2025, the Company had $75,000 of financing available through the Revolving Credit Facility. We were in compliance with all covenants as of December 31,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in order to purchase, or refinance aircraft.</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2025, the Company executed the 2025 Term Loan Facility with a face amount of $108,000 for the purpose of refinancing the Company's five Boeing 737-900ER aircraft, of which two are on lease to an unaffiliated airline. The Company's five Boeing 737-900ERs are pledged as collateral. During the year ended December 31, 2025, the Company drew the full $108,000 face amount from the 2025 Term Loan Facility. The proceeds were used to repay the full outstanding balance of the 2023 Term Loan Credit Facility, with the remainder to be used for general corporate purposes. The 2025 Term Loan Facility is repaid quarterly through September 2032.</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During the years ended December 31, 2025 and 2024, we made payments of $10,525 and $3,350 to the TRA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which includes certain members of the Company's management and certain members of the Company's Board of Directors. The total TRA liability balance as of December 31, 2025 was $87,169, of which no amount was current.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 liability is an estimate and actual amounts payable under the TRA could differ from this estimate. Payments will be made in future periods as Pre-IPO Tax Attributes are utilized. If the Company does not generate sufficient taxable income in the aggregate over the term of the TRA to utilize the tax benefits, then it would not be required to make the related TRA payments. In the case of a merger that constitutes a change of control, such as the Merger Agreement with Allegiant, the TRA will terminate. Upon completion of the potential Merger with Allegiant, the TRA will be settled with the TRA holders, which includes certain members of the Company's management and certain members of the Company's Board of Directors. The amount paid to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TRA holders will be the outstanding balance of the TRA at time of closing. For more information on the TRA liability,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to the Consolidated Financial Statements included in Part II, Item 8 of this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0" w:type="dxa"/>
            <w:vAlign w:val="bottom"/>
          </w:tcPr>
          <w:p>
            <w:pPr>
              <w:spacing w:after="0"/>
              <w:rPr>
                <w:sz w:val="1"/>
                <w:szCs w:val="1"/>
                <w:color w:val="auto"/>
              </w:rPr>
            </w:pPr>
          </w:p>
        </w:tc>
      </w:tr>
      <w:tr>
        <w:trPr>
          <w:trHeight w:val="247"/>
        </w:trPr>
        <w:tc>
          <w:tcPr>
            <w:tcW w:w="524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83,131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24,743</w:t>
            </w:r>
          </w:p>
        </w:tc>
        <w:tc>
          <w:tcPr>
            <w:tcW w:w="0" w:type="dxa"/>
            <w:vAlign w:val="bottom"/>
          </w:tcPr>
          <w:p>
            <w:pPr>
              <w:spacing w:after="0"/>
              <w:rPr>
                <w:sz w:val="1"/>
                <w:szCs w:val="1"/>
                <w:color w:val="auto"/>
              </w:rPr>
            </w:pPr>
          </w:p>
        </w:tc>
      </w:tr>
      <w:tr>
        <w:trPr>
          <w:trHeight w:val="263"/>
        </w:trPr>
        <w:tc>
          <w:tcPr>
            <w:tcW w:w="524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302,815</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205,598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2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327,122</w:t>
            </w:r>
          </w:p>
        </w:tc>
        <w:tc>
          <w:tcPr>
            <w:tcW w:w="0" w:type="dxa"/>
            <w:vAlign w:val="bottom"/>
          </w:tcPr>
          <w:p>
            <w:pPr>
              <w:spacing w:after="0"/>
              <w:rPr>
                <w:sz w:val="1"/>
                <w:szCs w:val="1"/>
                <w:color w:val="auto"/>
              </w:rPr>
            </w:pPr>
          </w:p>
        </w:tc>
      </w:tr>
      <w:tr>
        <w:trPr>
          <w:trHeight w:val="247"/>
        </w:trPr>
        <w:tc>
          <w:tcPr>
            <w:tcW w:w="52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251,087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271,262</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41"/>
        </w:trPr>
        <w:tc>
          <w:tcPr>
            <w:tcW w:w="524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591,826</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619,034</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625,156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570,373</w:t>
            </w:r>
          </w:p>
        </w:tc>
        <w:tc>
          <w:tcPr>
            <w:tcW w:w="0" w:type="dxa"/>
            <w:vAlign w:val="bottom"/>
          </w:tcPr>
          <w:p>
            <w:pPr>
              <w:spacing w:after="0"/>
              <w:rPr>
                <w:sz w:val="1"/>
                <w:szCs w:val="1"/>
                <w:color w:val="auto"/>
              </w:rPr>
            </w:pPr>
          </w:p>
        </w:tc>
      </w:tr>
      <w:tr>
        <w:trPr>
          <w:trHeight w:val="264"/>
        </w:trPr>
        <w:tc>
          <w:tcPr>
            <w:tcW w:w="524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1,216,982</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1,189,407</w:t>
            </w:r>
          </w:p>
        </w:tc>
        <w:tc>
          <w:tcPr>
            <w:tcW w:w="0" w:type="dxa"/>
            <w:vAlign w:val="bottom"/>
          </w:tcPr>
          <w:p>
            <w:pPr>
              <w:spacing w:after="0"/>
              <w:rPr>
                <w:sz w:val="1"/>
                <w:szCs w:val="1"/>
                <w:color w:val="auto"/>
              </w:rPr>
            </w:pPr>
          </w:p>
        </w:tc>
      </w:tr>
      <w:tr>
        <w:trPr>
          <w:trHeight w:val="46"/>
        </w:trPr>
        <w:tc>
          <w:tcPr>
            <w:tcW w:w="524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5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112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0.49</w:t>
            </w: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575"/>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Sources and Uses of Liquidity</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3"/>
                <w:szCs w:val="23"/>
                <w:color w:val="auto"/>
              </w:rPr>
            </w:pPr>
          </w:p>
        </w:tc>
        <w:tc>
          <w:tcPr>
            <w:tcW w:w="4020" w:type="dxa"/>
            <w:vAlign w:val="bottom"/>
            <w:gridSpan w:val="9"/>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23"/>
                <w:szCs w:val="23"/>
                <w:color w:val="auto"/>
              </w:rPr>
            </w:pPr>
          </w:p>
        </w:tc>
        <w:tc>
          <w:tcPr>
            <w:tcW w:w="1420" w:type="dxa"/>
            <w:vAlign w:val="bottom"/>
            <w:vMerge w:val="restart"/>
          </w:tcPr>
          <w:p>
            <w:pPr>
              <w:jc w:val="right"/>
              <w:ind w:right="8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5240" w:type="dxa"/>
            <w:vAlign w:val="bottom"/>
          </w:tcPr>
          <w:p>
            <w:pPr>
              <w:spacing w:after="0"/>
              <w:rPr>
                <w:sz w:val="4"/>
                <w:szCs w:val="4"/>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vMerge w:val="restart"/>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157,106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(47,332)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Property &amp;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81,228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88"/>
        </w:trPr>
        <w:tc>
          <w:tcPr>
            <w:tcW w:w="524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Common Stock Repurchases</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Borrowings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(111,711)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7"/>
        </w:trPr>
        <w:tc>
          <w:tcPr>
            <w:tcW w:w="5240" w:type="dxa"/>
            <w:vAlign w:val="bottom"/>
          </w:tcPr>
          <w:p>
            <w:pPr>
              <w:ind w:left="360"/>
              <w:spacing w:after="0"/>
              <w:rPr>
                <w:sz w:val="20"/>
                <w:szCs w:val="20"/>
                <w:color w:val="auto"/>
              </w:rPr>
            </w:pPr>
            <w:r>
              <w:rPr>
                <w:rFonts w:ascii="Arial" w:cs="Arial" w:eastAsia="Arial" w:hAnsi="Arial"/>
                <w:sz w:val="18"/>
                <w:szCs w:val="18"/>
                <w:color w:val="auto"/>
              </w:rPr>
              <w:t>Tax Receivable Agreement Payment</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40"/>
        </w:trPr>
        <w:tc>
          <w:tcPr>
            <w:tcW w:w="524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1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65,570</w:t>
            </w:r>
          </w:p>
        </w:tc>
        <w:tc>
          <w:tcPr>
            <w:tcW w:w="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7"/>
          <w:szCs w:val="7"/>
          <w:u w:val="single" w:color="auto"/>
          <w:color w:val="auto"/>
        </w:rPr>
        <w:t>_________________________</w:t>
      </w:r>
      <w:r>
        <w:rPr>
          <w:rFonts w:ascii="Arial" w:cs="Arial" w:eastAsia="Arial" w:hAnsi="Arial"/>
          <w:sz w:val="7"/>
          <w:szCs w:val="7"/>
          <w:color w:val="auto"/>
        </w:rPr>
        <w:t>_</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"Cash” consists of Cash, Cash Equivalents and Restricted Cash</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years ended December 31, 2025 and 2024 provided $ 157,106 and $164,862 of cash, respectively. During the years ended December 31, 2025 and 2024, Net Income was $ 52,809 and $52,903, respectively. For more information on the components of Net Income for the years ended December 31, 2025 and 2024, refer to the Consolidated Results of Operations discussion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Air Traffic liabilities were $167,024 and $160,686 as of December 31, 2025 and 2024, respectively.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21% and 24% of our total operating expense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and 2024, respectively. The market price for jet fuel is volatile, which can impact the comparability of our periodic cash flows from operations. Fuel cost per gallon decreased by 8% year-over-year. Fuel consumption decreased by 2% year-over-year, as a result of the operational shift in capacity from Passenger to the Cargo business. We expect volatility in Aircraft Fuel prices per gallon to continue for the foreseeable future due to the impact of market conditions and global geopolitical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$73,128 and $ 47,332 for the years ended December 31, 2025 and 2024,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during the year ended December 31, 2025 included the acquisition of five engines, spare parts, ground equipment, and other items not individually material. Capital expenditures were higher in 2025 in order to support our operational growth in the Cargo segment. Our capital expenditures during the year ended December 31, 2024 included the acquisition of one aircraft and other items not individually material.</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During the years ended December 31, 2025 and 2024, our net investment activity in debt securities resulted in cash inflows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$14,675 and $37,721, respectively, due to maturities of debt securities exceeding purchases of investments. The year-over-year change is a result of a difference in timing of debt security maturities and a reduction in the Company's average investment balance year-over-year to support capital expenditures and other general corporate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At our discretion, we obtain debt financing in order to purchase or refinance aircraft. In September 2025, the Company executed the</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2025 Term Loan Facility with a face amount of $108,000 for the purpose of refinancing the Company's five Boeing 737-900ER aircraft, of which two are on lease to an unaffiliated airline. The refinancing was executed to take advantage of a more favorable interest rate environment. The 2025 Term Loan Facility is repaid quarterly through September 2032. During the year ended December 31, 2025, the Company drew the full $108,000 face amount from the 2025 Term Loan Facility and used the proceeds to repay the full outstanding balance of the 2023 Term Loan Credit Facility, with the remainder used for general corporate purposes. In December 2024, the Company reissued Class C trust certificates of its 2019-1 EETC, which had previously been repaid, in an aggregate face amount of $60,000 and concurrently applied all the proceeds to repay a portion of the 2023 Term Loan Credit Facility. For additional information on our debt financings and future repayment schedules,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$20,175 and $45,942 for the years ended December 31, 2025 and 2024,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2024, the Company purchased three aircraft previously classified as a finance lease. The resulting cash outflows of $22,909 were recorded as payments for finance lease obligations. For the years ended December 31, 2025 and 2024, there were an average of 13 and 15 finance leases,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year ended December 31, 2025, the Company repurchased 1,474,021 shares of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 an average price of $13.58 per share. The repurchases were part of a secondary public offering of the Company's shares by the SCA Horus Stockholder, as well as open market purchases. During the year ended December 31, 2024, the Company completed open market repurchases for 755,284 shares of its Common Stock at an average price of $15.22 per share. For more information on the Company's stock repurchases,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to the Consolidated Financial Statements included in Part II, Item 8 of this Annual Report.</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TRA Payment. </w:t>
      </w:r>
      <w:r>
        <w:rPr>
          <w:rFonts w:ascii="Arial" w:cs="Arial" w:eastAsia="Arial" w:hAnsi="Arial"/>
          <w:sz w:val="18"/>
          <w:szCs w:val="18"/>
          <w:color w:val="auto"/>
        </w:rPr>
        <w:t>During the years ended December 31, 2025 and 2024, we made payments of $10,525 and $3,350 to the TRA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respectively, which includes certain members of the Company's management and certain members of the Company's Board of Directors. For more information on the payment of the TRA,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of the Consolidated Financial Statements included in Part II, Item 8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and 2022-1 EETC. Generally, the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use these certificates to finance or refinance aircraft purchases. The obligations are listed in </w:t>
      </w:r>
      <w:r>
        <w:rPr>
          <w:rFonts w:ascii="Arial" w:cs="Arial" w:eastAsia="Arial" w:hAnsi="Arial"/>
          <w:sz w:val="18"/>
          <w:szCs w:val="18"/>
          <w:u w:val="single" w:color="auto"/>
          <w:color w:val="0000FF"/>
        </w:rPr>
        <w:t>Note 8</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Part II, Item 8 of this Annual Report.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various airports throughout the U.S. and we expect to expand our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1) not VIEs because they are not legal entities, or 2) 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long-term cash requirements under our various contractual obligations and commitments include:</w:t>
      </w:r>
    </w:p>
    <w:p>
      <w:pPr>
        <w:spacing w:after="0" w:line="225" w:lineRule="exact"/>
        <w:rPr>
          <w:sz w:val="20"/>
          <w:szCs w:val="20"/>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For further detail of our long-term debt and the timing of expected future payments,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8</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II, Item 8, included in this Annual Report. Interest coupon payments on the Company's EETC financings are paid semi-annually. The Term Loan is repaid quarterly.</w:t>
      </w:r>
    </w:p>
    <w:p>
      <w:pPr>
        <w:spacing w:after="0" w:line="62" w:lineRule="exact"/>
        <w:rPr>
          <w:rFonts w:ascii="Arial" w:cs="Arial" w:eastAsia="Arial" w:hAnsi="Arial"/>
          <w:sz w:val="18"/>
          <w:szCs w:val="18"/>
          <w:b w:val="1"/>
          <w:bCs w:val="1"/>
          <w:i w:val="1"/>
          <w:iCs w:val="1"/>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Aircraft Leases and Maintenance Reserves. </w:t>
      </w:r>
      <w:r>
        <w:rPr>
          <w:rFonts w:ascii="Arial" w:cs="Arial" w:eastAsia="Arial" w:hAnsi="Arial"/>
          <w:sz w:val="18"/>
          <w:szCs w:val="18"/>
          <w:color w:val="auto"/>
        </w:rPr>
        <w:t>For more information on our finance leases, as well as the timing of expected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payments,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Consolidated Financial Statements included in Part II, Item 8, included in this Annual Report.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 Liability. </w:t>
      </w:r>
      <w:r>
        <w:rPr>
          <w:rFonts w:ascii="Arial" w:cs="Arial" w:eastAsia="Arial" w:hAnsi="Arial"/>
          <w:sz w:val="18"/>
          <w:szCs w:val="18"/>
          <w:color w:val="auto"/>
        </w:rPr>
        <w:t>For more information on the TRA liability to be paid to the TRA holders,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14</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II, Item 8, included in this Annual Report.</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the status of our union contracts, as well as our contractual obligations and commitments, 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17</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Part II, Item 8,</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included in this Annual Report. Except as described herein, there have been no material changes in our contractual obligations and commitments other than in the ordinary course of business since our fiscal year ended December 31,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the Consolidated Financial Statements in Part II, Item 8 of this Annual Report. Some of those significant accounting policies require us to make difficult, subjective, or complex judgments, or estimates. An accounting estimate is considered to be critical if it meets both of the following criteria:</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Revenue Recognition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Asset Impairment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Service, Charter, and most Ancillary revenues are recognized when the passenger flight occurs. Revenues exclude amounts collected on behalf of other parties, including transportation taxes.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initially defer Scheduled Service ticket sales as an air traffic liability and recognize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Revenue for change fees is deferred and recognized when the passenger travel is provided.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Travel credits may generally be redeemed toward future travel for up to 12 months after the date of the original booking. As of December 31, 2025 and 2024, the Company’s air traffic liability included $4,676 and $5,822, respectively, related to travel credits for future travel. The Company records an estimate for travel credits that will expire unused, otherwise known as breakage, in Passenger Revenue upon issuance of the travel credit. During the years ended December 31, 2025 and 2024, the Company recorded $8,413 and $8,455, respectively, of estimated travel credit breakage. A portion of travel credits will expire unused, at which time any remaining revenue is recognized.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breakage rate is primarily based on historical experience of travel credit activity and other factors that may not be indicative of future trends, such as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 ended December 31, 2025, a 10% change in the Company’s estimated travel credit breakage rate would have resulted in a change to Passenger Revenue of approximately $757.</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critical accounting estimates associated with Charter or Cargo revenue recognition that would materially impact the amount of revenue recognized in any specific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 Analysis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long-lived assets, such as Property &amp; Equipment and Other Intangible Assets with Finite Lives, are reviewed for impairment whenever events or changes in circumstances indicate that the carrying amount of an asset (or asset group) may not be recoverable. The Company’s long-lived assets include aircraft and associated engines, operating and finance lease assets, the Company’s customer relationship and over-market finite-lived Other Intangible Assets, and other long-lived assets. The Company reviews the current economic and operating environment to determine whether events or circumstances indicate that these assets (or asset groups) may be impaired. Such indicators include, but are not limited to: 1) significant, permanent decrease in the market price of the Company’s long-lived assets, 2) significant decrease in the projected cash flows generated from the use of its long-lived assets, 3) changes in the estimated useful life or productive capacity of the asset, 4) changes in the regulatory environment in which the Company operates, and 5) a decision to permanently remove flight equipment or other long-lived assets from operations. If such factors are identified and the Company determines that the carrying amount of the long-lived asset (or asset group) is not recoverable on an undiscounted cash flow basis, an impairment is recognized to the extent that the asset (or asset group’s) carrying amount exceeds its fair value. Fair value is determined using various valuation techniques, including discounted cash flow models, quoted market values and third-party independent appraisals, as considered necessary.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Company assesses its long-lived assets for impairment, it utilizes certain assumptions, including, but not limited to: 1) estimated fair value of the assets, and 2) estimated future undiscounted cash flows expected to be generated by those assets. Cash flow estimates are determined based on additional assumptions, including asset utilization, average fares, projected fuel costs and other operating costs, along with the estimated service life of the asset. Certain of these assumptions are highly volatile and could change significantly from period-to-period due to various macroeconomic and industry-specific events.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determine whether impairment exists, the Company groups its assets based on the lowest level of identifiable cash flows. The Company operates a fleet comprised exclusively of one type of aircraft, the Boeing 737-NG. Therefore, the Company's largest asset group is its fleet of Boeing 737-NG aircraft, associated engines, as well as related finite-lived Other Intangible Assets. Primarily all of the Company’s long-lived assets are owned by, or associated with, the Passenger operating segment.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recorded an impairment on its long-lived assets, nor did it identify any triggering events, for any of the periods presented in these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For example, based on our forecasted Aircraft Fuel expense for the first quarter of 2026, we estimate that a one cent per gallon increase in the average aircraft fuel price would increase Aircraft Fuel expense by approximately $227. Aircraft Fuel expense does not include amounts where we are considered the customer's agent for procuring fuel. We had no fuel option and swap contracts in place to hedge the economic risk associated with volatile fuel prices as of December 31, 2025. We currently do not expect to enter into these types of contracts prospectively, although significant changes in market conditions could affect our decisions.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The Company maintains a $ 75,000 Revolving Credit Facility with a variable interest rate that is impacted by market conditions. As of December 31, 2025, no amounts on the Revolving Credit Facility had been drawn.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$83,131 as of December 31, 2025.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6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058"/>
        </w:trPr>
        <w:tc>
          <w:tcPr>
            <w:tcW w:w="9660" w:type="dxa"/>
            <w:vAlign w:val="bottom"/>
            <w:gridSpan w:val="2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58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9640" w:type="dxa"/>
            <w:vAlign w:val="bottom"/>
            <w:gridSpan w:val="26"/>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Minneapolis, Minnesota, ID #185)</w:t>
            </w:r>
          </w:p>
        </w:tc>
        <w:tc>
          <w:tcPr>
            <w:tcW w:w="1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515"/>
        </w:trPr>
        <w:tc>
          <w:tcPr>
            <w:tcW w:w="20" w:type="dxa"/>
            <w:vAlign w:val="bottom"/>
          </w:tcPr>
          <w:p>
            <w:pPr>
              <w:spacing w:after="0"/>
              <w:rPr>
                <w:sz w:val="24"/>
                <w:szCs w:val="24"/>
                <w:color w:val="auto"/>
              </w:rPr>
            </w:pPr>
          </w:p>
        </w:tc>
        <w:tc>
          <w:tcPr>
            <w:tcW w:w="4600" w:type="dxa"/>
            <w:vAlign w:val="bottom"/>
            <w:tcBorders>
              <w:top w:val="single" w:sz="8" w:color="0000FF"/>
            </w:tcBorders>
            <w:gridSpan w:val="23"/>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4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9640" w:type="dxa"/>
            <w:vAlign w:val="bottom"/>
            <w:gridSpan w:val="26"/>
          </w:tcPr>
          <w:p>
            <w:pPr>
              <w:spacing w:after="0" w:line="195" w:lineRule="exact"/>
              <w:rPr>
                <w:sz w:val="20"/>
                <w:szCs w:val="20"/>
                <w:color w:val="auto"/>
              </w:rPr>
            </w:pPr>
            <w:r>
              <w:rPr>
                <w:rFonts w:ascii="Arial" w:cs="Arial" w:eastAsia="Arial" w:hAnsi="Arial"/>
                <w:sz w:val="18"/>
                <w:szCs w:val="18"/>
                <w:color w:val="0000FF"/>
              </w:rPr>
              <w:t>Consolidated Balance Sheets</w:t>
            </w:r>
          </w:p>
        </w:tc>
        <w:tc>
          <w:tcPr>
            <w:tcW w:w="158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Arial" w:cs="Arial" w:eastAsia="Arial" w:hAnsi="Arial"/>
                <w:sz w:val="18"/>
                <w:szCs w:val="18"/>
                <w:color w:val="0000FF"/>
              </w:rPr>
              <w:t>Consolidated Statements of Operations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Arial" w:cs="Arial" w:eastAsia="Arial" w:hAnsi="Arial"/>
                <w:sz w:val="18"/>
                <w:szCs w:val="18"/>
                <w:color w:val="0000FF"/>
              </w:rPr>
              <w:t>Consolidated Statements of Comprehensive Income</w:t>
            </w:r>
          </w:p>
        </w:tc>
        <w:tc>
          <w:tcPr>
            <w:tcW w:w="15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Consolidated Statements of Changes in Stockholders' Equity</w:t>
            </w:r>
          </w:p>
        </w:tc>
        <w:tc>
          <w:tcPr>
            <w:tcW w:w="4780" w:type="dxa"/>
            <w:vAlign w:val="bottom"/>
            <w:gridSpan w:val="2"/>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Arial" w:cs="Arial" w:eastAsia="Arial" w:hAnsi="Arial"/>
                <w:sz w:val="18"/>
                <w:szCs w:val="18"/>
                <w:color w:val="0000FF"/>
              </w:rPr>
              <w:t>Consolidated Statements of Cash Flows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9640" w:type="dxa"/>
            <w:vAlign w:val="bottom"/>
            <w:gridSpan w:val="26"/>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5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0000FF"/>
                <w:w w:val="97"/>
              </w:rPr>
              <w:t>Note 1</w:t>
            </w:r>
          </w:p>
        </w:tc>
        <w:tc>
          <w:tcPr>
            <w:tcW w:w="10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8380" w:type="dxa"/>
            <w:vAlign w:val="bottom"/>
            <w:gridSpan w:val="22"/>
          </w:tcPr>
          <w:p>
            <w:pPr>
              <w:spacing w:after="0" w:line="195" w:lineRule="exact"/>
              <w:rPr>
                <w:sz w:val="20"/>
                <w:szCs w:val="20"/>
                <w:color w:val="auto"/>
              </w:rPr>
            </w:pPr>
            <w:r>
              <w:rPr>
                <w:rFonts w:ascii="Arial" w:cs="Arial" w:eastAsia="Arial" w:hAnsi="Arial"/>
                <w:sz w:val="18"/>
                <w:szCs w:val="18"/>
                <w:color w:val="0000FF"/>
              </w:rPr>
              <w:t>Company Background</w:t>
            </w:r>
          </w:p>
        </w:tc>
        <w:tc>
          <w:tcPr>
            <w:tcW w:w="1580" w:type="dxa"/>
            <w:vAlign w:val="bottom"/>
          </w:tcPr>
          <w:p>
            <w:pPr>
              <w:jc w:val="right"/>
              <w:spacing w:after="0" w:line="195" w:lineRule="exact"/>
              <w:rPr>
                <w:sz w:val="20"/>
                <w:szCs w:val="20"/>
                <w:color w:val="auto"/>
              </w:rPr>
            </w:pPr>
            <w:r>
              <w:rPr>
                <w:rFonts w:ascii="Arial" w:cs="Arial" w:eastAsia="Arial" w:hAnsi="Arial"/>
                <w:sz w:val="18"/>
                <w:szCs w:val="18"/>
                <w:color w:val="auto"/>
              </w:rPr>
              <w:t>87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380" w:type="dxa"/>
            <w:vAlign w:val="bottom"/>
            <w:gridSpan w:val="22"/>
          </w:tcPr>
          <w:p>
            <w:pPr>
              <w:spacing w:after="0"/>
              <w:rPr>
                <w:sz w:val="20"/>
                <w:szCs w:val="20"/>
                <w:color w:val="auto"/>
              </w:rPr>
            </w:pPr>
            <w:r>
              <w:rPr>
                <w:rFonts w:ascii="Arial" w:cs="Arial" w:eastAsia="Arial" w:hAnsi="Arial"/>
                <w:sz w:val="18"/>
                <w:szCs w:val="18"/>
                <w:color w:val="0000FF"/>
              </w:rPr>
              <w:t>Basis of Presentation and Summary of Significant Accounting Policies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9"/>
        </w:trPr>
        <w:tc>
          <w:tcPr>
            <w:tcW w:w="20" w:type="dxa"/>
            <w:vAlign w:val="bottom"/>
          </w:tcPr>
          <w:p>
            <w:pPr>
              <w:spacing w:after="0"/>
              <w:rPr>
                <w:sz w:val="18"/>
                <w:szCs w:val="18"/>
                <w:color w:val="auto"/>
              </w:rPr>
            </w:pPr>
          </w:p>
        </w:tc>
        <w:tc>
          <w:tcPr>
            <w:tcW w:w="6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Note 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7"/>
              </w:rPr>
              <w:t>Merger Agreement with Allegiant</w:t>
            </w:r>
          </w:p>
        </w:tc>
        <w:tc>
          <w:tcPr>
            <w:tcW w:w="2940" w:type="dxa"/>
            <w:vAlign w:val="bottom"/>
            <w:tcBorders>
              <w:top w:val="single" w:sz="8" w:color="0000FF"/>
            </w:tcBorders>
            <w:gridSpan w:val="6"/>
          </w:tcPr>
          <w:p>
            <w:pPr>
              <w:spacing w:after="0"/>
              <w:rPr>
                <w:sz w:val="18"/>
                <w:szCs w:val="18"/>
                <w:color w:val="auto"/>
              </w:rPr>
            </w:pPr>
          </w:p>
        </w:tc>
        <w:tc>
          <w:tcPr>
            <w:tcW w:w="28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4</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8380" w:type="dxa"/>
            <w:vAlign w:val="bottom"/>
            <w:gridSpan w:val="22"/>
          </w:tcPr>
          <w:p>
            <w:pPr>
              <w:spacing w:after="0"/>
              <w:rPr>
                <w:sz w:val="20"/>
                <w:szCs w:val="20"/>
                <w:color w:val="auto"/>
              </w:rPr>
            </w:pPr>
            <w:r>
              <w:rPr>
                <w:rFonts w:ascii="Arial" w:cs="Arial" w:eastAsia="Arial" w:hAnsi="Arial"/>
                <w:sz w:val="18"/>
                <w:szCs w:val="18"/>
                <w:color w:val="0000FF"/>
              </w:rPr>
              <w:t>Revenue</w:t>
            </w:r>
          </w:p>
        </w:tc>
        <w:tc>
          <w:tcPr>
            <w:tcW w:w="15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5</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Earnings per Share</w:t>
            </w:r>
          </w:p>
        </w:tc>
        <w:tc>
          <w:tcPr>
            <w:tcW w:w="6880" w:type="dxa"/>
            <w:vAlign w:val="bottom"/>
            <w:gridSpan w:val="15"/>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6</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Aircraft</w:t>
            </w:r>
          </w:p>
        </w:tc>
        <w:tc>
          <w:tcPr>
            <w:tcW w:w="7860" w:type="dxa"/>
            <w:vAlign w:val="bottom"/>
            <w:gridSpan w:val="20"/>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rPr>
              <w:t>Note 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380" w:type="dxa"/>
            <w:vAlign w:val="bottom"/>
            <w:gridSpan w:val="22"/>
          </w:tcPr>
          <w:p>
            <w:pPr>
              <w:spacing w:after="0"/>
              <w:rPr>
                <w:sz w:val="20"/>
                <w:szCs w:val="20"/>
                <w:color w:val="auto"/>
              </w:rPr>
            </w:pPr>
            <w:r>
              <w:rPr>
                <w:rFonts w:ascii="Arial" w:cs="Arial" w:eastAsia="Arial" w:hAnsi="Arial"/>
                <w:sz w:val="18"/>
                <w:szCs w:val="18"/>
                <w:color w:val="0000FF"/>
              </w:rPr>
              <w:t>Goodwill and Other Intangible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8</w:t>
            </w: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Debt</w:t>
            </w:r>
          </w:p>
        </w:tc>
        <w:tc>
          <w:tcPr>
            <w:tcW w:w="5480" w:type="dxa"/>
            <w:vAlign w:val="bottom"/>
            <w:gridSpan w:val="5"/>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9</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8380" w:type="dxa"/>
            <w:vAlign w:val="bottom"/>
            <w:gridSpan w:val="22"/>
          </w:tcPr>
          <w:p>
            <w:pPr>
              <w:spacing w:after="0"/>
              <w:rPr>
                <w:sz w:val="20"/>
                <w:szCs w:val="20"/>
                <w:color w:val="auto"/>
              </w:rPr>
            </w:pPr>
            <w:r>
              <w:rPr>
                <w:rFonts w:ascii="Arial" w:cs="Arial" w:eastAsia="Arial" w:hAnsi="Arial"/>
                <w:sz w:val="18"/>
                <w:szCs w:val="18"/>
                <w:color w:val="0000FF"/>
              </w:rPr>
              <w:t>Leases</w:t>
            </w: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10</w:t>
            </w:r>
          </w:p>
        </w:tc>
        <w:tc>
          <w:tcPr>
            <w:tcW w:w="620" w:type="dxa"/>
            <w:vAlign w:val="bottom"/>
          </w:tcPr>
          <w:p>
            <w:pPr>
              <w:spacing w:after="0"/>
              <w:rPr>
                <w:sz w:val="18"/>
                <w:szCs w:val="18"/>
                <w:color w:val="auto"/>
              </w:rPr>
            </w:pPr>
          </w:p>
        </w:tc>
        <w:tc>
          <w:tcPr>
            <w:tcW w:w="21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Stock-Based Compensation</w:t>
            </w:r>
          </w:p>
        </w:tc>
        <w:tc>
          <w:tcPr>
            <w:tcW w:w="6200" w:type="dxa"/>
            <w:vAlign w:val="bottom"/>
            <w:gridSpan w:val="8"/>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0"/>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11</w:t>
            </w:r>
          </w:p>
        </w:tc>
        <w:tc>
          <w:tcPr>
            <w:tcW w:w="9000" w:type="dxa"/>
            <w:vAlign w:val="bottom"/>
            <w:gridSpan w:val="23"/>
          </w:tcPr>
          <w:p>
            <w:pPr>
              <w:ind w:left="560"/>
              <w:spacing w:after="0"/>
              <w:rPr>
                <w:sz w:val="20"/>
                <w:szCs w:val="20"/>
                <w:color w:val="auto"/>
              </w:rPr>
            </w:pPr>
            <w:r>
              <w:rPr>
                <w:rFonts w:ascii="Arial" w:cs="Arial" w:eastAsia="Arial" w:hAnsi="Arial"/>
                <w:sz w:val="18"/>
                <w:szCs w:val="18"/>
                <w:color w:val="0000FF"/>
              </w:rPr>
              <w:t>Defined Contribution 401(k)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12</w:t>
            </w:r>
          </w:p>
        </w:tc>
        <w:tc>
          <w:tcPr>
            <w:tcW w:w="62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Investments</w:t>
            </w:r>
          </w:p>
        </w:tc>
        <w:tc>
          <w:tcPr>
            <w:tcW w:w="7460" w:type="dxa"/>
            <w:vAlign w:val="bottom"/>
            <w:gridSpan w:val="18"/>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13</w:t>
            </w:r>
          </w:p>
        </w:tc>
        <w:tc>
          <w:tcPr>
            <w:tcW w:w="620" w:type="dxa"/>
            <w:vAlign w:val="bottom"/>
          </w:tcPr>
          <w:p>
            <w:pPr>
              <w:spacing w:after="0"/>
              <w:rPr>
                <w:sz w:val="18"/>
                <w:szCs w:val="18"/>
                <w:color w:val="auto"/>
              </w:rPr>
            </w:pPr>
          </w:p>
        </w:tc>
        <w:tc>
          <w:tcPr>
            <w:tcW w:w="2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6"/>
              </w:rPr>
              <w:t>Fair Value Measurements</w:t>
            </w:r>
          </w:p>
        </w:tc>
        <w:tc>
          <w:tcPr>
            <w:tcW w:w="6380" w:type="dxa"/>
            <w:vAlign w:val="bottom"/>
            <w:gridSpan w:val="9"/>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14</w:t>
            </w:r>
          </w:p>
        </w:tc>
        <w:tc>
          <w:tcPr>
            <w:tcW w:w="620" w:type="dxa"/>
            <w:vAlign w:val="bottom"/>
          </w:tcPr>
          <w:p>
            <w:pPr>
              <w:spacing w:after="0"/>
              <w:rPr>
                <w:sz w:val="18"/>
                <w:szCs w:val="18"/>
                <w:color w:val="auto"/>
              </w:rPr>
            </w:pPr>
          </w:p>
        </w:tc>
        <w:tc>
          <w:tcPr>
            <w:tcW w:w="1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3"/>
              </w:rPr>
              <w:t>Income Taxes</w:t>
            </w:r>
          </w:p>
        </w:tc>
        <w:tc>
          <w:tcPr>
            <w:tcW w:w="7280" w:type="dxa"/>
            <w:vAlign w:val="bottom"/>
            <w:gridSpan w:val="16"/>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0"/>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15</w:t>
            </w:r>
          </w:p>
        </w:tc>
        <w:tc>
          <w:tcPr>
            <w:tcW w:w="620" w:type="dxa"/>
            <w:vAlign w:val="bottom"/>
          </w:tcPr>
          <w:p>
            <w:pPr>
              <w:spacing w:after="0"/>
              <w:rPr>
                <w:sz w:val="18"/>
                <w:szCs w:val="18"/>
                <w:color w:val="auto"/>
              </w:rPr>
            </w:pPr>
          </w:p>
        </w:tc>
        <w:tc>
          <w:tcPr>
            <w:tcW w:w="8380" w:type="dxa"/>
            <w:vAlign w:val="bottom"/>
            <w:gridSpan w:val="22"/>
          </w:tcPr>
          <w:p>
            <w:pPr>
              <w:spacing w:after="0"/>
              <w:rPr>
                <w:sz w:val="20"/>
                <w:szCs w:val="20"/>
                <w:color w:val="auto"/>
              </w:rPr>
            </w:pPr>
            <w:r>
              <w:rPr>
                <w:rFonts w:ascii="Arial" w:cs="Arial" w:eastAsia="Arial" w:hAnsi="Arial"/>
                <w:sz w:val="18"/>
                <w:szCs w:val="18"/>
                <w:color w:val="0000FF"/>
              </w:rPr>
              <w:t>Special Items</w:t>
            </w:r>
          </w:p>
        </w:tc>
        <w:tc>
          <w:tcPr>
            <w:tcW w:w="1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16</w:t>
            </w:r>
          </w:p>
        </w:tc>
        <w:tc>
          <w:tcPr>
            <w:tcW w:w="620" w:type="dxa"/>
            <w:vAlign w:val="bottom"/>
          </w:tcPr>
          <w:p>
            <w:pPr>
              <w:spacing w:after="0"/>
              <w:rPr>
                <w:sz w:val="18"/>
                <w:szCs w:val="18"/>
                <w:color w:val="auto"/>
              </w:rPr>
            </w:pPr>
          </w:p>
        </w:tc>
        <w:tc>
          <w:tcPr>
            <w:tcW w:w="15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Stockholders' Equity</w:t>
            </w:r>
          </w:p>
        </w:tc>
        <w:tc>
          <w:tcPr>
            <w:tcW w:w="6800" w:type="dxa"/>
            <w:vAlign w:val="bottom"/>
            <w:gridSpan w:val="14"/>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17</w:t>
            </w:r>
          </w:p>
        </w:tc>
        <w:tc>
          <w:tcPr>
            <w:tcW w:w="620" w:type="dxa"/>
            <w:vAlign w:val="bottom"/>
          </w:tcPr>
          <w:p>
            <w:pPr>
              <w:spacing w:after="0"/>
              <w:rPr>
                <w:sz w:val="18"/>
                <w:szCs w:val="18"/>
                <w:color w:val="auto"/>
              </w:rPr>
            </w:pPr>
          </w:p>
        </w:tc>
        <w:tc>
          <w:tcPr>
            <w:tcW w:w="26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7"/>
              </w:rPr>
              <w:t>Commitments and Contingencies</w:t>
            </w:r>
          </w:p>
        </w:tc>
        <w:tc>
          <w:tcPr>
            <w:tcW w:w="5780" w:type="dxa"/>
            <w:vAlign w:val="bottom"/>
            <w:gridSpan w:val="6"/>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18</w:t>
            </w:r>
          </w:p>
        </w:tc>
        <w:tc>
          <w:tcPr>
            <w:tcW w:w="620" w:type="dxa"/>
            <w:vAlign w:val="bottom"/>
          </w:tcPr>
          <w:p>
            <w:pPr>
              <w:spacing w:after="0"/>
              <w:rPr>
                <w:sz w:val="18"/>
                <w:szCs w:val="18"/>
                <w:color w:val="auto"/>
              </w:rPr>
            </w:pPr>
          </w:p>
        </w:tc>
        <w:tc>
          <w:tcPr>
            <w:tcW w:w="16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Operating Segments</w:t>
            </w:r>
          </w:p>
        </w:tc>
        <w:tc>
          <w:tcPr>
            <w:tcW w:w="6780" w:type="dxa"/>
            <w:vAlign w:val="bottom"/>
            <w:gridSpan w:val="13"/>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0"/>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19</w:t>
            </w:r>
          </w:p>
        </w:tc>
        <w:tc>
          <w:tcPr>
            <w:tcW w:w="620" w:type="dxa"/>
            <w:vAlign w:val="bottom"/>
          </w:tcPr>
          <w:p>
            <w:pPr>
              <w:spacing w:after="0"/>
              <w:rPr>
                <w:sz w:val="18"/>
                <w:szCs w:val="18"/>
                <w:color w:val="auto"/>
              </w:rPr>
            </w:pPr>
          </w:p>
        </w:tc>
        <w:tc>
          <w:tcPr>
            <w:tcW w:w="8380" w:type="dxa"/>
            <w:vAlign w:val="bottom"/>
            <w:gridSpan w:val="22"/>
          </w:tcPr>
          <w:p>
            <w:pPr>
              <w:spacing w:after="0"/>
              <w:rPr>
                <w:sz w:val="20"/>
                <w:szCs w:val="20"/>
                <w:color w:val="auto"/>
              </w:rPr>
            </w:pPr>
            <w:r>
              <w:rPr>
                <w:rFonts w:ascii="Arial" w:cs="Arial" w:eastAsia="Arial" w:hAnsi="Arial"/>
                <w:sz w:val="18"/>
                <w:szCs w:val="18"/>
                <w:color w:val="0000FF"/>
              </w:rPr>
              <w:t>Parent Company Financial Statements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8"/>
              </w:rPr>
              <w:t>Note 20</w:t>
            </w:r>
          </w:p>
        </w:tc>
        <w:tc>
          <w:tcPr>
            <w:tcW w:w="620" w:type="dxa"/>
            <w:vAlign w:val="bottom"/>
          </w:tcPr>
          <w:p>
            <w:pPr>
              <w:spacing w:after="0"/>
              <w:rPr>
                <w:sz w:val="18"/>
                <w:szCs w:val="18"/>
                <w:color w:val="auto"/>
              </w:rPr>
            </w:pPr>
          </w:p>
        </w:tc>
        <w:tc>
          <w:tcPr>
            <w:tcW w:w="302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Subsequent Events</w:t>
            </w:r>
          </w:p>
        </w:tc>
        <w:tc>
          <w:tcPr>
            <w:tcW w:w="5360" w:type="dxa"/>
            <w:vAlign w:val="bottom"/>
            <w:gridSpan w:val="4"/>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915"/>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Borders>
              <w:top w:val="single" w:sz="8" w:color="0000FF"/>
            </w:tcBorders>
            <w:gridSpan w:val="7"/>
          </w:tcPr>
          <w:p>
            <w:pPr>
              <w:spacing w:after="0"/>
              <w:rPr>
                <w:sz w:val="24"/>
                <w:szCs w:val="24"/>
                <w:color w:val="auto"/>
              </w:rPr>
            </w:pPr>
          </w:p>
        </w:tc>
        <w:tc>
          <w:tcPr>
            <w:tcW w:w="4000" w:type="dxa"/>
            <w:vAlign w:val="bottom"/>
            <w:gridSpan w:val="14"/>
          </w:tcPr>
          <w:p>
            <w:pPr>
              <w:jc w:val="right"/>
              <w:ind w:right="1060"/>
              <w:spacing w:after="0"/>
              <w:rPr>
                <w:sz w:val="20"/>
                <w:szCs w:val="20"/>
                <w:color w:val="auto"/>
              </w:rPr>
            </w:pPr>
            <w:r>
              <w:rPr>
                <w:rFonts w:ascii="Arial" w:cs="Arial" w:eastAsia="Arial" w:hAnsi="Arial"/>
                <w:sz w:val="18"/>
                <w:szCs w:val="18"/>
                <w:color w:val="auto"/>
              </w:rPr>
              <w:t>78</w:t>
            </w:r>
          </w:p>
        </w:tc>
        <w:tc>
          <w:tcPr>
            <w:tcW w:w="2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Sun Country Airlines Holdings, Inc. and subsidiaries (the Company) as of December 31, 2025 and 2024, the related consolidated statements of operations, comprehensive income, changes in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Sufficiency of audit evidence over aircraft transactions</w:t>
      </w:r>
    </w:p>
    <w:p>
      <w:pPr>
        <w:spacing w:after="0" w:line="25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discussed in Note 6 to the consolidated financial statements, the Company operates 70 aircraft, including 47 passenger aircraft, 20 cargo aircraft, and 3 aircraft on lease to unaffiliated airlines. During the year ended December 31, 2025, the Company accepted delivery of three passenger aircraft that were previously leased to unaffiliated airlines and received and placed in-service eight cargo aircraft. As of December 31, 2025, the Company recorded total aircraft and flight equipment of $861,100 thousand, aircraft and flight equipment held for operating lease of $62,923 thousand, and finance lease assets of $309,877 thousand.</w:t>
      </w:r>
    </w:p>
    <w:p>
      <w:pPr>
        <w:spacing w:after="0" w:line="206"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We identified the evaluation of the sufficiency of audit evidence over the Company’s aircraft transactions as a critical audit matter. The volume and magnitude of the transactions facilitating the revenue generating activities of the Company required subjective auditor judgement in determining the nature and extent of procedures to perform and in evaluating those procedures.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subjective auditor judgment to determine the nature and extent of procedures to be performed over aircraft transactions. We evaluated the design and tested the operating effectiveness of certain internal controls over the Company’s identification and recording of aircraft transactions and related financial statement disclosures. We inquired with management, including the general counsel, regarding executed aircraft transactions, read meeting minutes of the Company’s board of directors and compared the Company’s records of its existing fleet of aircraft to third-party external information. For each aircraft transaction, we evaluated the amounts recorded by the Company and the related presentation by comparing such amounts to relevant underlying documentation, including purchase agreements, cash settlement, and contractual lease agreements. We evaluated the sufficiency of the audit evidence obtained by assessing the results of procedures performed including the appropriateness of the nature and extent of such evidence.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144,684</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21,357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17,252</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89,629</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104,053</w:t>
            </w:r>
          </w:p>
        </w:tc>
        <w:tc>
          <w:tcPr>
            <w:tcW w:w="0" w:type="dxa"/>
            <w:vAlign w:val="bottom"/>
          </w:tcPr>
          <w:p>
            <w:pPr>
              <w:spacing w:after="0"/>
              <w:rPr>
                <w:sz w:val="1"/>
                <w:szCs w:val="1"/>
                <w:color w:val="auto"/>
              </w:rPr>
            </w:pPr>
          </w:p>
        </w:tc>
      </w:tr>
      <w:tr>
        <w:trPr>
          <w:trHeight w:val="184"/>
        </w:trPr>
        <w:tc>
          <w:tcPr>
            <w:tcW w:w="7200" w:type="dxa"/>
            <w:vAlign w:val="bottom"/>
          </w:tcPr>
          <w:p>
            <w:pPr>
              <w:ind w:left="180"/>
              <w:spacing w:after="0" w:line="183" w:lineRule="exact"/>
              <w:rPr>
                <w:sz w:val="20"/>
                <w:szCs w:val="20"/>
                <w:color w:val="auto"/>
              </w:rPr>
            </w:pPr>
            <w:r>
              <w:rPr>
                <w:rFonts w:ascii="Arial" w:cs="Arial" w:eastAsia="Arial" w:hAnsi="Arial"/>
                <w:sz w:val="18"/>
                <w:szCs w:val="18"/>
                <w:color w:val="auto"/>
              </w:rPr>
              <w:t>Accounts Receivable, net of an allowance for credit losses of $408 and $617,</w:t>
            </w:r>
          </w:p>
        </w:tc>
        <w:tc>
          <w:tcPr>
            <w:tcW w:w="4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53,722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35,296</w:t>
            </w:r>
          </w:p>
        </w:tc>
        <w:tc>
          <w:tcPr>
            <w:tcW w:w="0" w:type="dxa"/>
            <w:vAlign w:val="bottom"/>
          </w:tcPr>
          <w:p>
            <w:pPr>
              <w:spacing w:after="0"/>
              <w:rPr>
                <w:sz w:val="1"/>
                <w:szCs w:val="1"/>
                <w:color w:val="auto"/>
              </w:rPr>
            </w:pPr>
          </w:p>
        </w:tc>
      </w:tr>
      <w:tr>
        <w:trPr>
          <w:trHeight w:val="235"/>
        </w:trPr>
        <w:tc>
          <w:tcPr>
            <w:tcW w:w="72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Lessor Maintenance Deposits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Inventory, net of a reserve for obsolescence of $1,214 and $784, respectively</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11,844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368,216</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266,584</w:t>
            </w:r>
          </w:p>
        </w:tc>
        <w:tc>
          <w:tcPr>
            <w:tcW w:w="0" w:type="dxa"/>
            <w:vAlign w:val="bottom"/>
          </w:tcPr>
          <w:p>
            <w:pPr>
              <w:spacing w:after="0"/>
              <w:rPr>
                <w:sz w:val="1"/>
                <w:szCs w:val="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Property &amp; Equipment, net:</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and Flight Equipment</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861,100</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775,210</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Aircraft and Flight Equipment Held for Operating Lease</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62,923</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124,383</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Equipment and Leasehold Improvements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46,550</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Computer Hardware and Software</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24,926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22,436</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309,877</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Rotable Parts</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31,676</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26,626</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&amp; Equipment</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1,341,267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1,305,082</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 &amp; Amortization</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(414,246)</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(334,993)</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&amp; Equipment, net</w:t>
            </w:r>
          </w:p>
        </w:tc>
        <w:tc>
          <w:tcPr>
            <w:tcW w:w="4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927,021</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970,089</w:t>
            </w:r>
          </w:p>
        </w:tc>
        <w:tc>
          <w:tcPr>
            <w:tcW w:w="0" w:type="dxa"/>
            <w:vAlign w:val="bottom"/>
          </w:tcPr>
          <w:p>
            <w:pPr>
              <w:spacing w:after="0"/>
              <w:rPr>
                <w:sz w:val="1"/>
                <w:szCs w:val="1"/>
                <w:color w:val="auto"/>
              </w:rPr>
            </w:pPr>
          </w:p>
        </w:tc>
      </w:tr>
      <w:tr>
        <w:trPr>
          <w:trHeight w:val="236"/>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0" w:type="dxa"/>
            <w:vAlign w:val="bottom"/>
          </w:tcPr>
          <w:p>
            <w:pPr>
              <w:spacing w:after="0"/>
              <w:rPr>
                <w:sz w:val="1"/>
                <w:szCs w:val="1"/>
                <w:color w:val="auto"/>
              </w:rPr>
            </w:pPr>
          </w:p>
        </w:tc>
      </w:tr>
      <w:tr>
        <w:trPr>
          <w:trHeight w:val="224"/>
        </w:trPr>
        <w:tc>
          <w:tcPr>
            <w:tcW w:w="7200" w:type="dxa"/>
            <w:vAlign w:val="bottom"/>
          </w:tcPr>
          <w:p>
            <w:pPr>
              <w:ind w:left="180"/>
              <w:spacing w:after="0"/>
              <w:rPr>
                <w:sz w:val="20"/>
                <w:szCs w:val="20"/>
                <w:color w:val="auto"/>
              </w:rPr>
            </w:pPr>
            <w:r>
              <w:rPr>
                <w:rFonts w:ascii="Arial" w:cs="Arial" w:eastAsia="Arial" w:hAnsi="Arial"/>
                <w:sz w:val="18"/>
                <w:szCs w:val="18"/>
                <w:color w:val="auto"/>
              </w:rPr>
              <w:t>Other Intangible Assets, net of accumulated amortization of $34,480 and $29,903,</w:t>
            </w:r>
          </w:p>
        </w:tc>
        <w:tc>
          <w:tcPr>
            <w:tcW w:w="480" w:type="dxa"/>
            <w:vAlign w:val="bottom"/>
          </w:tcPr>
          <w:p>
            <w:pPr>
              <w:spacing w:after="0"/>
              <w:rPr>
                <w:sz w:val="19"/>
                <w:szCs w:val="19"/>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73,261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77,838</w:t>
            </w:r>
          </w:p>
        </w:tc>
        <w:tc>
          <w:tcPr>
            <w:tcW w:w="0" w:type="dxa"/>
            <w:vAlign w:val="bottom"/>
          </w:tcPr>
          <w:p>
            <w:pPr>
              <w:spacing w:after="0"/>
              <w:rPr>
                <w:sz w:val="1"/>
                <w:szCs w:val="1"/>
                <w:color w:val="auto"/>
              </w:rPr>
            </w:pPr>
          </w:p>
        </w:tc>
      </w:tr>
      <w:tr>
        <w:trPr>
          <w:trHeight w:val="235"/>
        </w:trPr>
        <w:tc>
          <w:tcPr>
            <w:tcW w:w="72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52"/>
        </w:trPr>
        <w:tc>
          <w:tcPr>
            <w:tcW w:w="7200" w:type="dxa"/>
            <w:vAlign w:val="bottom"/>
          </w:tcPr>
          <w:p>
            <w:pPr>
              <w:ind w:left="180"/>
              <w:spacing w:after="0"/>
              <w:rPr>
                <w:sz w:val="20"/>
                <w:szCs w:val="20"/>
                <w:color w:val="auto"/>
              </w:rPr>
            </w:pPr>
            <w:r>
              <w:rPr>
                <w:rFonts w:ascii="Arial" w:cs="Arial" w:eastAsia="Arial" w:hAnsi="Arial"/>
                <w:sz w:val="18"/>
                <w:szCs w:val="18"/>
                <w:color w:val="auto"/>
              </w:rPr>
              <w:t>Aircraft Deposits</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5,575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61"/>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Lessor Maintenance Deposits</w:t>
            </w:r>
          </w:p>
        </w:tc>
        <w:tc>
          <w:tcPr>
            <w:tcW w:w="4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45,361</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53,624</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24,550</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4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385,227</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393,504</w:t>
            </w:r>
          </w:p>
        </w:tc>
        <w:tc>
          <w:tcPr>
            <w:tcW w:w="0" w:type="dxa"/>
            <w:vAlign w:val="bottom"/>
          </w:tcPr>
          <w:p>
            <w:pPr>
              <w:spacing w:after="0"/>
              <w:rPr>
                <w:sz w:val="1"/>
                <w:szCs w:val="1"/>
                <w:color w:val="auto"/>
              </w:rPr>
            </w:pPr>
          </w:p>
        </w:tc>
      </w:tr>
      <w:tr>
        <w:trPr>
          <w:trHeight w:val="255"/>
        </w:trPr>
        <w:tc>
          <w:tcPr>
            <w:tcW w:w="7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1,680,464</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1,630,177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8"/>
        </w:trPr>
        <w:tc>
          <w:tcPr>
            <w:tcW w:w="7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20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56,034</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Accrued Salaries, Wages, and Benefits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45,531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38,327</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Transportation Taxes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Air Traffic Liabilities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167,024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160,686</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Loyalty Program Liabilities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10,233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Current Maturities of Long-term Debt, net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68,017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87,579</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4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52"/>
        </w:trPr>
        <w:tc>
          <w:tcPr>
            <w:tcW w:w="720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55"/>
        </w:trPr>
        <w:tc>
          <w:tcPr>
            <w:tcW w:w="7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451,103</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422,290</w:t>
            </w:r>
          </w:p>
        </w:tc>
        <w:tc>
          <w:tcPr>
            <w:tcW w:w="0" w:type="dxa"/>
            <w:vAlign w:val="bottom"/>
          </w:tcPr>
          <w:p>
            <w:pPr>
              <w:spacing w:after="0"/>
              <w:rPr>
                <w:sz w:val="1"/>
                <w:szCs w:val="1"/>
                <w:color w:val="auto"/>
              </w:rPr>
            </w:pPr>
          </w:p>
        </w:tc>
      </w:tr>
      <w:tr>
        <w:trPr>
          <w:trHeight w:val="236"/>
        </w:trPr>
        <w:tc>
          <w:tcPr>
            <w:tcW w:w="7200" w:type="dxa"/>
            <w:vAlign w:val="bottom"/>
            <w:gridSpan w:val="3"/>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251,087</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Loyalty Program Liabilities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Long-term Debt, net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255,329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239,543</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23,566</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87,169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87,369</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Long-term Liabilities</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604,205</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637,514</w:t>
            </w:r>
          </w:p>
        </w:tc>
        <w:tc>
          <w:tcPr>
            <w:tcW w:w="0" w:type="dxa"/>
            <w:vAlign w:val="bottom"/>
          </w:tcPr>
          <w:p>
            <w:pPr>
              <w:spacing w:after="0"/>
              <w:rPr>
                <w:sz w:val="1"/>
                <w:szCs w:val="1"/>
                <w:color w:val="auto"/>
              </w:rPr>
            </w:pPr>
          </w:p>
        </w:tc>
      </w:tr>
      <w:tr>
        <w:trPr>
          <w:trHeight w:val="255"/>
        </w:trPr>
        <w:tc>
          <w:tcPr>
            <w:tcW w:w="7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1,055,308</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1,059,804</w:t>
            </w:r>
          </w:p>
        </w:tc>
        <w:tc>
          <w:tcPr>
            <w:tcW w:w="0" w:type="dxa"/>
            <w:vAlign w:val="bottom"/>
          </w:tcPr>
          <w:p>
            <w:pPr>
              <w:spacing w:after="0"/>
              <w:rPr>
                <w:sz w:val="1"/>
                <w:szCs w:val="1"/>
                <w:color w:val="auto"/>
              </w:rPr>
            </w:pPr>
          </w:p>
        </w:tc>
      </w:tr>
      <w:tr>
        <w:trPr>
          <w:trHeight w:val="169"/>
        </w:trPr>
        <w:tc>
          <w:tcPr>
            <w:tcW w:w="720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Commitments and Contingencies (</w:t>
            </w:r>
            <w:r>
              <w:rPr>
                <w:rFonts w:ascii="Arial" w:cs="Arial" w:eastAsia="Arial" w:hAnsi="Arial"/>
                <w:sz w:val="18"/>
                <w:szCs w:val="18"/>
                <w:b w:val="1"/>
                <w:bCs w:val="1"/>
                <w:color w:val="0000FF"/>
              </w:rPr>
              <w:t>Note 17</w:t>
            </w:r>
            <w:r>
              <w:rPr>
                <w:rFonts w:ascii="Arial" w:cs="Arial" w:eastAsia="Arial" w:hAnsi="Arial"/>
                <w:sz w:val="18"/>
                <w:szCs w:val="18"/>
                <w:b w:val="1"/>
                <w:bCs w:val="1"/>
                <w:color w:val="auto"/>
              </w:rPr>
              <w:t>)</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200" w:type="dxa"/>
            <w:vAlign w:val="bottom"/>
            <w:gridSpan w:val="3"/>
          </w:tcPr>
          <w:p>
            <w:pPr>
              <w:ind w:left="300"/>
              <w:spacing w:after="0" w:line="183" w:lineRule="exact"/>
              <w:rPr>
                <w:sz w:val="20"/>
                <w:szCs w:val="20"/>
                <w:color w:val="auto"/>
              </w:rPr>
            </w:pPr>
            <w:r>
              <w:rPr>
                <w:rFonts w:ascii="Arial" w:cs="Arial" w:eastAsia="Arial" w:hAnsi="Arial"/>
                <w:sz w:val="18"/>
                <w:szCs w:val="18"/>
                <w:color w:val="auto"/>
              </w:rPr>
              <w:t>Common Stock with $0.01 par value, 995,000,000 shares authorized, 61,040,329 and</w:t>
            </w: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200" w:type="dxa"/>
            <w:vAlign w:val="bottom"/>
            <w:gridSpan w:val="3"/>
          </w:tcPr>
          <w:p>
            <w:pPr>
              <w:ind w:left="460"/>
              <w:spacing w:after="0" w:line="181" w:lineRule="exact"/>
              <w:rPr>
                <w:sz w:val="20"/>
                <w:szCs w:val="20"/>
                <w:color w:val="auto"/>
              </w:rPr>
            </w:pPr>
            <w:r>
              <w:rPr>
                <w:rFonts w:ascii="Arial" w:cs="Arial" w:eastAsia="Arial" w:hAnsi="Arial"/>
                <w:sz w:val="18"/>
                <w:szCs w:val="18"/>
                <w:color w:val="auto"/>
              </w:rPr>
              <w:t>59,500,970 issued and 53,223,302 and 53,157,964 outstanding at December 31,</w:t>
            </w:r>
          </w:p>
        </w:tc>
        <w:tc>
          <w:tcPr>
            <w:tcW w:w="48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7200" w:type="dxa"/>
            <w:vAlign w:val="bottom"/>
            <w:gridSpan w:val="3"/>
          </w:tcPr>
          <w:p>
            <w:pPr>
              <w:ind w:left="460"/>
              <w:spacing w:after="0"/>
              <w:rPr>
                <w:sz w:val="20"/>
                <w:szCs w:val="20"/>
                <w:color w:val="auto"/>
              </w:rPr>
            </w:pPr>
            <w:r>
              <w:rPr>
                <w:rFonts w:ascii="Arial" w:cs="Arial" w:eastAsia="Arial" w:hAnsi="Arial"/>
                <w:sz w:val="18"/>
                <w:szCs w:val="18"/>
                <w:color w:val="auto"/>
              </w:rPr>
              <w:t>2025 and 2024, respectively</w:t>
            </w:r>
          </w:p>
        </w:tc>
        <w:tc>
          <w:tcPr>
            <w:tcW w:w="48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Preferred Stock with $0.01 par value, 5,000,000 shares authorized, no shares issued</w:t>
            </w:r>
          </w:p>
        </w:tc>
        <w:tc>
          <w:tcPr>
            <w:tcW w:w="480" w:type="dxa"/>
            <w:vAlign w:val="bottom"/>
            <w:shd w:val="clear" w:color="auto" w:fill="CCEEFF"/>
          </w:tcPr>
          <w:p>
            <w:pPr>
              <w:spacing w:after="0"/>
              <w:rPr>
                <w:sz w:val="19"/>
                <w:szCs w:val="19"/>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2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and outstanding at December 31, 2025 and 2024, respectively</w:t>
            </w:r>
          </w:p>
        </w:tc>
        <w:tc>
          <w:tcPr>
            <w:tcW w:w="480" w:type="dxa"/>
            <w:vAlign w:val="bottom"/>
            <w:shd w:val="clear" w:color="auto" w:fill="CCEEFF"/>
          </w:tcPr>
          <w:p>
            <w:pPr>
              <w:spacing w:after="0"/>
              <w:rPr>
                <w:sz w:val="20"/>
                <w:szCs w:val="20"/>
                <w:color w:val="auto"/>
              </w:rPr>
            </w:pPr>
          </w:p>
        </w:tc>
        <w:tc>
          <w:tcPr>
            <w:tcW w:w="158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0" w:type="dxa"/>
            <w:vAlign w:val="bottom"/>
            <w:gridSpan w:val="3"/>
          </w:tcPr>
          <w:p>
            <w:pPr>
              <w:ind w:left="300"/>
              <w:spacing w:after="0"/>
              <w:rPr>
                <w:sz w:val="20"/>
                <w:szCs w:val="20"/>
                <w:color w:val="auto"/>
              </w:rPr>
            </w:pPr>
            <w:r>
              <w:rPr>
                <w:rFonts w:ascii="Arial" w:cs="Arial" w:eastAsia="Arial" w:hAnsi="Arial"/>
                <w:sz w:val="18"/>
                <w:szCs w:val="18"/>
                <w:color w:val="auto"/>
              </w:rPr>
              <w:t>Treasury Stock, at cost, 7,817,027 and 6,343,006 shares held at December 31, 2025</w:t>
            </w:r>
          </w:p>
        </w:tc>
        <w:tc>
          <w:tcPr>
            <w:tcW w:w="480" w:type="dxa"/>
            <w:vAlign w:val="bottom"/>
          </w:tcPr>
          <w:p>
            <w:pPr>
              <w:spacing w:after="0"/>
              <w:rPr>
                <w:sz w:val="19"/>
                <w:szCs w:val="19"/>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(125,881)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(105,866)</w:t>
            </w:r>
          </w:p>
        </w:tc>
        <w:tc>
          <w:tcPr>
            <w:tcW w:w="0" w:type="dxa"/>
            <w:vAlign w:val="bottom"/>
          </w:tcPr>
          <w:p>
            <w:pPr>
              <w:spacing w:after="0"/>
              <w:rPr>
                <w:sz w:val="1"/>
                <w:szCs w:val="1"/>
                <w:color w:val="auto"/>
              </w:rPr>
            </w:pPr>
          </w:p>
        </w:tc>
      </w:tr>
      <w:tr>
        <w:trPr>
          <w:trHeight w:val="235"/>
        </w:trPr>
        <w:tc>
          <w:tcPr>
            <w:tcW w:w="7200" w:type="dxa"/>
            <w:vAlign w:val="bottom"/>
            <w:gridSpan w:val="3"/>
          </w:tcPr>
          <w:p>
            <w:pPr>
              <w:ind w:left="460"/>
              <w:spacing w:after="0"/>
              <w:rPr>
                <w:sz w:val="20"/>
                <w:szCs w:val="20"/>
                <w:color w:val="auto"/>
              </w:rPr>
            </w:pPr>
            <w:r>
              <w:rPr>
                <w:rFonts w:ascii="Arial" w:cs="Arial" w:eastAsia="Arial" w:hAnsi="Arial"/>
                <w:sz w:val="18"/>
                <w:szCs w:val="18"/>
                <w:color w:val="auto"/>
              </w:rPr>
              <w:t>and 2024, respectively</w:t>
            </w:r>
          </w:p>
        </w:tc>
        <w:tc>
          <w:tcPr>
            <w:tcW w:w="4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550,471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528,604</w:t>
            </w:r>
          </w:p>
        </w:tc>
        <w:tc>
          <w:tcPr>
            <w:tcW w:w="0" w:type="dxa"/>
            <w:vAlign w:val="bottom"/>
          </w:tcPr>
          <w:p>
            <w:pPr>
              <w:spacing w:after="0"/>
              <w:rPr>
                <w:sz w:val="1"/>
                <w:szCs w:val="1"/>
                <w:color w:val="auto"/>
              </w:rPr>
            </w:pPr>
          </w:p>
        </w:tc>
      </w:tr>
      <w:tr>
        <w:trPr>
          <w:trHeight w:val="252"/>
        </w:trPr>
        <w:tc>
          <w:tcPr>
            <w:tcW w:w="720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199,941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147,132</w:t>
            </w:r>
          </w:p>
        </w:tc>
        <w:tc>
          <w:tcPr>
            <w:tcW w:w="0" w:type="dxa"/>
            <w:vAlign w:val="bottom"/>
          </w:tcPr>
          <w:p>
            <w:pPr>
              <w:spacing w:after="0"/>
              <w:rPr>
                <w:sz w:val="1"/>
                <w:szCs w:val="1"/>
                <w:color w:val="auto"/>
              </w:rPr>
            </w:pPr>
          </w:p>
        </w:tc>
      </w:tr>
      <w:tr>
        <w:trPr>
          <w:trHeight w:val="261"/>
        </w:trPr>
        <w:tc>
          <w:tcPr>
            <w:tcW w:w="7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625,156</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570,373</w:t>
            </w:r>
          </w:p>
        </w:tc>
        <w:tc>
          <w:tcPr>
            <w:tcW w:w="0" w:type="dxa"/>
            <w:vAlign w:val="bottom"/>
          </w:tcPr>
          <w:p>
            <w:pPr>
              <w:spacing w:after="0"/>
              <w:rPr>
                <w:sz w:val="1"/>
                <w:szCs w:val="1"/>
                <w:color w:val="auto"/>
              </w:rPr>
            </w:pPr>
          </w:p>
        </w:tc>
      </w:tr>
      <w:tr>
        <w:trPr>
          <w:trHeight w:val="275"/>
        </w:trPr>
        <w:tc>
          <w:tcPr>
            <w:tcW w:w="7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1,680,464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1,630,177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Passenger</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923,129</w:t>
            </w:r>
          </w:p>
        </w:tc>
        <w:tc>
          <w:tcPr>
            <w:tcW w:w="10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914,087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920,123</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w:t>
            </w: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1,126,769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1,049,620</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213,480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237,160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246,669</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326,775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295,640</w:t>
            </w: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46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60,588</w:t>
            </w: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37,506</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52"/>
        </w:trPr>
        <w:tc>
          <w:tcPr>
            <w:tcW w:w="530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105,457</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107,565</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1,026,196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969,753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922,120</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55"/>
        </w:trPr>
        <w:tc>
          <w:tcPr>
            <w:tcW w:w="5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Expense, net</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8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00" w:type="dxa"/>
            <w:vAlign w:val="bottom"/>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53,116,591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52,908,322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55,507,144</w:t>
            </w:r>
          </w:p>
        </w:tc>
        <w:tc>
          <w:tcPr>
            <w:tcW w:w="0" w:type="dxa"/>
            <w:vAlign w:val="bottom"/>
          </w:tcPr>
          <w:p>
            <w:pPr>
              <w:spacing w:after="0"/>
              <w:rPr>
                <w:sz w:val="1"/>
                <w:szCs w:val="1"/>
                <w:color w:val="auto"/>
              </w:rPr>
            </w:pP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54,860,147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55,055,897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58,524,652</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gains (losses) on Available-for-Sale securities,</w:t>
            </w: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240"/>
              <w:spacing w:after="0" w:line="181" w:lineRule="exact"/>
              <w:rPr>
                <w:sz w:val="20"/>
                <w:szCs w:val="20"/>
                <w:color w:val="auto"/>
              </w:rPr>
            </w:pPr>
            <w:r>
              <w:rPr>
                <w:rFonts w:ascii="Arial" w:cs="Arial" w:eastAsia="Arial" w:hAnsi="Arial"/>
                <w:sz w:val="18"/>
                <w:szCs w:val="18"/>
                <w:color w:val="auto"/>
              </w:rPr>
              <w:t>net of deferred tax expense (benefit) of $30, $(8), and $222,</w:t>
            </w:r>
          </w:p>
        </w:tc>
        <w:tc>
          <w:tcPr>
            <w:tcW w:w="1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respectively</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4720"/>
        <w:spacing w:after="0" w:line="296" w:lineRule="auto"/>
        <w:rPr>
          <w:sz w:val="20"/>
          <w:szCs w:val="20"/>
          <w:color w:val="auto"/>
        </w:rPr>
      </w:pPr>
      <w:r>
        <w:rPr>
          <w:rFonts w:ascii="Arial" w:cs="Arial" w:eastAsia="Arial" w:hAnsi="Arial"/>
          <w:sz w:val="18"/>
          <w:szCs w:val="18"/>
          <w:b w:val="1"/>
          <w:bCs w:val="1"/>
          <w:color w:val="auto"/>
        </w:rPr>
        <w:t>CONSOLIDATED STATEMENTS OF CHANGES IN STOCKHOLDERS’ EQUITY (Dollars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3"/>
          </w:tcPr>
          <w:p>
            <w:pPr>
              <w:jc w:val="right"/>
              <w:ind w:right="331"/>
              <w:spacing w:after="0"/>
              <w:rPr>
                <w:sz w:val="20"/>
                <w:szCs w:val="20"/>
                <w:color w:val="auto"/>
              </w:rPr>
            </w:pPr>
            <w:r>
              <w:rPr>
                <w:rFonts w:ascii="Arial" w:cs="Arial" w:eastAsia="Arial" w:hAnsi="Arial"/>
                <w:sz w:val="9"/>
                <w:szCs w:val="9"/>
                <w:b w:val="1"/>
                <w:bCs w:val="1"/>
                <w:color w:val="auto"/>
              </w:rPr>
              <w:t>Common Stock</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Accumulated Other</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9"/>
                <w:szCs w:val="9"/>
                <w:b w:val="1"/>
                <w:bCs w:val="1"/>
                <w:color w:val="auto"/>
                <w:w w:val="99"/>
              </w:rPr>
              <w:t>Additional Paid-In</w:t>
            </w:r>
          </w:p>
        </w:tc>
        <w:tc>
          <w:tcPr>
            <w:tcW w:w="160" w:type="dxa"/>
            <w:vAlign w:val="bottom"/>
          </w:tcPr>
          <w:p>
            <w:pPr>
              <w:spacing w:after="0"/>
              <w:rPr>
                <w:sz w:val="3"/>
                <w:szCs w:val="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Retained</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9"/>
                <w:szCs w:val="9"/>
                <w:b w:val="1"/>
                <w:bCs w:val="1"/>
                <w:color w:val="auto"/>
                <w:w w:val="98"/>
              </w:rPr>
              <w:t>Comprehensive (Loss)</w:t>
            </w: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100" w:type="dxa"/>
            <w:vAlign w:val="bottom"/>
          </w:tcPr>
          <w:p>
            <w:pPr>
              <w:spacing w:after="0"/>
              <w:rPr>
                <w:sz w:val="4"/>
                <w:szCs w:val="4"/>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Warrants</w:t>
            </w:r>
          </w:p>
        </w:tc>
        <w:tc>
          <w:tcPr>
            <w:tcW w:w="1000" w:type="dxa"/>
            <w:vAlign w:val="bottom"/>
            <w:gridSpan w:val="2"/>
            <w:vMerge w:val="restart"/>
          </w:tcPr>
          <w:p>
            <w:pPr>
              <w:ind w:left="30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4"/>
                <w:szCs w:val="4"/>
                <w:color w:val="auto"/>
              </w:rPr>
            </w:pPr>
          </w:p>
        </w:tc>
        <w:tc>
          <w:tcPr>
            <w:tcW w:w="7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0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vMerge w:val="restart"/>
          </w:tcPr>
          <w:p>
            <w:pPr>
              <w:jc w:val="right"/>
              <w:ind w:right="31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Capital</w:t>
            </w:r>
          </w:p>
        </w:tc>
        <w:tc>
          <w:tcPr>
            <w:tcW w:w="160" w:type="dxa"/>
            <w:vAlign w:val="bottom"/>
          </w:tcPr>
          <w:p>
            <w:pPr>
              <w:spacing w:after="0"/>
              <w:rPr>
                <w:sz w:val="10"/>
                <w:szCs w:val="10"/>
                <w:color w:val="auto"/>
              </w:rPr>
            </w:pPr>
          </w:p>
        </w:tc>
        <w:tc>
          <w:tcPr>
            <w:tcW w:w="840" w:type="dxa"/>
            <w:vAlign w:val="bottom"/>
            <w:gridSpan w:val="2"/>
          </w:tcPr>
          <w:p>
            <w:pPr>
              <w:ind w:left="10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Income</w:t>
            </w:r>
          </w:p>
        </w:tc>
        <w:tc>
          <w:tcPr>
            <w:tcW w:w="2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2022</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2,402,268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58,217,647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CCEEFF"/>
            </w:tcBorders>
            <w:shd w:val="clear" w:color="auto" w:fill="CCEEFF"/>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5"/>
              </w:rPr>
              <w:t>582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892,409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(17,605)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488,494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22,048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(807)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492,712</w:t>
            </w: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661,076</w:t>
            </w: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2,653</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2,660</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Stock Settlement of Stock-Based Awards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406</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4,694,907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(76,728)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7,501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(69,227)</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72,181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72,181</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00" w:type="dxa"/>
            <w:vAlign w:val="bottom"/>
          </w:tcPr>
          <w:p>
            <w:pPr>
              <w:jc w:val="right"/>
              <w:spacing w:after="0"/>
              <w:rPr>
                <w:sz w:val="20"/>
                <w:szCs w:val="20"/>
                <w:color w:val="auto"/>
              </w:rPr>
            </w:pPr>
            <w:r>
              <w:rPr>
                <w:rFonts w:ascii="Arial" w:cs="Arial" w:eastAsia="Arial" w:hAnsi="Arial"/>
                <w:sz w:val="10"/>
                <w:szCs w:val="10"/>
                <w:color w:val="auto"/>
              </w:rPr>
              <w:t>821,825</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6,066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6,066</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9,274</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9,274</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745</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3,224,093</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58,878,723</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95"/>
              </w:rPr>
              <w:t>589</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5,587,722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(94,341)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513,988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94,229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514,403</w:t>
            </w: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Arial" w:cs="Arial" w:eastAsia="Arial" w:hAnsi="Arial"/>
                <w:sz w:val="10"/>
                <w:szCs w:val="10"/>
                <w:color w:val="auto"/>
              </w:rPr>
              <w:t>Stock issued for Stock-Based Awards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622,247</w:t>
            </w: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2,063</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2,069</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755,284</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(11,525)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(11,525)</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52,903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52,903</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Amazon Warrants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885,042</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6,533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6,533</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6,020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6,020</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33"/>
        </w:trPr>
        <w:tc>
          <w:tcPr>
            <w:tcW w:w="2100" w:type="dxa"/>
            <w:vAlign w:val="bottom"/>
          </w:tcPr>
          <w:p>
            <w:pPr>
              <w:ind w:left="20"/>
              <w:spacing w:after="0"/>
              <w:rPr>
                <w:sz w:val="20"/>
                <w:szCs w:val="20"/>
                <w:color w:val="auto"/>
              </w:rPr>
            </w:pPr>
            <w:r>
              <w:rPr>
                <w:rFonts w:ascii="Arial" w:cs="Arial" w:eastAsia="Arial" w:hAnsi="Arial"/>
                <w:sz w:val="10"/>
                <w:szCs w:val="10"/>
                <w:color w:val="auto"/>
              </w:rPr>
              <w:t>December 31, 2024</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4,109,135</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59,500,970</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95"/>
              </w:rPr>
              <w:t>595</w:t>
            </w: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6,343,006</w:t>
            </w:r>
          </w:p>
        </w:tc>
        <w:tc>
          <w:tcPr>
            <w:tcW w:w="100" w:type="dxa"/>
            <w:vAlign w:val="bottom"/>
          </w:tcPr>
          <w:p>
            <w:pPr>
              <w:spacing w:after="0"/>
              <w:rPr>
                <w:sz w:val="11"/>
                <w:szCs w:val="11"/>
                <w:color w:val="auto"/>
              </w:rPr>
            </w:pPr>
          </w:p>
        </w:tc>
        <w:tc>
          <w:tcPr>
            <w:tcW w:w="280" w:type="dxa"/>
            <w:vAlign w:val="bottom"/>
            <w:tcBorders>
              <w:top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(105,866)</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528,604</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147,132</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(92)</w:t>
            </w:r>
          </w:p>
        </w:tc>
        <w:tc>
          <w:tcPr>
            <w:tcW w:w="100" w:type="dxa"/>
            <w:vAlign w:val="bottom"/>
          </w:tcPr>
          <w:p>
            <w:pPr>
              <w:spacing w:after="0"/>
              <w:rPr>
                <w:sz w:val="11"/>
                <w:szCs w:val="11"/>
                <w:color w:val="auto"/>
              </w:rPr>
            </w:pPr>
          </w:p>
        </w:tc>
        <w:tc>
          <w:tcPr>
            <w:tcW w:w="22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570,373</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 issued for Stock-Based Awards</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1,539,359</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6,229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6,244</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Common Stock Repurchases and Excise Tax</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1,474,021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(20,015)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(20,015)</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52,809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52,809</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Amazon Warrants</w:t>
            </w:r>
          </w:p>
        </w:tc>
        <w:tc>
          <w:tcPr>
            <w:tcW w:w="900" w:type="dxa"/>
            <w:vAlign w:val="bottom"/>
          </w:tcPr>
          <w:p>
            <w:pPr>
              <w:jc w:val="right"/>
              <w:spacing w:after="0"/>
              <w:rPr>
                <w:sz w:val="20"/>
                <w:szCs w:val="20"/>
                <w:color w:val="auto"/>
              </w:rPr>
            </w:pPr>
            <w:r>
              <w:rPr>
                <w:rFonts w:ascii="Arial" w:cs="Arial" w:eastAsia="Arial" w:hAnsi="Arial"/>
                <w:sz w:val="10"/>
                <w:szCs w:val="10"/>
                <w:color w:val="auto"/>
              </w:rPr>
              <w:t>1,264,347</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9,333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9,333</w:t>
            </w:r>
          </w:p>
        </w:tc>
        <w:tc>
          <w:tcPr>
            <w:tcW w:w="0" w:type="dxa"/>
            <w:vAlign w:val="bottom"/>
          </w:tcPr>
          <w:p>
            <w:pPr>
              <w:spacing w:after="0"/>
              <w:rPr>
                <w:sz w:val="1"/>
                <w:szCs w:val="1"/>
                <w:color w:val="auto"/>
              </w:rPr>
            </w:pPr>
          </w:p>
        </w:tc>
      </w:tr>
      <w:tr>
        <w:trPr>
          <w:trHeight w:val="22"/>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Stock-based Compensation</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6,305</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6,305</w:t>
            </w: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22"/>
        </w:trPr>
        <w:tc>
          <w:tcPr>
            <w:tcW w:w="2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December 31,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5,373,482</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61,040,329</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95"/>
              </w:rPr>
              <w:t>610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7,817,027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(125,881)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550,471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199,941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625,156</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
        </w:trPr>
        <w:tc>
          <w:tcPr>
            <w:tcW w:w="6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4"/>
        </w:trPr>
        <w:tc>
          <w:tcPr>
            <w:tcW w:w="6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7"/>
              <w:spacing w:after="0"/>
              <w:rPr>
                <w:sz w:val="20"/>
                <w:szCs w:val="20"/>
                <w:color w:val="auto"/>
              </w:rPr>
            </w:pPr>
            <w:r>
              <w:rPr>
                <w:rFonts w:ascii="Arial" w:cs="Arial" w:eastAsia="Arial" w:hAnsi="Arial"/>
                <w:sz w:val="13"/>
                <w:szCs w:val="13"/>
                <w:b w:val="1"/>
                <w:bCs w:val="1"/>
                <w:color w:val="auto"/>
              </w:rPr>
              <w:t>2023</w:t>
            </w: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98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52,809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52,903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72,181</w:t>
            </w:r>
          </w:p>
        </w:tc>
      </w:tr>
      <w:tr>
        <w:trPr>
          <w:trHeight w:val="181"/>
        </w:trPr>
        <w:tc>
          <w:tcPr>
            <w:tcW w:w="6280" w:type="dxa"/>
            <w:vAlign w:val="bottom"/>
          </w:tcPr>
          <w:p>
            <w:pPr>
              <w:ind w:left="180"/>
              <w:spacing w:after="0"/>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
        </w:trPr>
        <w:tc>
          <w:tcPr>
            <w:tcW w:w="6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98,878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94,989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88,151</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Operating Lease Right-of-use Assets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4,291</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Gain on Asset Transactions, net</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(8,733)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(1,305)</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Deferred Income Taxes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17,164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14,427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21,886</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Amazon Warrants Expense</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4,518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4,357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6,066</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9,274</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2,419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2,080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(1,298)</w:t>
            </w:r>
          </w:p>
        </w:tc>
      </w:tr>
      <w:tr>
        <w:trPr>
          <w:trHeight w:val="181"/>
        </w:trPr>
        <w:tc>
          <w:tcPr>
            <w:tcW w:w="6280" w:type="dxa"/>
            <w:vAlign w:val="bottom"/>
          </w:tcPr>
          <w:p>
            <w:pPr>
              <w:ind w:left="180"/>
              <w:spacing w:after="0"/>
              <w:rPr>
                <w:sz w:val="20"/>
                <w:szCs w:val="20"/>
                <w:color w:val="auto"/>
              </w:rPr>
            </w:pPr>
            <w:r>
              <w:rPr>
                <w:rFonts w:ascii="Arial" w:cs="Arial" w:eastAsia="Arial" w:hAnsi="Arial"/>
                <w:sz w:val="13"/>
                <w:szCs w:val="13"/>
                <w:b w:val="1"/>
                <w:bCs w:val="1"/>
                <w:color w:val="auto"/>
              </w:rPr>
              <w:t>Changes in Operating Assets and Liabilities: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
        </w:trPr>
        <w:tc>
          <w:tcPr>
            <w:tcW w:w="6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Receivable</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(10,754)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11,223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(2,667)</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Inventory</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(5,041)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(1,458)</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Prepaid Expenses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(4,394)</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Lessor Maintenance Deposits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(15,712)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(12,047)</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Aircraft Deposits</w:t>
            </w:r>
          </w:p>
        </w:tc>
        <w:tc>
          <w:tcPr>
            <w:tcW w:w="9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(457)</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Other Assets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(3,573)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(2,881)</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3,491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(2,961)</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(3,028)</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Accrued Transportation Taxes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2,437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430</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Air Traffic Liabilities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6,339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Loyalty Program Liabilities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864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(1,701)</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Operating Lease Obligations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(3,281)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(4,387)</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Other Liabilities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6,626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4,616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7,463</w:t>
            </w:r>
          </w:p>
        </w:tc>
      </w:tr>
      <w:tr>
        <w:trPr>
          <w:trHeight w:val="28"/>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157,106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164,862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174,120</w:t>
            </w:r>
          </w:p>
        </w:tc>
      </w:tr>
      <w:tr>
        <w:trPr>
          <w:trHeight w:val="161"/>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35"/>
        </w:trPr>
        <w:tc>
          <w:tcPr>
            <w:tcW w:w="6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Property &amp; Equipment</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(73,128)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(47,332)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(218,160)</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Proceeds from the Sale of Property &amp; Equipment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19,250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17,166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4,953</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Investments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(66,553)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(92,404)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(95,535)</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Proceeds from the Maturities of Investments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81,228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130,125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137,220</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291</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(39,005)</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8,397</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(171,231)</w:t>
            </w:r>
          </w:p>
        </w:tc>
      </w:tr>
      <w:tr>
        <w:trPr>
          <w:trHeight w:val="28"/>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Common Stock Repurchases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(20,015)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(12,134)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(68,585)</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from Borrowings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108,000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119,200</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Repayment of Finance Lease Obligations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(20,175)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(45,942)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(21,883)</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Repayment of Borrowings</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(111,711)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(145,518)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(69,276)</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Tax Receivable Agreement Payment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(3,350)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(2,425)</w:t>
            </w:r>
          </w:p>
        </w:tc>
      </w:tr>
      <w:tr>
        <w:trPr>
          <w:trHeight w:val="28"/>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net</w:t>
            </w:r>
          </w:p>
        </w:tc>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832</w:t>
            </w:r>
          </w:p>
        </w:tc>
      </w:tr>
      <w:tr>
        <w:trPr>
          <w:trHeight w:val="168"/>
        </w:trPr>
        <w:tc>
          <w:tcPr>
            <w:tcW w:w="6280" w:type="dxa"/>
            <w:vAlign w:val="bottom"/>
          </w:tcPr>
          <w:p>
            <w:pPr>
              <w:ind w:left="360"/>
              <w:spacing w:after="0"/>
              <w:rPr>
                <w:sz w:val="20"/>
                <w:szCs w:val="20"/>
                <w:color w:val="auto"/>
              </w:rPr>
            </w:pPr>
            <w:r>
              <w:rPr>
                <w:rFonts w:ascii="Arial" w:cs="Arial" w:eastAsia="Arial" w:hAnsi="Arial"/>
                <w:sz w:val="13"/>
                <w:szCs w:val="13"/>
                <w:b w:val="1"/>
                <w:bCs w:val="1"/>
                <w:color w:val="auto"/>
              </w:rPr>
              <w:t>Net Cash Used in Financing Activities</w:t>
            </w: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(52,531)</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(136,468)</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(42,137)</w:t>
            </w:r>
          </w:p>
        </w:tc>
      </w:tr>
      <w:tr>
        <w:trPr>
          <w:trHeight w:val="28"/>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65,570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36,791</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(39,248)</w:t>
            </w:r>
          </w:p>
        </w:tc>
      </w:tr>
      <w:tr>
        <w:trPr>
          <w:trHeight w:val="181"/>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100,471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63,680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102,928</w:t>
            </w: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98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166,041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100,471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63,680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
        </w:trPr>
        <w:tc>
          <w:tcPr>
            <w:tcW w:w="6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628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7"/>
              <w:spacing w:after="0"/>
              <w:rPr>
                <w:sz w:val="20"/>
                <w:szCs w:val="20"/>
                <w:color w:val="auto"/>
              </w:rPr>
            </w:pPr>
            <w:r>
              <w:rPr>
                <w:rFonts w:ascii="Arial" w:cs="Arial" w:eastAsia="Arial" w:hAnsi="Arial"/>
                <w:sz w:val="13"/>
                <w:szCs w:val="13"/>
                <w:b w:val="1"/>
                <w:bCs w:val="1"/>
                <w:color w:val="auto"/>
              </w:rPr>
              <w:t>2023</w:t>
            </w:r>
          </w:p>
        </w:tc>
      </w:tr>
      <w:tr>
        <w:trPr>
          <w:trHeight w:val="21"/>
        </w:trPr>
        <w:tc>
          <w:tcPr>
            <w:tcW w:w="6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Cash Payments for Interest</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34,950</w:t>
            </w:r>
          </w:p>
        </w:tc>
        <w:tc>
          <w:tcPr>
            <w:tcW w:w="10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42,784</w:t>
            </w:r>
          </w:p>
        </w:tc>
        <w:tc>
          <w:tcPr>
            <w:tcW w:w="80" w:type="dxa"/>
            <w:vAlign w:val="bottom"/>
          </w:tcPr>
          <w:p>
            <w:pPr>
              <w:spacing w:after="0"/>
              <w:rPr>
                <w:sz w:val="15"/>
                <w:szCs w:val="15"/>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41,454</w:t>
            </w: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Income Taxes Paid:</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5"/>
        </w:trPr>
        <w:tc>
          <w:tcPr>
            <w:tcW w:w="6280" w:type="dxa"/>
            <w:vAlign w:val="bottom"/>
          </w:tcPr>
          <w:p>
            <w:pPr>
              <w:ind w:left="240"/>
              <w:spacing w:after="0"/>
              <w:rPr>
                <w:sz w:val="20"/>
                <w:szCs w:val="20"/>
                <w:color w:val="auto"/>
              </w:rPr>
            </w:pPr>
            <w:r>
              <w:rPr>
                <w:rFonts w:ascii="Arial" w:cs="Arial" w:eastAsia="Arial" w:hAnsi="Arial"/>
                <w:sz w:val="13"/>
                <w:szCs w:val="13"/>
                <w:color w:val="auto"/>
              </w:rPr>
              <w:t>Federal</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3,923</w:t>
            </w:r>
          </w:p>
        </w:tc>
        <w:tc>
          <w:tcPr>
            <w:tcW w:w="10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5"/>
                <w:szCs w:val="15"/>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1,280</w:t>
            </w: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State</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69"/>
        </w:trPr>
        <w:tc>
          <w:tcPr>
            <w:tcW w:w="6280" w:type="dxa"/>
            <w:vAlign w:val="bottom"/>
          </w:tcPr>
          <w:p>
            <w:pPr>
              <w:ind w:left="360"/>
              <w:spacing w:after="0"/>
              <w:rPr>
                <w:sz w:val="20"/>
                <w:szCs w:val="20"/>
                <w:color w:val="auto"/>
              </w:rPr>
            </w:pPr>
            <w:r>
              <w:rPr>
                <w:rFonts w:ascii="Arial" w:cs="Arial" w:eastAsia="Arial" w:hAnsi="Arial"/>
                <w:sz w:val="13"/>
                <w:szCs w:val="13"/>
                <w:b w:val="1"/>
                <w:bCs w:val="1"/>
                <w:color w:val="auto"/>
              </w:rPr>
              <w:t>Total</w:t>
            </w:r>
          </w:p>
        </w:tc>
        <w:tc>
          <w:tcPr>
            <w:tcW w:w="1040" w:type="dxa"/>
            <w:vAlign w:val="bottom"/>
            <w:tcBorders>
              <w:top w:val="single" w:sz="8" w:color="auto"/>
            </w:tcBorders>
          </w:tcPr>
          <w:p>
            <w:pPr>
              <w:jc w:val="right"/>
              <w:ind w:right="89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4,399</w:t>
            </w:r>
          </w:p>
        </w:tc>
        <w:tc>
          <w:tcPr>
            <w:tcW w:w="100" w:type="dxa"/>
            <w:vAlign w:val="bottom"/>
          </w:tcPr>
          <w:p>
            <w:pPr>
              <w:spacing w:after="0"/>
              <w:rPr>
                <w:sz w:val="14"/>
                <w:szCs w:val="14"/>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392</w:t>
            </w: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1,498</w:t>
            </w:r>
          </w:p>
        </w:tc>
      </w:tr>
      <w:tr>
        <w:trPr>
          <w:trHeight w:val="28"/>
        </w:trPr>
        <w:tc>
          <w:tcPr>
            <w:tcW w:w="6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9"/>
        </w:trPr>
        <w:tc>
          <w:tcPr>
            <w:tcW w:w="628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Non-cash transactions:</w:t>
            </w:r>
          </w:p>
        </w:tc>
        <w:tc>
          <w:tcPr>
            <w:tcW w:w="10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Aircraft and Flight Equipment Acquired under Finance Leases</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40,116</w:t>
            </w:r>
          </w:p>
        </w:tc>
        <w:tc>
          <w:tcPr>
            <w:tcW w:w="80" w:type="dxa"/>
            <w:vAlign w:val="bottom"/>
          </w:tcPr>
          <w:p>
            <w:pPr>
              <w:spacing w:after="0"/>
              <w:rPr>
                <w:sz w:val="15"/>
                <w:szCs w:val="15"/>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18,419</w:t>
            </w: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Changes to Finance Lease Assets due to Lease Modifications</w:t>
            </w:r>
          </w:p>
        </w:tc>
        <w:tc>
          <w:tcPr>
            <w:tcW w:w="10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6,513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26,427</w:t>
            </w:r>
          </w:p>
        </w:tc>
      </w:tr>
      <w:tr>
        <w:trPr>
          <w:trHeight w:val="144"/>
        </w:trPr>
        <w:tc>
          <w:tcPr>
            <w:tcW w:w="6280" w:type="dxa"/>
            <w:vAlign w:val="bottom"/>
          </w:tcPr>
          <w:p>
            <w:pPr>
              <w:ind w:left="180"/>
              <w:spacing w:after="0" w:line="144" w:lineRule="exact"/>
              <w:rPr>
                <w:sz w:val="20"/>
                <w:szCs w:val="20"/>
                <w:color w:val="auto"/>
              </w:rPr>
            </w:pPr>
            <w:r>
              <w:rPr>
                <w:rFonts w:ascii="Arial" w:cs="Arial" w:eastAsia="Arial" w:hAnsi="Arial"/>
                <w:sz w:val="13"/>
                <w:szCs w:val="13"/>
                <w:color w:val="auto"/>
              </w:rPr>
              <w:t>Aircraft and Flight Equipment Acquired from Exercise of Finance Lease Purchase Option, net of</w:t>
            </w: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6"/>
        </w:trPr>
        <w:tc>
          <w:tcPr>
            <w:tcW w:w="6280" w:type="dxa"/>
            <w:vAlign w:val="bottom"/>
          </w:tcPr>
          <w:p>
            <w:pPr>
              <w:ind w:left="260"/>
              <w:spacing w:after="0"/>
              <w:rPr>
                <w:sz w:val="20"/>
                <w:szCs w:val="20"/>
                <w:color w:val="auto"/>
              </w:rPr>
            </w:pPr>
            <w:r>
              <w:rPr>
                <w:rFonts w:ascii="Arial" w:cs="Arial" w:eastAsia="Arial" w:hAnsi="Arial"/>
                <w:sz w:val="13"/>
                <w:szCs w:val="13"/>
                <w:color w:val="auto"/>
              </w:rPr>
              <w:t>Accumulated Depreciation</w:t>
            </w:r>
          </w:p>
        </w:tc>
        <w:tc>
          <w:tcPr>
            <w:tcW w:w="10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40,632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2,386</w:t>
            </w: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Property &amp; Equipment in Accounts Payable</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2,921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3,219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3,035</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Property &amp; Equipment Acquired through Maintenance Contract Incentive Liability</w:t>
            </w:r>
          </w:p>
        </w:tc>
        <w:tc>
          <w:tcPr>
            <w:tcW w:w="10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10,307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2,149</w:t>
            </w: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Maintenance Rights Asset Capitalized into Aircraft and Flight Equipment upon End of Lease</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8,750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5,054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280" w:type="dxa"/>
            <w:vAlign w:val="bottom"/>
          </w:tcPr>
          <w:p>
            <w:pPr>
              <w:ind w:left="180"/>
              <w:spacing w:after="0"/>
              <w:rPr>
                <w:sz w:val="20"/>
                <w:szCs w:val="20"/>
                <w:color w:val="auto"/>
              </w:rPr>
            </w:pPr>
            <w:r>
              <w:rPr>
                <w:rFonts w:ascii="Arial" w:cs="Arial" w:eastAsia="Arial" w:hAnsi="Arial"/>
                <w:sz w:val="13"/>
                <w:szCs w:val="13"/>
                <w:color w:val="auto"/>
              </w:rPr>
              <w:t>Maintenance Rights Asset Converted to Accounts Receivable upon End of Lease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7,340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6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5"/>
        </w:trPr>
        <w:tc>
          <w:tcPr>
            <w:tcW w:w="6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Settlement of Accelerated Share Repurchase Program</w:t>
            </w:r>
          </w:p>
        </w:tc>
        <w:tc>
          <w:tcPr>
            <w:tcW w:w="10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7,501</w:t>
            </w:r>
          </w:p>
        </w:tc>
      </w:tr>
      <w:tr>
        <w:trPr>
          <w:trHeight w:val="28"/>
        </w:trPr>
        <w:tc>
          <w:tcPr>
            <w:tcW w:w="6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270" w:right="339" w:bottom="0" w:gutter="0" w:footer="0" w:header="0"/>
        </w:sectPr>
      </w:pPr>
    </w:p>
    <w:bookmarkStart w:id="86" w:name="page87"/>
    <w:bookmarkEnd w:id="86"/>
    <w:p>
      <w:pPr>
        <w:spacing w:after="0" w:line="286" w:lineRule="auto"/>
        <w:rPr>
          <w:sz w:val="20"/>
          <w:szCs w:val="20"/>
          <w:color w:val="auto"/>
        </w:rPr>
      </w:pPr>
      <w:r>
        <w:rPr>
          <w:rFonts w:ascii="Arial" w:cs="Arial" w:eastAsia="Arial" w:hAnsi="Arial"/>
          <w:sz w:val="18"/>
          <w:szCs w:val="18"/>
          <w:color w:val="auto"/>
        </w:rPr>
        <w:t>The following provides a reconciliation of Cash, Cash Equivalents and Restricted Cash to the amounts reported on the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
        </w:trPr>
        <w:tc>
          <w:tcPr>
            <w:tcW w:w="6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4"/>
        </w:trPr>
        <w:tc>
          <w:tcPr>
            <w:tcW w:w="628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b w:val="1"/>
                <w:bCs w:val="1"/>
                <w:color w:val="auto"/>
              </w:rPr>
              <w:t>2025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597"/>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7"/>
              <w:spacing w:after="0"/>
              <w:rPr>
                <w:sz w:val="20"/>
                <w:szCs w:val="20"/>
                <w:color w:val="auto"/>
              </w:rPr>
            </w:pPr>
            <w:r>
              <w:rPr>
                <w:rFonts w:ascii="Arial" w:cs="Arial" w:eastAsia="Arial" w:hAnsi="Arial"/>
                <w:sz w:val="13"/>
                <w:szCs w:val="13"/>
                <w:b w:val="1"/>
                <w:bCs w:val="1"/>
                <w:color w:val="auto"/>
              </w:rPr>
              <w:t>2023</w:t>
            </w: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02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144,684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83,219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46,279</w:t>
            </w:r>
          </w:p>
        </w:tc>
      </w:tr>
      <w:tr>
        <w:trPr>
          <w:trHeight w:val="175"/>
        </w:trPr>
        <w:tc>
          <w:tcPr>
            <w:tcW w:w="628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21,357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17,252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17,401</w:t>
            </w:r>
          </w:p>
        </w:tc>
      </w:tr>
      <w:tr>
        <w:trPr>
          <w:trHeight w:val="28"/>
        </w:trPr>
        <w:tc>
          <w:tcPr>
            <w:tcW w:w="6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102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166,041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100,471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63,680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collegiate and professional sports teams, wholesale tour operators, schools, companies and other individual entities for air transportation to various U.S. and international destinations. Except as otherwise stated, the financial information, accounting policies, and activities of Sun Country Airlines Holdings, Inc. are referred to as those of the "Company" or "Sun Country".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Principles of Consolidation – </w:t>
      </w:r>
      <w:r>
        <w:rPr>
          <w:rFonts w:ascii="Arial" w:cs="Arial" w:eastAsia="Arial" w:hAnsi="Arial"/>
          <w:sz w:val="18"/>
          <w:szCs w:val="18"/>
          <w:color w:val="auto"/>
        </w:rPr>
        <w:t>The consolidated financial statements include the accounts of Sun Country Airlines Holdings,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have been prepared in accordance with U.S. GAAP. All material intercompany balances and transactions have been eliminated in consolidation. The Company reclassified certain prior period amounts to conform to the current period presentation. The Company operates its fiscal year on a calendar year basis.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revenues and expenses and the disclosure of contingent assets and liabilities at the date of the financial statements and the reported amounts of revenues and expenses during the reporting periods. Actual results could differ from those estimates. Significant areas of judgment relate to passenger revenue recognition, maintenance under the built-in overhaul method, lease accounting, impairment of long-lived and other intangible assets, and air traffic liabilities.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Consolidated Financial Statements.</w:t>
      </w:r>
    </w:p>
    <w:p>
      <w:pPr>
        <w:spacing w:after="0" w:line="15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A summary of significant accounting policies consistently applied in the preparation of the accompanying financial statements is as follows: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Scheduled Service, Charter, and most ancillary revenues are recognized when the passenger flight occurs.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exclude amounts collected on behalf of other parties, including transportation taxes.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Scheduled Service. </w:t>
      </w:r>
      <w:r>
        <w:rPr>
          <w:rFonts w:ascii="Arial" w:cs="Arial" w:eastAsia="Arial" w:hAnsi="Arial"/>
          <w:sz w:val="18"/>
          <w:szCs w:val="18"/>
          <w:color w:val="auto"/>
        </w:rPr>
        <w:t>The Company initially defers ticket sales as an Air Traffic Liability and recognizes revenue when the passenger flight</w:t>
      </w:r>
      <w:r>
        <w:rPr>
          <w:rFonts w:ascii="Arial" w:cs="Arial" w:eastAsia="Arial" w:hAnsi="Arial"/>
          <w:sz w:val="18"/>
          <w:szCs w:val="18"/>
          <w:i w:val="1"/>
          <w:iCs w:val="1"/>
          <w:color w:val="auto"/>
        </w:rPr>
        <w:t xml:space="preserve"> </w:t>
      </w:r>
      <w:r>
        <w:rPr>
          <w:rFonts w:ascii="Arial" w:cs="Arial" w:eastAsia="Arial" w:hAnsi="Arial"/>
          <w:sz w:val="18"/>
          <w:szCs w:val="18"/>
          <w:color w:val="auto"/>
        </w:rPr>
        <w:t>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Travel credits may generally be redeemed toward future travel for up to 12 months after the date of the original booking. Therefore, these credits are recorded as a current liability on the Company's Consolidated Balance Sheets. The Company records an estimate for travel credits that will expire unused, otherwise known as breakage, in Passenger Revenue upon issuance of the travel credit. The estimated breakage rate is primarily based on historical experience of travel credit activity and other factors that may not be indicative of future trends, such as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 The Company currently accounts for direct selling costs, including credit card fees, and commissions, in accordance with the terms of each service. The expense is deferred and recognized when the travel occurs.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other fees and on-board sales, which are recognized when the associated flight occurs. Revenue for change fees is deferred and recognized when the passenger travel occurs. Fees received in advance of the flight date are initially recorded as an Air Traffic Liability.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Our Charter business includes ad hoc, repeat, short-term and long-term service contracts that typically include pass-through fuel</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Under these Charter agreements, the Company is obligated to provide aircraft, crew, maintenance, and insurance for travel. Customers are generally responsible for aircraft fuel, transportation taxes, and certain other flight expenses, which are typically arranged by the Company. When functioning as the customers' agent for arranging such services, the Company records amounts reimbursable from the customer as revenues, net of the associated costs incurred to fulfill the performance obligations. In certain situations, the Company may be responsible for the aforementioned costs and is reimbursed by the customer. In these situations, the Company is the principal. The reimbursed costs are recognized as revenue and the costs are recognized as expenses on the Company's Statement of Operations.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is recognized as the services are performed based on Block Hours operated on behalf of customers. The costs of obtaining the Company's Charter contracts are not material.</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In December 2019, the Company signed the ATSA with Amazon. In June 2024, the Company entered into the A&amp;R ATSA with</w:t>
      </w:r>
      <w:r>
        <w:rPr>
          <w:rFonts w:ascii="Arial" w:cs="Arial" w:eastAsia="Arial" w:hAnsi="Arial"/>
          <w:sz w:val="18"/>
          <w:szCs w:val="18"/>
          <w:i w:val="1"/>
          <w:iCs w:val="1"/>
          <w:color w:val="auto"/>
        </w:rPr>
        <w:t xml:space="preserve"> </w:t>
      </w:r>
      <w:r>
        <w:rPr>
          <w:rFonts w:ascii="Arial" w:cs="Arial" w:eastAsia="Arial" w:hAnsi="Arial"/>
          <w:sz w:val="18"/>
          <w:szCs w:val="18"/>
          <w:color w:val="auto"/>
        </w:rPr>
        <w:t>Amazon that increased the number of Boeing 737-800 cargo aircraft that Sun Country operates on behalf of Amazon from 12 to 20 in 2025. During 2025, all eight additional aircraft were received and placed in-service. In early 2026, the Company agreed to operate another two additional cargo aircraft on behalf of Amazon. This will increase the total aircraft that Sun Country operates on behalf of Amazon from 20 to</w:t>
      </w:r>
    </w:p>
    <w:p>
      <w:pPr>
        <w:spacing w:after="0" w:line="2" w:lineRule="exact"/>
        <w:rPr>
          <w:sz w:val="20"/>
          <w:szCs w:val="20"/>
          <w:color w:val="auto"/>
        </w:rPr>
      </w:pPr>
    </w:p>
    <w:p>
      <w:pPr>
        <w:jc w:val="both"/>
        <w:ind w:firstLine="8"/>
        <w:spacing w:after="0" w:line="258" w:lineRule="auto"/>
        <w:tabs>
          <w:tab w:leader="none" w:pos="3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A&amp;R ATSA includes an initial six-year term, which expires in October 2030. The agreement includes two additional, two-year renewal terms exercisable at Amazon's option, and a subsequent three-year renewal term subject to mutual written agreement, which, if not agreed to, will trigger a final two-year wind-down term. The ATSA has annual rate escalations.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A&amp;R ATSA contains three performance obligations: Flight Services, Heavy Maintenance and Fuel; all of which are unchanged from the original ATSA.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A&amp;R ATSA with Amazon consists of three main components of consideration, which are unchanged from the original ATSA; a fixed amount is received each month per aircraft, a fixed amount is received each month per flight, and an amount per block hour is received each month. The A&amp;R ATSA contains a SLA and penalties for certain delays and cancellations. The SLA can result in a bonus or penalty for the month depending on the Company's performance. The economics of the three main components of consideration and the SLA for the A&amp;R ATSA have been revised from the original ATSA. When determining the transaction price, the Company will estimate the variable consideration and consideration payable to Amazon over the contract term. Each period, the Company updates its estimate for the variable consideration and consideration payable to the customer and treats the adjustment as an adjustment to the transaction price. When updating the estimate, the Company considers whether there are any changes in expected block hours, changes in expected bonuses or penalties based on performance, changes in warrants expected to be issued, and changes in reimbursable costs.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A&amp;R ATSA.</w:t>
      </w:r>
    </w:p>
    <w:p>
      <w:pPr>
        <w:spacing w:after="0" w:line="2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Loyalty Program Accounting </w:t>
      </w:r>
      <w:r>
        <w:rPr>
          <w:rFonts w:ascii="Arial" w:cs="Arial" w:eastAsia="Arial" w:hAnsi="Arial"/>
          <w:sz w:val="18"/>
          <w:szCs w:val="18"/>
          <w:color w:val="auto"/>
        </w:rPr>
        <w:t>– The Company records a liability for loyalty points earned by passengers under its Sun Country Rewards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using two methods: 1) a liability for points that are earned by passengers 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purchases of the Company’s services is established by deferring revenue based on the redemption value net of breakage, and 2) a liability for points attributed to loyalty points issued to the Company’s co-branded credit card holders is established by deferring a portion of payments received from the Company’s co-branded agreement.</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Sun Country Rewards program allows for the redemption of loyalty points to include payment towards air travel, taxes, and other ancillary purchases.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 The Company estimates breakage for loyalty points that are not likely to be redeemed. These estimates are based on historical experience of loyalty point redemption activity and other factors, such as program changes and modifications that could affect the ultimate usage pattern of loyalty points. The current portion of the Loyalty Point Liability is an estimate based on historical redemption patterns over the past 12 months.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maintains a co-branded Credit Card Program. In March 2025, the Company entered into a new Credit Card Program, which launched in the third quarter of 2025. Subject to certain exceptions, the Credit Card Program has a term of seven years following its launch. Individuals with a co-branded Sun Country credit card receive points for spend incurred on the co-branded credit card, as well as additional elements. These elements include one free alcoholic beverage per flight, 50% discount on seat selection fees, 50% discount on baggage fees, 25% off in-flight food and beverage purchases, as well as priority boarding. The Company is responsible for providing these goods and services.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Company's co-branded credit card program, funds received for the marketing of a co-branded credit card, delivery of additional elements, and delivery of loyalty points are accounted for as a multiple-deliverable arrangement. The arrangement has three distinct performance obligations: loyalty points to be awarded, brand and marketing, and additional elements (which is inclusive of the ancillary products described above). Funds received are allocated between the performance obligations on a relative standalone selling price. Revenue for the brand and marketing performance obligation is recognized as revenue when earned and recorded in Other Revenue. Consideration allocated to the additional elements is recognized as revenue when earned and recorded within Ancillary Revenue. Consideration allocated to loyalty points is deferred and recognized as Passenger Revenue when both the loyalty points have been redeemed and the passenger travel occurs.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 The Company considers all highly liquid investments with an original maturity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including certificates of deposit with maturities less than 90 days. The Company maintains cash balances at several financial institutions; at times, such balances may be in excess of insurance limits. The Company has not experienced any losses on these balances.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The Company's Restricted Cash balance primarily relates to Charter revenue receipts received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transportation. These amounts are also recorded as a component of the Company's Air Traffic Liabilities. DOT regulations require that Charter revenue receipts received prior to the date of transportation are maintained in a separate third-party escrow account. The restrictions are released once transportation is provided, which is typically within 12 months of booking. For that reason, the balance of Restricted Cash is classified as a current asset on the Company's Consolidated Balance Sheets.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The Company's investments consist of Debt Securities and Certificates of Deposit with maturities greater than 90 days.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of Deposit are recorded at cost, plus accrued interest. These certificates serve as collateral for letters of credit required by various airports and other vendors.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Debt Securities are classified as Current Assets on the Consolidated Balance Sheets because the securities are highly liquid and are available to be quickly converted into known amounts of cash to fund current operations. These investments have original maturities of three months or greater. As of December 31, 2025, all of the Company's outstanding Debt Securities will mature by June 2027. The Company limits its exposure to any one issuer or market sector and largely limits its investments to investment grade quality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Securities downgraded below policy minimums after purchase will be disposed of in accordance with the Company’s investment policy.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Debt Securities are classified as Available-for-Sale and are reported at fair value on the Company's Consolidated Balance Sheets. Unrealized gains and losses on the Company's Available-for-Sale securities are excluded from Net Income and are reported as a component of Accumulated Other Comprehensive Income, net of income tax effects, within Stockholders' Equity on the Consolidated Balance Sheets until realized. Realized gains and losses are recorded using the specific identification method and reflected in Other, net within Non-operating Income (Expense), net on the Company's Consolidated Statement of Operations. The Company did not realize any gains or losses on its Available-for-Sale investments for the years ended December 31, 2025, 2024 and 2023. Premiums and discounts recorded on Available-for-Sale debt securities are accounted for in Interest Income within Non-operating Income (Expense), net on the Company's Consolidated Statement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each reporting period, the Company assesses its Available-for-Sale investments in an unrealized loss position to determine whether an impairment exists. The Company will record an impairment if management intends to sell an impaired security, will likely be required to sell a security before recovery of the entire amortized cost, or the same level of collectible cash flows from the security is no longer expected. The entire impairment will be included in Other, net within Non-operating Income (Expense), net on the Company's Consolidated Statement of Operations. The Company did not recognize any impairment losses on its Available-for-Sale investments for the years ended December 31, 2025, 2024 and 2023.</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are recorded at the amount due from customers and do not bear interest. They consist</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amounts due from Amazon, credit card companies associated with ticket sales and Charter customers. The Company's Accounts Receivable balances at December 31, 2025 and 2024 also included $3,639 and $612, respectively, due from aircraft lessors related to maintenance deposits. Accounts outstanding longer than the contractual payment terms are considered past due. The Company determines its allowance for credit losses by considering a number of factors, including the length of time accounts receivable are past due, the Company’s previous loss history, the customer’s current ability to pay its obligation to the Company, and the condition of the general economy and the industry as a whole.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Lessor Maintenance Deposits </w:t>
      </w:r>
      <w:r>
        <w:rPr>
          <w:rFonts w:ascii="Arial" w:cs="Arial" w:eastAsia="Arial" w:hAnsi="Arial"/>
          <w:sz w:val="18"/>
          <w:szCs w:val="18"/>
          <w:color w:val="auto"/>
        </w:rPr>
        <w:t>– Certain of the Company’s aircraft lease agreements provide that the Company pay maintenance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to aircraft lessors to be held as collateral in advance of major maintenance activities required to be performed by the Company. Generally, maintenance reserve payments are variable based on actual flight hours or cycles. These lease agreements provide that maintenance reserves are reimbursable to the Company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the Company upon performance of maintenance activities. Upon completion of the maintenance event, the lessor is billed and the amount due is recorded in Accounts Receivable. Lessor Maintenance Deposits deemed improbable of recovery are expensed as incurred and recorded within Aircraft Rent.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makes certain assumptions at the inception of the lease and at each Balance Sheet date to determine the recoverability of maintenance deposits. These assumptions are based on various factors, such as the estimated time between the maintenance events, the cost of such maintenance events, the date the aircraft is due to be returned to the lessor, and the estimated number of flight hours and cycles the aircraft is to be utilized before it is purchased or returned to the lessor. Changes in estimates are accounted for on a prospective basis. As of December 31, 2025, all maintenance deposits are estimated to be recoverable either through reimbursable maintenance events or through application towards the purchase of the aircraft.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Inventory primarily consist of expendable parts related to flight equipment, which cannot be economically repaired, reconditioned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or reused after removal from the aircraft, are carried at average cost and charged to operations as consumed. An allowance for obsolescence and excess is provided over the remaining useful life of the related fleet for spare parts expected to be on hand at the date that aircraft type is retired from service. These parts are assumed to have an estimated residual value of 10% of the original cost.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Lease classification is evaluated by the Company at lease commencement and when significant amendments are executed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leases generally do not provide a readily determinable implicit rate; therefore, the Company estimates the incremental borrowing rate to discount lease payments based on information available at lease commencement. The lease term consists of the noncancellable period of the lease and periods covered by options to extend the lease if the Company is reasonably certain to exercise the option. For leases of 12 months or less, the Company expenses lease payments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Right-of-Use Asset and Liabilities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all operating leases with a term greater than 12 months, the Company recognizes a right-of-use asset and a lease liability at the lease commencement date based on the estimated present value of future minimum lease payments, which includes certain lease and non-lease components, over the lease term. Operating Lease Right-of-use Assets and Operating Lease Obligations have their own lines on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Finance leases are initially recorded at the net present value of future minimum lease payments, which includes certain lease and non-lease components. Finance leases generally have one of these five attributes: 1) ownership of the underlying asset transfers to the Company at the end of the lease term, 2) the lease agreement contains a purchase option that the Company is reasonably certain to exercise, 3) the lease term represents the major part of the asset’s economic life</w:t>
      </w:r>
      <w:r>
        <w:rPr>
          <w:rFonts w:ascii="Arial" w:cs="Arial" w:eastAsia="Arial" w:hAnsi="Arial"/>
          <w:sz w:val="18"/>
          <w:szCs w:val="18"/>
          <w:i w:val="1"/>
          <w:iCs w:val="1"/>
          <w:color w:val="auto"/>
        </w:rPr>
        <w:t>,</w:t>
      </w:r>
      <w:r>
        <w:rPr>
          <w:rFonts w:ascii="Arial" w:cs="Arial" w:eastAsia="Arial" w:hAnsi="Arial"/>
          <w:sz w:val="18"/>
          <w:szCs w:val="18"/>
          <w:color w:val="auto"/>
        </w:rPr>
        <w:t xml:space="preserve"> 4) the present value of lease payments over the lease term equals or exceeds substantially all of the fair value of the asset, and 5) the underlying asset is so specialized in nature that it provides no alternative use to the lessor after the lease term</w:t>
      </w:r>
      <w:r>
        <w:rPr>
          <w:rFonts w:ascii="Arial" w:cs="Arial" w:eastAsia="Arial" w:hAnsi="Arial"/>
          <w:sz w:val="18"/>
          <w:szCs w:val="18"/>
          <w:i w:val="1"/>
          <w:iCs w:val="1"/>
          <w:color w:val="auto"/>
        </w:rPr>
        <w:t>.</w:t>
      </w:r>
      <w:r>
        <w:rPr>
          <w:rFonts w:ascii="Arial" w:cs="Arial" w:eastAsia="Arial" w:hAnsi="Arial"/>
          <w:sz w:val="18"/>
          <w:szCs w:val="18"/>
          <w:color w:val="auto"/>
        </w:rPr>
        <w:t xml:space="preserve"> Finance Lease Assets are presented separately on the Consolidated Balance Sheets. The Company depreciates Finance Lease Assets consistent with its useful life policy presented within "Property &amp;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Leased Aircraft Return Costs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aircraft lease agreements often contain provisions that require the Company to return aircraft airframes, engines, and other aircraft components to the lessor in a certain condition or pay an amount to the lessor based on the airframe and engine's actual return condition. Lease return costs are recognized beginning when it is probable that such costs will be incurred and they can be estimated. The Company assesses the need to accrue lease return costs periodically throughout the year or whenever facts and circumstances warrant an assessment. When costs become both probable and estimable, lease return costs are expensed on the Consolidated Statements of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Property &amp; Equipment </w:t>
      </w:r>
      <w:r>
        <w:rPr>
          <w:rFonts w:ascii="Arial" w:cs="Arial" w:eastAsia="Arial" w:hAnsi="Arial"/>
          <w:sz w:val="18"/>
          <w:szCs w:val="18"/>
          <w:color w:val="auto"/>
        </w:rPr>
        <w:t>– Property and equipment are recorded at cost or fair value on the date of acquisition and depreciated,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 is ready for its intended use, on a straight-line basis to an estimated residual value over their estimated useful lives or lease term (if applicable), whichever is shorter,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Airframes </w:t>
            </w:r>
            <w:r>
              <w:rPr>
                <w:rFonts w:ascii="Arial" w:cs="Arial" w:eastAsia="Arial" w:hAnsi="Arial"/>
                <w:sz w:val="23"/>
                <w:szCs w:val="23"/>
                <w:color w:val="auto"/>
                <w:vertAlign w:val="superscript"/>
              </w:rPr>
              <w:t>(1)</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10-25 years (depending on age)</w:t>
            </w:r>
          </w:p>
        </w:tc>
        <w:tc>
          <w:tcPr>
            <w:tcW w:w="0" w:type="dxa"/>
            <w:vAlign w:val="bottom"/>
          </w:tcPr>
          <w:p>
            <w:pPr>
              <w:spacing w:after="0"/>
              <w:rPr>
                <w:sz w:val="1"/>
                <w:szCs w:val="1"/>
                <w:color w:val="auto"/>
              </w:rPr>
            </w:pPr>
          </w:p>
        </w:tc>
      </w:tr>
      <w:tr>
        <w:trPr>
          <w:trHeight w:val="256"/>
        </w:trPr>
        <w:tc>
          <w:tcPr>
            <w:tcW w:w="550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Engines – Core </w:t>
            </w:r>
            <w:r>
              <w:rPr>
                <w:rFonts w:ascii="Arial" w:cs="Arial" w:eastAsia="Arial" w:hAnsi="Arial"/>
                <w:sz w:val="23"/>
                <w:szCs w:val="23"/>
                <w:color w:val="auto"/>
                <w:vertAlign w:val="superscript"/>
              </w:rPr>
              <w:t>(2)</w:t>
            </w:r>
          </w:p>
        </w:tc>
        <w:tc>
          <w:tcPr>
            <w:tcW w:w="5740" w:type="dxa"/>
            <w:vAlign w:val="bottom"/>
          </w:tcPr>
          <w:p>
            <w:pPr>
              <w:ind w:left="140"/>
              <w:spacing w:after="0"/>
              <w:rPr>
                <w:sz w:val="20"/>
                <w:szCs w:val="20"/>
                <w:color w:val="auto"/>
              </w:rPr>
            </w:pPr>
            <w:r>
              <w:rPr>
                <w:rFonts w:ascii="Arial" w:cs="Arial" w:eastAsia="Arial" w:hAnsi="Arial"/>
                <w:sz w:val="18"/>
                <w:szCs w:val="18"/>
                <w:color w:val="auto"/>
              </w:rPr>
              <w:t>7 or 12 years (based on remaining cycles)</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Engines – Initial Greentime (time remaining until the first scheduled</w:t>
            </w:r>
          </w:p>
        </w:tc>
        <w:tc>
          <w:tcPr>
            <w:tcW w:w="574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scheduled maintenance event</w:t>
            </w:r>
          </w:p>
        </w:tc>
        <w:tc>
          <w:tcPr>
            <w:tcW w:w="0" w:type="dxa"/>
            <w:vAlign w:val="bottom"/>
          </w:tcPr>
          <w:p>
            <w:pPr>
              <w:spacing w:after="0"/>
              <w:rPr>
                <w:sz w:val="1"/>
                <w:szCs w:val="1"/>
                <w:color w:val="auto"/>
              </w:rPr>
            </w:pPr>
          </w:p>
        </w:tc>
      </w:tr>
      <w:tr>
        <w:trPr>
          <w:trHeight w:val="248"/>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 maintenance event)</w:t>
            </w:r>
          </w:p>
        </w:tc>
        <w:tc>
          <w:tcPr>
            <w:tcW w:w="57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500" w:type="dxa"/>
            <w:vAlign w:val="bottom"/>
          </w:tcPr>
          <w:p>
            <w:pPr>
              <w:ind w:left="20"/>
              <w:spacing w:after="0"/>
              <w:rPr>
                <w:sz w:val="20"/>
                <w:szCs w:val="20"/>
                <w:color w:val="auto"/>
              </w:rPr>
            </w:pPr>
            <w:r>
              <w:rPr>
                <w:rFonts w:ascii="Arial" w:cs="Arial" w:eastAsia="Arial" w:hAnsi="Arial"/>
                <w:sz w:val="18"/>
                <w:szCs w:val="18"/>
                <w:color w:val="auto"/>
              </w:rPr>
              <w:t>Leasehold Improvements, Aircraft, Other</w:t>
            </w:r>
          </w:p>
        </w:tc>
        <w:tc>
          <w:tcPr>
            <w:tcW w:w="5740" w:type="dxa"/>
            <w:vAlign w:val="bottom"/>
          </w:tcPr>
          <w:p>
            <w:pPr>
              <w:ind w:left="140"/>
              <w:spacing w:after="0"/>
              <w:rPr>
                <w:sz w:val="20"/>
                <w:szCs w:val="20"/>
                <w:color w:val="auto"/>
              </w:rPr>
            </w:pPr>
            <w:r>
              <w:rPr>
                <w:rFonts w:ascii="Arial" w:cs="Arial" w:eastAsia="Arial" w:hAnsi="Arial"/>
                <w:sz w:val="18"/>
                <w:szCs w:val="18"/>
                <w:color w:val="auto"/>
              </w:rPr>
              <w:t>3-25 years (or life of lease, if shorter)</w:t>
            </w:r>
          </w:p>
        </w:tc>
        <w:tc>
          <w:tcPr>
            <w:tcW w:w="0" w:type="dxa"/>
            <w:vAlign w:val="bottom"/>
          </w:tcPr>
          <w:p>
            <w:pPr>
              <w:spacing w:after="0"/>
              <w:rPr>
                <w:sz w:val="1"/>
                <w:szCs w:val="1"/>
                <w:color w:val="auto"/>
              </w:rPr>
            </w:pPr>
          </w:p>
        </w:tc>
      </w:tr>
      <w:tr>
        <w:trPr>
          <w:trHeight w:val="26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Ground Equipment</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52"/>
        </w:trPr>
        <w:tc>
          <w:tcPr>
            <w:tcW w:w="5500" w:type="dxa"/>
            <w:vAlign w:val="bottom"/>
          </w:tcPr>
          <w:p>
            <w:pPr>
              <w:ind w:left="20"/>
              <w:spacing w:after="0"/>
              <w:rPr>
                <w:sz w:val="20"/>
                <w:szCs w:val="20"/>
                <w:color w:val="auto"/>
              </w:rPr>
            </w:pPr>
            <w:r>
              <w:rPr>
                <w:rFonts w:ascii="Arial" w:cs="Arial" w:eastAsia="Arial" w:hAnsi="Arial"/>
                <w:sz w:val="18"/>
                <w:szCs w:val="18"/>
                <w:color w:val="auto"/>
              </w:rPr>
              <w:t>Computer Hardware and Software</w:t>
            </w:r>
          </w:p>
        </w:tc>
        <w:tc>
          <w:tcPr>
            <w:tcW w:w="5740" w:type="dxa"/>
            <w:vAlign w:val="bottom"/>
          </w:tcPr>
          <w:p>
            <w:pPr>
              <w:ind w:left="14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61"/>
        </w:trPr>
        <w:tc>
          <w:tcPr>
            <w:tcW w:w="550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Property and Equipment under Finance Leases </w:t>
            </w:r>
            <w:r>
              <w:rPr>
                <w:rFonts w:ascii="Arial" w:cs="Arial" w:eastAsia="Arial" w:hAnsi="Arial"/>
                <w:sz w:val="23"/>
                <w:szCs w:val="23"/>
                <w:color w:val="auto"/>
                <w:vertAlign w:val="superscript"/>
              </w:rPr>
              <w:t>(3)</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Lesser of the lease term or economic life</w:t>
            </w:r>
          </w:p>
        </w:tc>
        <w:tc>
          <w:tcPr>
            <w:tcW w:w="0" w:type="dxa"/>
            <w:vAlign w:val="bottom"/>
          </w:tcPr>
          <w:p>
            <w:pPr>
              <w:spacing w:after="0"/>
              <w:rPr>
                <w:sz w:val="1"/>
                <w:szCs w:val="1"/>
                <w:color w:val="auto"/>
              </w:rPr>
            </w:pPr>
          </w:p>
        </w:tc>
      </w:tr>
      <w:tr>
        <w:trPr>
          <w:trHeight w:val="211"/>
        </w:trPr>
        <w:tc>
          <w:tcPr>
            <w:tcW w:w="5500" w:type="dxa"/>
            <w:vAlign w:val="bottom"/>
          </w:tcPr>
          <w:p>
            <w:pPr>
              <w:ind w:left="20"/>
              <w:spacing w:after="0"/>
              <w:rPr>
                <w:sz w:val="20"/>
                <w:szCs w:val="20"/>
                <w:color w:val="auto"/>
              </w:rPr>
            </w:pPr>
            <w:r>
              <w:rPr>
                <w:rFonts w:ascii="Arial" w:cs="Arial" w:eastAsia="Arial" w:hAnsi="Arial"/>
                <w:sz w:val="18"/>
                <w:szCs w:val="18"/>
                <w:color w:val="auto"/>
              </w:rPr>
              <w:t>Rotable Parts</w:t>
            </w:r>
          </w:p>
        </w:tc>
        <w:tc>
          <w:tcPr>
            <w:tcW w:w="5740" w:type="dxa"/>
            <w:vAlign w:val="bottom"/>
          </w:tcPr>
          <w:p>
            <w:pPr>
              <w:ind w:left="140"/>
              <w:spacing w:after="0"/>
              <w:rPr>
                <w:sz w:val="20"/>
                <w:szCs w:val="20"/>
                <w:color w:val="auto"/>
              </w:rPr>
            </w:pPr>
            <w:r>
              <w:rPr>
                <w:rFonts w:ascii="Arial" w:cs="Arial" w:eastAsia="Arial" w:hAnsi="Arial"/>
                <w:sz w:val="18"/>
                <w:szCs w:val="18"/>
                <w:color w:val="auto"/>
              </w:rPr>
              <w:t>Average remaining life of aircraft fleet, currently estimated to be 8</w:t>
            </w:r>
          </w:p>
        </w:tc>
        <w:tc>
          <w:tcPr>
            <w:tcW w:w="0" w:type="dxa"/>
            <w:vAlign w:val="bottom"/>
          </w:tcPr>
          <w:p>
            <w:pPr>
              <w:spacing w:after="0"/>
              <w:rPr>
                <w:sz w:val="1"/>
                <w:szCs w:val="1"/>
                <w:color w:val="auto"/>
              </w:rPr>
            </w:pPr>
          </w:p>
        </w:tc>
      </w:tr>
      <w:tr>
        <w:trPr>
          <w:trHeight w:val="239"/>
        </w:trPr>
        <w:tc>
          <w:tcPr>
            <w:tcW w:w="5500" w:type="dxa"/>
            <w:vAlign w:val="bottom"/>
          </w:tcPr>
          <w:p>
            <w:pPr>
              <w:spacing w:after="0"/>
              <w:rPr>
                <w:sz w:val="20"/>
                <w:szCs w:val="20"/>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311"/>
        </w:trPr>
        <w:tc>
          <w:tcPr>
            <w:tcW w:w="550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80" w:hanging="554"/>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Airframes have an estimated residual value of $4,000.</w:t>
      </w:r>
    </w:p>
    <w:p>
      <w:pPr>
        <w:spacing w:after="0" w:line="49" w:lineRule="exact"/>
        <w:rPr>
          <w:rFonts w:ascii="Arial" w:cs="Arial" w:eastAsia="Arial" w:hAnsi="Arial"/>
          <w:sz w:val="18"/>
          <w:szCs w:val="18"/>
          <w:color w:val="auto"/>
        </w:rPr>
      </w:pPr>
    </w:p>
    <w:p>
      <w:pPr>
        <w:ind w:left="580" w:hanging="554"/>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Engines - Core have an estimated residual value of $1,500.</w:t>
      </w:r>
    </w:p>
    <w:p>
      <w:pPr>
        <w:spacing w:after="0" w:line="49" w:lineRule="exact"/>
        <w:rPr>
          <w:rFonts w:ascii="Arial" w:cs="Arial" w:eastAsia="Arial" w:hAnsi="Arial"/>
          <w:sz w:val="18"/>
          <w:szCs w:val="18"/>
          <w:color w:val="auto"/>
        </w:rPr>
      </w:pPr>
    </w:p>
    <w:p>
      <w:pPr>
        <w:jc w:val="both"/>
        <w:ind w:left="580" w:right="20" w:hanging="554"/>
        <w:spacing w:after="0" w:line="261"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finance leases where the Company is reasonably certain to exercise the purchase option, the lease asset value is assigned to the engine and airframe components which are depreciated on a straight-line basis in accordance with the useful lives outlined in the table above.</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tangible assets consist primarily of Aircraft and Flight Equipment, which are mobile across geographic markets. Therefore, assets are not allocated to specific geographic regions.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passenger aircraft fleet.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capitalizes certain costs of activities necessary to get the asset ready for its intended use. Capitalized interest represents interest costs incurred during the aircraft induction period, capitalization ceases when the asset is ready for service.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Airframe and Engine Maintenance </w:t>
      </w:r>
      <w:r>
        <w:rPr>
          <w:rFonts w:ascii="Arial" w:cs="Arial" w:eastAsia="Arial" w:hAnsi="Arial"/>
          <w:sz w:val="18"/>
          <w:szCs w:val="18"/>
          <w:color w:val="auto"/>
        </w:rPr>
        <w:t>– The Company accounts for non-major maintenance and repair costs incurred, as well as major</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costs of owned airframes, all leased airframes, and engines acquired via operating leases, using the expense as incurred method. Certain costs covered by third-party maintenance agreements are charged to expense based on fleet utilization, as defined by the contract. These expenses are reported as a component of Maintenance expense on the accompanying Consolidated Statements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applies the built-in overhaul method for significant maintenance costs of owned engines, as well as to engines acquired via finance leases where the Company is reasonably certain to exercise a purchase option. Under this method, engine values are separated into amounts for life limited parts and “greentime”, representing the value of the engine for the time on-wing remaining until the next anticipated major maintenance event. Life limited parts are capitalized based on catalog rates published by the original equipment manufacturer and depreciated over their estimated useful lives. Initial engine "greentime" and subsequent major engine maintenance events are capitalized and depreciated until the next anticipated major maintenance event, assuming no residual value. The period until the next scheduled major maintenance event is estimated based on assumptions such as estimated cycles, hours, and months, required maintenance intervals, and the age/condition of related parts. These assumptions may change based on forecasted aircraft utilization changes, updates to government regulations and manufacturer maintenance intervals, as well as unplanned incidents causing damage requiring a major maintenance event prior to a scheduled visit. If the estimated timing of the next maintenance event changes, the related depreciation period changes prospectively. These expenses are reported as a component of Depreciation and Amortization on the accompanying Consolidated Statements of Operations.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Maintenance Rights Asset </w:t>
      </w:r>
      <w:r>
        <w:rPr>
          <w:rFonts w:ascii="Arial" w:cs="Arial" w:eastAsia="Arial" w:hAnsi="Arial"/>
          <w:sz w:val="18"/>
          <w:szCs w:val="18"/>
          <w:color w:val="auto"/>
        </w:rPr>
        <w:t>- During the year ended December 31, 2023, the Company acquired five Boeing 737-900ERs that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were on lease to an unaffiliated airline. Upon purchase of the Owned Aircraft Held for Operating Lease, the Company recognized a Maintenance Rights Asset which represents the Company’s contractual right to receive the aircraft in a specified maintenance condition at the end of the lease. The acquired leases contain an end of lease compensation clause whereby the lessee is required to perform the maintenance tasks needed to physically restore the airframe and engines to full-life condition or remit a cash payment to compensate the Company for the maintenance shortfall. The asset represents the difference between the Owned Aircraft Held for Operating Lease’s physical maintenance condition as of the purchase date and the contractual return condition at the end of the lease term. The Maintenance Rights Asset is not depreciated over the lease term, nor will it accrete as additional life is consumed on the aircraft.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Subsequent accounting for the Maintenance Rights Asset will occur at the end of the lease term when the end of lease compensation has been settled between the Company and the unaffiliated lessee. One of the following scenarios will occur based on the underlying facts and circumstances: 1) the aircraft is returned at lease expiry in the contractually specified maintenance condition without any cash payment to the Company by the lessee, the Maintenance Rights Asset is relieved, and an aircraft improvement asset is recorded to the extent the improvement is substantiated and deemed to meet the Company’s capitalization policy; 2) the lessee pays the Company cash compensation at lease expiry in excess of the value of the Maintenance Rights Asset, the excess is recognized as revenue and presented within Other Revenue on the Consolidated Statements of Operations; or 3) the lessee pays the Company cash compensation at lease expiry that is less than the value of the Maintenance Rights Asset, the shortfall is recorded as an aircraft improvement asset to the extent the improvement is substantiated and meets the Company’s capitalization policy, if it does not meet capitalization criteria the shortfall is recognized as an expense within Maintenance on the Consolidated Statements of Operations. Any aircraft improvement will be applied at the aircraft component level, will be depreciated in accordance with the Company’s policy and reported as a component of Depreciation and Amortization on the accompanying Consolidated Statements of Operations.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Asset Impairment Analysis </w:t>
      </w:r>
      <w:r>
        <w:rPr>
          <w:rFonts w:ascii="Arial" w:cs="Arial" w:eastAsia="Arial" w:hAnsi="Arial"/>
          <w:sz w:val="18"/>
          <w:szCs w:val="18"/>
          <w:color w:val="auto"/>
        </w:rPr>
        <w:t>– Long-lived assets, such as Property &amp; Equipment and finite-lived Other Intangible Assets,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circumstances indicate that the carrying amount of an asset (or asset group) may not be recoverable. If circumstances require a long-lived asset or asset group be tested for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techniques including discounted cash flow models, quoted market values and third-party independent appraisals, as considered necessary.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 triggering events were identified during the years ended December 31, 2025, 2024 or 2023 that would have resulted in impairment losses on the Company's long-lived assets.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Goodwill represents the excess purchase price over the estimated fair value of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in a business combination. Other Intangible Assets with Indefinite Lives represents a tradename acquired in a business combination. Other Intangible Assets with Finite Lives represent customer relationships acquired in a business combination and over-market lease assets acquired when the Company purchased five Owned Aircraft Held for Operating Lease. Goodwill and Other Intangible Assets with Indefinite Lives must be tested for impairment at least annually, or more frequently if events or changes in circumstances indicate that they might be impaired. Goodwill is tested at the reporting unit level. The Company has two reporting units: Passenger and Cargo. All of the Company's Goodwill balance is associated with the Passenger reporting unit.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Intangible Assets with Finite Lives are amortized over an estimated useful life. The estimated useful life for the Company's customer relationship intangible asset was based on several factors, including the effects of demand, competition, contractual relationship, and other business factors. The Company concluded that the customer relationships Other Finite-lived Intangible Asset has an estimated life of 12 years and is being amortized over this period on a straight-line basis. The Company's over-market lease asset will be amortized over the remaining lease terms for the respective aircraft. As of December 31, 2025, the remaining leases expire over various dates through the fourth quarter of 2026.</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value of Goodwill and Other Indefinite-lived Intangible Assets is assessed under either a qualitative or quantitative approach. Under a qualitative approach, the Company considers various market factors, including certain key assumptions, such as the market value of the airline and other airlines, fuel prices, the overall economy, passenger yields and changes to the regulatory environment. The Company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the Company evaluates Goodwill or its Other Indefinite-lived Intangible Assets for impairment using a quantitative approach, the Company utilizes market and income approach valuation techniques. These measurements include the following key assumptions, 1) forecasted revenues, expenses and cash flows, 2) current discount rates, 3) comparative market multiples, 4) observable market transactions, and 5) anticipated changes to the regulatory environment. These assumptions are consistent with those that hypothetical market participants would use. Because the Company is required to make estimates and assumptions when evaluating Goodwill and Other Indefinite-lived Intangible Assets for impairment, actual transaction amounts may differ materially from these estimates.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2025. The Company did not recognize any impairment losses for the years ended December 31, 2025, 2024 or 2023.</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income taxes are recognized for the tax consequences in future years of differences between the tax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provision for income taxes represents the current tax expense for the period and the change during the period in Deferred Tax Assets and Liabilities.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TRA Liability </w:t>
      </w:r>
      <w:r>
        <w:rPr>
          <w:rFonts w:ascii="Arial" w:cs="Arial" w:eastAsia="Arial" w:hAnsi="Arial"/>
          <w:sz w:val="18"/>
          <w:szCs w:val="18"/>
          <w:color w:val="auto"/>
        </w:rPr>
        <w:t>– In connection with the Company’s IPO, the legal entity Sun Country Airlines Holdings, Inc. entered into a TRA with the pre-IPO stockholders (the “TRA holders”, which includes certain members of the Company's management and certain members of the Company's Board of Directors.). The TRA provides for the payment by the Company to the TRA holders of 85% of the amount of cash savings, if any, in U.S. federal, state, local, and foreign income tax that the Company actually realizes (or is deemed to have realized in certain circumstances) as a result of certain tax attributes that existed at the time of the IPO (the “Pre-IPO Tax Attributes”). The Company will retain the benefit of the remaining 15% of these cash savings.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Future adjustments in the TRA Liability balance and/or timing of TRA Liability payments are contingent upon, among other things, 1) generation of future taxable income over the term of the TRA, 2) the Company’s participation in future government programs, and 3) future changes in tax laws. All adjustments to the TRA Liability were recorded in Other, net within Non-Operating Income (Expense), net in the Company’s Consolidated Statements of Operations.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began making TRA payments during the year ended December 31, 2023. TRA payments are classified as Financing Activities in the Company's Consolidated Statement of Cash Flows. The portion of the TRA expected to be paid in the next 12 months is reflected as a current liability on the Consolidated Balance Sheets. All other amounts are reflected as a non-current liability on the Consolidated Balance Sheets. In the case of a merger that constitutes a change of control, such as the Merger Agreement with Allegiant, the TRA will terminate. Upon completion of the potential Merger with Allegiant, the TRA will be settled with the TRA holders. The amount paid to the TRA holders will be the outstanding balance of the TRA at time of closing.</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Aircraft Fuel - </w:t>
      </w:r>
      <w:r>
        <w:rPr>
          <w:rFonts w:ascii="Arial" w:cs="Arial" w:eastAsia="Arial" w:hAnsi="Arial"/>
          <w:sz w:val="18"/>
          <w:szCs w:val="18"/>
          <w:color w:val="auto"/>
        </w:rPr>
        <w:t>The Company’s operations are inherently dependent upon the price of aircraft fuel. Aircraft fuel expense includes jet fuel,</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and state taxes, and other fees. As of December 31, 2025 and 2024, the Company had no outstanding fuel derivative contracts.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Sales and Marketing - </w:t>
      </w:r>
      <w:r>
        <w:rPr>
          <w:rFonts w:ascii="Arial" w:cs="Arial" w:eastAsia="Arial" w:hAnsi="Arial"/>
          <w:sz w:val="18"/>
          <w:szCs w:val="18"/>
          <w:color w:val="auto"/>
        </w:rPr>
        <w:t>Sales and Marketing expense includes credit card processing fees, travel agent commissions and related global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systems fees, advertising, sponsorship and distribution costs, such as the costs of our call centers, and costs associated with our loyalty program. The Company expenses advertising costs as incurred.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 Under its Equity Incentive Plan, the Company has primarily issued Time-Based Stock Options,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Options, Restricted Stock, PRSUs, and RSU awards. Further, the Company has elected to account for forfeitures as they occur, rather than forecasting the future forfeitures. If an award is forfeited prior to vesting, the associated reduction in expense is reflected net in stock-based compensation expense in that period. Stock compensation expense is reported as a component of Salaries, Wages, and Benefits within the Company's Consolidated Statement of Operations.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for further information on the Equity Incentive Plan.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Earnings per Share - </w:t>
      </w:r>
      <w:r>
        <w:rPr>
          <w:rFonts w:ascii="Arial" w:cs="Arial" w:eastAsia="Arial" w:hAnsi="Arial"/>
          <w:sz w:val="18"/>
          <w:szCs w:val="18"/>
          <w:color w:val="auto"/>
        </w:rPr>
        <w:t>Basic earnings per share, which excludes dilution, is computed by dividing Net Income available to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the weighted average number of shares of common stock outstanding for the period. Diluted earnings per share reflects the potential dilution that could occur if securities or other contracts to issue common stock were exercised or converted into common stock. The number of incremental shares from the assumed issuance of shares relating to securities or other contracts to issue common stock is calculated by applying the treasury stock method. The treasury stock method assumes a hypothetical issuance of shares to settle the securities or other contracts to issue common stock, with the assumed proceeds used to purchase common stock at the average market price for the period. Assumed proceeds include the amount to be paid upon exercise, if applicable, and the average unrecognized compensation cost. The difference between the number of shares assumed issued and the number of shares assumed purchased represents the dilutive shares.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Warrants held by Amazon are included in the calculation of dilutive weighted average shares outstanding as of the date the warrants vest to the extent the impact is dilutive. The unvested warrants have not been included in dilutive shares as their performance condition has not been satisfied.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2023, all conditions associated with the time-based and performance-based options granted under the SCA Acquisition Holdings, LLC Amended and Restated Equity Incentive Plan were met. As a result, 100% of the performance-based stock options vested and are included in the calculation of dilutive shares to the extent the impact is 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Approximately 55% and 25% of the Company’s Accounts Receivable balances as of December 31, 2025, and 2024 were due from Amazon, respectively. In addition, approximately 9% and 13% of the Company’s Accounts Receivable balances as of December 31, 2025 and 2024, were due from one financial institution for tickets purchased via credit cards.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Approximately 46% and 45% of the Company's fuel purchases were made from two vendors that each had fuel purchases representing 10% or more of the Company's total fuel purchases for the years ended December 31, 2025 and 2024, respectively. Approximately 59% of the Company's fuel purchases were made from three vendors that each had fuel purchases representing 10% or more of the Company's total fuel purchases for the year ended December 31, 2023.</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Approximately 66% of the Company’s workforce were under union contracts as of December 31, 2025 with four different unions: ALPA, IBT, TWU and AMFA. As of December 31, 2025, approximately 31% of the Company’s union workforce are under contracts that are being negotiated, have become amendable or will expire within the next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Financial Accounting Standards Board issued Accounting Standards Update ("ASU") 2023-09, Income Taxes (Topic 740): Improvements to Income Tax Disclosures. This ASU requires, among other disclosures, greater disaggregation of information, the use of certain categories in the rate reconciliation, and the disaggregation of income taxes paid by jurisdiction. On December 31, 2025, the Company adopted this standard retrospectively.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included within these Consolidated Financial Statements for the incremental disclosures, as required.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November 2024, the FASB issued ASU 2024-03, Disaggregation of Income Statement Expenses. This ASU requires disaggregated disclosure of income statement expenses for public business entities. The ASU does not change the expense captions an entity presents on the face of the Statement of Operations; rather, it requires disaggregation of certain expense captions into specified categories in disclosures within the footnotes of the financial statements. The ASU is effective for public business entities for fiscal years beginning after December 15, 2026, and interim periods within fiscal years beginning after December 15, 2027, with early adoption permitted. The Company continues to assess the impact of this ASU on its Consolidated Financial Statements.</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May 2025, the FASB issued ASU 2025-04, Clarifications to Share-Based Consideration Payable to a Customer. This ASU clarifies the definition of "performance condition" and in cases of awards with service conditions, eliminates the policy election permitting a grantor to account for forfeitures as they occur. The ASU is effective for public business entities for fiscal years beginning after December 15, 2026, and interim periods within those fiscal years, with early adoption permitted. The Company continues to assess the impact of this ASU on its Consolidated Financial Statements.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This ASU requires entities to capitalize software costs when both of the following occur: management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has authorized and committed to funding the software project, and it is probable that the project will be completed and the software will be used to perform the function intended. Entities may adopt this standard using one of three approaches: a prospective transition, a modified transition based on the status of the project and whether software costs were capitalized before the date of adoption, or a retrospective transition. The ASU is effective for public business entities for fiscal years beginning after December 15, 2027, and interim periods within those fiscal years, with early adoption permitted as of the beginning of an annual reporting period. The Company continues to assess the impact of this ASU on its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MERGER AGREEMENT WITH ALLEGIANT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11, 2026, the Company entered into the Merger Agreement with Allegiant Travel Company, a Nevada corporation (“Allegiant”), under which Allegiant will acquire the Company. Pursuant to the Merger Agreement, each existing share of Sun Country Common Stock will be converted into the right to receive (i) $4.10 in cash, without interest and (ii) 0.1557 shares of Allegiant Common Stock.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Completion of the Merger is subject to the satisfaction or waiver of certain closing conditions, including, among other things, (1) adoption of the Merger Agreement by Sun Country stockholders, (2) approval of the issuance of shares of Allegiant Common Stock pursuant to the Merger Agreement by Allegiant stockholders, (3) receipt of applicable regulatory approvals, including approvals from the U.S. Federal Aviation Administration, the U.S. Department of Transportation and the U.S. Department of Homeland Security, including the TSA, and the expiration or early termination of the statutory waiting period under the Hart-Scott-Rodino Antitrust Improvements Act of 1976, as amended;</w:t>
      </w:r>
    </w:p>
    <w:p>
      <w:pPr>
        <w:spacing w:after="0" w:line="3" w:lineRule="exact"/>
        <w:rPr>
          <w:sz w:val="20"/>
          <w:szCs w:val="20"/>
          <w:color w:val="auto"/>
        </w:rPr>
      </w:pPr>
    </w:p>
    <w:p>
      <w:pPr>
        <w:jc w:val="both"/>
        <w:ind w:firstLine="8"/>
        <w:spacing w:after="0" w:line="258" w:lineRule="auto"/>
        <w:tabs>
          <w:tab w:leader="none" w:pos="2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absence of any law or order prohibiting the consummation of the transactions; (5) the effectiveness of the registration statement to be filed by Allegiant and Sun Country with the SEC pursuant to the Merger Agreement; and (6) the authorization and approval for listing on NASDAQ of the shares of Allegiant Common Stock to be issued to holders of Sun Country Common Stock in the Merger.</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Merger Agreement includes customary termination rights in favor of each party. In certain circumstances, the Company may be required to pay Allegiant, or Allegiant may be required to pay the Company, a termination fee or expense reimbursement in connection with the termination of the Merger Agreement. The Merger is expected to close in the second half of 2026, subject to certain closing conditions as detailed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Sun Country is a certificated air carrier generating Operating Revenues from Passenger (consisting of Scheduled Service, Charter, and Ancillary), Cargo and Other revenue. Scheduled Service revenue mainly consists of base fares. Charter revenue is primarily generated through service provided to the DoW, collegiate and professional sports teams, and casinos. Ancillary revenues consist of revenue earned from air travel-related services, such as: baggage fees, seat selection fees, other fees and on-board sales. Cargo consists of revenue earned from flying cargo aircraft for Amazon under both the original ATSA and the A&amp;R ATSA. For more information on the original and the A&amp;R ATSA,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included within these Consolidated Financial Statements. Other revenue consists primarily of revenue from services in connection with Sun Country Vacations products and rental revenue related to certain transactions where the Company serves as a lessor, and revenue for the brand and marketing performance obligation related to the Company's co-branded credit card program.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09"/>
        </w:trPr>
        <w:tc>
          <w:tcPr>
            <w:tcW w:w="5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2023</w:t>
            </w:r>
          </w:p>
        </w:tc>
      </w:tr>
      <w:tr>
        <w:trPr>
          <w:trHeight w:val="25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Service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403,998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409,133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453,862</w:t>
            </w:r>
          </w:p>
        </w:tc>
      </w:tr>
      <w:tr>
        <w:trPr>
          <w:trHeight w:val="252"/>
        </w:trPr>
        <w:tc>
          <w:tcPr>
            <w:tcW w:w="5300" w:type="dxa"/>
            <w:vAlign w:val="bottom"/>
          </w:tcPr>
          <w:p>
            <w:pPr>
              <w:ind w:left="20"/>
              <w:spacing w:after="0"/>
              <w:rPr>
                <w:sz w:val="20"/>
                <w:szCs w:val="20"/>
                <w:color w:val="auto"/>
              </w:rPr>
            </w:pPr>
            <w:r>
              <w:rPr>
                <w:rFonts w:ascii="Arial" w:cs="Arial" w:eastAsia="Arial" w:hAnsi="Arial"/>
                <w:sz w:val="18"/>
                <w:szCs w:val="18"/>
                <w:color w:val="auto"/>
              </w:rPr>
              <w:t>Charter</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224,227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197,045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190,128</w:t>
            </w:r>
          </w:p>
        </w:tc>
      </w:tr>
      <w:tr>
        <w:trPr>
          <w:trHeight w:val="26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w:t>
            </w: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294,904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307,909</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276,133</w:t>
            </w:r>
          </w:p>
        </w:tc>
      </w:tr>
      <w:tr>
        <w:trPr>
          <w:trHeight w:val="245"/>
        </w:trPr>
        <w:tc>
          <w:tcPr>
            <w:tcW w:w="530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923,129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914,087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920,123</w:t>
            </w:r>
          </w:p>
        </w:tc>
      </w:tr>
      <w:tr>
        <w:trPr>
          <w:trHeight w:val="26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99,735</w:t>
            </w:r>
          </w:p>
        </w:tc>
      </w:tr>
      <w:tr>
        <w:trPr>
          <w:trHeight w:val="25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r>
      <w:tr>
        <w:trPr>
          <w:trHeight w:val="280"/>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Revenue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1,049,620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operations are highly concentrated in the U.S., primarily within its MSP home market, but include service to many international locations, primarily based on Scheduled Service to Latin America during the winter season and on military Charter flights.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0"/>
        </w:trPr>
        <w:tc>
          <w:tcPr>
            <w:tcW w:w="53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r>
      <w:tr>
        <w:trPr>
          <w:trHeight w:val="25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1,086,518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1,039,339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1,008,582</w:t>
            </w:r>
          </w:p>
        </w:tc>
      </w:tr>
      <w:tr>
        <w:trPr>
          <w:trHeight w:val="252"/>
        </w:trPr>
        <w:tc>
          <w:tcPr>
            <w:tcW w:w="53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40,152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40,548</w:t>
            </w: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55"/>
        </w:trPr>
        <w:tc>
          <w:tcPr>
            <w:tcW w:w="530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1,126,769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1,075,739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1,049,620</w:t>
            </w:r>
          </w:p>
        </w:tc>
      </w:tr>
      <w:tr>
        <w:trPr>
          <w:trHeight w:val="20"/>
        </w:trPr>
        <w:tc>
          <w:tcPr>
            <w:tcW w:w="5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contract assets relate to costs incurred to prepare the Amazon cargo aircraft for service under the original ATSA and the A&amp;R ATSA, as well as warrants that have vested and will be amortized against Cargo revenue over the remaining term of the A&amp;R ATSA. The balances are included in Other Current Assets and Other Assets on the Consolidated Balance Sheets.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3) the Amazon Deferred Up-front Payment received under the original ATSA (reported within Other Current Liabilities and Other Long-term Liabilities on the Consolidated Balance Sheets), and</w:t>
      </w:r>
    </w:p>
    <w:p>
      <w:pPr>
        <w:spacing w:after="0" w:line="2" w:lineRule="exact"/>
        <w:rPr>
          <w:sz w:val="20"/>
          <w:szCs w:val="20"/>
          <w:color w:val="auto"/>
        </w:rPr>
      </w:pPr>
    </w:p>
    <w:p>
      <w:pPr>
        <w:ind w:firstLine="8"/>
        <w:spacing w:after="0" w:line="266" w:lineRule="auto"/>
        <w:tabs>
          <w:tab w:leader="none" w:pos="2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one-time payment received upon launch of the co-branded Credit Card Program (reported within Other Current Liabilities and Other Long-term Liabilities on the Consolidated Balance Sheets).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Consolidated Balance Sheets. This deferred up-front payment is being amortized into revenue over the remaining term of the A&amp;R ATSA and is immaterial on an annual basis. The warrant agreement was not amended in connection with the A&amp;R ATSA, and Amazon did not receive any additional warrants in connection with the A&amp;R ATSA. Accordingly,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warrants issued to Amazon will continue to vest in accordance with the terms of the warrant agreement executed in December 2019.</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2025, the Company entered into a new co-branded Credit Card Program, which launched in the third quarter of 2025. Upon launch of the program, the Company received a one-time payment of $1,016, which was recorded as a contract liability. The one-time payment is being amortized into Other Revenue on a straight-line basis over the term of the agreement. Subject to certain exceptions, the Credit Card Program has a term of seven years following its launch.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r>
      <w:tr>
        <w:trPr>
          <w:trHeight w:val="209"/>
        </w:trPr>
        <w:tc>
          <w:tcPr>
            <w:tcW w:w="7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2024</w:t>
            </w:r>
          </w:p>
        </w:tc>
      </w:tr>
      <w:tr>
        <w:trPr>
          <w:trHeight w:val="23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1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Contract</w:t>
            </w:r>
          </w:p>
        </w:tc>
        <w:tc>
          <w:tcPr>
            <w:tcW w:w="1220" w:type="dxa"/>
            <w:vAlign w:val="bottom"/>
            <w:tcBorders>
              <w:bottom w:val="single" w:sz="8" w:color="auto"/>
            </w:tcBorders>
          </w:tcPr>
          <w:p>
            <w:pPr>
              <w:jc w:val="right"/>
              <w:ind w:right="10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13,347</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r>
      <w:tr>
        <w:trPr>
          <w:trHeight w:val="28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Assets</w:t>
            </w:r>
          </w:p>
        </w:tc>
        <w:tc>
          <w:tcPr>
            <w:tcW w:w="122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2"/>
        </w:trPr>
        <w:tc>
          <w:tcPr>
            <w:tcW w:w="720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167,024</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160,686</w:t>
            </w:r>
          </w:p>
        </w:tc>
      </w:tr>
      <w:tr>
        <w:trPr>
          <w:trHeight w:val="26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1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r>
      <w:tr>
        <w:trPr>
          <w:trHeight w:val="252"/>
        </w:trPr>
        <w:tc>
          <w:tcPr>
            <w:tcW w:w="7200" w:type="dxa"/>
            <w:vAlign w:val="bottom"/>
          </w:tcPr>
          <w:p>
            <w:pPr>
              <w:ind w:left="20"/>
              <w:spacing w:after="0"/>
              <w:rPr>
                <w:sz w:val="20"/>
                <w:szCs w:val="20"/>
                <w:color w:val="auto"/>
              </w:rPr>
            </w:pPr>
            <w:r>
              <w:rPr>
                <w:rFonts w:ascii="Arial" w:cs="Arial" w:eastAsia="Arial" w:hAnsi="Arial"/>
                <w:sz w:val="18"/>
                <w:szCs w:val="18"/>
                <w:color w:val="auto"/>
              </w:rPr>
              <w:t>Amazon Contract</w:t>
            </w:r>
          </w:p>
        </w:tc>
        <w:tc>
          <w:tcPr>
            <w:tcW w:w="1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1,612</w:t>
            </w:r>
          </w:p>
        </w:tc>
      </w:tr>
      <w:tr>
        <w:trPr>
          <w:trHeight w:val="257"/>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Program</w:t>
            </w:r>
          </w:p>
        </w:tc>
        <w:tc>
          <w:tcPr>
            <w:tcW w:w="1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8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7200" w:type="dxa"/>
            <w:vAlign w:val="bottom"/>
          </w:tcPr>
          <w:p>
            <w:pPr>
              <w:ind w:left="140"/>
              <w:spacing w:after="0"/>
              <w:rPr>
                <w:sz w:val="20"/>
                <w:szCs w:val="20"/>
                <w:color w:val="auto"/>
              </w:rPr>
            </w:pPr>
            <w:r>
              <w:rPr>
                <w:rFonts w:ascii="Arial" w:cs="Arial" w:eastAsia="Arial" w:hAnsi="Arial"/>
                <w:sz w:val="18"/>
                <w:szCs w:val="18"/>
                <w:color w:val="auto"/>
              </w:rPr>
              <w:t>Total Contract Liabilities</w:t>
            </w:r>
          </w:p>
        </w:tc>
        <w:tc>
          <w:tcPr>
            <w:tcW w:w="1220" w:type="dxa"/>
            <w:vAlign w:val="bottom"/>
            <w:tcBorders>
              <w:bottom w:val="single" w:sz="8" w:color="auto"/>
            </w:tcBorders>
          </w:tcPr>
          <w:p>
            <w:pPr>
              <w:jc w:val="right"/>
              <w:ind w:right="10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184,532</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176,899</w:t>
            </w:r>
          </w:p>
        </w:tc>
      </w:tr>
      <w:tr>
        <w:trPr>
          <w:trHeight w:val="20"/>
        </w:trPr>
        <w:tc>
          <w:tcPr>
            <w:tcW w:w="7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year ended December 31, 2025, $156,792 of revenue was recognized in Passenger revenue that was included in the Air Traffic Liabilities as of December 31,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Sun Country Rewards program provides loyalty awards to program members based on accumulated loyalty points. For more information on the Company's loyalty awards to program members,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include within these Consolidated Financial Statements.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1"/>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252"/>
        </w:trPr>
        <w:tc>
          <w:tcPr>
            <w:tcW w:w="722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1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61"/>
        </w:trPr>
        <w:tc>
          <w:tcPr>
            <w:tcW w:w="722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 (2)</w:t>
            </w:r>
          </w:p>
        </w:tc>
        <w:tc>
          <w:tcPr>
            <w:tcW w:w="1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0" w:type="dxa"/>
            <w:vAlign w:val="bottom"/>
          </w:tcPr>
          <w:p>
            <w:pPr>
              <w:spacing w:after="0"/>
              <w:rPr>
                <w:sz w:val="1"/>
                <w:szCs w:val="1"/>
                <w:color w:val="auto"/>
              </w:rPr>
            </w:pPr>
          </w:p>
        </w:tc>
      </w:tr>
      <w:tr>
        <w:trPr>
          <w:trHeight w:val="250"/>
        </w:trPr>
        <w:tc>
          <w:tcPr>
            <w:tcW w:w="7220" w:type="dxa"/>
            <w:vAlign w:val="bottom"/>
          </w:tcPr>
          <w:p>
            <w:pPr>
              <w:ind w:left="20"/>
              <w:spacing w:after="0"/>
              <w:rPr>
                <w:sz w:val="20"/>
                <w:szCs w:val="20"/>
                <w:color w:val="auto"/>
              </w:rPr>
            </w:pPr>
            <w:r>
              <w:rPr>
                <w:rFonts w:ascii="Arial" w:cs="Arial" w:eastAsia="Arial" w:hAnsi="Arial"/>
                <w:sz w:val="18"/>
                <w:szCs w:val="18"/>
                <w:color w:val="auto"/>
              </w:rPr>
              <w:t>Balance - December 31</w:t>
            </w: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
        </w:trPr>
        <w:tc>
          <w:tcPr>
            <w:tcW w:w="72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72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580" w:right="20" w:hanging="554"/>
        <w:spacing w:after="0" w:line="260" w:lineRule="auto"/>
        <w:tabs>
          <w:tab w:leader="none" w:pos="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Loyalty points are combined in one homogenous pool, that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 w:lineRule="exact"/>
        <w:rPr>
          <w:rFonts w:ascii="Arial" w:cs="Arial" w:eastAsia="Arial" w:hAnsi="Arial"/>
          <w:sz w:val="18"/>
          <w:szCs w:val="18"/>
          <w:color w:val="auto"/>
        </w:rPr>
      </w:pPr>
    </w:p>
    <w:p>
      <w:pPr>
        <w:ind w:left="580" w:hanging="554"/>
        <w:spacing w:after="0"/>
        <w:tabs>
          <w:tab w:leader="none" w:pos="5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Includes $355 of other deferred loyalty payments, net of the amount earned for the year ended December 31, 2024.</w:t>
      </w:r>
    </w:p>
    <w:p>
      <w:pPr>
        <w:spacing w:after="0" w:line="333" w:lineRule="exact"/>
        <w:rPr>
          <w:rFonts w:ascii="Arial" w:cs="Arial" w:eastAsia="Arial" w:hAnsi="Arial"/>
          <w:sz w:val="18"/>
          <w:szCs w:val="18"/>
          <w:color w:val="auto"/>
        </w:rPr>
      </w:pPr>
    </w:p>
    <w:p>
      <w:pPr>
        <w:ind w:left="200" w:hanging="192"/>
        <w:spacing w:after="0"/>
        <w:tabs>
          <w:tab w:leader="none" w:pos="2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r>
      <w:tr>
        <w:trPr>
          <w:trHeight w:val="238"/>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2"/>
        </w:trPr>
        <w:tc>
          <w:tcPr>
            <w:tcW w:w="5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52,809</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52,903</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72,181</w:t>
            </w:r>
          </w:p>
        </w:tc>
      </w:tr>
      <w:tr>
        <w:trPr>
          <w:trHeight w:val="275"/>
        </w:trPr>
        <w:tc>
          <w:tcPr>
            <w:tcW w:w="5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56"/>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53,116,591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52,908,322</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55,507,144</w:t>
            </w:r>
          </w:p>
        </w:tc>
      </w:tr>
      <w:tr>
        <w:trPr>
          <w:trHeight w:val="252"/>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 RSUs and Warrants</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1,743,556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2,147,575</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3,017,508</w:t>
            </w:r>
          </w:p>
        </w:tc>
      </w:tr>
      <w:tr>
        <w:trPr>
          <w:trHeight w:val="28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54,860,147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55,055,897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58,524,652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7"/>
        </w:trPr>
        <w:tc>
          <w:tcPr>
            <w:tcW w:w="59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0.96</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3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excluded 4,405,389 and 4,646,754 of stock options, RSUs and warrants that would have had an anti-dilutive effect on its diluted earnings per share calculation for the years ended December 31, 2025 and 2024, respectively. The Company's anti-dilutive shares for the year ended December 31, 2023 were not material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AIRCRAFT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Sun Country's fleet consisted of 70 Boeing 737-NG aircraft, comprised of 65 Boeing 737-800s and five Boeing 737-900ERs.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aircraft fleet activity for the years ended 2025 and 2024, respectively: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2024</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38"/>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1"/>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5"/>
        </w:trPr>
        <w:tc>
          <w:tcPr>
            <w:tcW w:w="3200" w:type="dxa"/>
            <w:vAlign w:val="bottom"/>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Aircraft Operated for Amazon</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0" w:type="dxa"/>
            <w:vAlign w:val="bottom"/>
          </w:tcPr>
          <w:p>
            <w:pPr>
              <w:ind w:left="180"/>
              <w:spacing w:after="0"/>
              <w:rPr>
                <w:sz w:val="20"/>
                <w:szCs w:val="20"/>
                <w:color w:val="auto"/>
              </w:rPr>
            </w:pPr>
            <w:r>
              <w:rPr>
                <w:rFonts w:ascii="Arial" w:cs="Arial" w:eastAsia="Arial" w:hAnsi="Arial"/>
                <w:sz w:val="18"/>
                <w:szCs w:val="18"/>
                <w:color w:val="auto"/>
              </w:rPr>
              <w:t>Owned Aircraft Held for Operating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00" w:type="dxa"/>
            <w:vAlign w:val="bottom"/>
          </w:tcPr>
          <w:p>
            <w:pPr>
              <w:ind w:left="260"/>
              <w:spacing w:after="0"/>
              <w:rPr>
                <w:sz w:val="20"/>
                <w:szCs w:val="20"/>
                <w:color w:val="auto"/>
              </w:rPr>
            </w:pPr>
            <w:r>
              <w:rPr>
                <w:rFonts w:ascii="Arial" w:cs="Arial" w:eastAsia="Arial" w:hAnsi="Arial"/>
                <w:sz w:val="18"/>
                <w:szCs w:val="18"/>
                <w:color w:val="auto"/>
              </w:rPr>
              <w:t>Lease</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1"/>
        </w:trPr>
        <w:tc>
          <w:tcPr>
            <w:tcW w:w="3200" w:type="dxa"/>
            <w:vAlign w:val="bottom"/>
            <w:shd w:val="clear" w:color="auto" w:fill="CCEEFF"/>
          </w:tcPr>
          <w:p>
            <w:pPr>
              <w:ind w:left="180"/>
              <w:spacing w:after="0" w:line="262"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3200" w:type="dxa"/>
            <w:vAlign w:val="bottom"/>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3200" w:type="dxa"/>
            <w:vAlign w:val="bottom"/>
          </w:tcPr>
          <w:p>
            <w:pPr>
              <w:spacing w:after="0"/>
              <w:rPr>
                <w:sz w:val="24"/>
                <w:szCs w:val="24"/>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2023</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38"/>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1"/>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5"/>
        </w:trPr>
        <w:tc>
          <w:tcPr>
            <w:tcW w:w="3200" w:type="dxa"/>
            <w:vAlign w:val="bottom"/>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Aircraft Operated for Amazon</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00" w:type="dxa"/>
            <w:vAlign w:val="bottom"/>
          </w:tcPr>
          <w:p>
            <w:pPr>
              <w:ind w:left="180"/>
              <w:spacing w:after="0"/>
              <w:rPr>
                <w:sz w:val="20"/>
                <w:szCs w:val="20"/>
                <w:color w:val="auto"/>
              </w:rPr>
            </w:pPr>
            <w:r>
              <w:rPr>
                <w:rFonts w:ascii="Arial" w:cs="Arial" w:eastAsia="Arial" w:hAnsi="Arial"/>
                <w:sz w:val="18"/>
                <w:szCs w:val="18"/>
                <w:color w:val="auto"/>
              </w:rPr>
              <w:t>Owned Aircraft Held for Operating</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34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3200" w:type="dxa"/>
            <w:vAlign w:val="bottom"/>
          </w:tcPr>
          <w:p>
            <w:pPr>
              <w:ind w:left="260"/>
              <w:spacing w:after="0"/>
              <w:rPr>
                <w:sz w:val="20"/>
                <w:szCs w:val="20"/>
                <w:color w:val="auto"/>
              </w:rPr>
            </w:pPr>
            <w:r>
              <w:rPr>
                <w:rFonts w:ascii="Arial" w:cs="Arial" w:eastAsia="Arial" w:hAnsi="Arial"/>
                <w:sz w:val="18"/>
                <w:szCs w:val="18"/>
                <w:color w:val="auto"/>
              </w:rPr>
              <w:t>Lease</w:t>
            </w:r>
          </w:p>
        </w:tc>
        <w:tc>
          <w:tcPr>
            <w:tcW w:w="1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00" w:type="dxa"/>
            <w:vAlign w:val="bottom"/>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600" w:hanging="574"/>
        <w:spacing w:after="0"/>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head leases associated with these subleases are classified as finance leases.</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the year ended December 31, 2025, the Company received and placed in-service all eight additional cargo aircraft under the A&amp;R ATSA. In early 2026, we agreed to operate two additional cargo aircraft on behalf of Amazon. This will increase the total aircraft that Sun Country operates on behalf of Amazon from 20 to 22. During the year ended December 31, 2025, amendments were executed to extend the lease expiry terms for three Owned Aircraft Held for Operating Lease, which now expire over various dates through the fourth quarter of 2026. During the year ended December 31, 2025, the Company accepted delivery of two of the Owned Aircraft Held for Operating Lease that were leased to an unaffiliated airline.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these Consolidated Financial Statements for more information on these transactions. During the year ended December 31, 2025, an amendment was executed to extend the lease expiry terms for one of the Company's subleased aircraft, which now expires in the second quarter of 2026. In February 2026, an additional amendment was executed to extend the sublease expiry term through the fourth quarter of 2026. During the year ended December 31, 2025, the Company accepted delivery of one leased aircraft that was previously subleased to an unaffiliated airline. During the year ended December 31, 2025, the Company retired one aircraft. Of the 37 owned aircraft and Owned Aircraft Held for Operating Lease as of December 31, 2025, 31 aircraft were financed, five aircraft have been pledged to support the ability to efficiently utilize the Company's four-year $75,000 Revolving Credit Facility, and one aircraft was unencumbered.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for more information on the Company's Revolving Credit Facility.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2024, the Company acquired one incremental aircraft and took control of two aircraft through finance lease arrangements, one of which was subsequently subleased to an unaffiliated airline. Further, the Company purchased three aircraft previously classified as finance leases. Additionally, the Company accepted delivery of one of the Owned Aircraft Held for Operating Lease that was leased to an unaffiliated airline, which was inducted into the passenger fleet.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amortization, and rent expense on aircraft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1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Aircraft Status</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Expense Type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2023</w:t>
            </w:r>
          </w:p>
        </w:tc>
      </w:tr>
      <w:tr>
        <w:trPr>
          <w:trHeight w:val="251"/>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55,260</w:t>
            </w:r>
          </w:p>
        </w:tc>
      </w:tr>
      <w:tr>
        <w:trPr>
          <w:trHeight w:val="252"/>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Leased</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22,079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20,122</w:t>
            </w:r>
          </w:p>
        </w:tc>
      </w:tr>
      <w:tr>
        <w:trPr>
          <w:trHeight w:val="261"/>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2060" w:type="dxa"/>
            <w:vAlign w:val="bottom"/>
            <w:gridSpan w:val="2"/>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1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r>
      <w:tr>
        <w:trPr>
          <w:trHeight w:val="245"/>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78,868</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78,462</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77,663</w:t>
            </w:r>
          </w:p>
        </w:tc>
      </w:tr>
      <w:tr>
        <w:trPr>
          <w:trHeight w:val="25"/>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73" w:lineRule="exact"/>
        <w:rPr>
          <w:sz w:val="20"/>
          <w:szCs w:val="20"/>
          <w:color w:val="auto"/>
        </w:rPr>
      </w:pPr>
    </w:p>
    <w:p>
      <w:pPr>
        <w:ind w:left="580" w:hanging="554"/>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4"/>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Net Carrying</w:t>
            </w:r>
          </w:p>
        </w:tc>
      </w:tr>
      <w:tr>
        <w:trPr>
          <w:trHeight w:val="197"/>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Value</w:t>
            </w:r>
          </w:p>
        </w:tc>
      </w:tr>
      <w:tr>
        <w:trPr>
          <w:trHeight w:val="26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Other Intangible Assets with 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1"/>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r>
      <w:tr>
        <w:trPr>
          <w:trHeight w:val="252"/>
        </w:trPr>
        <w:tc>
          <w:tcPr>
            <w:tcW w:w="6560" w:type="dxa"/>
            <w:vAlign w:val="bottom"/>
          </w:tcPr>
          <w:p>
            <w:pPr>
              <w:ind w:left="80"/>
              <w:spacing w:after="0"/>
              <w:rPr>
                <w:sz w:val="20"/>
                <w:szCs w:val="20"/>
                <w:color w:val="auto"/>
              </w:rPr>
            </w:pPr>
            <w:r>
              <w:rPr>
                <w:rFonts w:ascii="Arial" w:cs="Arial" w:eastAsia="Arial" w:hAnsi="Arial"/>
                <w:sz w:val="18"/>
                <w:szCs w:val="18"/>
                <w:color w:val="auto"/>
              </w:rPr>
              <w:t>Over-Market Asset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6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with Indefinite Lives: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2"/>
        </w:trPr>
        <w:tc>
          <w:tcPr>
            <w:tcW w:w="6560" w:type="dxa"/>
            <w:vAlign w:val="bottom"/>
          </w:tcPr>
          <w:p>
            <w:pPr>
              <w:ind w:left="80"/>
              <w:spacing w:after="0"/>
              <w:rPr>
                <w:sz w:val="20"/>
                <w:szCs w:val="20"/>
                <w:color w:val="auto"/>
              </w:rPr>
            </w:pPr>
            <w:r>
              <w:rPr>
                <w:rFonts w:ascii="Arial" w:cs="Arial" w:eastAsia="Arial" w:hAnsi="Arial"/>
                <w:sz w:val="18"/>
                <w:szCs w:val="18"/>
                <w:color w:val="auto"/>
              </w:rPr>
              <w:t>Tradename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250"/>
        </w:trPr>
        <w:tc>
          <w:tcPr>
            <w:tcW w:w="6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107,741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73,261</w:t>
            </w:r>
          </w:p>
        </w:tc>
      </w:tr>
      <w:tr>
        <w:trPr>
          <w:trHeight w:val="255"/>
        </w:trPr>
        <w:tc>
          <w:tcPr>
            <w:tcW w:w="6560" w:type="dxa"/>
            <w:vAlign w:val="bottom"/>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329,964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295,484</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6"/>
        </w:trPr>
        <w:tc>
          <w:tcPr>
            <w:tcW w:w="6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74"/>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00" w:type="dxa"/>
            <w:vAlign w:val="bottom"/>
          </w:tcPr>
          <w:p>
            <w:pPr>
              <w:jc w:val="center"/>
              <w:ind w:right="155"/>
              <w:spacing w:after="0"/>
              <w:rPr>
                <w:sz w:val="20"/>
                <w:szCs w:val="20"/>
                <w:color w:val="auto"/>
              </w:rPr>
            </w:pPr>
            <w:r>
              <w:rPr>
                <w:rFonts w:ascii="Arial" w:cs="Arial" w:eastAsia="Arial" w:hAnsi="Arial"/>
                <w:sz w:val="14"/>
                <w:szCs w:val="14"/>
                <w:b w:val="1"/>
                <w:bCs w:val="1"/>
                <w:color w:val="auto"/>
              </w:rPr>
              <w:t>Net Carrying</w:t>
            </w:r>
          </w:p>
        </w:tc>
      </w:tr>
      <w:tr>
        <w:trPr>
          <w:trHeight w:val="197"/>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Value</w:t>
            </w: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Other Intangible Assets with 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1"/>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r>
      <w:tr>
        <w:trPr>
          <w:trHeight w:val="256"/>
        </w:trPr>
        <w:tc>
          <w:tcPr>
            <w:tcW w:w="6560" w:type="dxa"/>
            <w:vAlign w:val="bottom"/>
          </w:tcPr>
          <w:p>
            <w:pPr>
              <w:ind w:left="80"/>
              <w:spacing w:after="0"/>
              <w:rPr>
                <w:sz w:val="20"/>
                <w:szCs w:val="20"/>
                <w:color w:val="auto"/>
              </w:rPr>
            </w:pPr>
            <w:r>
              <w:rPr>
                <w:rFonts w:ascii="Arial" w:cs="Arial" w:eastAsia="Arial" w:hAnsi="Arial"/>
                <w:sz w:val="18"/>
                <w:szCs w:val="18"/>
                <w:color w:val="auto"/>
              </w:rPr>
              <w:t>Over-Market Asset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with Indefinite Lives: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2"/>
        </w:trPr>
        <w:tc>
          <w:tcPr>
            <w:tcW w:w="6560" w:type="dxa"/>
            <w:vAlign w:val="bottom"/>
          </w:tcPr>
          <w:p>
            <w:pPr>
              <w:ind w:left="80"/>
              <w:spacing w:after="0"/>
              <w:rPr>
                <w:sz w:val="20"/>
                <w:szCs w:val="20"/>
                <w:color w:val="auto"/>
              </w:rPr>
            </w:pPr>
            <w:r>
              <w:rPr>
                <w:rFonts w:ascii="Arial" w:cs="Arial" w:eastAsia="Arial" w:hAnsi="Arial"/>
                <w:sz w:val="18"/>
                <w:szCs w:val="18"/>
                <w:color w:val="auto"/>
              </w:rPr>
              <w:t>Tradename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250"/>
        </w:trPr>
        <w:tc>
          <w:tcPr>
            <w:tcW w:w="6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107,741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77,838</w:t>
            </w:r>
          </w:p>
        </w:tc>
      </w:tr>
      <w:tr>
        <w:trPr>
          <w:trHeight w:val="255"/>
        </w:trPr>
        <w:tc>
          <w:tcPr>
            <w:tcW w:w="6560" w:type="dxa"/>
            <w:vAlign w:val="bottom"/>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329,964</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300,061</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$4,577, $5,713 and $5,300 of amortization expense on Other Intangible Assets with Finite Lives during the years</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ended December 31, 2025, 2024 and 2023</w:t>
      </w:r>
      <w:r>
        <w:rPr>
          <w:rFonts w:ascii="Arial" w:cs="Arial" w:eastAsia="Arial" w:hAnsi="Arial"/>
          <w:sz w:val="21"/>
          <w:szCs w:val="21"/>
          <w:color w:val="auto"/>
        </w:rPr>
        <w:t>,</w:t>
      </w:r>
      <w:r>
        <w:rPr>
          <w:rFonts w:ascii="Arial" w:cs="Arial" w:eastAsia="Arial" w:hAnsi="Arial"/>
          <w:sz w:val="18"/>
          <w:szCs w:val="18"/>
          <w:color w:val="auto"/>
        </w:rPr>
        <w:t xml:space="preserve"> respectively. During the years ended December 31, 2025, 2024 and 2023, $577, $1,713 and $1,300 of the amortization expense on Other Intangible Assets with Finite Lives is associated with the over-market asset amortization, respectively. The amortization expense associated with the over-market asset is recorded as contra revenue within Other Revenue on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on the Company's Other Intangible Assets with Finite Lives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jc w:val="right"/>
              <w:ind w:right="155"/>
              <w:spacing w:after="0"/>
              <w:rPr>
                <w:sz w:val="20"/>
                <w:szCs w:val="20"/>
                <w:color w:val="auto"/>
              </w:rPr>
            </w:pPr>
            <w:r>
              <w:rPr>
                <w:rFonts w:ascii="Arial" w:cs="Arial" w:eastAsia="Arial" w:hAnsi="Arial"/>
                <w:sz w:val="14"/>
                <w:szCs w:val="14"/>
                <w:b w:val="1"/>
                <w:bCs w:val="1"/>
                <w:color w:val="auto"/>
              </w:rPr>
              <w:t>Annual Amortization of Other Intangible</w:t>
            </w:r>
          </w:p>
        </w:tc>
      </w:tr>
      <w:tr>
        <w:trPr>
          <w:trHeight w:val="205"/>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7"/>
                <w:szCs w:val="17"/>
                <w:color w:val="auto"/>
              </w:rPr>
            </w:pPr>
          </w:p>
        </w:tc>
        <w:tc>
          <w:tcPr>
            <w:tcW w:w="3040" w:type="dxa"/>
            <w:vAlign w:val="bottom"/>
          </w:tcPr>
          <w:p>
            <w:pPr>
              <w:jc w:val="right"/>
              <w:ind w:right="715"/>
              <w:spacing w:after="0"/>
              <w:rPr>
                <w:sz w:val="20"/>
                <w:szCs w:val="20"/>
                <w:color w:val="auto"/>
              </w:rPr>
            </w:pPr>
            <w:r>
              <w:rPr>
                <w:rFonts w:ascii="Arial" w:cs="Arial" w:eastAsia="Arial" w:hAnsi="Arial"/>
                <w:sz w:val="14"/>
                <w:szCs w:val="14"/>
                <w:b w:val="1"/>
                <w:bCs w:val="1"/>
                <w:color w:val="auto"/>
              </w:rPr>
              <w:t>Assets with Finite Lives</w:t>
            </w:r>
          </w:p>
        </w:tc>
      </w:tr>
      <w:tr>
        <w:trPr>
          <w:trHeight w:val="229"/>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r>
      <w:tr>
        <w:trPr>
          <w:trHeight w:val="21"/>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2025, the Company executed a new $75,000 Revolving Credit Facility with a group of lenders. The new Revolving Credit Facility replaces the Company's previous $25,000 revolving credit facility. The interest rate on borrowings is determined using a base rate plus an applicable margin of 2.5%. In addition, there is a commitment fee on the unused Revolving Credit Facility of 0.6%. The Revolving Credit Facility is guaranteed by the Company and secured by a pool of collateral. Accordingly, the Company pledged certain assets as collateral, including certain previously unencumbered aircraft, to support the ability to efficiently utilize the Revolving Credit Facility. Available funds from the Revolving Credit Facility can be used for general corporate purposes. The Revolving Credit Facility includes financial covenants that require the Company to maintain: 1) minimum liquidity, as defined within the agreement, of not less than $55,000, 2) a minimum adjusted EBITDAR of $110,000 for any four consecutive fiscal quarters and 3) a minimum ratio of the borrowing base of the collateral to outstanding obligations under the Revolving Credit Facility of not less than 1.0 to 1.0. The Company was in compliance with these financial covenants as of December 31, 2025. As of December 31, 2025, the Company had $75,000 of financing available through the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Term Loan Facility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2025, the Company executed a term loan facility with a face amount of $108,000 ("2025 Term Loan Facility") for the purpose of refinancing the Company's five Boeing 737-900ER aircraft, of which two are currently on lease to an unaffiliated airline. The Company's five Boeing 737-900ERs are pledged as collateral. During the year ended December 31, 2025, the Company drew the full $108,000 face amount from the 2025 Term Loan Facility. The proceeds were used to repay the remaining $20,953 of the term loan credit facility executed in March 2023 ("2023 Term Loan Credit Facility") with the remainder to be used for general corporate purposes. The 2025 Term Loan Facility is repaid quarterly through September 2032, with the remaining balance due and payable in a single payment upon maturity.</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fixed interest rate on the 2025 Term Loan Facility is 5.98%, which was determined using a base rate plus an applicable margin of 2.60%. During the year ended December 31, 2025, the Company recorded $1,604 in debt issuance costs associated with the 2025 Term Loan Facility.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Term Loan Credit Facility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2023, the Company executed the 2023 Term Loan Credit Facility with a face amount of $ 119,200 for the purpose of financing the initial acquisition of five Boeing 737-900ER aircraft. On the acquisition date, all five aircraft were on lease to an unaffiliated airline. The loan was repaid monthly. During the lease term, payments collected from the lessee were applied directly to the repayment of principal and interest on the 2023 Term Loan Credit Facility. The Owned Aircraft Held for Operating Lease, as well as the related lease payments received from the lessee, were pledged as collateral. In December 2024, the Company made a partial repayment of $60,000 on the 2023 Term Loan Credit Facility using proceeds from the reissued Class C trust certificates Series 2019-1.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2025, the Company repaid the outstanding balance of $20,953 of the 2023 Term Loan Credit Facility in full using proceeds received from the 2025 Term Loan Facility. The Company recorded a $391 loss on extinguishment of debt during the year ended December 31, 2025 in connection with repayment of the 2023 Term Loan Credit Facility, which represents the write-off of the remaining unamortized deferred financing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March 2022, the Company arranged for the issuance of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5.04% as of December 31, 2025.</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2019, the Company arranged for the issuance of the 2019-1 EETC in an aggregate face amount of $248,587 for the purpose of financing or refinancing 13 used aircraft, which was completed in 2020. The Company is required to make bi-annual principal and interest payments on the 2019-1 EETC each June and December, through December 2027. These notes bear interest at an annual rate between 4.13% and 7.10%. The weighted average interest rate was 5.56% as of December 31, 2025.</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2024, the Company reissued Class C trust certificates from the 2019-1 EETC, which had previously been repaid, in an aggregate face amount of $60,000 and concurrently applied the proceeds to repay a portion of the 2023 Term Loan Credit Facility. The reissued Class C trust certificates had no impact on the bi-annual payment schedule or the term of the 2019-1 EETC.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jc w:val="right"/>
              <w:ind w:right="7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2019-1 EETC (see terms and conditions above)</w:t>
            </w:r>
          </w:p>
        </w:tc>
        <w:tc>
          <w:tcPr>
            <w:tcW w:w="18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101,512</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158,510</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2022-1 EETC (see terms and conditions above)</w:t>
            </w: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118,288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138,532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Term Loan Credit Facility (see terms and conditions above)</w:t>
            </w:r>
          </w:p>
        </w:tc>
        <w:tc>
          <w:tcPr>
            <w:tcW w:w="1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 Term Loan Facility (see terms and conditions above)</w:t>
            </w:r>
          </w:p>
        </w:tc>
        <w:tc>
          <w:tcPr>
            <w:tcW w:w="1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106,610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326,410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330,122</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 net</w:t>
            </w:r>
          </w:p>
        </w:tc>
        <w:tc>
          <w:tcPr>
            <w:tcW w:w="18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(87,579)</w:t>
            </w:r>
          </w:p>
        </w:tc>
        <w:tc>
          <w:tcPr>
            <w:tcW w:w="0" w:type="dxa"/>
            <w:vAlign w:val="bottom"/>
          </w:tcPr>
          <w:p>
            <w:pPr>
              <w:spacing w:after="0"/>
              <w:rPr>
                <w:sz w:val="1"/>
                <w:szCs w:val="1"/>
                <w:color w:val="auto"/>
              </w:rPr>
            </w:pPr>
          </w:p>
        </w:tc>
      </w:tr>
      <w:tr>
        <w:trPr>
          <w:trHeight w:val="223"/>
        </w:trPr>
        <w:tc>
          <w:tcPr>
            <w:tcW w:w="5320" w:type="dxa"/>
            <w:vAlign w:val="bottom"/>
          </w:tcPr>
          <w:p>
            <w:pPr>
              <w:ind w:left="180"/>
              <w:spacing w:after="0"/>
              <w:rPr>
                <w:sz w:val="20"/>
                <w:szCs w:val="20"/>
                <w:color w:val="auto"/>
              </w:rPr>
            </w:pPr>
            <w:r>
              <w:rPr>
                <w:rFonts w:ascii="Arial" w:cs="Arial" w:eastAsia="Arial" w:hAnsi="Arial"/>
                <w:sz w:val="18"/>
                <w:szCs w:val="18"/>
                <w:color w:val="auto"/>
              </w:rPr>
              <w:t>Total Long-term Debt, net</w:t>
            </w:r>
          </w:p>
        </w:tc>
        <w:tc>
          <w:tcPr>
            <w:tcW w:w="188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255,329</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239,543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80" w:type="dxa"/>
            <w:vAlign w:val="bottom"/>
            <w:vMerge w:val="restart"/>
          </w:tcPr>
          <w:p>
            <w:pPr>
              <w:jc w:val="right"/>
              <w:ind w:right="1339"/>
              <w:spacing w:after="0"/>
              <w:rPr>
                <w:sz w:val="20"/>
                <w:szCs w:val="20"/>
                <w:color w:val="auto"/>
              </w:rPr>
            </w:pPr>
            <w:r>
              <w:rPr>
                <w:rFonts w:ascii="Arial" w:cs="Arial" w:eastAsia="Arial" w:hAnsi="Arial"/>
                <w:sz w:val="18"/>
                <w:szCs w:val="18"/>
                <w:color w:val="auto"/>
              </w:rPr>
              <w:t>104</w:t>
            </w: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9"/>
        </w:trPr>
        <w:tc>
          <w:tcPr>
            <w:tcW w:w="5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Debt Principal</w:t>
            </w:r>
          </w:p>
        </w:tc>
        <w:tc>
          <w:tcPr>
            <w:tcW w:w="180" w:type="dxa"/>
            <w:vAlign w:val="bottom"/>
          </w:tcPr>
          <w:p>
            <w:pPr>
              <w:spacing w:after="0"/>
              <w:rPr>
                <w:sz w:val="14"/>
                <w:szCs w:val="1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 of Debt</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9"/>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9"/>
                <w:szCs w:val="19"/>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Issuance Costs</w:t>
            </w:r>
          </w:p>
        </w:tc>
        <w:tc>
          <w:tcPr>
            <w:tcW w:w="400" w:type="dxa"/>
            <w:vAlign w:val="bottom"/>
          </w:tcPr>
          <w:p>
            <w:pPr>
              <w:spacing w:after="0"/>
              <w:rPr>
                <w:sz w:val="19"/>
                <w:szCs w:val="19"/>
                <w:color w:val="auto"/>
              </w:rPr>
            </w:pPr>
          </w:p>
        </w:tc>
        <w:tc>
          <w:tcPr>
            <w:tcW w:w="1520" w:type="dxa"/>
            <w:vAlign w:val="bottom"/>
          </w:tcPr>
          <w:p>
            <w:pPr>
              <w:jc w:val="right"/>
              <w:ind w:right="572"/>
              <w:spacing w:after="0"/>
              <w:rPr>
                <w:sz w:val="20"/>
                <w:szCs w:val="20"/>
                <w:color w:val="auto"/>
              </w:rPr>
            </w:pPr>
            <w:r>
              <w:rPr>
                <w:rFonts w:ascii="Arial" w:cs="Arial" w:eastAsia="Arial" w:hAnsi="Arial"/>
                <w:sz w:val="14"/>
                <w:szCs w:val="14"/>
                <w:b w:val="1"/>
                <w:bCs w:val="1"/>
                <w:color w:val="auto"/>
              </w:rPr>
              <w:t>Net Debt</w:t>
            </w: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68,017</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96,300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39,589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39,249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58,532</w:t>
            </w:r>
          </w:p>
        </w:tc>
      </w:tr>
      <w:tr>
        <w:trPr>
          <w:trHeight w:val="248"/>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323,346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Debt was $315,872 and $311,103 as of December 31, 2025 and 2024, respectively. The fair value of the Company’s debt was based on the discounted amount of future cash flows using the Company’s end-of-period estimated incremental borrowing rate for similar obligations. The estimates were primarily based on Level 3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and Sublease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classifies its Leases into three categories: Aircraft, Real Estate, and Other. Aircraft leases consist of aircraft, engines, and aircraft equipment under lease agreements. As of December 31, 2025, the Company had 13 leases for aircraft, all of which were under finance leases. Real estate leases consist of leased hangar and headquarter facilities, a simulator housing facility, and other leases consist of non-aircraft equipment under operating lease agreements. Real estate and other leases generally have initial terms of up to ten years.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Company’s Cargo fleet of 20 aircraft is subleased directly from Amazon and the Company operates them pursuant to the A&amp;R ATSA. The sublease arrangement does not qualify as a lease because the Company does not control the use of the aircraft. As such, no right-of-use asset and lease liability is recognized in these financial statements for the Amazon arrangement. This conclusion is unchanged from the original ATSA. For more information on the A&amp;R ATSA,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within these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2025, the Company had one subleased aircraft which was classified as an operating lease. This sublease arrangement does not relieve the Company of its primary lease obligations with the lessor (the "head lease"). Therefore, the Company continues to account for the head lease as a finance lease. The Company is entitled to fixed payments over the remaining sublease terms, with additional variable sublease payments based on aircraft utilization. The sublease expires in the second quarter of 2026. The aircraft will be delivered to Sun Country on the sublease expiry date and will continue to be leased by the Company. The aircraft is expected to be inducted into the Company's fleet upon redelivery. The rental revenue associated with the sublease is recognized as it is earned and is included in Other Revenue. As of December 31, 2025, future undiscounted cash flows of $1,325 are expected to be received in 2026.</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February 2026, an amendment was executed to extend the lease expiry term for the one aircraft subleased to an unaffiliated airline, which now expires in the fourth quarter of 2026. As a result, future undiscounted cash flows of $2,915 are expected to be received in 2026.</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aircraft lease agreements grant the Company the option to purchase the aircraft at the end of the lease term. To the extent the Company is reasonably certain to exercise the purchase option, the lease arrangement has been accounted for as a finance lease with the purchase option price recognized as part of the lease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2023, the Company acquired five Owned Aircraft Held for Operating Lease. The Company obtained outright ownership of these aircraft upon purchase and assumed the position of lessor until the end of the related aircraft lease terms. The Company is entitled to fixed payments over the remaining lease term for each aircraft, which expire at various dates through the fourth quarter of 2026. On each lease expiry date, the Owned Aircraft Held for Operating Lease will be redelivered to Sun Country and are expected to be inducted into the Company’s fleet. The rental revenue associated with the Owned Aircraft Held for Operating Lease is recognized as it is earned and is included in Other Revenue. The Company recognized $14,328, $23,380 and $17,689 of rental revenue during the years ended December 31, 2025, 2024 and 2023 respectively. As of December 31, 2025, future undiscounted cash flows of $6,600 are expected to be received in 2026.</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Upon acquisition of the Owned Aircraft held for Operating Lease during the year ended December 31, 2023, the Company recognized a Maintenance Rights Asset associated with the acquired leases. During the years ended December 31, 2025 and 2024, the Company accepted delivery of two and one, respectively, Owned Aircraft Held for Operating Lease that were previously leased to an unaffiliated airline. Based on the maintenance condition of the aircraft on the lease return dates, the Maintenance Rights Asset settlements resulted in capitalized asset improvements of $8,750 and $5,054, and cash received from the lessee in excess of the Maintenance Rights Asset totaling $5,808 and $2,849, for the years ended December 31, 2025 and 2024, respectively. The cash received for end of lease compensation in excess of the Maintenance Rights Asset was recognized within Other Revenue on the Company’s Consolidated Statement of Operations. For more information on the Maintenance Rights Asset and related accounting,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included within these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rPr>
                <w:sz w:val="17"/>
                <w:szCs w:val="17"/>
                <w:color w:val="auto"/>
              </w:rPr>
            </w:pPr>
          </w:p>
        </w:tc>
        <w:tc>
          <w:tcPr>
            <w:tcW w:w="4020" w:type="dxa"/>
            <w:vAlign w:val="bottom"/>
            <w:gridSpan w:val="2"/>
          </w:tcPr>
          <w:p>
            <w:pPr>
              <w:ind w:left="150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assets, net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213,108</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234,960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line="176" w:lineRule="exact"/>
              <w:rPr>
                <w:sz w:val="20"/>
                <w:szCs w:val="20"/>
                <w:color w:val="auto"/>
              </w:rPr>
            </w:pPr>
            <w:r>
              <w:rPr>
                <w:rFonts w:ascii="Arial" w:cs="Arial" w:eastAsia="Arial" w:hAnsi="Arial"/>
                <w:sz w:val="18"/>
                <w:szCs w:val="18"/>
                <w:color w:val="auto"/>
              </w:rPr>
              <w:t>Owned Aircraft and Flight Equipment Held for</w:t>
            </w:r>
          </w:p>
        </w:tc>
        <w:tc>
          <w:tcPr>
            <w:tcW w:w="4020" w:type="dxa"/>
            <w:vAlign w:val="bottom"/>
            <w:gridSpan w:val="2"/>
            <w:vMerge w:val="restart"/>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20" w:type="dxa"/>
            <w:vAlign w:val="bottom"/>
            <w:vMerge w:val="restart"/>
          </w:tcPr>
          <w:p>
            <w:pPr>
              <w:ind w:left="180"/>
              <w:spacing w:after="0"/>
              <w:rPr>
                <w:sz w:val="20"/>
                <w:szCs w:val="20"/>
                <w:color w:val="auto"/>
              </w:rPr>
            </w:pPr>
            <w:r>
              <w:rPr>
                <w:rFonts w:ascii="Arial" w:cs="Arial" w:eastAsia="Arial" w:hAnsi="Arial"/>
                <w:sz w:val="18"/>
                <w:szCs w:val="18"/>
                <w:color w:val="auto"/>
              </w:rPr>
              <w:t>Operating Lease</w:t>
            </w:r>
          </w:p>
        </w:tc>
        <w:tc>
          <w:tcPr>
            <w:tcW w:w="40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54,388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113,535</w:t>
            </w:r>
          </w:p>
        </w:tc>
        <w:tc>
          <w:tcPr>
            <w:tcW w:w="0" w:type="dxa"/>
            <w:vAlign w:val="bottom"/>
          </w:tcPr>
          <w:p>
            <w:pPr>
              <w:spacing w:after="0"/>
              <w:rPr>
                <w:sz w:val="1"/>
                <w:szCs w:val="1"/>
                <w:color w:val="auto"/>
              </w:rPr>
            </w:pPr>
          </w:p>
        </w:tc>
      </w:tr>
      <w:tr>
        <w:trPr>
          <w:trHeight w:val="90"/>
        </w:trPr>
        <w:tc>
          <w:tcPr>
            <w:tcW w:w="4020" w:type="dxa"/>
            <w:vAlign w:val="bottom"/>
            <w:tcBorders>
              <w:bottom w:val="single" w:sz="8" w:color="CCEEFF"/>
            </w:tcBorders>
            <w:vMerge w:val="continue"/>
          </w:tcPr>
          <w:p>
            <w:pPr>
              <w:spacing w:after="0"/>
              <w:rPr>
                <w:sz w:val="7"/>
                <w:szCs w:val="7"/>
                <w:color w:val="auto"/>
              </w:rPr>
            </w:pPr>
          </w:p>
        </w:tc>
        <w:tc>
          <w:tcPr>
            <w:tcW w:w="39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assets</w:t>
            </w:r>
          </w:p>
        </w:tc>
        <w:tc>
          <w:tcPr>
            <w:tcW w:w="3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281,753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365,391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Current Finance Lease Obligations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61,616</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Operating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Finance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251,087</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Operating Lease Obligations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17,369</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3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268,480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291,912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ind w:left="1460"/>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0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2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Finance Leases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Operating Leases</w:t>
            </w:r>
          </w:p>
        </w:tc>
      </w:tr>
      <w:tr>
        <w:trPr>
          <w:trHeight w:val="197"/>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7"/>
                <w:szCs w:val="17"/>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Aircraft</w:t>
            </w:r>
          </w:p>
        </w:tc>
        <w:tc>
          <w:tcPr>
            <w:tcW w:w="22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Real Estate</w:t>
            </w:r>
          </w:p>
        </w:tc>
        <w:tc>
          <w:tcPr>
            <w:tcW w:w="380" w:type="dxa"/>
            <w:vAlign w:val="bottom"/>
          </w:tcPr>
          <w:p>
            <w:pPr>
              <w:spacing w:after="0"/>
              <w:rPr>
                <w:sz w:val="17"/>
                <w:szCs w:val="17"/>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6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Real Estate and Other</w:t>
            </w:r>
          </w:p>
        </w:tc>
      </w:tr>
      <w:tr>
        <w:trPr>
          <w:trHeight w:val="224"/>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4,815</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2,922</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223"/>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20,846</w:t>
            </w:r>
          </w:p>
        </w:tc>
      </w:tr>
      <w:tr>
        <w:trPr>
          <w:trHeight w:val="230"/>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r>
      <w:tr>
        <w:trPr>
          <w:trHeight w:val="22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17,393</w:t>
            </w:r>
          </w:p>
        </w:tc>
      </w:tr>
      <w:tr>
        <w:trPr>
          <w:trHeight w:val="230"/>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Short-term Obligations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r>
      <w:tr>
        <w:trPr>
          <w:trHeight w:val="248"/>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3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cost</w:t>
            </w: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Amortization of leased assets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21,852</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23,108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Included in ROU asset - Aircraft</w:t>
            </w:r>
          </w:p>
        </w:tc>
        <w:tc>
          <w:tcPr>
            <w:tcW w:w="3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Included in ROU asset -</w:t>
            </w:r>
          </w:p>
        </w:tc>
        <w:tc>
          <w:tcPr>
            <w:tcW w:w="33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Ground Handling, Landing Fees and</w:t>
            </w:r>
          </w:p>
        </w:tc>
        <w:tc>
          <w:tcPr>
            <w:tcW w:w="3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35"/>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&amp; Other</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Airport Rent &amp; Other Operating</w:t>
            </w:r>
          </w:p>
        </w:tc>
        <w:tc>
          <w:tcPr>
            <w:tcW w:w="36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Short-term lease cost</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 Aircraft</w:t>
            </w:r>
          </w:p>
        </w:tc>
        <w:tc>
          <w:tcPr>
            <w:tcW w:w="3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Variable - Other</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Landing Fees &amp; Airport Rentals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(14,771)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32,545</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04" w:lineRule="exact"/>
        <w:rPr>
          <w:sz w:val="20"/>
          <w:szCs w:val="20"/>
          <w:color w:val="auto"/>
        </w:rPr>
      </w:pPr>
    </w:p>
    <w:p>
      <w:pPr>
        <w:ind w:left="360" w:right="20" w:hanging="334"/>
        <w:spacing w:after="0" w:line="210" w:lineRule="auto"/>
        <w:tabs>
          <w:tab w:leader="none" w:pos="36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year ended December 31, 2023 included credits of $723 for the amortization of Over-market Liabilities established at the Acquisition Date related to lease rates and maintenance reserves. As of December 31, 2023, the balance of Over-market liabilities was $0.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leases, included in the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2023</w:t>
            </w:r>
          </w:p>
        </w:tc>
      </w:tr>
      <w:tr>
        <w:trPr>
          <w:trHeight w:val="157"/>
        </w:trPr>
        <w:tc>
          <w:tcPr>
            <w:tcW w:w="53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Cash paid for amounts included in the measurement of lease</w:t>
            </w:r>
          </w:p>
        </w:tc>
        <w:tc>
          <w:tcPr>
            <w:tcW w:w="1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5,971</w:t>
            </w: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r>
      <w:tr>
        <w:trPr>
          <w:trHeight w:val="239"/>
        </w:trPr>
        <w:tc>
          <w:tcPr>
            <w:tcW w:w="530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20"/>
                <w:szCs w:val="20"/>
                <w:color w:val="auto"/>
              </w:rPr>
            </w:pPr>
          </w:p>
        </w:tc>
        <w:tc>
          <w:tcPr>
            <w:tcW w:w="440" w:type="dxa"/>
            <w:vAlign w:val="bottom"/>
          </w:tcPr>
          <w:p>
            <w:pPr>
              <w:jc w:val="right"/>
              <w:ind w:right="255"/>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45,942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21,883</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Borders>
              <w:bottom w:val="single" w:sz="8" w:color="auto"/>
            </w:tcBorders>
          </w:tcPr>
          <w:p>
            <w:pPr>
              <w:spacing w:after="0"/>
              <w:rPr>
                <w:sz w:val="17"/>
                <w:szCs w:val="17"/>
                <w:color w:val="auto"/>
              </w:rPr>
            </w:pPr>
          </w:p>
        </w:tc>
      </w:tr>
      <w:tr>
        <w:trPr>
          <w:trHeight w:val="196"/>
        </w:trPr>
        <w:tc>
          <w:tcPr>
            <w:tcW w:w="534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000" w:type="dxa"/>
            <w:vAlign w:val="bottom"/>
            <w:gridSpan w:val="2"/>
          </w:tcPr>
          <w:p>
            <w:pPr>
              <w:ind w:left="580"/>
              <w:spacing w:after="0"/>
              <w:rPr>
                <w:sz w:val="20"/>
                <w:szCs w:val="20"/>
                <w:color w:val="auto"/>
              </w:rPr>
            </w:pPr>
            <w:r>
              <w:rPr>
                <w:rFonts w:ascii="Arial" w:cs="Arial" w:eastAsia="Arial" w:hAnsi="Arial"/>
                <w:sz w:val="18"/>
                <w:szCs w:val="18"/>
                <w:color w:val="auto"/>
              </w:rPr>
              <w:t>4.8 years</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5.6 years</w:t>
            </w:r>
          </w:p>
        </w:tc>
        <w:tc>
          <w:tcPr>
            <w:tcW w:w="1900" w:type="dxa"/>
            <w:vAlign w:val="bottom"/>
          </w:tcPr>
          <w:p>
            <w:pPr>
              <w:ind w:left="580"/>
              <w:spacing w:after="0"/>
              <w:rPr>
                <w:sz w:val="20"/>
                <w:szCs w:val="20"/>
                <w:color w:val="auto"/>
              </w:rPr>
            </w:pPr>
            <w:r>
              <w:rPr>
                <w:rFonts w:ascii="Arial" w:cs="Arial" w:eastAsia="Arial" w:hAnsi="Arial"/>
                <w:sz w:val="18"/>
                <w:szCs w:val="18"/>
                <w:color w:val="auto"/>
              </w:rPr>
              <w:t>6.8 years</w:t>
            </w: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3.4 years</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4.4 years</w:t>
            </w:r>
          </w:p>
        </w:tc>
        <w:tc>
          <w:tcPr>
            <w:tcW w:w="1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4.9 years</w:t>
            </w:r>
          </w:p>
        </w:tc>
      </w:tr>
      <w:tr>
        <w:trPr>
          <w:trHeight w:val="270"/>
        </w:trPr>
        <w:tc>
          <w:tcPr>
            <w:tcW w:w="5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rates</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900" w:type="dxa"/>
            <w:vAlign w:val="bottom"/>
          </w:tcPr>
          <w:p>
            <w:pPr>
              <w:jc w:val="center"/>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rPr>
              <w:t>6.5%</w:t>
            </w: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w:t>
            </w:r>
          </w:p>
        </w:tc>
      </w:tr>
    </w:tbl>
    <w:p>
      <w:pPr>
        <w:spacing w:after="0" w:line="2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2023 the Company expensed $620 of maintenance reserve payments. These expenses are reflected in Aircraft Rent on the accompanying Consolidated Statements of Operations. During the year ended December 31, 2023, the composition of our aircraft fleet shifted from aircraft under operating leases to all owned aircraft or aircraft under finance leases. Accordingly, we did not expense any maintenance reserve payments during the years ended December 31, 2025 or 2024 because all maintenance deposits are expected to be recoverable either through reimbursable maintenance events or through application towards the purchase of the aircraft.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RSU, Other Stock-Based Award, or Other Cash-Based Award granted under the Plan. As of December 31, 2025, there were 1,808,707 shares available for future grants under the Plan. Upon implementation of the Plan, grants under the October 2018 equity incentive plan ceased. Awards already issued under the 2018 plan are not impacted by the new Plan.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compensation expense was $6,305, $ 6,020, and $9,274 during the years ended December 31, 2025, 2024 and 2023, respectively. During the years ended December 31, 2025, 2024 and 2023 there was a $1,783, $ 45 and $1,048 tax benefit recognized in income related to stock compensation expense, respectively. During the year ended December 31, 2023, all conditions associated with the time-based and performance-based options granted under the SCA Acquisition Holdings, LLC Amended and Restated Equity Incentive Plan were met. As a result, 100% of the remaining unvested time-based and performance-based stock options vested. Therefore, during the year ended December 31, 2023, the Company recognized an acceleration of stock-based compensation expense for the time-based and performance-based stock options totaling $2,960. There was $7,817 of total unrecognized compensation expense related to both the RSUs and PRSUs that are probable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vesting as of December 31, 2025. This unrecognized compensation is expected to be fully recognized over a weighted average period of approximately 1.9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time-based stock option activity: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rPr>
              <w:t>Time-Based Stock Options</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Weighted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Weighted</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average</w:t>
            </w:r>
          </w:p>
        </w:tc>
        <w:tc>
          <w:tcPr>
            <w:tcW w:w="24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Weighted</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average</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color w:val="auto"/>
              </w:rPr>
              <w:t>exercise</w:t>
            </w:r>
          </w:p>
        </w:tc>
        <w:tc>
          <w:tcPr>
            <w:tcW w:w="24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average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remaining</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price per</w:t>
            </w:r>
          </w:p>
        </w:tc>
        <w:tc>
          <w:tcPr>
            <w:tcW w:w="24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grant date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contractual</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share</w:t>
            </w: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color w:val="auto"/>
              </w:rPr>
              <w:t>fair value per share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term (years)</w:t>
            </w:r>
          </w:p>
        </w:tc>
        <w:tc>
          <w:tcPr>
            <w:tcW w:w="1360" w:type="dxa"/>
            <w:vAlign w:val="bottom"/>
            <w:gridSpan w:val="2"/>
          </w:tcPr>
          <w:p>
            <w:pPr>
              <w:ind w:left="20"/>
              <w:spacing w:after="0"/>
              <w:rPr>
                <w:sz w:val="20"/>
                <w:szCs w:val="20"/>
                <w:color w:val="auto"/>
              </w:rPr>
            </w:pPr>
            <w:r>
              <w:rPr>
                <w:rFonts w:ascii="Arial" w:cs="Arial" w:eastAsia="Arial" w:hAnsi="Arial"/>
                <w:sz w:val="14"/>
                <w:szCs w:val="14"/>
                <w:color w:val="auto"/>
              </w:rPr>
              <w:t>Value (in thousands)</w:t>
            </w: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1,356,522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rPr>
              <w:t>Forfeited</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(3,882)</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28.24</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11.80</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Outstanding as of December 31,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1,098,201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rPr>
              <w:t>Forfeited</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(9,308)</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13.78</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5.42</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00" w:type="dxa"/>
            <w:vAlign w:val="bottom"/>
          </w:tcPr>
          <w:p>
            <w:pPr>
              <w:ind w:left="20"/>
              <w:spacing w:after="0" w:line="156" w:lineRule="exact"/>
              <w:rPr>
                <w:sz w:val="20"/>
                <w:szCs w:val="20"/>
                <w:color w:val="auto"/>
              </w:rPr>
            </w:pPr>
            <w:r>
              <w:rPr>
                <w:rFonts w:ascii="Arial" w:cs="Arial" w:eastAsia="Arial" w:hAnsi="Arial"/>
                <w:sz w:val="18"/>
                <w:szCs w:val="18"/>
                <w:color w:val="auto"/>
              </w:rPr>
              <w:t>Outstanding, Exercisable and Vested as of</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795,244</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3"/>
                <w:szCs w:val="13"/>
                <w:color w:val="auto"/>
              </w:rPr>
            </w:pPr>
          </w:p>
        </w:tc>
        <w:tc>
          <w:tcPr>
            <w:tcW w:w="240" w:type="dxa"/>
            <w:vAlign w:val="bottom"/>
            <w:vMerge w:val="restart"/>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3"/>
                <w:szCs w:val="13"/>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4000" w:type="dxa"/>
            <w:vAlign w:val="bottom"/>
          </w:tcPr>
          <w:p>
            <w:pPr>
              <w:jc w:val="right"/>
              <w:ind w:right="2230"/>
              <w:spacing w:after="0"/>
              <w:rPr>
                <w:sz w:val="20"/>
                <w:szCs w:val="20"/>
                <w:color w:val="auto"/>
              </w:rPr>
            </w:pPr>
            <w:r>
              <w:rPr>
                <w:rFonts w:ascii="Arial" w:cs="Arial" w:eastAsia="Arial" w:hAnsi="Arial"/>
                <w:sz w:val="18"/>
                <w:szCs w:val="18"/>
                <w:color w:val="auto"/>
              </w:rPr>
              <w:t>December 31, 2025</w:t>
            </w: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time-based stock options had vested as of December 31, 2023. All time-based stock options expire ten years after the grant date. The intrinsic value of stock options exercised in 2025, 2024 and 2023 was $2,639, $1,060 and $1,421,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Options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r>
              <w:rPr>
                <w:rFonts w:ascii="Arial" w:cs="Arial" w:eastAsia="Arial" w:hAnsi="Arial"/>
                <w:sz w:val="18"/>
                <w:szCs w:val="18"/>
                <w:color w:val="auto"/>
              </w:rPr>
              <w:t>The</w:t>
            </w:r>
          </w:p>
        </w:tc>
        <w:tc>
          <w:tcPr>
            <w:tcW w:w="1220" w:type="dxa"/>
            <w:vAlign w:val="bottom"/>
          </w:tcPr>
          <w:p>
            <w:pPr>
              <w:ind w:left="200"/>
              <w:spacing w:after="0"/>
              <w:rPr>
                <w:sz w:val="20"/>
                <w:szCs w:val="20"/>
                <w:color w:val="auto"/>
              </w:rPr>
            </w:pPr>
            <w:r>
              <w:rPr>
                <w:rFonts w:ascii="Arial" w:cs="Arial" w:eastAsia="Arial" w:hAnsi="Arial"/>
                <w:sz w:val="18"/>
                <w:szCs w:val="18"/>
                <w:color w:val="auto"/>
              </w:rPr>
              <w:t>following</w:t>
            </w:r>
          </w:p>
        </w:tc>
        <w:tc>
          <w:tcPr>
            <w:tcW w:w="620" w:type="dxa"/>
            <w:vAlign w:val="bottom"/>
          </w:tcPr>
          <w:p>
            <w:pPr>
              <w:ind w:left="40"/>
              <w:spacing w:after="0"/>
              <w:rPr>
                <w:sz w:val="20"/>
                <w:szCs w:val="20"/>
                <w:color w:val="auto"/>
              </w:rPr>
            </w:pPr>
            <w:r>
              <w:rPr>
                <w:rFonts w:ascii="Arial" w:cs="Arial" w:eastAsia="Arial" w:hAnsi="Arial"/>
                <w:sz w:val="18"/>
                <w:szCs w:val="18"/>
                <w:color w:val="auto"/>
              </w:rPr>
              <w:t>table</w:t>
            </w:r>
          </w:p>
        </w:tc>
        <w:tc>
          <w:tcPr>
            <w:tcW w:w="500" w:type="dxa"/>
            <w:vAlign w:val="bottom"/>
          </w:tcPr>
          <w:p>
            <w:pPr>
              <w:ind w:left="200"/>
              <w:spacing w:after="0"/>
              <w:rPr>
                <w:sz w:val="20"/>
                <w:szCs w:val="20"/>
                <w:color w:val="auto"/>
              </w:rPr>
            </w:pPr>
            <w:r>
              <w:rPr>
                <w:rFonts w:ascii="Arial" w:cs="Arial" w:eastAsia="Arial" w:hAnsi="Arial"/>
                <w:sz w:val="18"/>
                <w:szCs w:val="18"/>
                <w:color w:val="auto"/>
              </w:rPr>
              <w:t>is</w:t>
            </w:r>
          </w:p>
        </w:tc>
        <w:tc>
          <w:tcPr>
            <w:tcW w:w="620" w:type="dxa"/>
            <w:vAlign w:val="bottom"/>
          </w:tcPr>
          <w:p>
            <w:pPr>
              <w:ind w:left="20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99"/>
              </w:rPr>
              <w:t>summary</w:t>
            </w:r>
          </w:p>
        </w:tc>
        <w:tc>
          <w:tcPr>
            <w:tcW w:w="780" w:type="dxa"/>
            <w:vAlign w:val="bottom"/>
          </w:tcPr>
          <w:p>
            <w:pPr>
              <w:ind w:left="360"/>
              <w:spacing w:after="0"/>
              <w:rPr>
                <w:sz w:val="20"/>
                <w:szCs w:val="20"/>
                <w:color w:val="auto"/>
              </w:rPr>
            </w:pPr>
            <w:r>
              <w:rPr>
                <w:rFonts w:ascii="Arial" w:cs="Arial" w:eastAsia="Arial" w:hAnsi="Arial"/>
                <w:sz w:val="18"/>
                <w:szCs w:val="18"/>
                <w:color w:val="auto"/>
              </w:rPr>
              <w:t>of</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w w:val="95"/>
              </w:rPr>
              <w:t>the</w:t>
            </w: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Company's</w:t>
            </w:r>
          </w:p>
        </w:tc>
        <w:tc>
          <w:tcPr>
            <w:tcW w:w="14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color w:val="auto"/>
              </w:rPr>
              <w:t>performance-based</w:t>
            </w:r>
          </w:p>
        </w:tc>
        <w:tc>
          <w:tcPr>
            <w:tcW w:w="1120" w:type="dxa"/>
            <w:vAlign w:val="bottom"/>
          </w:tcPr>
          <w:p>
            <w:pPr>
              <w:jc w:val="right"/>
              <w:ind w:right="279"/>
              <w:spacing w:after="0"/>
              <w:rPr>
                <w:sz w:val="20"/>
                <w:szCs w:val="20"/>
                <w:color w:val="auto"/>
              </w:rPr>
            </w:pPr>
            <w:r>
              <w:rPr>
                <w:rFonts w:ascii="Arial" w:cs="Arial" w:eastAsia="Arial" w:hAnsi="Arial"/>
                <w:sz w:val="18"/>
                <w:szCs w:val="18"/>
                <w:color w:val="auto"/>
              </w:rPr>
              <w:t>stock</w:t>
            </w:r>
          </w:p>
        </w:tc>
        <w:tc>
          <w:tcPr>
            <w:tcW w:w="680" w:type="dxa"/>
            <w:vAlign w:val="bottom"/>
            <w:gridSpan w:val="2"/>
          </w:tcPr>
          <w:p>
            <w:pPr>
              <w:spacing w:after="0"/>
              <w:rPr>
                <w:sz w:val="20"/>
                <w:szCs w:val="20"/>
                <w:color w:val="auto"/>
              </w:rPr>
            </w:pPr>
            <w:r>
              <w:rPr>
                <w:rFonts w:ascii="Arial" w:cs="Arial" w:eastAsia="Arial" w:hAnsi="Arial"/>
                <w:sz w:val="18"/>
                <w:szCs w:val="18"/>
                <w:color w:val="auto"/>
              </w:rPr>
              <w:t>option</w:t>
            </w:r>
          </w:p>
        </w:tc>
        <w:tc>
          <w:tcPr>
            <w:tcW w:w="800" w:type="dxa"/>
            <w:vAlign w:val="bottom"/>
          </w:tcPr>
          <w:p>
            <w:pPr>
              <w:ind w:left="200"/>
              <w:spacing w:after="0"/>
              <w:rPr>
                <w:sz w:val="20"/>
                <w:szCs w:val="20"/>
                <w:color w:val="auto"/>
              </w:rPr>
            </w:pPr>
            <w:r>
              <w:rPr>
                <w:rFonts w:ascii="Arial" w:cs="Arial" w:eastAsia="Arial" w:hAnsi="Arial"/>
                <w:sz w:val="18"/>
                <w:szCs w:val="18"/>
                <w:color w:val="auto"/>
                <w:w w:val="96"/>
              </w:rPr>
              <w:t>activity:</w:t>
            </w:r>
          </w:p>
        </w:tc>
        <w:tc>
          <w:tcPr>
            <w:tcW w:w="0" w:type="dxa"/>
            <w:vAlign w:val="bottom"/>
          </w:tcPr>
          <w:p>
            <w:pPr>
              <w:spacing w:after="0"/>
              <w:rPr>
                <w:sz w:val="1"/>
                <w:szCs w:val="1"/>
                <w:color w:val="auto"/>
              </w:rPr>
            </w:pPr>
          </w:p>
        </w:tc>
      </w:tr>
      <w:tr>
        <w:trPr>
          <w:trHeight w:val="246"/>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4"/>
                <w:szCs w:val="14"/>
                <w:b w:val="1"/>
                <w:bCs w:val="1"/>
                <w:color w:val="auto"/>
              </w:rPr>
              <w:t>Performance-Based Stock Options</w:t>
            </w: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Weighted</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Weighted</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average</w:t>
            </w:r>
          </w:p>
        </w:tc>
        <w:tc>
          <w:tcPr>
            <w:tcW w:w="140" w:type="dxa"/>
            <w:vAlign w:val="bottom"/>
          </w:tcPr>
          <w:p>
            <w:pPr>
              <w:spacing w:after="0"/>
              <w:rPr>
                <w:sz w:val="15"/>
                <w:szCs w:val="15"/>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color w:val="auto"/>
              </w:rPr>
              <w:t>Weighted</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average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restart"/>
          </w:tcPr>
          <w:p>
            <w:pPr>
              <w:jc w:val="center"/>
              <w:ind w:right="13"/>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exercise</w:t>
            </w:r>
          </w:p>
        </w:tc>
        <w:tc>
          <w:tcPr>
            <w:tcW w:w="140" w:type="dxa"/>
            <w:vAlign w:val="bottom"/>
          </w:tcPr>
          <w:p>
            <w:pPr>
              <w:spacing w:after="0"/>
              <w:rPr>
                <w:sz w:val="15"/>
                <w:szCs w:val="15"/>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color w:val="auto"/>
              </w:rPr>
              <w:t>average</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remaining</w:t>
            </w:r>
          </w:p>
        </w:tc>
        <w:tc>
          <w:tcPr>
            <w:tcW w:w="8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price per</w:t>
            </w:r>
          </w:p>
        </w:tc>
        <w:tc>
          <w:tcPr>
            <w:tcW w:w="140" w:type="dxa"/>
            <w:vAlign w:val="bottom"/>
          </w:tcPr>
          <w:p>
            <w:pPr>
              <w:spacing w:after="0"/>
              <w:rPr>
                <w:sz w:val="14"/>
                <w:szCs w:val="14"/>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4"/>
                <w:szCs w:val="14"/>
                <w:color w:val="auto"/>
              </w:rPr>
              <w:t>grant date</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contractual</w:t>
            </w: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right="13"/>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share</w:t>
            </w:r>
          </w:p>
        </w:tc>
        <w:tc>
          <w:tcPr>
            <w:tcW w:w="1760" w:type="dxa"/>
            <w:vAlign w:val="bottom"/>
            <w:gridSpan w:val="4"/>
          </w:tcPr>
          <w:p>
            <w:pPr>
              <w:jc w:val="right"/>
              <w:ind w:right="440"/>
              <w:spacing w:after="0"/>
              <w:rPr>
                <w:sz w:val="20"/>
                <w:szCs w:val="20"/>
                <w:color w:val="auto"/>
              </w:rPr>
            </w:pPr>
            <w:r>
              <w:rPr>
                <w:rFonts w:ascii="Arial" w:cs="Arial" w:eastAsia="Arial" w:hAnsi="Arial"/>
                <w:sz w:val="14"/>
                <w:szCs w:val="14"/>
                <w:color w:val="auto"/>
              </w:rPr>
              <w:t>fair value per share</w:t>
            </w:r>
          </w:p>
        </w:tc>
        <w:tc>
          <w:tcPr>
            <w:tcW w:w="1120" w:type="dxa"/>
            <w:vAlign w:val="bottom"/>
          </w:tcPr>
          <w:p>
            <w:pPr>
              <w:jc w:val="center"/>
              <w:ind w:right="199"/>
              <w:spacing w:after="0"/>
              <w:rPr>
                <w:sz w:val="20"/>
                <w:szCs w:val="20"/>
                <w:color w:val="auto"/>
              </w:rPr>
            </w:pPr>
            <w:r>
              <w:rPr>
                <w:rFonts w:ascii="Arial" w:cs="Arial" w:eastAsia="Arial" w:hAnsi="Arial"/>
                <w:sz w:val="14"/>
                <w:szCs w:val="14"/>
                <w:color w:val="auto"/>
              </w:rPr>
              <w:t>term (years)</w:t>
            </w:r>
          </w:p>
        </w:tc>
        <w:tc>
          <w:tcPr>
            <w:tcW w:w="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Value (in thousands)</w:t>
            </w:r>
          </w:p>
        </w:tc>
        <w:tc>
          <w:tcPr>
            <w:tcW w:w="0" w:type="dxa"/>
            <w:vAlign w:val="bottom"/>
          </w:tcPr>
          <w:p>
            <w:pPr>
              <w:spacing w:after="0"/>
              <w:rPr>
                <w:sz w:val="1"/>
                <w:szCs w:val="1"/>
                <w:color w:val="auto"/>
              </w:rPr>
            </w:pPr>
          </w:p>
        </w:tc>
      </w:tr>
      <w:tr>
        <w:trPr>
          <w:trHeight w:val="292"/>
        </w:trPr>
        <w:tc>
          <w:tcPr>
            <w:tcW w:w="346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44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3,178,533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0"/>
              <w:spacing w:after="0" w:line="203" w:lineRule="exact"/>
              <w:rPr>
                <w:sz w:val="20"/>
                <w:szCs w:val="20"/>
                <w:color w:val="auto"/>
              </w:rPr>
            </w:pPr>
            <w:r>
              <w:rPr>
                <w:rFonts w:ascii="Arial" w:cs="Arial" w:eastAsia="Arial" w:hAnsi="Arial"/>
                <w:sz w:val="18"/>
                <w:szCs w:val="18"/>
                <w:color w:val="auto"/>
              </w:rPr>
              <w:t>Forfeited</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(7,812)</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25.54</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9.76</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gridSpan w:val="5"/>
          </w:tcPr>
          <w:p>
            <w:pPr>
              <w:ind w:left="20"/>
              <w:spacing w:after="0"/>
              <w:rPr>
                <w:sz w:val="20"/>
                <w:szCs w:val="20"/>
                <w:color w:val="auto"/>
              </w:rPr>
            </w:pPr>
            <w:r>
              <w:rPr>
                <w:rFonts w:ascii="Arial" w:cs="Arial" w:eastAsia="Arial" w:hAnsi="Arial"/>
                <w:sz w:val="18"/>
                <w:szCs w:val="18"/>
                <w:color w:val="auto"/>
              </w:rPr>
              <w:t>Outstanding as of December 31, 2023</w:t>
            </w: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2,798,154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Forfeited</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(257,501)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46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44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2,471,518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0"/>
              <w:spacing w:after="0" w:line="203" w:lineRule="exact"/>
              <w:rPr>
                <w:sz w:val="20"/>
                <w:szCs w:val="20"/>
                <w:color w:val="auto"/>
              </w:rPr>
            </w:pPr>
            <w:r>
              <w:rPr>
                <w:rFonts w:ascii="Arial" w:cs="Arial" w:eastAsia="Arial" w:hAnsi="Arial"/>
                <w:sz w:val="18"/>
                <w:szCs w:val="18"/>
                <w:color w:val="auto"/>
              </w:rPr>
              <w:t>Forfeited</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(14,868)</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13.78</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3.39</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Exercised</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(884,514)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460" w:type="dxa"/>
            <w:vAlign w:val="bottom"/>
            <w:gridSpan w:val="5"/>
          </w:tcPr>
          <w:p>
            <w:pPr>
              <w:ind w:left="20"/>
              <w:spacing w:after="0" w:line="163" w:lineRule="exact"/>
              <w:rPr>
                <w:sz w:val="20"/>
                <w:szCs w:val="20"/>
                <w:color w:val="auto"/>
              </w:rPr>
            </w:pPr>
            <w:r>
              <w:rPr>
                <w:rFonts w:ascii="Arial" w:cs="Arial" w:eastAsia="Arial" w:hAnsi="Arial"/>
                <w:sz w:val="18"/>
                <w:szCs w:val="18"/>
                <w:color w:val="auto"/>
              </w:rPr>
              <w:t>Outstanding, Exercisable and Vested as of</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1,572,136</w:t>
            </w:r>
          </w:p>
        </w:tc>
        <w:tc>
          <w:tcPr>
            <w:tcW w:w="10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ind w:left="18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08"/>
        </w:trPr>
        <w:tc>
          <w:tcPr>
            <w:tcW w:w="1720" w:type="dxa"/>
            <w:vAlign w:val="bottom"/>
            <w:gridSpan w:val="2"/>
          </w:tcPr>
          <w:p>
            <w:pPr>
              <w:ind w:left="100"/>
              <w:spacing w:after="0"/>
              <w:rPr>
                <w:sz w:val="20"/>
                <w:szCs w:val="20"/>
                <w:color w:val="auto"/>
              </w:rPr>
            </w:pPr>
            <w:r>
              <w:rPr>
                <w:rFonts w:ascii="Arial" w:cs="Arial" w:eastAsia="Arial" w:hAnsi="Arial"/>
                <w:sz w:val="18"/>
                <w:szCs w:val="18"/>
                <w:color w:val="auto"/>
              </w:rPr>
              <w:t>December 31, 2025</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performance-based stock options had vested as of December 31, 2023. The intrinsic value of performance-based stock options exercised in 2025, 2024 and 2023 was $8,550, $2,097 and $5,253, respectively. All performance-based stock options expire ten years after the grant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Restricted Stock Units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spacing w:after="0"/>
              <w:rPr>
                <w:sz w:val="17"/>
                <w:szCs w:val="17"/>
                <w:color w:val="auto"/>
              </w:rPr>
            </w:pPr>
          </w:p>
        </w:tc>
        <w:tc>
          <w:tcPr>
            <w:tcW w:w="442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Time-Based Restricted Stock Units</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Number of</w:t>
            </w:r>
          </w:p>
        </w:tc>
        <w:tc>
          <w:tcPr>
            <w:tcW w:w="280" w:type="dxa"/>
            <w:vAlign w:val="bottom"/>
          </w:tcPr>
          <w:p>
            <w:pPr>
              <w:spacing w:after="0"/>
              <w:rPr>
                <w:sz w:val="14"/>
                <w:szCs w:val="14"/>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204"/>
        </w:trPr>
        <w:tc>
          <w:tcPr>
            <w:tcW w:w="676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7"/>
                <w:szCs w:val="17"/>
                <w:color w:val="auto"/>
              </w:rPr>
            </w:pPr>
          </w:p>
        </w:tc>
        <w:tc>
          <w:tcPr>
            <w:tcW w:w="1880" w:type="dxa"/>
            <w:vAlign w:val="bottom"/>
          </w:tcPr>
          <w:p>
            <w:pPr>
              <w:jc w:val="center"/>
              <w:ind w:right="194"/>
              <w:spacing w:after="0"/>
              <w:rPr>
                <w:sz w:val="20"/>
                <w:szCs w:val="20"/>
                <w:color w:val="auto"/>
              </w:rPr>
            </w:pPr>
            <w:r>
              <w:rPr>
                <w:rFonts w:ascii="Arial" w:cs="Arial" w:eastAsia="Arial" w:hAnsi="Arial"/>
                <w:sz w:val="14"/>
                <w:szCs w:val="14"/>
                <w:color w:val="auto"/>
              </w:rPr>
              <w:t>fair value per share</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2022</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458,271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2023</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509,366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2024</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613,699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measures compensation expense for grants of time-based RSUs using the Company's share price on the date of grant. The Company recognizes expense associated with the RSUs in an amount equal to the fair value on the date of the grant and on a straight-line basis over the requisite service period of the award. RSUs vest ratably over the term of the award, which is typically three years. The total grant date fair value of restricted stock units vested was $5,440, $4,209 and $3,701 during the years ended December 31, 2025, 2024 and 2023,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Restricted Stock Units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spacing w:after="0"/>
              <w:rPr>
                <w:sz w:val="17"/>
                <w:szCs w:val="17"/>
                <w:color w:val="auto"/>
              </w:rPr>
            </w:pPr>
          </w:p>
        </w:tc>
        <w:tc>
          <w:tcPr>
            <w:tcW w:w="44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Performance-Based Restricted Stock Units</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7"/>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7"/>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2260" w:type="dxa"/>
            <w:vAlign w:val="bottom"/>
            <w:gridSpan w:val="2"/>
          </w:tcPr>
          <w:p>
            <w:pPr>
              <w:ind w:left="740"/>
              <w:spacing w:after="0"/>
              <w:rPr>
                <w:sz w:val="20"/>
                <w:szCs w:val="20"/>
                <w:color w:val="auto"/>
              </w:rPr>
            </w:pPr>
            <w:r>
              <w:rPr>
                <w:rFonts w:ascii="Arial" w:cs="Arial" w:eastAsia="Arial" w:hAnsi="Arial"/>
                <w:sz w:val="14"/>
                <w:szCs w:val="14"/>
                <w:color w:val="auto"/>
              </w:rPr>
              <w:t>Number of</w:t>
            </w:r>
          </w:p>
        </w:tc>
        <w:tc>
          <w:tcPr>
            <w:tcW w:w="280" w:type="dxa"/>
            <w:vAlign w:val="bottom"/>
          </w:tcPr>
          <w:p>
            <w:pPr>
              <w:spacing w:after="0"/>
              <w:rPr>
                <w:sz w:val="14"/>
                <w:szCs w:val="14"/>
                <w:color w:val="auto"/>
              </w:rPr>
            </w:pPr>
          </w:p>
        </w:tc>
        <w:tc>
          <w:tcPr>
            <w:tcW w:w="1880" w:type="dxa"/>
            <w:vAlign w:val="bottom"/>
          </w:tcPr>
          <w:p>
            <w:pPr>
              <w:jc w:val="center"/>
              <w:ind w:right="197"/>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204"/>
        </w:trPr>
        <w:tc>
          <w:tcPr>
            <w:tcW w:w="6760" w:type="dxa"/>
            <w:vAlign w:val="bottom"/>
          </w:tcPr>
          <w:p>
            <w:pPr>
              <w:spacing w:after="0"/>
              <w:rPr>
                <w:sz w:val="17"/>
                <w:szCs w:val="17"/>
                <w:color w:val="auto"/>
              </w:rPr>
            </w:pPr>
          </w:p>
        </w:tc>
        <w:tc>
          <w:tcPr>
            <w:tcW w:w="2260" w:type="dxa"/>
            <w:vAlign w:val="bottom"/>
            <w:gridSpan w:val="2"/>
          </w:tcPr>
          <w:p>
            <w:pPr>
              <w:ind w:left="86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7"/>
                <w:szCs w:val="17"/>
                <w:color w:val="auto"/>
              </w:rPr>
            </w:pPr>
          </w:p>
        </w:tc>
        <w:tc>
          <w:tcPr>
            <w:tcW w:w="1880" w:type="dxa"/>
            <w:vAlign w:val="bottom"/>
          </w:tcPr>
          <w:p>
            <w:pPr>
              <w:jc w:val="center"/>
              <w:ind w:right="197"/>
              <w:spacing w:after="0"/>
              <w:rPr>
                <w:sz w:val="20"/>
                <w:szCs w:val="20"/>
                <w:color w:val="auto"/>
              </w:rPr>
            </w:pPr>
            <w:r>
              <w:rPr>
                <w:rFonts w:ascii="Arial" w:cs="Arial" w:eastAsia="Arial" w:hAnsi="Arial"/>
                <w:sz w:val="14"/>
                <w:szCs w:val="14"/>
                <w:color w:val="auto"/>
              </w:rPr>
              <w:t>fair value per share</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2023</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172,737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3"/>
        </w:trPr>
        <w:tc>
          <w:tcPr>
            <w:tcW w:w="6760" w:type="dxa"/>
            <w:vAlign w:val="bottom"/>
          </w:tcPr>
          <w:p>
            <w:pPr>
              <w:jc w:val="right"/>
              <w:ind w:right="3610"/>
              <w:spacing w:after="0"/>
              <w:rPr>
                <w:sz w:val="20"/>
                <w:szCs w:val="20"/>
                <w:color w:val="auto"/>
              </w:rPr>
            </w:pPr>
            <w:r>
              <w:rPr>
                <w:rFonts w:ascii="Arial" w:cs="Arial" w:eastAsia="Arial" w:hAnsi="Arial"/>
                <w:sz w:val="18"/>
                <w:szCs w:val="18"/>
                <w:color w:val="auto"/>
                <w:w w:val="99"/>
              </w:rPr>
              <w:t>Outstanding as of December 31, 2024</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PRSUs are long-term incentive opportunities that represent the right to receive shares of the Company’s Common Stock based on the achievement of certain performance conditions over a three-year period. The Company measures compensation expense for grants of PRSUs using the Company's share price on the date of grant. The Company recognizes compensation expense for grants of PRSUs to the extent it is probable the performance condition(s) will be satisfied. Potential payouts range from 50%-150% of a target level.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401(k)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The Company currently matches 100% of participants' contributions up to a maximum of 4% for non-pilot and non-flight attendant participants’ eligible compensation. Pursuant to the current pilot CBA, the Company was required to make non-discretionary contributions based on gross earnings of 14% in 2023 and 15% in 2024 and thereafter for all pilot participants. Pursuant to the current flight attendant CBA, the Company matches contributions made by participants up to a maximum of 6% of eligible compensation. Contributions for pilot, flight attendant, and non-pilot and non-flight attendant participants are classified in Salaries, Wages, and Benefits on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401(k) contributions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Non-Discretionary</w:t>
            </w:r>
          </w:p>
        </w:tc>
        <w:tc>
          <w:tcPr>
            <w:tcW w:w="2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Discretionary</w:t>
            </w:r>
          </w:p>
        </w:tc>
        <w:tc>
          <w:tcPr>
            <w:tcW w:w="2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401(k) Contributions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710"/>
              <w:spacing w:after="0"/>
              <w:rPr>
                <w:sz w:val="20"/>
                <w:szCs w:val="20"/>
                <w:color w:val="auto"/>
              </w:rPr>
            </w:pPr>
            <w:r>
              <w:rPr>
                <w:rFonts w:ascii="Arial" w:cs="Arial" w:eastAsia="Arial" w:hAnsi="Arial"/>
                <w:sz w:val="18"/>
                <w:szCs w:val="18"/>
                <w:color w:val="auto"/>
              </w:rPr>
              <w:t>111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8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6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3,859</w:t>
            </w:r>
          </w:p>
        </w:tc>
        <w:tc>
          <w:tcPr>
            <w:tcW w:w="8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37,901</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53,452</w:t>
            </w:r>
          </w:p>
        </w:tc>
        <w:tc>
          <w:tcPr>
            <w:tcW w:w="8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40" w:right="520" w:hanging="414"/>
        <w:spacing w:after="0" w:line="285" w:lineRule="auto"/>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Company also holds Certificates of Deposit with maturities greater than 90 days that are included in Investments on the Consolidated Balance Sheets totaling $6,498 and $6,417 as of December 31, 2025 and December 31, 2024,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unrealized losses were the result of increases in market interest rates and were not the result of a</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deterioration in the credit quality of the securities. As of December 31, 2025, the Company believes that any unrealized losses will recover prior to the investment's conversion to cash.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25" w:lineRule="exact"/>
        <w:rPr>
          <w:sz w:val="20"/>
          <w:szCs w:val="20"/>
          <w:color w:val="auto"/>
        </w:rPr>
      </w:pPr>
    </w:p>
    <w:p>
      <w:pPr>
        <w:jc w:val="both"/>
        <w:ind w:left="1300" w:hanging="809"/>
        <w:spacing w:after="0" w:line="268"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1300" w:hanging="809"/>
        <w:spacing w:after="0" w:line="28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 Financial instruments including Restricted Cash, Certificates of Deposit, Accounts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Current Liabilities have carrying values that approximate fair value.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Cash &amp; Cash Equivalents </w:t>
      </w:r>
      <w:r>
        <w:rPr>
          <w:rFonts w:ascii="Arial" w:cs="Arial" w:eastAsia="Arial" w:hAnsi="Arial"/>
          <w:sz w:val="18"/>
          <w:szCs w:val="18"/>
          <w:color w:val="auto"/>
        </w:rPr>
        <w:t>– The carrying value of cash and cash equivalents approximates fair value. Fair values of cash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that do not trade on a regular basis in active markets are classified as Level 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 Available-for-Sale investment securities include debt securities, such as municipal, corporate, and U.S.</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agency notes. All of these investments are classified as Level 2 because they do not trade in active markets on a regular basis. The Company obtains its pricing per security from a third-party, which uses quoted market prices, when available, or other observable inputs for determination of fair value.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Non-Financial Assets </w:t>
      </w:r>
      <w:r>
        <w:rPr>
          <w:rFonts w:ascii="Arial" w:cs="Arial" w:eastAsia="Arial" w:hAnsi="Arial"/>
          <w:sz w:val="18"/>
          <w:szCs w:val="18"/>
          <w:color w:val="auto"/>
        </w:rPr>
        <w:t>– Certain assets are measured at fair value on a nonrecurring basis. The Company’s non-financial assets,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Property &amp;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See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Note 8</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on the Company's debt financings and related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2025</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144,684</w:t>
            </w:r>
          </w:p>
        </w:tc>
        <w:tc>
          <w:tcPr>
            <w:tcW w:w="0" w:type="dxa"/>
            <w:vAlign w:val="bottom"/>
          </w:tcPr>
          <w:p>
            <w:pPr>
              <w:spacing w:after="0"/>
              <w:rPr>
                <w:sz w:val="1"/>
                <w:szCs w:val="1"/>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41,367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83,131</w:t>
            </w:r>
          </w:p>
        </w:tc>
        <w:tc>
          <w:tcPr>
            <w:tcW w:w="10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83,131</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155"/>
        </w:trPr>
        <w:tc>
          <w:tcPr>
            <w:tcW w:w="4420" w:type="dxa"/>
            <w:vAlign w:val="bottom"/>
          </w:tcPr>
          <w:p>
            <w:pPr>
              <w:ind w:left="36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151,182</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83,131</w:t>
            </w:r>
          </w:p>
        </w:tc>
        <w:tc>
          <w:tcPr>
            <w:tcW w:w="100" w:type="dxa"/>
            <w:vAlign w:val="bottom"/>
          </w:tcPr>
          <w:p>
            <w:pPr>
              <w:spacing w:after="0"/>
              <w:rPr>
                <w:sz w:val="13"/>
                <w:szCs w:val="13"/>
                <w:color w:val="auto"/>
              </w:rPr>
            </w:pPr>
          </w:p>
        </w:tc>
        <w:tc>
          <w:tcPr>
            <w:tcW w:w="1220" w:type="dxa"/>
            <w:vAlign w:val="bottom"/>
            <w:vMerge w:val="restart"/>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3"/>
                <w:szCs w:val="13"/>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234,313</w:t>
            </w:r>
          </w:p>
        </w:tc>
        <w:tc>
          <w:tcPr>
            <w:tcW w:w="0" w:type="dxa"/>
            <w:vAlign w:val="bottom"/>
          </w:tcPr>
          <w:p>
            <w:pPr>
              <w:spacing w:after="0"/>
              <w:rPr>
                <w:sz w:val="1"/>
                <w:szCs w:val="1"/>
                <w:color w:val="auto"/>
              </w:rPr>
            </w:pPr>
          </w:p>
        </w:tc>
      </w:tr>
      <w:tr>
        <w:trPr>
          <w:trHeight w:val="221"/>
        </w:trPr>
        <w:tc>
          <w:tcPr>
            <w:tcW w:w="4420" w:type="dxa"/>
            <w:vAlign w:val="bottom"/>
          </w:tcPr>
          <w:p>
            <w:pPr>
              <w:ind w:left="520"/>
              <w:spacing w:after="0"/>
              <w:rPr>
                <w:sz w:val="20"/>
                <w:szCs w:val="20"/>
                <w:color w:val="auto"/>
              </w:rPr>
            </w:pPr>
            <w:r>
              <w:rPr>
                <w:rFonts w:ascii="Arial" w:cs="Arial" w:eastAsia="Arial" w:hAnsi="Arial"/>
                <w:sz w:val="18"/>
                <w:szCs w:val="18"/>
                <w:color w:val="auto"/>
              </w:rPr>
              <w:t>Recurring Basis</w:t>
            </w:r>
          </w:p>
        </w:tc>
        <w:tc>
          <w:tcPr>
            <w:tcW w:w="3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9"/>
        </w:trPr>
        <w:tc>
          <w:tcPr>
            <w:tcW w:w="4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83,219</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44,202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44,202</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164"/>
        </w:trPr>
        <w:tc>
          <w:tcPr>
            <w:tcW w:w="442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89,636</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187,272</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4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2023</w:t>
            </w: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Tax Expense</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50"/>
        </w:trPr>
        <w:tc>
          <w:tcPr>
            <w:tcW w:w="5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Deferred:</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w:t>
            </w:r>
          </w:p>
        </w:tc>
      </w:tr>
      <w:tr>
        <w:trPr>
          <w:trHeight w:val="230"/>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 and Local</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Expense</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21,886</w:t>
            </w:r>
          </w:p>
        </w:tc>
      </w:tr>
      <w:tr>
        <w:trPr>
          <w:trHeight w:val="250"/>
        </w:trPr>
        <w:tc>
          <w:tcPr>
            <w:tcW w:w="5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19,609</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w:t>
            </w:r>
          </w:p>
        </w:tc>
      </w:tr>
      <w:tr>
        <w:trPr>
          <w:trHeight w:val="20"/>
        </w:trPr>
        <w:tc>
          <w:tcPr>
            <w:tcW w:w="5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38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7"/>
                <w:szCs w:val="17"/>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14,745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14,610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19,773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3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State Tax, net of Federal Impact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Arial" w:cs="Arial" w:eastAsia="Arial" w:hAnsi="Arial"/>
                <w:sz w:val="18"/>
                <w:szCs w:val="18"/>
                <w:color w:val="auto"/>
              </w:rPr>
              <w:t>2,017</w:t>
            </w:r>
          </w:p>
        </w:tc>
        <w:tc>
          <w:tcPr>
            <w:tcW w:w="8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435"/>
              <w:spacing w:after="0"/>
              <w:rPr>
                <w:sz w:val="20"/>
                <w:szCs w:val="20"/>
                <w:color w:val="auto"/>
              </w:rPr>
            </w:pPr>
            <w:r>
              <w:rPr>
                <w:rFonts w:ascii="Arial" w:cs="Arial" w:eastAsia="Arial" w:hAnsi="Arial"/>
                <w:sz w:val="18"/>
                <w:szCs w:val="18"/>
                <w:color w:val="auto"/>
              </w:rPr>
              <w:t>1,252</w:t>
            </w:r>
          </w:p>
        </w:tc>
        <w:tc>
          <w:tcPr>
            <w:tcW w:w="8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Arial" w:cs="Arial" w:eastAsia="Arial" w:hAnsi="Arial"/>
                <w:sz w:val="18"/>
                <w:szCs w:val="18"/>
                <w:color w:val="auto"/>
              </w:rPr>
              <w:t>1,871</w:t>
            </w:r>
          </w:p>
        </w:tc>
        <w:tc>
          <w:tcPr>
            <w:tcW w:w="8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3820" w:type="dxa"/>
            <w:vAlign w:val="bottom"/>
          </w:tcPr>
          <w:p>
            <w:pPr>
              <w:ind w:left="240"/>
              <w:spacing w:after="0"/>
              <w:rPr>
                <w:sz w:val="20"/>
                <w:szCs w:val="20"/>
                <w:color w:val="auto"/>
              </w:rPr>
            </w:pPr>
            <w:r>
              <w:rPr>
                <w:rFonts w:ascii="Arial" w:cs="Arial" w:eastAsia="Arial" w:hAnsi="Arial"/>
                <w:sz w:val="18"/>
                <w:szCs w:val="18"/>
                <w:color w:val="auto"/>
              </w:rPr>
              <w:t>Stock Compensation Benefit</w:t>
            </w:r>
          </w:p>
        </w:tc>
        <w:tc>
          <w:tcPr>
            <w:tcW w:w="320" w:type="dxa"/>
            <w:vAlign w:val="bottom"/>
          </w:tcPr>
          <w:p>
            <w:pPr>
              <w:spacing w:after="0"/>
              <w:rPr>
                <w:sz w:val="19"/>
                <w:szCs w:val="19"/>
                <w:color w:val="auto"/>
              </w:rPr>
            </w:pPr>
          </w:p>
        </w:tc>
        <w:tc>
          <w:tcPr>
            <w:tcW w:w="1280" w:type="dxa"/>
            <w:vAlign w:val="bottom"/>
          </w:tcPr>
          <w:p>
            <w:pPr>
              <w:jc w:val="right"/>
              <w:ind w:right="393"/>
              <w:spacing w:after="0"/>
              <w:rPr>
                <w:sz w:val="20"/>
                <w:szCs w:val="20"/>
                <w:color w:val="auto"/>
              </w:rPr>
            </w:pPr>
            <w:r>
              <w:rPr>
                <w:rFonts w:ascii="Arial" w:cs="Arial" w:eastAsia="Arial" w:hAnsi="Arial"/>
                <w:sz w:val="18"/>
                <w:szCs w:val="18"/>
                <w:color w:val="auto"/>
              </w:rPr>
              <w:t>(1,783)</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395"/>
              <w:spacing w:after="0"/>
              <w:rPr>
                <w:sz w:val="20"/>
                <w:szCs w:val="20"/>
                <w:color w:val="auto"/>
              </w:rPr>
            </w:pPr>
            <w:r>
              <w:rPr>
                <w:rFonts w:ascii="Arial" w:cs="Arial" w:eastAsia="Arial" w:hAnsi="Arial"/>
                <w:sz w:val="18"/>
                <w:szCs w:val="18"/>
                <w:color w:val="auto"/>
              </w:rPr>
              <w:t>(45)</w:t>
            </w: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393"/>
              <w:spacing w:after="0"/>
              <w:rPr>
                <w:sz w:val="20"/>
                <w:szCs w:val="20"/>
                <w:color w:val="auto"/>
              </w:rPr>
            </w:pPr>
            <w:r>
              <w:rPr>
                <w:rFonts w:ascii="Arial" w:cs="Arial" w:eastAsia="Arial" w:hAnsi="Arial"/>
                <w:sz w:val="18"/>
                <w:szCs w:val="18"/>
                <w:color w:val="auto"/>
              </w:rPr>
              <w:t>(1,048)</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Executive Compensation Limitation</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1,530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902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Permanent Adjustments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893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639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480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17,402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rPr>
              <w:t>16,671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rPr>
              <w:t>21,978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4"/>
          <w:szCs w:val="14"/>
          <w:color w:val="auto"/>
        </w:rPr>
        <w:t>(1)</w:t>
        <w:tab/>
        <w:t>The state tax rate in Minnesota and Florida made up the majority (greater than 50 percent) of the tax effect in this category.</w:t>
      </w: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4, 2025, the OBBBA was signed into law. The Company's effective tax rate for 2025 did not materially change as a result of the legislation.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r>
      <w:tr>
        <w:trPr>
          <w:trHeight w:val="196"/>
        </w:trPr>
        <w:tc>
          <w:tcPr>
            <w:tcW w:w="7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2024</w:t>
            </w:r>
          </w:p>
        </w:tc>
      </w:tr>
      <w:tr>
        <w:trPr>
          <w:trHeight w:val="211"/>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71,474</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66,834</w:t>
            </w:r>
          </w:p>
        </w:tc>
      </w:tr>
      <w:tr>
        <w:trPr>
          <w:trHeight w:val="229"/>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42,840</w:t>
            </w:r>
          </w:p>
        </w:tc>
      </w:tr>
      <w:tr>
        <w:trPr>
          <w:trHeight w:val="230"/>
        </w:trPr>
        <w:tc>
          <w:tcPr>
            <w:tcW w:w="712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4,123</w:t>
            </w:r>
          </w:p>
        </w:tc>
      </w:tr>
      <w:tr>
        <w:trPr>
          <w:trHeight w:val="229"/>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Loyalty Program Liabilities</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r>
      <w:tr>
        <w:trPr>
          <w:trHeight w:val="229"/>
        </w:trPr>
        <w:tc>
          <w:tcPr>
            <w:tcW w:w="7120" w:type="dxa"/>
            <w:vAlign w:val="bottom"/>
          </w:tcPr>
          <w:p>
            <w:pPr>
              <w:ind w:left="180"/>
              <w:spacing w:after="0"/>
              <w:rPr>
                <w:sz w:val="20"/>
                <w:szCs w:val="20"/>
                <w:color w:val="auto"/>
              </w:rPr>
            </w:pPr>
            <w:r>
              <w:rPr>
                <w:rFonts w:ascii="Arial" w:cs="Arial" w:eastAsia="Arial" w:hAnsi="Arial"/>
                <w:sz w:val="18"/>
                <w:szCs w:val="18"/>
                <w:color w:val="auto"/>
              </w:rPr>
              <w:t>Interest Expense Limitation</w:t>
            </w:r>
          </w:p>
        </w:tc>
        <w:tc>
          <w:tcPr>
            <w:tcW w:w="1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8,374</w:t>
            </w:r>
          </w:p>
        </w:tc>
      </w:tr>
      <w:tr>
        <w:trPr>
          <w:trHeight w:val="23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11,279</w:t>
            </w: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132,617</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136,708</w:t>
            </w:r>
          </w:p>
        </w:tc>
      </w:tr>
      <w:tr>
        <w:trPr>
          <w:trHeight w:val="237"/>
        </w:trPr>
        <w:tc>
          <w:tcPr>
            <w:tcW w:w="7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 Depreciation</w:t>
            </w: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(126,296)</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(113,679)</w:t>
            </w: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Finance Lease Assets</w:t>
            </w:r>
          </w:p>
        </w:tc>
        <w:tc>
          <w:tcPr>
            <w:tcW w:w="1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(32,994)</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(36,535)</w:t>
            </w:r>
          </w:p>
        </w:tc>
      </w:tr>
      <w:tr>
        <w:trPr>
          <w:trHeight w:val="27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r>
      <w:tr>
        <w:trPr>
          <w:trHeight w:val="270"/>
        </w:trPr>
        <w:tc>
          <w:tcPr>
            <w:tcW w:w="7120" w:type="dxa"/>
            <w:vAlign w:val="bottom"/>
          </w:tcPr>
          <w:p>
            <w:pPr>
              <w:ind w:left="180"/>
              <w:spacing w:after="0"/>
              <w:rPr>
                <w:sz w:val="20"/>
                <w:szCs w:val="20"/>
                <w:color w:val="auto"/>
              </w:rPr>
            </w:pPr>
            <w:r>
              <w:rPr>
                <w:rFonts w:ascii="Arial" w:cs="Arial" w:eastAsia="Arial" w:hAnsi="Arial"/>
                <w:sz w:val="18"/>
                <w:szCs w:val="18"/>
                <w:color w:val="auto"/>
              </w:rPr>
              <w:t>Prepaid Maintenance</w:t>
            </w:r>
          </w:p>
        </w:tc>
        <w:tc>
          <w:tcPr>
            <w:tcW w:w="1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(4,999)</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(4,135)</w:t>
            </w:r>
          </w:p>
        </w:tc>
      </w:tr>
      <w:tr>
        <w:trPr>
          <w:trHeight w:val="270"/>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(173,378)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(160,274)</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Deferred Tax (Liabilities) Assets</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2025, the Company has $ 68,709 of federal NOLs and $2,765 of state NOLs, net of tax effect, available that may be applied against future tax liabilities. As a result of ownership changes that occurred in 2021, the existing federal and state NOLs may be subject to certain limitations under Section 382 of the Internal Revenue Code. However, the Company does not believe these limitations will adversely impact its ability to use these losses to offset taxable income in future periods. There is no expiration of federal net operating losses. The state NOLs begin to expire in 2033.</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2025, management believes that it is more likely than not that the future results of the operations will generate sufficient taxable income to realize the tax benefits related to its Deferred Tax Assets.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 As of December 31, 2025 and 2024, the Company had no liability for unrecognized tax benefits recorded in its Consolidated Balance Sheets.</w:t>
      </w:r>
    </w:p>
    <w:p>
      <w:pPr>
        <w:spacing w:after="0" w:line="17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income tax purposes, the Company's 2024, 2023, and 2022 tax returns remain open to examination. For U.S. state income tax purposes, the Company's 2024, 2023, 2022, and 2021 tax returns remain open to examination.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Company’s IPO, the legal entity Sun Country Airlines Holdings, Inc. entered into a TRA with the TRA holders. Upon the closing of the IPO, the Company recognized a non-current liability of $115,200, which represented undiscounted aggregate payments that were expected to be paid to the TRA holders, with an offset to Stockholders’ Equity. The total TRA balance as of December 31, 2025 and 2024 was $87,169 and $97,694, of which no amount and $10,325 was current, respectively. During the years ended December 31, 2025, 2024 and 2023 the Company made payments of $10,525, $3,350 and $2,425 respectively, to the TRA holders, which includes certain members of the Company's management and certain members of the Company's Board of Directors.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TRA liability is an estimate and actual amounts payable under the TRA could differ from this estimate. For example, changes to full year taxable income, as well as changes in tax laws may impact the timing of TRA liability payments. The decrease in the current portion of the TRA balance is primarily due to the OBBBA enacted on July 4, 2025. Payments will be made in future periods as the Pre-IPO Tax Attributes are utilized. If the Company does not generate sufficient taxable income in the aggregate over the term of the TRA to utilize the tax benefits, then it would not be required to make the related TRA payments. In the case of a merger that constitutes a change of control, such as the Merger Agreement with Allegiant, the TRA will terminate. Upon completion of the potential Merger with Allegiant, the TRA will be settled with the TRA holders. The amount paid to the TRA holders will be the outstanding balance of the TRA at time of closing. For more information on the TRA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within these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SPECIAL ITEMS</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2025, the Company's flight attendants, represented by the International Brotherhood of Teamsters, ratified a new five-year CBA. Upon ratification of the new agreement, eligible flight attendants became entitled to a one-time ratification bonus. Eligibility requirements stipulate that flight attendants must be on the seniority list as of the ratification date, have completed probation, and hold an active status in order to receive the bonus payment. Certain portions of the ratification bonus will be paid in future periods as flight attendants on the seniority list as of the ratification date complete their probationary period or change their status from inactive to active. Ratification bonuses were paid to all eligible flight attendants during the year ended December 31, 2025, per the CBA. The Company recognized ratification bonuses of $1,886, including $145 of payroll-related tax expense, for the year ended December 31, 2025. These items were included within Special Items, net on the Company's Consolidated Statements of Operations.</w:t>
      </w:r>
    </w:p>
    <w:p>
      <w:pPr>
        <w:spacing w:after="0" w:line="185" w:lineRule="exact"/>
        <w:rPr>
          <w:sz w:val="20"/>
          <w:szCs w:val="20"/>
          <w:color w:val="auto"/>
        </w:rPr>
      </w:pPr>
    </w:p>
    <w:p>
      <w:pPr>
        <w:ind w:right="8660" w:firstLine="8"/>
        <w:spacing w:after="0" w:line="493" w:lineRule="auto"/>
        <w:tabs>
          <w:tab w:leader="none" w:pos="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 Repurchases</w:t>
      </w:r>
    </w:p>
    <w:p>
      <w:pPr>
        <w:jc w:val="both"/>
        <w:spacing w:after="0" w:line="262" w:lineRule="auto"/>
        <w:rPr>
          <w:sz w:val="20"/>
          <w:szCs w:val="20"/>
          <w:color w:val="auto"/>
        </w:rPr>
      </w:pPr>
      <w:r>
        <w:rPr>
          <w:rFonts w:ascii="Arial" w:cs="Arial" w:eastAsia="Arial" w:hAnsi="Arial"/>
          <w:sz w:val="18"/>
          <w:szCs w:val="18"/>
          <w:color w:val="auto"/>
        </w:rPr>
        <w:t>The Company may purchase shares of its Common Stock on a discretionary basis from time to time through open market repurchases, privately negotiated transactions, accelerated share repurchase, or other means, including through Rule 10b5-1 trading plans. All costs to repurchase the Company's Common Stock, as well as specific direct and incremental costs incurred, are included in the cost to acquire treasury shares.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2025, the Company announced the commencement of a secondary public offering of 6,346,105 shares of its Common Stock by the SCA Horus Stockholder. Upon the completion of the secondary public offering, the SCA Horus Stockholder did not own any shares of the Company’s Common Stock. The Company did not receive any of the proceeds from the offering. The Company received authorization from its Board of Directors to repurchase up to $10,000 of its Common Stock in connection with this offering. The underwriters agreed to sell to the Company, and the Company agreed to purchase up to $10,000 of the Company's Common Stock from the underwriters equal to the price at which the underwriter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purchased the shares from the SCA Horus Stockholder. As part of this transaction, the Company repurchased 630,914 shares of its Common Stock, for a total cost of $10,000, or an average price of $15.85 per share. The Company incurred offering expenses of $481 in conjunction with the secondary public offering.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June 30, 2025, the Company's Board of Directors authorized $25,000 to repurchase shares of the Company's Common Stock. During the year ended December 31, 2025, the Company repurchased 843,107 shares of its Common Stock at a total cost of $10,015 or an average price of $11.88 per share. The repurchases were open market purchases. As of December 31, 2025, the Company had $15,000 remaining of Board authorization to repurchase shares of its Common Stock. Under the Merger Agreement with Allegiant, the Company is prohibited from repurchasing any shares of its Common Stock during the period from January 11, 2026 to the time of closing of the Merger.</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 ended December 31, 2024, the Company completed open market repurchases for 755,284 shares of its Common Stock at a total cost of $11,493, or an average price of $15.22 per share.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2022, the Company entered into a $ 25,000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13, 2019, the Company signed a six-year contract with Amazon to provide Cargo services under the original ATSA. In connection with the original ATSA, the Company issued warrants to Amazon to purchase an aggregate of up to 9,482,606 shares of common stock at an exercise price of approximately $15.17 per share. The exercise period of these warrants is through the eighth anniversary of the issue date. There were 632,183 warrants that vested upon execution of the ATSA and 63,217 warrants will vest for each milestone of $8,000 in qualifying payments made by Amazon to the Company. During the years ended December 31, 2025, 2024 and 2023, total warrants that vested in each year were 1,264,347, 885,042 and 821,825, respectively. This resulted in Amazon holding 5,373,482 vested warrants as of December 31, 2025. No incremental warrants were issued, nor was the original warrant agreement modified, upon the signing of the A&amp;R ATSA. For more information on the A&amp;R ATSA,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within these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repayment of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payments under the TRA (see </w:t>
      </w:r>
      <w:r>
        <w:rPr>
          <w:rFonts w:ascii="Arial" w:cs="Arial" w:eastAsia="Arial" w:hAnsi="Arial"/>
          <w:sz w:val="18"/>
          <w:szCs w:val="18"/>
          <w:u w:val="single" w:color="auto"/>
          <w:color w:val="0000FF"/>
        </w:rPr>
        <w:t>Note 14</w:t>
      </w:r>
      <w:r>
        <w:rPr>
          <w:rFonts w:ascii="Arial" w:cs="Arial" w:eastAsia="Arial" w:hAnsi="Arial"/>
          <w:sz w:val="18"/>
          <w:szCs w:val="18"/>
          <w:color w:val="auto"/>
        </w:rPr>
        <w:t>), and probable future purchases of aircraft.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an audit by the IRS related to the collection of federal excise taxes on optional passenger seat selection charges covering the period of October 1, 2021 through June 30, 2023. During 2024, the Company received an assessment of approximately $2,700 from the IRS related to the results of the audit. As of December 31, 2025, the Company has appealed the results of the audit through a formal protest with the IRS and there has been no further change in status on this matter. The Company believes a loss in this matter is not probable and has not recognized a loss contingency as of December 31,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Company had surety bonds of approximately $4,272, primarily related to bond contractual performance.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2024, ALPA filed a grievance on behalf of the Company’s pilots for certain wages to be paid to pilot instructors during flight hours. In the third quarter of 2025, this matter moved to arbitration. During the fourth quarter of 2025, an arbitrator ruled in favor of the pilots. Prior to this ruling, the Company believed a loss on this matter was not probable. Accordingly, the Company recognized a loss contingency related to this matter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$2,718, inclusive of tax effects and 401(k) contributions, which was recorded within Salaries, Wages, and Benefits on the Company's Consolidated Statement of Operations during the fourth quarter of 2025. The Company is assessing all available legal remedies.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 Management does not believe these proceedings will have a materially adverse effect on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OPERATING SEGMENTS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Operating segments are defined as components of an enterprise about which separate financial information is both available and evaluated regularly by the CODM and is used in resource allocation and performance assessments. The Company’s CODM is considered to be the Company’s President and Chief Executive Officer. The Company has two operating and reportable segments: Passenger and Cargo, which are determined by the services provided and fleet utilized. The CODM makes resource allocation decisions with the objective of generating high returns and margins and mitigating the seasonality of the Company’s route network. The CODM assesses performance using multiple measures. Operating Income is the measure of segment profit that is the most consistent with the amounts presented in the Company’s Consolidated Financial Statements, as well as the measures the CODM uses to assess segment performance. The accounting policies for the Company’s reportable segments are consistent with those described in the Summary of Significant Accounting Policies included within </w:t>
      </w:r>
      <w:r>
        <w:rPr>
          <w:rFonts w:ascii="Arial" w:cs="Arial" w:eastAsia="Arial" w:hAnsi="Arial"/>
          <w:sz w:val="18"/>
          <w:szCs w:val="18"/>
          <w:u w:val="single" w:color="auto"/>
          <w:color w:val="0000FF"/>
        </w:rPr>
        <w:t>Note 2</w:t>
      </w:r>
      <w:r>
        <w:rPr>
          <w:rFonts w:ascii="Arial" w:cs="Arial" w:eastAsia="Arial" w:hAnsi="Arial"/>
          <w:sz w:val="18"/>
          <w:szCs w:val="18"/>
          <w:color w:val="0000FF"/>
        </w:rPr>
        <w:t xml:space="preserve"> </w:t>
      </w:r>
      <w:r>
        <w:rPr>
          <w:rFonts w:ascii="Arial" w:cs="Arial" w:eastAsia="Arial" w:hAnsi="Arial"/>
          <w:sz w:val="18"/>
          <w:szCs w:val="18"/>
          <w:color w:val="000000"/>
        </w:rPr>
        <w:t>of these Consolidated Financial Statements. There are no intercompany transactions between the Company’s reportable segments.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Passenger segment is comprised of two businesses: Scheduled Service and Charter. The Scheduled Service business provides passenger airline service primarily to leisure and VFR travelers. The Scheduled Service business offers a base fare and allows customers to purchase ancillary products and services for an additional fee. Sources of our ancillary revenue include air travel-related services such as baggage fees, seat selection and upgrade fees, priority check-in and boarding fees, other fees and on-board sales. The Charter business includes ad hoc, repeat, short-term and long-term service contracts. Under these Charter agreements, the Company is obligated to provide aircraft, crew, maintenance, and insurance for travel. Our diverse Charter customer base includes, but is not limited to the DoW, collegiate and professional sports teams and casinos.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Both Scheduled Service and Charter utilize the Company's Passenger fleet. The CODM maximizes the return on these aircraft through the combination of both the Scheduled Service and Charter flights. This allows for the most profitable use of the aircraft, either Scheduled Service or Charter, to be selected at any point in time. The Company regularly schedules its aircraft and crew on trips that combine Scheduled Service and Charter legs, dynamically replacing what would be lower margin Scheduled Service flights with Charter opportunities. The Company determined that it was appropriate that these businesses be viewed as a singular Passenger operating segment as the CODM evaluates the combined financial results of these businesses, due to their complimentary nature, to ensure the highest levels of returns for the Passenger fleet. Operating revenues for the Passenger segment also includes amounts recorded within Other Revenue. This is in line with how the CODM regularly reviews results and allocates resources.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Cargo segment began providing CMI service under the ATSA in May 2020. In June 2024, the Company entered into the A&amp;R ATSA with Amazon. The CMI service is asset-light, as Amazon supplies the aircraft under the A&amp;R ATSA. Currently, Amazon is our only CMI customer. The Company is responsible for flying the aircraft under its air carrier certificate, crew, aircraft line maintenance and insurance. Fuel consumed in Cargo operations is directly reimbursed by Amazon and therefore aircraft fuel revenue is presented net of such reimbursements on the Consolidated Statements of Operations. Fuel consumed in Cargo maintenance activities is included within Aircraft Fuel expense in the Cargo segment. Certain operating expenses are directly attributable to the Cargo operating segment.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operating expenses are allocated between the Passenger and Cargo segments. Non-Fuel operating expenses are allocated based on metrics such as block hours, fleet count and departures, which best align with the nature of the respective expense. Other Operating, net includes crew and other employee travel, interrupted trip expenses, information technology, property taxes and insurance, including hull-liability insurance, supplies, legal and other professional fees, facilities and all other administrative and operational overhead expenses. The CODM does not consider Interest Income, Interest Expense, and Other Income, net, in assessing the financial performance of its operating segments. Collectively, these items are included in reconciliations of reporting segment financial amounts to consolidated financial amounts.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financial information for the Company’s two segments. Primarily all of the Company’s long-lived assets are owned by, or associated with, the Passenger operating segment. Therefore, predominately all depreciation and amortization expense is associated with the Passenger operating segment. Substantially all the Company’s tangible assets are located in the U.S. The Company's Aircraft and Flight Equipment is mobile across geographic markets. As a result, assets by segment are not reviewed by the CODM and have not been presented herein.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 2025</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Passenger</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Cargo</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971,742</w:t>
            </w:r>
          </w:p>
        </w:tc>
        <w:tc>
          <w:tcPr>
            <w:tcW w:w="5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155,027</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1,126,769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16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213,109</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213,480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272,841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99,756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372,597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6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59,124</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21,225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80,349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33,300</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98,860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98,878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44,691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44,701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6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16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64,029</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64,761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1,886</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26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16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86,839</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29,405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116,244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874,679</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151,517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1,026,196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97,063</w:t>
            </w:r>
          </w:p>
        </w:tc>
        <w:tc>
          <w:tcPr>
            <w:tcW w:w="1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3,510</w:t>
            </w:r>
          </w:p>
        </w:tc>
        <w:tc>
          <w:tcPr>
            <w:tcW w:w="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100,573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52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7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(36,861)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360"/>
              <w:spacing w:after="0"/>
              <w:rPr>
                <w:sz w:val="20"/>
                <w:szCs w:val="20"/>
                <w:color w:val="auto"/>
              </w:rPr>
            </w:pPr>
            <w:r>
              <w:rPr>
                <w:rFonts w:ascii="Arial" w:cs="Arial" w:eastAsia="Arial" w:hAnsi="Arial"/>
                <w:sz w:val="18"/>
                <w:szCs w:val="18"/>
                <w:color w:val="auto"/>
              </w:rPr>
              <w:t>Income Before Income Tax</w:t>
            </w: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70,211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vMerge w:val="restart"/>
          </w:tcPr>
          <w:p>
            <w:pPr>
              <w:jc w:val="right"/>
              <w:ind w:right="1311"/>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 2024</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Passenger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Total</w:t>
            </w: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968,565</w:t>
            </w:r>
          </w:p>
        </w:tc>
        <w:tc>
          <w:tcPr>
            <w:tcW w:w="58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107,174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1,075,739</w:t>
            </w:r>
          </w:p>
        </w:tc>
      </w:tr>
      <w:tr>
        <w:trPr>
          <w:trHeight w:val="250"/>
        </w:trPr>
        <w:tc>
          <w:tcPr>
            <w:tcW w:w="53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237,108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237,160</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326,775</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54,619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14,151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68,770</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34,935</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94,971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94,989</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42,118</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58,951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59,549</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85,199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20,258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105,457</w:t>
            </w:r>
          </w:p>
        </w:tc>
      </w:tr>
      <w:tr>
        <w:trPr>
          <w:trHeight w:val="241"/>
        </w:trPr>
        <w:tc>
          <w:tcPr>
            <w:tcW w:w="53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863,772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105,981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969,753</w:t>
            </w:r>
          </w:p>
        </w:tc>
      </w:tr>
      <w:tr>
        <w:trPr>
          <w:trHeight w:val="23"/>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104,793</w:t>
            </w:r>
          </w:p>
        </w:tc>
        <w:tc>
          <w:tcPr>
            <w:tcW w:w="5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105,986</w:t>
            </w:r>
          </w:p>
        </w:tc>
      </w:tr>
      <w:tr>
        <w:trPr>
          <w:trHeight w:val="208"/>
        </w:trPr>
        <w:tc>
          <w:tcPr>
            <w:tcW w:w="53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7,833</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(44,300)</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55</w:t>
            </w:r>
          </w:p>
        </w:tc>
      </w:tr>
      <w:tr>
        <w:trPr>
          <w:trHeight w:val="23"/>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Before Income Tax</w:t>
            </w:r>
          </w:p>
        </w:tc>
        <w:tc>
          <w:tcPr>
            <w:tcW w:w="3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69,574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5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 2023</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Passenger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Total</w:t>
            </w: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949,885</w:t>
            </w:r>
          </w:p>
        </w:tc>
        <w:tc>
          <w:tcPr>
            <w:tcW w:w="58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1,049,620</w:t>
            </w:r>
          </w:p>
        </w:tc>
      </w:tr>
      <w:tr>
        <w:trPr>
          <w:trHeight w:val="250"/>
        </w:trPr>
        <w:tc>
          <w:tcPr>
            <w:tcW w:w="53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246,600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246,669</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295,640</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2,281</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60,588</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34,105</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88,151</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37,506</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49,615</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87,293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20,272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107,565</w:t>
            </w:r>
          </w:p>
        </w:tc>
      </w:tr>
      <w:tr>
        <w:trPr>
          <w:trHeight w:val="23"/>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817,013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922,120</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127,500</w:t>
            </w:r>
          </w:p>
        </w:tc>
      </w:tr>
      <w:tr>
        <w:trPr>
          <w:trHeight w:val="45"/>
        </w:trPr>
        <w:tc>
          <w:tcPr>
            <w:tcW w:w="53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10"/>
        </w:trPr>
        <w:tc>
          <w:tcPr>
            <w:tcW w:w="5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10,180</w:t>
            </w:r>
          </w:p>
        </w:tc>
      </w:tr>
      <w:tr>
        <w:trPr>
          <w:trHeight w:val="247"/>
        </w:trPr>
        <w:tc>
          <w:tcPr>
            <w:tcW w:w="5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(42,634)</w:t>
            </w:r>
          </w:p>
        </w:tc>
      </w:tr>
      <w:tr>
        <w:trPr>
          <w:trHeight w:val="23"/>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r>
      <w:tr>
        <w:trPr>
          <w:trHeight w:val="264"/>
        </w:trPr>
        <w:tc>
          <w:tcPr>
            <w:tcW w:w="5300" w:type="dxa"/>
            <w:vAlign w:val="bottom"/>
          </w:tcPr>
          <w:p>
            <w:pPr>
              <w:ind w:left="360"/>
              <w:spacing w:after="0"/>
              <w:rPr>
                <w:sz w:val="20"/>
                <w:szCs w:val="20"/>
                <w:color w:val="auto"/>
              </w:rPr>
            </w:pPr>
            <w:r>
              <w:rPr>
                <w:rFonts w:ascii="Arial" w:cs="Arial" w:eastAsia="Arial" w:hAnsi="Arial"/>
                <w:sz w:val="18"/>
                <w:szCs w:val="18"/>
                <w:color w:val="auto"/>
              </w:rPr>
              <w:t>Income Before Income Tax</w:t>
            </w: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94,159</w:t>
            </w:r>
          </w:p>
        </w:tc>
      </w:tr>
      <w:tr>
        <w:trPr>
          <w:trHeight w:val="20"/>
        </w:trPr>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980" w:firstLine="8"/>
        <w:spacing w:after="0" w:line="500" w:lineRule="auto"/>
        <w:tabs>
          <w:tab w:leader="none" w:pos="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FINANCIAL STATEMENTS Basis of Presentation</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Parent Company Financial Statements have been prepared in accordance with Rule 12 -04, Schedule I of Regulation S-X, as the restricted net assets of the subsidiary of Sun Country Airlines Holdings, Inc. (herein also referred to as the "Parent"), as defined in Rule 4-08(e)(3) of Regulation S-X, exceed 25% of the consolidated net assets of the Company. These Condensed Parent Company Financial Statements are not general-purpose financial statements and should be read in conjunction with the Consolidated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Sun Country Airlines Holdings, Inc. is the parent company of Sun Country, Inc. ("Subsidiary"), which is a certificated air carrier. Sun Country Airlines Holdings, Inc. is a holding company that does not conduct any business operations of its own. As a result, the Parent is dependent upon cash dividends and distributions and other transfers from its Subsidiary to meet obligations. Under the $25,000 Credit Agreement entered into on February 10, 2021, the ability of Sun Country Holdings, Inc.’s operating Subsidiary to pay dividends was restricted due to covenants that placed an annual limit on the amount of dividends the Subsidiary could pay Sun Country Holdings, Inc., which was calculated using six percent of the Company's market capitalization plus the greater of $10,000 or 10% of EBITDAR. These restrictions remained in place until March 2025 when the $75,000 Revolving Credit Facility was executed. The $75,000 Revolving Credit Facility does not impose restrictions on the ability of Sun Country Holdings, Inc.'s operating Subsidiary to pay dividends to the parent.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Parent’s significant accounting policies are consistent with those described in the Consolidated Financial Statements, except that the Subsidiary is accounted for as an equity method investment.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Condensed Parent Company Financial Statements are presented to show only the parent company, Sun Country Airlines Holdings,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4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w:t>
            </w:r>
          </w:p>
        </w:tc>
        <w:tc>
          <w:tcPr>
            <w:tcW w:w="42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 in Subsidiary</w:t>
            </w:r>
          </w:p>
        </w:tc>
        <w:tc>
          <w:tcPr>
            <w:tcW w:w="42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712,325</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668,067</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42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712,325</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668,067</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2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712,325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668,067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4200" w:type="dxa"/>
            <w:vAlign w:val="bottom"/>
            <w:vMerge w:val="restart"/>
          </w:tcPr>
          <w:p>
            <w:pPr>
              <w:jc w:val="right"/>
              <w:ind w:right="2270"/>
              <w:spacing w:after="0"/>
              <w:rPr>
                <w:sz w:val="20"/>
                <w:szCs w:val="20"/>
                <w:color w:val="auto"/>
              </w:rPr>
            </w:pPr>
            <w:r>
              <w:rPr>
                <w:rFonts w:ascii="Arial" w:cs="Arial" w:eastAsia="Arial" w:hAnsi="Arial"/>
                <w:sz w:val="18"/>
                <w:szCs w:val="18"/>
                <w:color w:val="auto"/>
              </w:rPr>
              <w:t>121</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39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4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23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2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87,369</w:t>
            </w: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97,694</w:t>
            </w: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(125,881)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(105,866)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2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528,604</w:t>
            </w:r>
          </w:p>
        </w:tc>
        <w:tc>
          <w:tcPr>
            <w:tcW w:w="0" w:type="dxa"/>
            <w:vAlign w:val="bottom"/>
          </w:tcPr>
          <w:p>
            <w:pPr>
              <w:spacing w:after="0"/>
              <w:rPr>
                <w:sz w:val="1"/>
                <w:szCs w:val="1"/>
                <w:color w:val="auto"/>
              </w:rPr>
            </w:pPr>
          </w:p>
        </w:tc>
      </w:tr>
      <w:tr>
        <w:trPr>
          <w:trHeight w:val="229"/>
        </w:trPr>
        <w:tc>
          <w:tcPr>
            <w:tcW w:w="42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147,132</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3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625,156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570,373</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668,067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Statements of Operations</w:t>
            </w: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4220" w:type="dxa"/>
            <w:vAlign w:val="bottom"/>
          </w:tcPr>
          <w:p>
            <w:pPr>
              <w:spacing w:after="0"/>
              <w:rPr>
                <w:sz w:val="24"/>
                <w:szCs w:val="24"/>
                <w:color w:val="auto"/>
              </w:rPr>
            </w:pPr>
          </w:p>
        </w:tc>
        <w:tc>
          <w:tcPr>
            <w:tcW w:w="27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2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2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Income of Subsidiary</w:t>
            </w:r>
          </w:p>
        </w:tc>
        <w:tc>
          <w:tcPr>
            <w:tcW w:w="2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72,509</w:t>
            </w:r>
          </w:p>
        </w:tc>
        <w:tc>
          <w:tcPr>
            <w:tcW w:w="0" w:type="dxa"/>
            <w:vAlign w:val="bottom"/>
          </w:tcPr>
          <w:p>
            <w:pPr>
              <w:spacing w:after="0"/>
              <w:rPr>
                <w:sz w:val="1"/>
                <w:szCs w:val="1"/>
                <w:color w:val="auto"/>
              </w:rPr>
            </w:pP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Income Tax Receivable Agreement Adjustment</w:t>
            </w:r>
          </w:p>
        </w:tc>
        <w:tc>
          <w:tcPr>
            <w:tcW w:w="2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Non-operating Income, net</w:t>
            </w:r>
          </w:p>
        </w:tc>
        <w:tc>
          <w:tcPr>
            <w:tcW w:w="23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53,424</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53,726</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72,840</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3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0" w:type="dxa"/>
            <w:vAlign w:val="bottom"/>
          </w:tcPr>
          <w:p>
            <w:pPr>
              <w:spacing w:after="0"/>
              <w:rPr>
                <w:sz w:val="1"/>
                <w:szCs w:val="1"/>
                <w:color w:val="auto"/>
              </w:rPr>
            </w:pPr>
          </w:p>
        </w:tc>
      </w:tr>
      <w:tr>
        <w:trPr>
          <w:trHeight w:val="250"/>
        </w:trPr>
        <w:tc>
          <w:tcPr>
            <w:tcW w:w="42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3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(Loss)</w:t>
            </w:r>
          </w:p>
        </w:tc>
        <w:tc>
          <w:tcPr>
            <w:tcW w:w="2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Statement of Cash Flows has not been presented as Sun Country Airlines Holdings, Inc. did not have material cash transactions for the years ended December 31, 2025, 2024, and 2023. Further, Sun Country Airlines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Holdings, Inc. did not have material cash balances as of December 31, 2025 and 2024. All cash transactions involving Sun Country Airlines Holdings, Inc. are performed at the Subsidiary level.</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years ended December 31, 2025, 2024 and 2023 Sun Country Airlines Holdings, Inc. directed the Subsidiary to repurchase the Parent's Common Stock and make a payment to the TRA holders. For more information on these transactions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within these Consolidated Financial Statements. These transactions have been recorded as non-cash dividends from the Subsidiary to the Parent.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February 12, 2026, the date that the Consolidated Financial Statements were available to be issued.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January 11, 2026, Sun Country entered into the Merger Agreement with Allegiant. For more information on this agreement,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within these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THE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Annual Report.</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the evaluation of our disclosure controls and procedures as of December 31, 2025, our Chief Executive Officer and Chief Financial Officer have concluded that our disclosure controls and procedures were effective as of the end of the period covered by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Controls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 (GAAP).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GAAP,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has assessed the effectiveness of our internal control over financial reporting as of December 31, 2025. Management based its assessment on criteria established by the COSO in Internal Control - Integrated Framework (2013). Management’s assessment included evaluation of criteria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Management has assessed the effectiveness of our internal control over financial reporting as of December 31, 2025 and has concluded that such internal controls over financial reporting were effective.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Company’s independent registered public accounting firm has audited the Company’s internal control over financial reporting as of December 31, 2025, as stated in the </w:t>
      </w:r>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auto"/>
        </w:rPr>
        <w:t>, appearing under Item 8.</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Rules 13a-15(f) and 15d-15(f) under the Exchange Act) that occurred during the quarter ended December 31, 2025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directors and executive officers may purchase or sell shares of our common stock in the market from time to time, including pursuant to equity trading plans adopted in accordance with Rule 10b5-1 under the Exchange Act ("Rule 10b5 -1")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describes contracts, instructions or written plans for the sale or purchase of our securities adopted, terminated or modified by our directors and executive officers during the three months ended December 31, 2025, each of which is intended to satisfy the affirmative defense conditions of Rule 10b5-1(c).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Adoption, Termination or</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Date of Adoption, Termination</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Duration of Plan (Scheduled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0" w:type="dxa"/>
            <w:vAlign w:val="bottom"/>
          </w:tcPr>
          <w:p>
            <w:pPr>
              <w:spacing w:after="0"/>
              <w:rPr>
                <w:sz w:val="1"/>
                <w:szCs w:val="1"/>
                <w:color w:val="auto"/>
              </w:rPr>
            </w:pPr>
          </w:p>
        </w:tc>
      </w:tr>
      <w:tr>
        <w:trPr>
          <w:trHeight w:val="144"/>
        </w:trPr>
        <w:tc>
          <w:tcPr>
            <w:tcW w:w="22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Name and Title</w:t>
            </w:r>
          </w:p>
        </w:tc>
        <w:tc>
          <w:tcPr>
            <w:tcW w:w="100" w:type="dxa"/>
            <w:vAlign w:val="bottom"/>
            <w:vMerge w:val="restart"/>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(Sold) under the</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 of Plan)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46"/>
        </w:trPr>
        <w:tc>
          <w:tcPr>
            <w:tcW w:w="23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John Gyurci, Vice President</w:t>
            </w:r>
          </w:p>
        </w:tc>
        <w:tc>
          <w:tcPr>
            <w:tcW w:w="22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Termination</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November 7, 2025</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December 31, 2025</w:t>
            </w:r>
          </w:p>
        </w:tc>
        <w:tc>
          <w:tcPr>
            <w:tcW w:w="21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Finance and Chief Accounting</w:t>
            </w:r>
          </w:p>
        </w:tc>
        <w:tc>
          <w:tcPr>
            <w:tcW w:w="222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Officer</w:t>
            </w:r>
            <w:r>
              <w:rPr>
                <w:rFonts w:ascii="Arial" w:cs="Arial" w:eastAsia="Arial" w:hAnsi="Arial"/>
                <w:sz w:val="9"/>
                <w:szCs w:val="9"/>
                <w:color w:val="auto"/>
              </w:rPr>
              <w:t>(1)</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John Gyurci, Vice President</w:t>
            </w:r>
          </w:p>
        </w:tc>
        <w:tc>
          <w:tcPr>
            <w:tcW w:w="22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Termination</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November 7, 2025</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June 30, 2027</w:t>
            </w:r>
          </w:p>
        </w:tc>
        <w:tc>
          <w:tcPr>
            <w:tcW w:w="2140" w:type="dxa"/>
            <w:vAlign w:val="bottom"/>
            <w:vMerge w:val="restart"/>
          </w:tcPr>
          <w:p>
            <w:pPr>
              <w:jc w:val="right"/>
              <w:ind w:right="728"/>
              <w:spacing w:after="0"/>
              <w:rPr>
                <w:sz w:val="20"/>
                <w:szCs w:val="20"/>
                <w:color w:val="auto"/>
              </w:rPr>
            </w:pPr>
            <w:r>
              <w:rPr>
                <w:rFonts w:ascii="Arial" w:cs="Arial" w:eastAsia="Arial" w:hAnsi="Arial"/>
                <w:sz w:val="14"/>
                <w:szCs w:val="14"/>
                <w:color w:val="auto"/>
              </w:rPr>
              <w:t>(35,000)</w:t>
            </w:r>
          </w:p>
        </w:tc>
        <w:tc>
          <w:tcPr>
            <w:tcW w:w="0" w:type="dxa"/>
            <w:vAlign w:val="bottom"/>
          </w:tcPr>
          <w:p>
            <w:pPr>
              <w:spacing w:after="0"/>
              <w:rPr>
                <w:sz w:val="1"/>
                <w:szCs w:val="1"/>
                <w:color w:val="auto"/>
              </w:rPr>
            </w:pPr>
          </w:p>
        </w:tc>
      </w:tr>
      <w:tr>
        <w:trPr>
          <w:trHeight w:val="144"/>
        </w:trPr>
        <w:tc>
          <w:tcPr>
            <w:tcW w:w="232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Finance and Chief Accounting</w:t>
            </w:r>
          </w:p>
        </w:tc>
        <w:tc>
          <w:tcPr>
            <w:tcW w:w="22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Officer</w:t>
            </w:r>
            <w:r>
              <w:rPr>
                <w:rFonts w:ascii="Arial" w:cs="Arial" w:eastAsia="Arial" w:hAnsi="Arial"/>
                <w:sz w:val="9"/>
                <w:szCs w:val="9"/>
                <w:color w:val="auto"/>
              </w:rPr>
              <w:t>(1)</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hanging="474"/>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John Gyurci separated employment from the Company on November 14, 2025.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“Proposal 1 – Election of Directors,” “Executive Officers,” “Corporate Governance” and “Delinquent Section 16(a) Reports” in the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“Executive Compensation” and “Corporate Governance” in the Proxy Statement.</w:t>
      </w:r>
    </w:p>
    <w:p>
      <w:pPr>
        <w:spacing w:after="0" w:line="15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“Security Ownership of Certain Beneficial Owners and Management” in the Proxy Statement. The information required by this item with respect to securities authorized for issuance under our equity compensation plans is included in Part II, Item 5 of this Annual Report.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“Certain Relationships and Related Person Transactions” in the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“Audit Fees, Audit-Related Fees, Tax Fees and All Other Fees” in the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2"/>
          </w:tcPr>
          <w:p>
            <w:pPr>
              <w:ind w:left="340"/>
              <w:spacing w:after="0"/>
              <w:rPr>
                <w:sz w:val="20"/>
                <w:szCs w:val="20"/>
                <w:color w:val="auto"/>
              </w:rPr>
            </w:pPr>
            <w:r>
              <w:rPr>
                <w:rFonts w:ascii="Arial" w:cs="Arial" w:eastAsia="Arial" w:hAnsi="Arial"/>
                <w:sz w:val="18"/>
                <w:szCs w:val="18"/>
                <w:color w:val="auto"/>
              </w:rPr>
              <w:t>(a) Exhibits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8"/>
        </w:trPr>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120" w:type="dxa"/>
            <w:vAlign w:val="bottom"/>
            <w:gridSpan w:val="23"/>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120" w:type="dxa"/>
            <w:vAlign w:val="bottom"/>
            <w:tcBorders>
              <w:top w:val="single" w:sz="8" w:color="auto"/>
            </w:tcBorders>
            <w:gridSpan w:val="2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Agreement and Plan of Merger, dated as of January 11, 2026, by and among Sun Country Airlines Holdings,</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Inc., Allegiant Travel Company, Mirage Merger Sub, Inc. and Sawdust Merger Sub, LLC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gridSpan w:val="22"/>
          </w:tcPr>
          <w:p>
            <w:pPr>
              <w:spacing w:after="0" w:line="169" w:lineRule="exact"/>
              <w:rPr>
                <w:rFonts w:ascii="Arial" w:cs="Arial" w:eastAsia="Arial" w:hAnsi="Arial"/>
                <w:sz w:val="18"/>
                <w:szCs w:val="18"/>
                <w:color w:val="0000FF"/>
              </w:rPr>
            </w:pPr>
            <w:hyperlink r:id="rId197">
              <w:r>
                <w:rPr>
                  <w:rFonts w:ascii="Arial" w:cs="Arial" w:eastAsia="Arial" w:hAnsi="Arial"/>
                  <w:sz w:val="18"/>
                  <w:szCs w:val="18"/>
                  <w:color w:val="0000FF"/>
                </w:rPr>
                <w:t>reference to Exhibit 2.1 to Sun Country Airlines Holdings, Inc.’s Current Report on Form 8-K filed with the</w:t>
              </w:r>
            </w:hyperlink>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Securities and Exchange Commission on January 12, 2026)</w:t>
              </w:r>
            </w:hyperlink>
          </w:p>
        </w:tc>
        <w:tc>
          <w:tcPr>
            <w:tcW w:w="430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23"/>
          </w:tcPr>
          <w:p>
            <w:pPr>
              <w:spacing w:after="0"/>
              <w:rPr>
                <w:rFonts w:ascii="Arial" w:cs="Arial" w:eastAsia="Arial" w:hAnsi="Arial"/>
                <w:sz w:val="18"/>
                <w:szCs w:val="18"/>
                <w:color w:val="0000FF"/>
              </w:rPr>
            </w:pPr>
            <w:hyperlink r:id="rId198">
              <w:r>
                <w:rPr>
                  <w:rFonts w:ascii="Arial" w:cs="Arial" w:eastAsia="Arial" w:hAnsi="Arial"/>
                  <w:sz w:val="18"/>
                  <w:szCs w:val="18"/>
                  <w:color w:val="0000FF"/>
                </w:rPr>
                <w:t>Second  Amended  and  Restated  Certificate  of  Incorporation  of  Sun  Country  Airlines  Holdings,  Inc.</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(incorporated by reference to Exhibit 3.1 to Sun Country Airlines Holdings, Inc.’s Registration Statement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gridSpan w:val="12"/>
          </w:tcPr>
          <w:p>
            <w:pPr>
              <w:spacing w:after="0" w:line="169" w:lineRule="exact"/>
              <w:rPr>
                <w:rFonts w:ascii="Arial" w:cs="Arial" w:eastAsia="Arial" w:hAnsi="Arial"/>
                <w:sz w:val="18"/>
                <w:szCs w:val="18"/>
                <w:color w:val="0000FF"/>
              </w:rPr>
            </w:pPr>
            <w:hyperlink r:id="rId198">
              <w:r>
                <w:rPr>
                  <w:rFonts w:ascii="Arial" w:cs="Arial" w:eastAsia="Arial" w:hAnsi="Arial"/>
                  <w:sz w:val="18"/>
                  <w:szCs w:val="18"/>
                  <w:color w:val="0000FF"/>
                </w:rPr>
                <w:t>Form S-8 (File No. 333-254371))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23"/>
          </w:tcPr>
          <w:p>
            <w:pPr>
              <w:spacing w:after="0"/>
              <w:rPr>
                <w:rFonts w:ascii="Arial" w:cs="Arial" w:eastAsia="Arial" w:hAnsi="Arial"/>
                <w:sz w:val="18"/>
                <w:szCs w:val="18"/>
                <w:color w:val="0000FF"/>
              </w:rPr>
            </w:pPr>
            <w:hyperlink r:id="rId199">
              <w:r>
                <w:rPr>
                  <w:rFonts w:ascii="Arial" w:cs="Arial" w:eastAsia="Arial" w:hAnsi="Arial"/>
                  <w:sz w:val="18"/>
                  <w:szCs w:val="18"/>
                  <w:color w:val="0000FF"/>
                </w:rPr>
                <w:t>Second Amended and Restated Bylaws of Sun Country Airlines Holdings, Inc. (incorporated by reference to</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Exhibit 3.2 to Sun Country Airlines Holdings, Inc.’s Registration Statement on Form S-8 (File No. 333-254371))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23"/>
          </w:tcPr>
          <w:p>
            <w:pPr>
              <w:spacing w:after="0"/>
              <w:rPr>
                <w:rFonts w:ascii="Arial" w:cs="Arial" w:eastAsia="Arial" w:hAnsi="Arial"/>
                <w:sz w:val="18"/>
                <w:szCs w:val="18"/>
                <w:color w:val="0000FF"/>
              </w:rPr>
            </w:pPr>
            <w:hyperlink r:id="rId200">
              <w:r>
                <w:rPr>
                  <w:rFonts w:ascii="Arial" w:cs="Arial" w:eastAsia="Arial" w:hAnsi="Arial"/>
                  <w:sz w:val="18"/>
                  <w:szCs w:val="18"/>
                  <w:color w:val="0000FF"/>
                </w:rPr>
                <w:t>Pass Through Trust Agreement, dated as of December 9, 2019, between Sun Country Inc. and Wilmington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Trust, National Association, as trustee (incorporated by reference to Exhibit 4.1 to Sun Country Airlines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20" w:type="dxa"/>
            <w:vAlign w:val="bottom"/>
            <w:gridSpan w:val="13"/>
          </w:tcPr>
          <w:p>
            <w:pPr>
              <w:spacing w:after="0" w:line="169" w:lineRule="exact"/>
              <w:rPr>
                <w:rFonts w:ascii="Arial" w:cs="Arial" w:eastAsia="Arial" w:hAnsi="Arial"/>
                <w:sz w:val="18"/>
                <w:szCs w:val="18"/>
                <w:color w:val="0000FF"/>
              </w:rPr>
            </w:pPr>
            <w:hyperlink r:id="rId200">
              <w:r>
                <w:rPr>
                  <w:rFonts w:ascii="Arial" w:cs="Arial" w:eastAsia="Arial" w:hAnsi="Arial"/>
                  <w:sz w:val="18"/>
                  <w:szCs w:val="18"/>
                  <w:color w:val="0000FF"/>
                </w:rPr>
                <w:t>Holdings, Inc.’s Registration Statement on Form S-1 (File No. 333-252858))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23"/>
          </w:tcPr>
          <w:p>
            <w:pPr>
              <w:spacing w:after="0"/>
              <w:rPr>
                <w:rFonts w:ascii="Arial" w:cs="Arial" w:eastAsia="Arial" w:hAnsi="Arial"/>
                <w:sz w:val="18"/>
                <w:szCs w:val="18"/>
                <w:color w:val="0000FF"/>
              </w:rPr>
            </w:pPr>
            <w:hyperlink r:id="rId201">
              <w:r>
                <w:rPr>
                  <w:rFonts w:ascii="Arial" w:cs="Arial" w:eastAsia="Arial" w:hAnsi="Arial"/>
                  <w:sz w:val="18"/>
                  <w:szCs w:val="18"/>
                  <w:color w:val="0000FF"/>
                </w:rPr>
                <w:t>Form of Pass Through Trust Certificate, Series 2019-1A (incorporated by reference to Exhibit 4.2 to Sun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Country Airlines Holdings, Inc.’s Registration Statement on Form S-1 (File No. 333-252858))</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23"/>
          </w:tcPr>
          <w:p>
            <w:pPr>
              <w:spacing w:after="0"/>
              <w:rPr>
                <w:rFonts w:ascii="Arial" w:cs="Arial" w:eastAsia="Arial" w:hAnsi="Arial"/>
                <w:sz w:val="18"/>
                <w:szCs w:val="18"/>
                <w:color w:val="0000FF"/>
              </w:rPr>
            </w:pPr>
            <w:hyperlink r:id="rId202">
              <w:r>
                <w:rPr>
                  <w:rFonts w:ascii="Arial" w:cs="Arial" w:eastAsia="Arial" w:hAnsi="Arial"/>
                  <w:sz w:val="18"/>
                  <w:szCs w:val="18"/>
                  <w:color w:val="0000FF"/>
                </w:rPr>
                <w:t>Form of Pass Through Trust Certificate, Series 2019-1B (incorporated by reference to Exhibit 4.3 to Sun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Country Airlines Holdings, Inc.’s Registration Statement on Form S-1 (File No. 333-252858))</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2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Pass Through Trust Certificate, Series 2019-1C (incorporated by reference to Exhibit 4.4 to Sun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23"/>
          </w:tcPr>
          <w:p>
            <w:pPr>
              <w:spacing w:after="0"/>
              <w:rPr>
                <w:rFonts w:ascii="Arial" w:cs="Arial" w:eastAsia="Arial" w:hAnsi="Arial"/>
                <w:sz w:val="18"/>
                <w:szCs w:val="18"/>
                <w:color w:val="0000FF"/>
              </w:rPr>
            </w:pPr>
            <w:hyperlink r:id="rId204">
              <w:r>
                <w:rPr>
                  <w:rFonts w:ascii="Arial" w:cs="Arial" w:eastAsia="Arial" w:hAnsi="Arial"/>
                  <w:sz w:val="18"/>
                  <w:szCs w:val="18"/>
                  <w:color w:val="0000FF"/>
                </w:rPr>
                <w:t>Intercreditor Agreement, dated as of December 9, 2019, among Wilmington Trust, National Association, as</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trustee of the Sun Country Pass Through Trusts, Series 2019-1, and as subordination agent (incorporated by</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bottom w:val="single" w:sz="8" w:color="0000FF"/>
            </w:tcBorders>
            <w:gridSpan w:val="17"/>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reference to Exhibit 4.5 to Sun Country Airlines Holdings, Inc.’s Registration Statement on Form S-1 (File No.</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bottom w:val="single" w:sz="8" w:color="0000FF"/>
            </w:tcBorders>
          </w:tcPr>
          <w:p>
            <w:pPr>
              <w:spacing w:after="0" w:line="156" w:lineRule="exact"/>
              <w:rPr>
                <w:rFonts w:ascii="Arial" w:cs="Arial" w:eastAsia="Arial" w:hAnsi="Arial"/>
                <w:sz w:val="18"/>
                <w:szCs w:val="18"/>
                <w:color w:val="0000FF"/>
                <w:w w:val="98"/>
              </w:rPr>
            </w:pPr>
            <w:hyperlink r:id="rId204">
              <w:r>
                <w:rPr>
                  <w:rFonts w:ascii="Arial" w:cs="Arial" w:eastAsia="Arial" w:hAnsi="Arial"/>
                  <w:sz w:val="18"/>
                  <w:szCs w:val="18"/>
                  <w:color w:val="0000FF"/>
                  <w:w w:val="98"/>
                </w:rPr>
                <w:t>333-252858))</w:t>
              </w:r>
            </w:hyperlink>
          </w:p>
        </w:tc>
        <w:tc>
          <w:tcPr>
            <w:tcW w:w="15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23"/>
          </w:tcPr>
          <w:p>
            <w:pPr>
              <w:spacing w:after="0"/>
              <w:rPr>
                <w:rFonts w:ascii="Arial" w:cs="Arial" w:eastAsia="Arial" w:hAnsi="Arial"/>
                <w:sz w:val="18"/>
                <w:szCs w:val="18"/>
                <w:color w:val="0000FF"/>
              </w:rPr>
            </w:pPr>
            <w:hyperlink r:id="rId205">
              <w:r>
                <w:rPr>
                  <w:rFonts w:ascii="Arial" w:cs="Arial" w:eastAsia="Arial" w:hAnsi="Arial"/>
                  <w:sz w:val="18"/>
                  <w:szCs w:val="18"/>
                  <w:color w:val="0000FF"/>
                </w:rPr>
                <w:t>Trust Supplement No. 2022-1A, dated as of March 29, 2022, between Wilmington Trust, National Association,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as trustee, and Sun Country, Inc., to Pass Through Trust Agreement, dated as of December 9, 2019</w:t>
              </w:r>
            </w:hyperlink>
          </w:p>
        </w:tc>
        <w:tc>
          <w:tcPr>
            <w:tcW w:w="120" w:type="dxa"/>
            <w:vAlign w:val="bottom"/>
            <w:tcBorders>
              <w:bottom w:val="single" w:sz="8" w:color="0000FF"/>
            </w:tcBorders>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gridSpan w:val="20"/>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(incorporated by reference to Exhibit 4.1 to Sun Country Airlines Holdings, Inc.’s Current Report on Form 8-K</w:t>
              </w:r>
            </w:hyperlink>
          </w:p>
        </w:tc>
        <w:tc>
          <w:tcPr>
            <w:tcW w:w="60" w:type="dxa"/>
            <w:vAlign w:val="bottom"/>
            <w:gridSpan w:val="3"/>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filed with the Securities and Exchange Commission on April 5, 2022)</w:t>
              </w:r>
            </w:hyperlink>
          </w:p>
        </w:tc>
        <w:tc>
          <w:tcPr>
            <w:tcW w:w="260" w:type="dxa"/>
            <w:vAlign w:val="bottom"/>
            <w:gridSpan w:val="1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4"/>
            <w:shd w:val="clear" w:color="auto" w:fill="0000FF"/>
          </w:tcPr>
          <w:p>
            <w:pPr>
              <w:spacing w:after="0" w:line="20" w:lineRule="exact"/>
              <w:rPr>
                <w:sz w:val="1"/>
                <w:szCs w:val="1"/>
                <w:color w:val="auto"/>
              </w:rPr>
            </w:pPr>
          </w:p>
        </w:tc>
        <w:tc>
          <w:tcPr>
            <w:tcW w:w="3680" w:type="dxa"/>
            <w:vAlign w:val="bottom"/>
            <w:gridSpan w:val="19"/>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23"/>
          </w:tcPr>
          <w:p>
            <w:pPr>
              <w:spacing w:after="0"/>
              <w:rPr>
                <w:rFonts w:ascii="Arial" w:cs="Arial" w:eastAsia="Arial" w:hAnsi="Arial"/>
                <w:sz w:val="18"/>
                <w:szCs w:val="18"/>
                <w:color w:val="0000FF"/>
              </w:rPr>
            </w:pPr>
            <w:hyperlink r:id="rId206">
              <w:r>
                <w:rPr>
                  <w:rFonts w:ascii="Arial" w:cs="Arial" w:eastAsia="Arial" w:hAnsi="Arial"/>
                  <w:sz w:val="18"/>
                  <w:szCs w:val="18"/>
                  <w:color w:val="0000FF"/>
                </w:rPr>
                <w:t>Trust Supplement No. 2022-1B, dated as of March 29, 2022, between Wilmington Trust, National Association,</w:t>
              </w:r>
            </w:hyperlink>
          </w:p>
        </w:tc>
      </w:tr>
      <w:tr>
        <w:trPr>
          <w:trHeight w:val="168"/>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tcBorders>
              <w:top w:val="single" w:sz="8" w:color="0000FF"/>
            </w:tcBorders>
            <w:gridSpan w:val="14"/>
          </w:tcPr>
          <w:p>
            <w:pPr>
              <w:spacing w:after="0" w:line="168" w:lineRule="exact"/>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as trustee, and Sun Country, Inc., to Pass Through Trust Agreement, dated as of December 9, 2019</w:t>
              </w:r>
            </w:hyperlink>
          </w:p>
        </w:tc>
        <w:tc>
          <w:tcPr>
            <w:tcW w:w="180" w:type="dxa"/>
            <w:vAlign w:val="bottom"/>
            <w:gridSpan w:val="9"/>
          </w:tcPr>
          <w:p>
            <w:pPr>
              <w:spacing w:after="0"/>
              <w:rPr>
                <w:sz w:val="14"/>
                <w:szCs w:val="14"/>
                <w:color w:val="auto"/>
              </w:rPr>
            </w:pPr>
          </w:p>
        </w:tc>
      </w:tr>
    </w:tbl>
    <w:p>
      <w:pPr>
        <w:ind w:left="2380" w:right="20"/>
        <w:spacing w:after="0" w:line="229" w:lineRule="auto"/>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(incorporated by reference to Exhibit 4.2 to Sun Country Airlines Holdings, Inc.’s Current Report on Form 8-K</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filed with the Securities and Exchange Commission on April 5, 2022)</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47"/>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4.8</w:t>
            </w:r>
          </w:p>
        </w:tc>
        <w:tc>
          <w:tcPr>
            <w:tcW w:w="1100" w:type="dxa"/>
            <w:vAlign w:val="bottom"/>
          </w:tcPr>
          <w:p>
            <w:pPr>
              <w:spacing w:after="0"/>
              <w:rPr>
                <w:sz w:val="24"/>
                <w:szCs w:val="24"/>
                <w:color w:val="auto"/>
              </w:rPr>
            </w:pPr>
          </w:p>
        </w:tc>
        <w:tc>
          <w:tcPr>
            <w:tcW w:w="9360" w:type="dxa"/>
            <w:vAlign w:val="bottom"/>
            <w:gridSpan w:val="35"/>
          </w:tcPr>
          <w:p>
            <w:pPr>
              <w:spacing w:after="0"/>
              <w:rPr>
                <w:rFonts w:ascii="Arial" w:cs="Arial" w:eastAsia="Arial" w:hAnsi="Arial"/>
                <w:sz w:val="18"/>
                <w:szCs w:val="18"/>
                <w:color w:val="0000FF"/>
              </w:rPr>
            </w:pPr>
            <w:hyperlink r:id="rId208">
              <w:r>
                <w:rPr>
                  <w:rFonts w:ascii="Arial" w:cs="Arial" w:eastAsia="Arial" w:hAnsi="Arial"/>
                  <w:sz w:val="18"/>
                  <w:szCs w:val="18"/>
                  <w:color w:val="0000FF"/>
                </w:rPr>
                <w:t>Intercreditor Agreement, dated as of March 29, 2022, among Wilmington Trust, National Association, as pass</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through trustee under the pass through trusts, and Wilmington Trust, National Association, as subordination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160" w:type="dxa"/>
            <w:vAlign w:val="bottom"/>
            <w:tcBorders>
              <w:bottom w:val="single" w:sz="8" w:color="0000FF"/>
            </w:tcBorders>
            <w:gridSpan w:val="25"/>
          </w:tcPr>
          <w:p>
            <w:pPr>
              <w:spacing w:after="0" w:line="169" w:lineRule="exact"/>
              <w:rPr>
                <w:rFonts w:ascii="Arial" w:cs="Arial" w:eastAsia="Arial" w:hAnsi="Arial"/>
                <w:sz w:val="18"/>
                <w:szCs w:val="18"/>
                <w:color w:val="0000FF"/>
              </w:rPr>
            </w:pPr>
            <w:hyperlink r:id="rId208">
              <w:r>
                <w:rPr>
                  <w:rFonts w:ascii="Arial" w:cs="Arial" w:eastAsia="Arial" w:hAnsi="Arial"/>
                  <w:sz w:val="18"/>
                  <w:szCs w:val="18"/>
                  <w:color w:val="0000FF"/>
                </w:rPr>
                <w:t>agent (incorporated by reference to Exhibit 4.3 to Sun Country Airlines Holdings, Inc.’s Current Report on Form</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780" w:type="dxa"/>
            <w:vAlign w:val="bottom"/>
            <w:tcBorders>
              <w:bottom w:val="single" w:sz="8" w:color="0000FF"/>
            </w:tcBorders>
            <w:gridSpan w:val="3"/>
          </w:tcPr>
          <w:p>
            <w:pPr>
              <w:spacing w:after="0" w:line="156"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8-K filed with the Securities and Exchange Commission on April 5, 2022)</w:t>
              </w:r>
            </w:hyperlink>
          </w:p>
        </w:tc>
        <w:tc>
          <w:tcPr>
            <w:tcW w:w="3540" w:type="dxa"/>
            <w:vAlign w:val="bottom"/>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80" w:type="dxa"/>
            <w:vAlign w:val="bottom"/>
          </w:tcPr>
          <w:p>
            <w:pPr>
              <w:ind w:left="20"/>
              <w:spacing w:after="0"/>
              <w:rPr>
                <w:sz w:val="20"/>
                <w:szCs w:val="20"/>
                <w:color w:val="auto"/>
              </w:rPr>
            </w:pPr>
            <w:r>
              <w:rPr>
                <w:rFonts w:ascii="Arial" w:cs="Arial" w:eastAsia="Arial" w:hAnsi="Arial"/>
                <w:sz w:val="18"/>
                <w:szCs w:val="18"/>
                <w:color w:val="auto"/>
              </w:rPr>
              <w:t>4.9</w:t>
            </w:r>
          </w:p>
        </w:tc>
        <w:tc>
          <w:tcPr>
            <w:tcW w:w="1100" w:type="dxa"/>
            <w:vAlign w:val="bottom"/>
          </w:tcPr>
          <w:p>
            <w:pPr>
              <w:spacing w:after="0"/>
              <w:rPr>
                <w:sz w:val="22"/>
                <w:szCs w:val="22"/>
                <w:color w:val="auto"/>
              </w:rPr>
            </w:pPr>
          </w:p>
        </w:tc>
        <w:tc>
          <w:tcPr>
            <w:tcW w:w="9360" w:type="dxa"/>
            <w:vAlign w:val="bottom"/>
            <w:gridSpan w:val="35"/>
          </w:tcPr>
          <w:p>
            <w:pPr>
              <w:spacing w:after="0"/>
              <w:rPr>
                <w:rFonts w:ascii="Arial" w:cs="Arial" w:eastAsia="Arial" w:hAnsi="Arial"/>
                <w:sz w:val="18"/>
                <w:szCs w:val="18"/>
                <w:color w:val="0000FF"/>
              </w:rPr>
            </w:pPr>
            <w:hyperlink r:id="rId209">
              <w:r>
                <w:rPr>
                  <w:rFonts w:ascii="Arial" w:cs="Arial" w:eastAsia="Arial" w:hAnsi="Arial"/>
                  <w:sz w:val="18"/>
                  <w:szCs w:val="18"/>
                  <w:color w:val="0000FF"/>
                </w:rPr>
                <w:t>Note Purchase Agreement, dated as of March 29, 2022, among Sun Country, Inc., Wilmington Trust, National</w:t>
              </w:r>
            </w:hyperlink>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Association,  as  pass  through  trustee  under  the  pass  through  trusts,  and  Wilmington  Trust,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40" w:type="dxa"/>
            <w:vAlign w:val="bottom"/>
            <w:gridSpan w:val="29"/>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Association, as subordination agent (incorporated by reference to Exhibit 4.4 to Sun Country Airlines Holdings,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Inc.’s Current Report on Form 8-K filed with the Securities and Exchange Commission on April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80" w:type="dxa"/>
            <w:vAlign w:val="bottom"/>
          </w:tcPr>
          <w:p>
            <w:pPr>
              <w:ind w:left="20"/>
              <w:spacing w:after="0"/>
              <w:rPr>
                <w:sz w:val="20"/>
                <w:szCs w:val="20"/>
                <w:color w:val="auto"/>
              </w:rPr>
            </w:pPr>
            <w:r>
              <w:rPr>
                <w:rFonts w:ascii="Arial" w:cs="Arial" w:eastAsia="Arial" w:hAnsi="Arial"/>
                <w:sz w:val="18"/>
                <w:szCs w:val="18"/>
                <w:color w:val="auto"/>
              </w:rPr>
              <w:t>4.10</w:t>
            </w:r>
          </w:p>
        </w:tc>
        <w:tc>
          <w:tcPr>
            <w:tcW w:w="1100" w:type="dxa"/>
            <w:vAlign w:val="bottom"/>
          </w:tcPr>
          <w:p>
            <w:pPr>
              <w:spacing w:after="0"/>
              <w:rPr>
                <w:sz w:val="22"/>
                <w:szCs w:val="22"/>
                <w:color w:val="auto"/>
              </w:rPr>
            </w:pPr>
          </w:p>
        </w:tc>
        <w:tc>
          <w:tcPr>
            <w:tcW w:w="9360" w:type="dxa"/>
            <w:vAlign w:val="bottom"/>
            <w:gridSpan w:val="35"/>
          </w:tcPr>
          <w:p>
            <w:pPr>
              <w:spacing w:after="0"/>
              <w:rPr>
                <w:rFonts w:ascii="Arial" w:cs="Arial" w:eastAsia="Arial" w:hAnsi="Arial"/>
                <w:sz w:val="18"/>
                <w:szCs w:val="18"/>
                <w:color w:val="0000FF"/>
              </w:rPr>
            </w:pPr>
            <w:hyperlink r:id="rId209">
              <w:r>
                <w:rPr>
                  <w:rFonts w:ascii="Arial" w:cs="Arial" w:eastAsia="Arial" w:hAnsi="Arial"/>
                  <w:sz w:val="18"/>
                  <w:szCs w:val="18"/>
                  <w:color w:val="0000FF"/>
                </w:rPr>
                <w:t>Form of Participation Agreement (Participation Agreement between Sun Country, Inc. and Wilmington Trust,</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National Association, not in its individual capacity but solely as mortgagee, subordination agent under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Intercreditor Agreement and pass through trustee under the pass through trusts) (Exhibit B to Note Purchase</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60" w:type="dxa"/>
            <w:vAlign w:val="bottom"/>
            <w:gridSpan w:val="30"/>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Agreement) (incorporated by reference to Exhibit 4.5 to Sun Country Airlines Holdings, Inc.’s Current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9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Form 8-K filed with the Securities and Exchange Commission on April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80" w:type="dxa"/>
            <w:vAlign w:val="bottom"/>
          </w:tcPr>
          <w:p>
            <w:pPr>
              <w:ind w:left="20"/>
              <w:spacing w:after="0"/>
              <w:rPr>
                <w:sz w:val="20"/>
                <w:szCs w:val="20"/>
                <w:color w:val="auto"/>
              </w:rPr>
            </w:pPr>
            <w:r>
              <w:rPr>
                <w:rFonts w:ascii="Arial" w:cs="Arial" w:eastAsia="Arial" w:hAnsi="Arial"/>
                <w:sz w:val="18"/>
                <w:szCs w:val="18"/>
                <w:color w:val="auto"/>
              </w:rPr>
              <w:t>4.11</w:t>
            </w:r>
          </w:p>
        </w:tc>
        <w:tc>
          <w:tcPr>
            <w:tcW w:w="1100" w:type="dxa"/>
            <w:vAlign w:val="bottom"/>
          </w:tcPr>
          <w:p>
            <w:pPr>
              <w:spacing w:after="0"/>
              <w:rPr>
                <w:sz w:val="24"/>
                <w:szCs w:val="24"/>
                <w:color w:val="auto"/>
              </w:rPr>
            </w:pPr>
          </w:p>
        </w:tc>
        <w:tc>
          <w:tcPr>
            <w:tcW w:w="9360" w:type="dxa"/>
            <w:vAlign w:val="bottom"/>
            <w:gridSpan w:val="35"/>
          </w:tcPr>
          <w:p>
            <w:pPr>
              <w:spacing w:after="0"/>
              <w:rPr>
                <w:rFonts w:ascii="Arial" w:cs="Arial" w:eastAsia="Arial" w:hAnsi="Arial"/>
                <w:sz w:val="18"/>
                <w:szCs w:val="18"/>
                <w:color w:val="0000FF"/>
              </w:rPr>
            </w:pPr>
            <w:hyperlink r:id="rId209">
              <w:r>
                <w:rPr>
                  <w:rFonts w:ascii="Arial" w:cs="Arial" w:eastAsia="Arial" w:hAnsi="Arial"/>
                  <w:sz w:val="18"/>
                  <w:szCs w:val="18"/>
                  <w:color w:val="0000FF"/>
                </w:rPr>
                <w:t>Form of Indenture (Trust Indenture and Mortgage between Sun Country, Inc. and Wilmington Trust, National</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Association, not in its individual capacity, except as expressly stated therein, but solely as mortgagee)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C to Note Purchase Agreement) (incorporated by reference to Exhibit 4.6 to Sun Country Airlines Holdings,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960" w:type="dxa"/>
            <w:vAlign w:val="bottom"/>
            <w:gridSpan w:val="15"/>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Inc.’s Current Report on Form 8-K filed with the Securities and Exchange Commission on April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80" w:type="dxa"/>
            <w:vAlign w:val="bottom"/>
          </w:tcPr>
          <w:p>
            <w:pPr>
              <w:ind w:left="20"/>
              <w:spacing w:after="0"/>
              <w:rPr>
                <w:sz w:val="20"/>
                <w:szCs w:val="20"/>
                <w:color w:val="auto"/>
              </w:rPr>
            </w:pPr>
            <w:r>
              <w:rPr>
                <w:rFonts w:ascii="Arial" w:cs="Arial" w:eastAsia="Arial" w:hAnsi="Arial"/>
                <w:sz w:val="18"/>
                <w:szCs w:val="18"/>
                <w:color w:val="auto"/>
              </w:rPr>
              <w:t>4.12</w:t>
            </w:r>
          </w:p>
        </w:tc>
        <w:tc>
          <w:tcPr>
            <w:tcW w:w="1100" w:type="dxa"/>
            <w:vAlign w:val="bottom"/>
          </w:tcPr>
          <w:p>
            <w:pPr>
              <w:spacing w:after="0"/>
              <w:rPr>
                <w:sz w:val="22"/>
                <w:szCs w:val="22"/>
                <w:color w:val="auto"/>
              </w:rPr>
            </w:pPr>
          </w:p>
        </w:tc>
        <w:tc>
          <w:tcPr>
            <w:tcW w:w="9360" w:type="dxa"/>
            <w:vAlign w:val="bottom"/>
            <w:gridSpan w:val="35"/>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Form of Sun Country, Inc. Pass Through Certificate, Series 2022-1A (incorporated by reference to Exhibit 4.7</w:t>
              </w:r>
            </w:hyperlink>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to Sun Country Airlines Holdings, Inc.’s Current Report on Form 8-K filed with the Securities and Exchange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Commission on April 5, 2022)</w:t>
              </w:r>
            </w:hyperlink>
          </w:p>
        </w:tc>
        <w:tc>
          <w:tcPr>
            <w:tcW w:w="66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80" w:type="dxa"/>
            <w:vAlign w:val="bottom"/>
          </w:tcPr>
          <w:p>
            <w:pPr>
              <w:ind w:left="20"/>
              <w:spacing w:after="0"/>
              <w:rPr>
                <w:sz w:val="20"/>
                <w:szCs w:val="20"/>
                <w:color w:val="auto"/>
              </w:rPr>
            </w:pPr>
            <w:r>
              <w:rPr>
                <w:rFonts w:ascii="Arial" w:cs="Arial" w:eastAsia="Arial" w:hAnsi="Arial"/>
                <w:sz w:val="18"/>
                <w:szCs w:val="18"/>
                <w:color w:val="auto"/>
              </w:rPr>
              <w:t>4.13</w:t>
            </w:r>
          </w:p>
        </w:tc>
        <w:tc>
          <w:tcPr>
            <w:tcW w:w="1100" w:type="dxa"/>
            <w:vAlign w:val="bottom"/>
          </w:tcPr>
          <w:p>
            <w:pPr>
              <w:spacing w:after="0"/>
              <w:rPr>
                <w:sz w:val="22"/>
                <w:szCs w:val="22"/>
                <w:color w:val="auto"/>
              </w:rPr>
            </w:pPr>
          </w:p>
        </w:tc>
        <w:tc>
          <w:tcPr>
            <w:tcW w:w="9360" w:type="dxa"/>
            <w:vAlign w:val="bottom"/>
            <w:gridSpan w:val="35"/>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Form of Sun Country, Inc. Pass Through Certificate, Series 2022-1B (incorporated by reference to Exhibit 4.8</w:t>
              </w:r>
            </w:hyperlink>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to Sun Country Airlines Holdings, Inc.’s Current Report on Form 8-K filed with the Securities and Exchange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Commission on April 5, 2022)</w:t>
              </w:r>
            </w:hyperlink>
          </w:p>
        </w:tc>
        <w:tc>
          <w:tcPr>
            <w:tcW w:w="66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80" w:type="dxa"/>
            <w:vAlign w:val="bottom"/>
          </w:tcPr>
          <w:p>
            <w:pPr>
              <w:ind w:left="20"/>
              <w:spacing w:after="0"/>
              <w:rPr>
                <w:sz w:val="20"/>
                <w:szCs w:val="20"/>
                <w:color w:val="auto"/>
              </w:rPr>
            </w:pPr>
            <w:r>
              <w:rPr>
                <w:rFonts w:ascii="Arial" w:cs="Arial" w:eastAsia="Arial" w:hAnsi="Arial"/>
                <w:sz w:val="18"/>
                <w:szCs w:val="18"/>
                <w:color w:val="auto"/>
              </w:rPr>
              <w:t>4.14</w:t>
            </w:r>
          </w:p>
        </w:tc>
        <w:tc>
          <w:tcPr>
            <w:tcW w:w="1100" w:type="dxa"/>
            <w:vAlign w:val="bottom"/>
          </w:tcPr>
          <w:p>
            <w:pPr>
              <w:spacing w:after="0"/>
              <w:rPr>
                <w:sz w:val="22"/>
                <w:szCs w:val="22"/>
                <w:color w:val="auto"/>
              </w:rPr>
            </w:pPr>
          </w:p>
        </w:tc>
        <w:tc>
          <w:tcPr>
            <w:tcW w:w="9360" w:type="dxa"/>
            <w:vAlign w:val="bottom"/>
            <w:gridSpan w:val="35"/>
          </w:tcPr>
          <w:p>
            <w:pPr>
              <w:spacing w:after="0"/>
              <w:rPr>
                <w:rFonts w:ascii="Arial" w:cs="Arial" w:eastAsia="Arial" w:hAnsi="Arial"/>
                <w:sz w:val="18"/>
                <w:szCs w:val="18"/>
                <w:color w:val="0000FF"/>
              </w:rPr>
            </w:pPr>
            <w:hyperlink r:id="rId210">
              <w:r>
                <w:rPr>
                  <w:rFonts w:ascii="Arial" w:cs="Arial" w:eastAsia="Arial" w:hAnsi="Arial"/>
                  <w:sz w:val="18"/>
                  <w:szCs w:val="18"/>
                  <w:color w:val="0000FF"/>
                </w:rPr>
                <w:t>Description of Registrant’s Securities (incorporated by reference to Exhibit 4.14 to Sun Country Airlines</w:t>
              </w:r>
            </w:hyperlink>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9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Holdings, Inc.'s Annual Report on Form 10-K filed with the Securities and Exchange Commission on February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7"/>
              </w:rPr>
            </w:pPr>
            <w:hyperlink r:id="rId210">
              <w:r>
                <w:rPr>
                  <w:rFonts w:ascii="Arial" w:cs="Arial" w:eastAsia="Arial" w:hAnsi="Arial"/>
                  <w:sz w:val="18"/>
                  <w:szCs w:val="18"/>
                  <w:color w:val="0000FF"/>
                  <w:w w:val="97"/>
                </w:rPr>
                <w:t>12, 2025)</w:t>
              </w:r>
            </w:hyperlink>
          </w:p>
        </w:tc>
        <w:tc>
          <w:tcPr>
            <w:tcW w:w="1600" w:type="dxa"/>
            <w:vAlign w:val="bottom"/>
            <w:tcBorders>
              <w:top w:val="single" w:sz="8" w:color="0000FF"/>
            </w:tcBorders>
          </w:tcPr>
          <w:p>
            <w:pPr>
              <w:spacing w:after="0"/>
              <w:rPr>
                <w:sz w:val="14"/>
                <w:szCs w:val="14"/>
                <w:color w:val="auto"/>
              </w:rPr>
            </w:pPr>
          </w:p>
        </w:tc>
        <w:tc>
          <w:tcPr>
            <w:tcW w:w="3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80" w:type="dxa"/>
            <w:vAlign w:val="bottom"/>
          </w:tcPr>
          <w:p>
            <w:pPr>
              <w:ind w:left="20"/>
              <w:spacing w:after="0"/>
              <w:rPr>
                <w:sz w:val="20"/>
                <w:szCs w:val="20"/>
                <w:color w:val="auto"/>
              </w:rPr>
            </w:pPr>
            <w:r>
              <w:rPr>
                <w:rFonts w:ascii="Arial" w:cs="Arial" w:eastAsia="Arial" w:hAnsi="Arial"/>
                <w:sz w:val="18"/>
                <w:szCs w:val="18"/>
                <w:color w:val="auto"/>
              </w:rPr>
              <w:t>4.15#</w:t>
            </w:r>
          </w:p>
        </w:tc>
        <w:tc>
          <w:tcPr>
            <w:tcW w:w="1100" w:type="dxa"/>
            <w:vAlign w:val="bottom"/>
          </w:tcPr>
          <w:p>
            <w:pPr>
              <w:spacing w:after="0"/>
              <w:rPr>
                <w:sz w:val="22"/>
                <w:szCs w:val="22"/>
                <w:color w:val="auto"/>
              </w:rPr>
            </w:pPr>
          </w:p>
        </w:tc>
        <w:tc>
          <w:tcPr>
            <w:tcW w:w="9360" w:type="dxa"/>
            <w:vAlign w:val="bottom"/>
            <w:gridSpan w:val="35"/>
          </w:tcPr>
          <w:p>
            <w:pPr>
              <w:spacing w:after="0"/>
              <w:rPr>
                <w:rFonts w:ascii="Arial" w:cs="Arial" w:eastAsia="Arial" w:hAnsi="Arial"/>
                <w:sz w:val="18"/>
                <w:szCs w:val="18"/>
                <w:color w:val="0000FF"/>
              </w:rPr>
            </w:pPr>
            <w:hyperlink r:id="rId211">
              <w:r>
                <w:rPr>
                  <w:rFonts w:ascii="Arial" w:cs="Arial" w:eastAsia="Arial" w:hAnsi="Arial"/>
                  <w:sz w:val="18"/>
                  <w:szCs w:val="18"/>
                  <w:color w:val="0000FF"/>
                </w:rPr>
                <w:t>First Amendment to Trust Indenture and Mortgage, dated as of December 30, 2024, by and between Sun</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Country, Inc. and Wilmington Trust, National Association, not in its individual capacity, except as expressly</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340" w:type="dxa"/>
            <w:vAlign w:val="bottom"/>
            <w:gridSpan w:val="34"/>
          </w:tcPr>
          <w:p>
            <w:pPr>
              <w:spacing w:after="0" w:line="169" w:lineRule="exact"/>
              <w:rPr>
                <w:rFonts w:ascii="Arial" w:cs="Arial" w:eastAsia="Arial" w:hAnsi="Arial"/>
                <w:sz w:val="18"/>
                <w:szCs w:val="18"/>
                <w:color w:val="0000FF"/>
              </w:rPr>
            </w:pPr>
            <w:hyperlink r:id="rId211">
              <w:r>
                <w:rPr>
                  <w:rFonts w:ascii="Arial" w:cs="Arial" w:eastAsia="Arial" w:hAnsi="Arial"/>
                  <w:sz w:val="18"/>
                  <w:szCs w:val="18"/>
                  <w:color w:val="0000FF"/>
                </w:rPr>
                <w:t>stated therein, but solely as mortgagee (incorporated by reference to Exhibit 4.15 to Sun Country Airlines</w:t>
              </w:r>
            </w:hyperlink>
          </w:p>
        </w:tc>
        <w:tc>
          <w:tcPr>
            <w:tcW w:w="20" w:type="dxa"/>
            <w:vAlign w:val="bottom"/>
          </w:tcPr>
          <w:p>
            <w:pPr>
              <w:spacing w:after="0"/>
              <w:rPr>
                <w:sz w:val="14"/>
                <w:szCs w:val="14"/>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1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Holdings, Inc.'s Annual Report on Form 10-K filed with the Securities and Exchange Commission on February</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r:id="rId211">
              <w:r>
                <w:rPr>
                  <w:rFonts w:ascii="Arial" w:cs="Arial" w:eastAsia="Arial" w:hAnsi="Arial"/>
                  <w:sz w:val="18"/>
                  <w:szCs w:val="18"/>
                  <w:color w:val="0000FF"/>
                  <w:w w:val="97"/>
                </w:rPr>
                <w:t>12, 2025)</w:t>
              </w:r>
            </w:hyperlink>
          </w:p>
        </w:tc>
        <w:tc>
          <w:tcPr>
            <w:tcW w:w="1600" w:type="dxa"/>
            <w:vAlign w:val="bottom"/>
            <w:tcBorders>
              <w:top w:val="single" w:sz="8" w:color="0000FF"/>
            </w:tcBorders>
          </w:tcPr>
          <w:p>
            <w:pPr>
              <w:spacing w:after="0"/>
              <w:rPr>
                <w:sz w:val="13"/>
                <w:szCs w:val="13"/>
                <w:color w:val="auto"/>
              </w:rPr>
            </w:pPr>
          </w:p>
        </w:tc>
        <w:tc>
          <w:tcPr>
            <w:tcW w:w="3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80" w:type="dxa"/>
            <w:vAlign w:val="bottom"/>
          </w:tcPr>
          <w:p>
            <w:pPr>
              <w:ind w:left="20"/>
              <w:spacing w:after="0"/>
              <w:rPr>
                <w:sz w:val="20"/>
                <w:szCs w:val="20"/>
                <w:color w:val="auto"/>
              </w:rPr>
            </w:pPr>
            <w:r>
              <w:rPr>
                <w:rFonts w:ascii="Arial" w:cs="Arial" w:eastAsia="Arial" w:hAnsi="Arial"/>
                <w:sz w:val="18"/>
                <w:szCs w:val="18"/>
                <w:color w:val="auto"/>
              </w:rPr>
              <w:t>4.16#</w:t>
            </w:r>
          </w:p>
        </w:tc>
        <w:tc>
          <w:tcPr>
            <w:tcW w:w="1100" w:type="dxa"/>
            <w:vAlign w:val="bottom"/>
          </w:tcPr>
          <w:p>
            <w:pPr>
              <w:spacing w:after="0"/>
              <w:rPr>
                <w:sz w:val="24"/>
                <w:szCs w:val="24"/>
                <w:color w:val="auto"/>
              </w:rPr>
            </w:pPr>
          </w:p>
        </w:tc>
        <w:tc>
          <w:tcPr>
            <w:tcW w:w="9360" w:type="dxa"/>
            <w:vAlign w:val="bottom"/>
            <w:gridSpan w:val="35"/>
          </w:tcPr>
          <w:p>
            <w:pPr>
              <w:spacing w:after="0"/>
              <w:rPr>
                <w:rFonts w:ascii="Arial" w:cs="Arial" w:eastAsia="Arial" w:hAnsi="Arial"/>
                <w:sz w:val="18"/>
                <w:szCs w:val="18"/>
                <w:color w:val="0000FF"/>
              </w:rPr>
            </w:pPr>
            <w:hyperlink r:id="rId212">
              <w:r>
                <w:rPr>
                  <w:rFonts w:ascii="Arial" w:cs="Arial" w:eastAsia="Arial" w:hAnsi="Arial"/>
                  <w:sz w:val="18"/>
                  <w:szCs w:val="18"/>
                  <w:color w:val="0000FF"/>
                </w:rPr>
                <w:t>First Amendment to Participation Agreement, dated as of December 30, 2024, by and among Sun Country,</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Inc., Wilmington Trust, National Association, as pass through trustee under each of the Pass Through Trust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140" w:type="dxa"/>
            <w:vAlign w:val="bottom"/>
            <w:gridSpan w:val="24"/>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Agreements, Wilmington Trust, National Association, as subordination agent, Wilmington Trust, National</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Association, as mortgagee, and Wilmington Trust, National Association, in its individual capacity as set forth</w:t>
              </w:r>
            </w:hyperlink>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20" w:type="dxa"/>
            <w:vAlign w:val="bottom"/>
            <w:tcBorders>
              <w:bottom w:val="single" w:sz="8" w:color="0000FF"/>
            </w:tcBorders>
            <w:gridSpan w:val="8"/>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therein (incorporated by reference to Exhibit 4.16 to Sun Country Airlines Holdings, Inc.'s Annual Report on</w:t>
              </w:r>
            </w:hyperlink>
          </w:p>
        </w:tc>
        <w:tc>
          <w:tcPr>
            <w:tcW w:w="80" w:type="dxa"/>
            <w:vAlign w:val="bottom"/>
            <w:tcBorders>
              <w:bottom w:val="single" w:sz="8" w:color="0000FF"/>
            </w:tcBorders>
            <w:gridSpan w:val="4"/>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20" w:type="dxa"/>
            <w:vAlign w:val="bottom"/>
            <w:gridSpan w:val="28"/>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Form 10-K filed with the Securities and Exchange Commission on February 12, 2025)</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00" w:type="dxa"/>
            <w:vAlign w:val="bottom"/>
            <w:gridSpan w:val="4"/>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80" w:type="dxa"/>
            <w:vAlign w:val="bottom"/>
          </w:tcPr>
          <w:p>
            <w:pPr>
              <w:ind w:left="20"/>
              <w:spacing w:after="0"/>
              <w:rPr>
                <w:sz w:val="20"/>
                <w:szCs w:val="20"/>
                <w:color w:val="auto"/>
              </w:rPr>
            </w:pPr>
            <w:r>
              <w:rPr>
                <w:rFonts w:ascii="Arial" w:cs="Arial" w:eastAsia="Arial" w:hAnsi="Arial"/>
                <w:sz w:val="18"/>
                <w:szCs w:val="18"/>
                <w:color w:val="auto"/>
              </w:rPr>
              <w:t>4.17#</w:t>
            </w:r>
          </w:p>
        </w:tc>
        <w:tc>
          <w:tcPr>
            <w:tcW w:w="1100" w:type="dxa"/>
            <w:vAlign w:val="bottom"/>
          </w:tcPr>
          <w:p>
            <w:pPr>
              <w:spacing w:after="0"/>
              <w:rPr>
                <w:sz w:val="22"/>
                <w:szCs w:val="22"/>
                <w:color w:val="auto"/>
              </w:rPr>
            </w:pPr>
          </w:p>
        </w:tc>
        <w:tc>
          <w:tcPr>
            <w:tcW w:w="9360" w:type="dxa"/>
            <w:vAlign w:val="bottom"/>
            <w:gridSpan w:val="35"/>
          </w:tcPr>
          <w:p>
            <w:pPr>
              <w:spacing w:after="0"/>
              <w:rPr>
                <w:rFonts w:ascii="Arial" w:cs="Arial" w:eastAsia="Arial" w:hAnsi="Arial"/>
                <w:sz w:val="18"/>
                <w:szCs w:val="18"/>
                <w:color w:val="0000FF"/>
              </w:rPr>
            </w:pPr>
            <w:hyperlink r:id="rId213">
              <w:r>
                <w:rPr>
                  <w:rFonts w:ascii="Arial" w:cs="Arial" w:eastAsia="Arial" w:hAnsi="Arial"/>
                  <w:sz w:val="18"/>
                  <w:szCs w:val="18"/>
                  <w:color w:val="0000FF"/>
                </w:rPr>
                <w:t>Amendment to Intercreditor Agreement, dated as of December 30, 2024, by and among Sun Country, Inc.,</w:t>
              </w:r>
            </w:hyperlink>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Wilmington Trust, National Association, not in its individual capacity but solely as trustee under the Sun</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34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Country Pass Through Trust 2019-1A, trustee under the Sun Country Pass Through Trust 2019-1B, and</w:t>
              </w:r>
            </w:hyperlink>
          </w:p>
        </w:tc>
        <w:tc>
          <w:tcPr>
            <w:tcW w:w="20" w:type="dxa"/>
            <w:vAlign w:val="bottom"/>
          </w:tcPr>
          <w:p>
            <w:pPr>
              <w:spacing w:after="0"/>
              <w:rPr>
                <w:sz w:val="14"/>
                <w:szCs w:val="14"/>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1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trustee under the Sun Country Pass Through Trust 2019-1C(R), and Wilmington Trust, National Association,</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not  in  its  individual  capacity  except  as  expressly  set  forth  therein  but  solely  as  subordination  agent</w:t>
              </w:r>
            </w:hyperlink>
          </w:p>
        </w:tc>
        <w:tc>
          <w:tcPr>
            <w:tcW w:w="240" w:type="dxa"/>
            <w:vAlign w:val="bottom"/>
            <w:tcBorders>
              <w:bottom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300" w:type="dxa"/>
            <w:vAlign w:val="bottom"/>
            <w:tcBorders>
              <w:bottom w:val="single" w:sz="8" w:color="0000FF"/>
            </w:tcBorders>
            <w:gridSpan w:val="32"/>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(incorporated by reference to Exhibit 4.17 to Sun Country Airlines Holdings, Inc.'s Annual Report on Form 10-K</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360" w:type="dxa"/>
            <w:vAlign w:val="bottom"/>
            <w:gridSpan w:val="35"/>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filed with the Securities and Exchange Commission on February 12, 2025)</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00" w:type="dxa"/>
            <w:vAlign w:val="bottom"/>
            <w:gridSpan w:val="4"/>
            <w:shd w:val="clear" w:color="auto" w:fill="0000FF"/>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42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1100" w:type="dxa"/>
            <w:vAlign w:val="bottom"/>
          </w:tcPr>
          <w:p>
            <w:pPr>
              <w:spacing w:after="0"/>
              <w:rPr>
                <w:sz w:val="24"/>
                <w:szCs w:val="24"/>
                <w:color w:val="auto"/>
              </w:rPr>
            </w:pPr>
          </w:p>
        </w:tc>
        <w:tc>
          <w:tcPr>
            <w:tcW w:w="9360" w:type="dxa"/>
            <w:vAlign w:val="bottom"/>
            <w:gridSpan w:val="35"/>
          </w:tcPr>
          <w:p>
            <w:pPr>
              <w:spacing w:after="0"/>
              <w:rPr>
                <w:rFonts w:ascii="Arial" w:cs="Arial" w:eastAsia="Arial" w:hAnsi="Arial"/>
                <w:sz w:val="18"/>
                <w:szCs w:val="18"/>
                <w:color w:val="0000FF"/>
              </w:rPr>
            </w:pPr>
            <w:hyperlink r:id="rId214">
              <w:r>
                <w:rPr>
                  <w:rFonts w:ascii="Arial" w:cs="Arial" w:eastAsia="Arial" w:hAnsi="Arial"/>
                  <w:sz w:val="18"/>
                  <w:szCs w:val="18"/>
                  <w:color w:val="0000FF"/>
                </w:rPr>
                <w:t>Loan and Guarantee Agreement, dated as of October 26, 2020, among Sun Country, Inc., as Borrower, the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14">
              <w:r>
                <w:rPr>
                  <w:rFonts w:ascii="Arial" w:cs="Arial" w:eastAsia="Arial" w:hAnsi="Arial"/>
                  <w:sz w:val="18"/>
                  <w:szCs w:val="18"/>
                  <w:color w:val="0000FF"/>
                </w:rPr>
                <w:t>Guarantors party thereto from time to time, the United States Department of the Treasury, and The Bank of</w:t>
              </w:r>
            </w:hyperlink>
          </w:p>
        </w:tc>
        <w:tc>
          <w:tcPr>
            <w:tcW w:w="420" w:type="dxa"/>
            <w:vAlign w:val="bottom"/>
            <w:tcBorders>
              <w:bottom w:val="single" w:sz="8" w:color="0000FF"/>
            </w:tcBorders>
            <w:gridSpan w:val="21"/>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8" w:lineRule="exact"/>
        <w:rPr>
          <w:sz w:val="20"/>
          <w:szCs w:val="20"/>
          <w:color w:val="auto"/>
        </w:rPr>
      </w:pPr>
    </w:p>
    <w:p>
      <w:pPr>
        <w:ind w:left="2380" w:right="20"/>
        <w:spacing w:after="0" w:line="271"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New York Mellon, as Administrative Agent and Collateral Agent (incorporated by reference to Exhibit 10.5 to</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Sun Country Airlines Holdings, Inc.’s Registration Statement on Form S-1 (File No. 333-252858))</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10.2</w:t>
            </w:r>
          </w:p>
        </w:tc>
        <w:tc>
          <w:tcPr>
            <w:tcW w:w="9080" w:type="dxa"/>
            <w:vAlign w:val="bottom"/>
            <w:gridSpan w:val="22"/>
          </w:tcPr>
          <w:p>
            <w:pPr>
              <w:spacing w:after="0"/>
              <w:rPr>
                <w:rFonts w:ascii="Arial" w:cs="Arial" w:eastAsia="Arial" w:hAnsi="Arial"/>
                <w:sz w:val="18"/>
                <w:szCs w:val="18"/>
                <w:color w:val="0000FF"/>
              </w:rPr>
            </w:pPr>
            <w:hyperlink r:id="rId216">
              <w:r>
                <w:rPr>
                  <w:rFonts w:ascii="Arial" w:cs="Arial" w:eastAsia="Arial" w:hAnsi="Arial"/>
                  <w:sz w:val="18"/>
                  <w:szCs w:val="18"/>
                  <w:color w:val="0000FF"/>
                </w:rPr>
                <w:t>Pledge and Security Agreement, dated as of October 26, 2020, between each of the Grantors party thereto</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and The Bank of New York Mellon, as Collateral Agent (incorporated by reference to Exhibit 10.6 to Sun</w:t>
              </w:r>
            </w:hyperlink>
          </w:p>
        </w:tc>
        <w:tc>
          <w:tcPr>
            <w:tcW w:w="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FF"/>
              </w:rPr>
            </w:pPr>
            <w:hyperlink r:id="rId216">
              <w:r>
                <w:rPr>
                  <w:rFonts w:ascii="Arial" w:cs="Arial" w:eastAsia="Arial" w:hAnsi="Arial"/>
                  <w:sz w:val="18"/>
                  <w:szCs w:val="18"/>
                  <w:color w:val="0000FF"/>
                </w:rPr>
                <w:t>Country 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w:t>
            </w:r>
          </w:p>
        </w:tc>
        <w:tc>
          <w:tcPr>
            <w:tcW w:w="9080" w:type="dxa"/>
            <w:vAlign w:val="bottom"/>
            <w:gridSpan w:val="22"/>
          </w:tcPr>
          <w:p>
            <w:pPr>
              <w:spacing w:after="0"/>
              <w:rPr>
                <w:rFonts w:ascii="Arial" w:cs="Arial" w:eastAsia="Arial" w:hAnsi="Arial"/>
                <w:sz w:val="18"/>
                <w:szCs w:val="18"/>
                <w:color w:val="0000FF"/>
              </w:rPr>
            </w:pPr>
            <w:hyperlink r:id="rId217">
              <w:r>
                <w:rPr>
                  <w:rFonts w:ascii="Arial" w:cs="Arial" w:eastAsia="Arial" w:hAnsi="Arial"/>
                  <w:sz w:val="18"/>
                  <w:szCs w:val="18"/>
                  <w:color w:val="0000FF"/>
                </w:rPr>
                <w:t>Payroll Support Program Agreement, dated as of April 16, 2020, by and between Sun Country, Inc. and the</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17">
              <w:r>
                <w:rPr>
                  <w:rFonts w:ascii="Arial" w:cs="Arial" w:eastAsia="Arial" w:hAnsi="Arial"/>
                  <w:sz w:val="18"/>
                  <w:szCs w:val="18"/>
                  <w:color w:val="0000FF"/>
                </w:rPr>
                <w:t>Department of the Treasury (incorporated by reference to Exhibit 10.7 to Sun Country Airlines Holdings, Inc.’s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47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Registration Statement on Form S-1 (File No. 333-252858))</w:t>
              </w:r>
            </w:hyperlink>
          </w:p>
        </w:tc>
        <w:tc>
          <w:tcPr>
            <w:tcW w:w="4340" w:type="dxa"/>
            <w:vAlign w:val="bottom"/>
            <w:gridSpan w:val="20"/>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w:t>
            </w:r>
          </w:p>
        </w:tc>
        <w:tc>
          <w:tcPr>
            <w:tcW w:w="9080" w:type="dxa"/>
            <w:vAlign w:val="bottom"/>
            <w:gridSpan w:val="22"/>
          </w:tcPr>
          <w:p>
            <w:pPr>
              <w:spacing w:after="0"/>
              <w:rPr>
                <w:rFonts w:ascii="Arial" w:cs="Arial" w:eastAsia="Arial" w:hAnsi="Arial"/>
                <w:sz w:val="18"/>
                <w:szCs w:val="18"/>
                <w:color w:val="0000FF"/>
              </w:rPr>
            </w:pPr>
            <w:hyperlink r:id="rId218">
              <w:r>
                <w:rPr>
                  <w:rFonts w:ascii="Arial" w:cs="Arial" w:eastAsia="Arial" w:hAnsi="Arial"/>
                  <w:sz w:val="18"/>
                  <w:szCs w:val="18"/>
                  <w:color w:val="0000FF"/>
                </w:rPr>
                <w:t>Payroll Support Program Extension Agreement, dated as of January 29, 2021, by and between Sun Country,</w:t>
              </w:r>
            </w:hyperlink>
          </w:p>
        </w:tc>
      </w:tr>
      <w:tr>
        <w:trPr>
          <w:trHeight w:val="183"/>
        </w:trPr>
        <w:tc>
          <w:tcPr>
            <w:tcW w:w="236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218">
              <w:r>
                <w:rPr>
                  <w:rFonts w:ascii="Arial" w:cs="Arial" w:eastAsia="Arial" w:hAnsi="Arial"/>
                  <w:sz w:val="18"/>
                  <w:szCs w:val="18"/>
                  <w:color w:val="0000FF"/>
                </w:rPr>
                <w:t>Inc. and the Department of the Treasury (incorporated by reference to Exhibit 10.8 to Sun Country Airlines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10.5</w:t>
            </w:r>
          </w:p>
        </w:tc>
        <w:tc>
          <w:tcPr>
            <w:tcW w:w="9080" w:type="dxa"/>
            <w:vAlign w:val="bottom"/>
            <w:gridSpan w:val="22"/>
          </w:tcPr>
          <w:p>
            <w:pPr>
              <w:spacing w:after="0"/>
              <w:rPr>
                <w:rFonts w:ascii="Arial" w:cs="Arial" w:eastAsia="Arial" w:hAnsi="Arial"/>
                <w:sz w:val="18"/>
                <w:szCs w:val="18"/>
                <w:color w:val="0000FF"/>
              </w:rPr>
            </w:pPr>
            <w:hyperlink r:id="rId219">
              <w:r>
                <w:rPr>
                  <w:rFonts w:ascii="Arial" w:cs="Arial" w:eastAsia="Arial" w:hAnsi="Arial"/>
                  <w:sz w:val="18"/>
                  <w:szCs w:val="18"/>
                  <w:color w:val="0000FF"/>
                </w:rPr>
                <w:t>Amended and Restated Airline Operating Agreement and Terminal Building Lease, Minneapolis-St. Paul</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International Airport, between Metropolitan Airports Commission and MN Airlines, LLC d/b/a Sun Country</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FF"/>
              </w:rPr>
            </w:pPr>
            <w:hyperlink r:id="rId219">
              <w:r>
                <w:rPr>
                  <w:rFonts w:ascii="Arial" w:cs="Arial" w:eastAsia="Arial" w:hAnsi="Arial"/>
                  <w:sz w:val="18"/>
                  <w:szCs w:val="18"/>
                  <w:color w:val="0000FF"/>
                </w:rPr>
                <w:t>Airlines, effective January 1, 2019 (incorporated by reference to Exhibit 10.9 to Sun Country Airlines Holdings,</w:t>
              </w:r>
            </w:hyperlink>
          </w:p>
        </w:tc>
      </w:tr>
      <w:tr>
        <w:trPr>
          <w:trHeight w:val="183"/>
        </w:trPr>
        <w:tc>
          <w:tcPr>
            <w:tcW w:w="2360" w:type="dxa"/>
            <w:vAlign w:val="bottom"/>
          </w:tcPr>
          <w:p>
            <w:pPr>
              <w:spacing w:after="0"/>
              <w:rPr>
                <w:sz w:val="15"/>
                <w:szCs w:val="15"/>
                <w:color w:val="auto"/>
              </w:rPr>
            </w:pPr>
          </w:p>
        </w:tc>
        <w:tc>
          <w:tcPr>
            <w:tcW w:w="90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Inc.’s Registration Statement on Form S-1 (File No. 333-252858))</w:t>
              </w:r>
            </w:hyperlink>
          </w:p>
        </w:tc>
        <w:tc>
          <w:tcPr>
            <w:tcW w:w="20" w:type="dxa"/>
            <w:vAlign w:val="bottom"/>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10.6#</w:t>
            </w:r>
          </w:p>
        </w:tc>
        <w:tc>
          <w:tcPr>
            <w:tcW w:w="9080" w:type="dxa"/>
            <w:vAlign w:val="bottom"/>
            <w:gridSpan w:val="22"/>
          </w:tcPr>
          <w:p>
            <w:pPr>
              <w:spacing w:after="0"/>
              <w:rPr>
                <w:rFonts w:ascii="Arial" w:cs="Arial" w:eastAsia="Arial" w:hAnsi="Arial"/>
                <w:sz w:val="18"/>
                <w:szCs w:val="18"/>
                <w:color w:val="0000FF"/>
              </w:rPr>
            </w:pPr>
            <w:hyperlink r:id="rId220">
              <w:r>
                <w:rPr>
                  <w:rFonts w:ascii="Arial" w:cs="Arial" w:eastAsia="Arial" w:hAnsi="Arial"/>
                  <w:sz w:val="18"/>
                  <w:szCs w:val="18"/>
                  <w:color w:val="0000FF"/>
                </w:rPr>
                <w:t>Air Transportation Services Agreement, dated as of December 13, 2019, by and between Sun Country, Inc.</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20">
              <w:r>
                <w:rPr>
                  <w:rFonts w:ascii="Arial" w:cs="Arial" w:eastAsia="Arial" w:hAnsi="Arial"/>
                  <w:sz w:val="18"/>
                  <w:szCs w:val="18"/>
                  <w:color w:val="0000FF"/>
                </w:rPr>
                <w:t>and Amazon.com Services, Inc. (incorporated by reference to Exhibit 10.10 to Sun Country Airlines Holdings,</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FF"/>
              </w:rPr>
            </w:pPr>
            <w:hyperlink r:id="rId220">
              <w:r>
                <w:rPr>
                  <w:rFonts w:ascii="Arial" w:cs="Arial" w:eastAsia="Arial" w:hAnsi="Arial"/>
                  <w:sz w:val="18"/>
                  <w:szCs w:val="18"/>
                  <w:color w:val="0000FF"/>
                </w:rPr>
                <w:t>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10.7#</w:t>
            </w:r>
          </w:p>
        </w:tc>
        <w:tc>
          <w:tcPr>
            <w:tcW w:w="9080" w:type="dxa"/>
            <w:vAlign w:val="bottom"/>
            <w:gridSpan w:val="22"/>
          </w:tcPr>
          <w:p>
            <w:pPr>
              <w:spacing w:after="0"/>
              <w:rPr>
                <w:rFonts w:ascii="Arial" w:cs="Arial" w:eastAsia="Arial" w:hAnsi="Arial"/>
                <w:sz w:val="18"/>
                <w:szCs w:val="18"/>
                <w:color w:val="0000FF"/>
              </w:rPr>
            </w:pPr>
            <w:hyperlink r:id="rId221">
              <w:r>
                <w:rPr>
                  <w:rFonts w:ascii="Arial" w:cs="Arial" w:eastAsia="Arial" w:hAnsi="Arial"/>
                  <w:sz w:val="18"/>
                  <w:szCs w:val="18"/>
                  <w:color w:val="0000FF"/>
                </w:rPr>
                <w:t>Amendment No. 1 to Air Transportation Services Agreement, dated as of June 30, 2020, by and between Sun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21">
              <w:r>
                <w:rPr>
                  <w:rFonts w:ascii="Arial" w:cs="Arial" w:eastAsia="Arial" w:hAnsi="Arial"/>
                  <w:sz w:val="18"/>
                  <w:szCs w:val="18"/>
                  <w:color w:val="0000FF"/>
                </w:rPr>
                <w:t>Country, Inc. and Amazon.com Services, Inc. (incorporated by reference to Exhibit 10.11 to Sun Country</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FF"/>
              </w:rPr>
            </w:pPr>
            <w:hyperlink r:id="rId221">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40" w:type="dxa"/>
            <w:vAlign w:val="bottom"/>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10.8#</w:t>
            </w:r>
          </w:p>
        </w:tc>
        <w:tc>
          <w:tcPr>
            <w:tcW w:w="9080" w:type="dxa"/>
            <w:vAlign w:val="bottom"/>
            <w:gridSpan w:val="22"/>
          </w:tcPr>
          <w:p>
            <w:pPr>
              <w:spacing w:after="0"/>
              <w:rPr>
                <w:rFonts w:ascii="Arial" w:cs="Arial" w:eastAsia="Arial" w:hAnsi="Arial"/>
                <w:sz w:val="18"/>
                <w:szCs w:val="18"/>
                <w:color w:val="0000FF"/>
              </w:rPr>
            </w:pPr>
            <w:hyperlink r:id="rId222">
              <w:r>
                <w:rPr>
                  <w:rFonts w:ascii="Arial" w:cs="Arial" w:eastAsia="Arial" w:hAnsi="Arial"/>
                  <w:sz w:val="18"/>
                  <w:szCs w:val="18"/>
                  <w:color w:val="0000FF"/>
                </w:rPr>
                <w:t>Warrant, dated as of December 13, 2019, issued by SCA Acquisition Holdings, LLC to Amazon.com NV</w:t>
              </w:r>
            </w:hyperlink>
          </w:p>
        </w:tc>
      </w:tr>
      <w:tr>
        <w:trPr>
          <w:trHeight w:val="183"/>
        </w:trPr>
        <w:tc>
          <w:tcPr>
            <w:tcW w:w="2360" w:type="dxa"/>
            <w:vAlign w:val="bottom"/>
          </w:tcPr>
          <w:p>
            <w:pPr>
              <w:spacing w:after="0"/>
              <w:rPr>
                <w:sz w:val="15"/>
                <w:szCs w:val="15"/>
                <w:color w:val="auto"/>
              </w:rPr>
            </w:pPr>
          </w:p>
        </w:tc>
        <w:tc>
          <w:tcPr>
            <w:tcW w:w="900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Investment Holdings LLC (incorporated by reference to Exhibit 10.12 to Sun Country Airlines Holdings, Inc.’s</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47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Registration Statement on Form S-1 (File No. 333-252858))</w:t>
              </w:r>
            </w:hyperlink>
          </w:p>
        </w:tc>
        <w:tc>
          <w:tcPr>
            <w:tcW w:w="4340" w:type="dxa"/>
            <w:vAlign w:val="bottom"/>
            <w:gridSpan w:val="20"/>
          </w:tcPr>
          <w:p>
            <w:pPr>
              <w:spacing w:after="0"/>
              <w:rPr>
                <w:sz w:val="17"/>
                <w:szCs w:val="17"/>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10.9</w:t>
            </w:r>
          </w:p>
        </w:tc>
        <w:tc>
          <w:tcPr>
            <w:tcW w:w="9080" w:type="dxa"/>
            <w:vAlign w:val="bottom"/>
            <w:gridSpan w:val="22"/>
          </w:tcPr>
          <w:p>
            <w:pPr>
              <w:spacing w:after="0"/>
              <w:rPr>
                <w:rFonts w:ascii="Arial" w:cs="Arial" w:eastAsia="Arial" w:hAnsi="Arial"/>
                <w:sz w:val="18"/>
                <w:szCs w:val="18"/>
                <w:color w:val="0000FF"/>
              </w:rPr>
            </w:pPr>
            <w:hyperlink r:id="rId223">
              <w:r>
                <w:rPr>
                  <w:rFonts w:ascii="Arial" w:cs="Arial" w:eastAsia="Arial" w:hAnsi="Arial"/>
                  <w:sz w:val="18"/>
                  <w:szCs w:val="18"/>
                  <w:color w:val="0000FF"/>
                </w:rPr>
                <w:t>Headquarters Facility Lease Agreement, dated as of February 19, 2019, by and between the Metropolitan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Airports Commission and MN Airlines, LLC dba Sun Country Airlines (incorporated by reference to Exhibit</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840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22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13</w:t>
              </w:r>
              <w:r>
                <w:rPr>
                  <w:rFonts w:ascii="Arial" w:cs="Arial" w:eastAsia="Arial" w:hAnsi="Arial"/>
                  <w:sz w:val="18"/>
                  <w:szCs w:val="18"/>
                  <w:color w:val="0000FF"/>
                  <w:w w:val="99"/>
                </w:rPr>
                <w:t xml:space="preserve"> to Sun Country Airlines Holdings, Inc.’s Registration Statement on Form S-1 (File No. 333-252858))</w:t>
              </w:r>
            </w:hyperlink>
          </w:p>
        </w:tc>
        <w:tc>
          <w:tcPr>
            <w:tcW w:w="680" w:type="dxa"/>
            <w:vAlign w:val="bottom"/>
            <w:gridSpan w:val="14"/>
          </w:tcPr>
          <w:p>
            <w:pPr>
              <w:spacing w:after="0"/>
              <w:rPr>
                <w:sz w:val="17"/>
                <w:szCs w:val="17"/>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10.10</w:t>
            </w:r>
          </w:p>
        </w:tc>
        <w:tc>
          <w:tcPr>
            <w:tcW w:w="9080" w:type="dxa"/>
            <w:vAlign w:val="bottom"/>
            <w:gridSpan w:val="22"/>
          </w:tcPr>
          <w:p>
            <w:pPr>
              <w:spacing w:after="0"/>
              <w:rPr>
                <w:rFonts w:ascii="Arial" w:cs="Arial" w:eastAsia="Arial" w:hAnsi="Arial"/>
                <w:sz w:val="18"/>
                <w:szCs w:val="18"/>
                <w:color w:val="0000FF"/>
              </w:rPr>
            </w:pPr>
            <w:hyperlink r:id="rId224">
              <w:r>
                <w:rPr>
                  <w:rFonts w:ascii="Arial" w:cs="Arial" w:eastAsia="Arial" w:hAnsi="Arial"/>
                  <w:sz w:val="18"/>
                  <w:szCs w:val="18"/>
                  <w:color w:val="0000FF"/>
                </w:rPr>
                <w:t>Amended and Restated Co-Brand Marketing Agreement, dated as of October 17, 2018, between First National</w:t>
              </w:r>
            </w:hyperlink>
          </w:p>
        </w:tc>
      </w:tr>
      <w:tr>
        <w:trPr>
          <w:trHeight w:val="183"/>
        </w:trPr>
        <w:tc>
          <w:tcPr>
            <w:tcW w:w="236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Bank of Omaha and MN Airlines, LLC dba Sun Country Airlines (incorporated by reference to Exhibit 10.14 to</w:t>
              </w:r>
            </w:hyperlink>
          </w:p>
        </w:tc>
        <w:tc>
          <w:tcPr>
            <w:tcW w:w="40" w:type="dxa"/>
            <w:vAlign w:val="bottom"/>
            <w:tcBorders>
              <w:top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770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Sun Country Airlines Holdings, Inc.’s Registration Statement on Form S-1 (File No. 333-252858))</w:t>
              </w:r>
            </w:hyperlink>
          </w:p>
        </w:tc>
        <w:tc>
          <w:tcPr>
            <w:tcW w:w="1380" w:type="dxa"/>
            <w:vAlign w:val="bottom"/>
            <w:gridSpan w:val="15"/>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10.11</w:t>
            </w:r>
          </w:p>
        </w:tc>
        <w:tc>
          <w:tcPr>
            <w:tcW w:w="9080" w:type="dxa"/>
            <w:vAlign w:val="bottom"/>
            <w:gridSpan w:val="22"/>
          </w:tcPr>
          <w:p>
            <w:pPr>
              <w:spacing w:after="0"/>
              <w:rPr>
                <w:rFonts w:ascii="Arial" w:cs="Arial" w:eastAsia="Arial" w:hAnsi="Arial"/>
                <w:sz w:val="18"/>
                <w:szCs w:val="18"/>
                <w:color w:val="0000FF"/>
              </w:rPr>
            </w:pPr>
            <w:hyperlink r:id="rId225">
              <w:r>
                <w:rPr>
                  <w:rFonts w:ascii="Arial" w:cs="Arial" w:eastAsia="Arial" w:hAnsi="Arial"/>
                  <w:sz w:val="18"/>
                  <w:szCs w:val="18"/>
                  <w:color w:val="0000FF"/>
                </w:rPr>
                <w:t>Amendment No. 1 to Amended and Restated Co-Brand Marketing Agreement, dated as of November 1, 2018,</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by and between First National Bank of Omaha and MN Airlines, LLC dba Sun Country Airlines (incorporated by</w:t>
              </w:r>
            </w:hyperlink>
          </w:p>
        </w:tc>
        <w:tc>
          <w:tcPr>
            <w:tcW w:w="18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FF"/>
              </w:rPr>
            </w:pPr>
            <w:hyperlink r:id="rId225">
              <w:r>
                <w:rPr>
                  <w:rFonts w:ascii="Arial" w:cs="Arial" w:eastAsia="Arial" w:hAnsi="Arial"/>
                  <w:sz w:val="18"/>
                  <w:szCs w:val="18"/>
                  <w:color w:val="0000FF"/>
                </w:rPr>
                <w:t>reference to Exhibit 10.15 to Sun Country Airlines Holdings, Inc.’s Registration Statement on Form S-1 (File</w:t>
              </w:r>
            </w:hyperlink>
          </w:p>
        </w:tc>
      </w:tr>
      <w:tr>
        <w:trPr>
          <w:trHeight w:val="183"/>
        </w:trPr>
        <w:tc>
          <w:tcPr>
            <w:tcW w:w="2360" w:type="dxa"/>
            <w:vAlign w:val="bottom"/>
          </w:tcPr>
          <w:p>
            <w:pPr>
              <w:spacing w:after="0"/>
              <w:rPr>
                <w:sz w:val="15"/>
                <w:szCs w:val="15"/>
                <w:color w:val="auto"/>
              </w:rPr>
            </w:pPr>
          </w:p>
        </w:tc>
        <w:tc>
          <w:tcPr>
            <w:tcW w:w="88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No. 333-252858))</w:t>
              </w:r>
            </w:hyperlink>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4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10.12</w:t>
            </w:r>
          </w:p>
        </w:tc>
        <w:tc>
          <w:tcPr>
            <w:tcW w:w="9080" w:type="dxa"/>
            <w:vAlign w:val="bottom"/>
            <w:gridSpan w:val="22"/>
          </w:tcPr>
          <w:p>
            <w:pPr>
              <w:spacing w:after="0"/>
              <w:rPr>
                <w:rFonts w:ascii="Arial" w:cs="Arial" w:eastAsia="Arial" w:hAnsi="Arial"/>
                <w:sz w:val="18"/>
                <w:szCs w:val="18"/>
                <w:color w:val="0000FF"/>
              </w:rPr>
            </w:pPr>
            <w:hyperlink r:id="rId226">
              <w:r>
                <w:rPr>
                  <w:rFonts w:ascii="Arial" w:cs="Arial" w:eastAsia="Arial" w:hAnsi="Arial"/>
                  <w:sz w:val="18"/>
                  <w:szCs w:val="18"/>
                  <w:color w:val="0000FF"/>
                </w:rPr>
                <w:t>Inventory Support and Services Agreement, dated as of October 27, 2003, by and between Delta Airlines, Inc.</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and MN Airlines, LLC (incorporated by reference to Exhibit 10.16 to Sun Country Airlines Holdings, Inc.’s</w:t>
              </w:r>
            </w:hyperlink>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4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Registration Statement on Form S-1 (File No. 333-252858))</w:t>
              </w:r>
            </w:hyperlink>
          </w:p>
        </w:tc>
        <w:tc>
          <w:tcPr>
            <w:tcW w:w="4080" w:type="dxa"/>
            <w:vAlign w:val="bottom"/>
            <w:tcBorders>
              <w:top w:val="single" w:sz="8" w:color="0000FF"/>
            </w:tcBorders>
            <w:gridSpan w:val="7"/>
          </w:tcPr>
          <w:p>
            <w:pPr>
              <w:spacing w:after="0"/>
              <w:rPr>
                <w:sz w:val="17"/>
                <w:szCs w:val="17"/>
                <w:color w:val="auto"/>
              </w:rPr>
            </w:pPr>
          </w:p>
        </w:tc>
        <w:tc>
          <w:tcPr>
            <w:tcW w:w="260" w:type="dxa"/>
            <w:vAlign w:val="bottom"/>
            <w:gridSpan w:val="13"/>
          </w:tcPr>
          <w:p>
            <w:pPr>
              <w:spacing w:after="0"/>
              <w:rPr>
                <w:sz w:val="17"/>
                <w:szCs w:val="17"/>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10.13</w:t>
            </w:r>
          </w:p>
        </w:tc>
        <w:tc>
          <w:tcPr>
            <w:tcW w:w="9080" w:type="dxa"/>
            <w:vAlign w:val="bottom"/>
            <w:gridSpan w:val="22"/>
          </w:tcPr>
          <w:p>
            <w:pPr>
              <w:spacing w:after="0"/>
              <w:rPr>
                <w:rFonts w:ascii="Arial" w:cs="Arial" w:eastAsia="Arial" w:hAnsi="Arial"/>
                <w:sz w:val="18"/>
                <w:szCs w:val="18"/>
                <w:color w:val="0000FF"/>
              </w:rPr>
            </w:pPr>
            <w:hyperlink r:id="rId227">
              <w:r>
                <w:rPr>
                  <w:rFonts w:ascii="Arial" w:cs="Arial" w:eastAsia="Arial" w:hAnsi="Arial"/>
                  <w:sz w:val="18"/>
                  <w:szCs w:val="18"/>
                  <w:color w:val="0000FF"/>
                </w:rPr>
                <w:t>Amendment No. 1 to Inventory Support and Services Agreement, dated as of November 8, 2004, by and</w:t>
              </w:r>
            </w:hyperlink>
          </w:p>
        </w:tc>
      </w:tr>
      <w:tr>
        <w:trPr>
          <w:trHeight w:val="183"/>
        </w:trPr>
        <w:tc>
          <w:tcPr>
            <w:tcW w:w="236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between Delta Airlines, Inc. and MN Airlines, LLC (incorporated by reference to Exhibit 10.17 to Sun Country</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22"/>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10.14</w:t>
            </w:r>
          </w:p>
        </w:tc>
        <w:tc>
          <w:tcPr>
            <w:tcW w:w="9080" w:type="dxa"/>
            <w:vAlign w:val="bottom"/>
            <w:gridSpan w:val="15"/>
          </w:tcPr>
          <w:p>
            <w:pPr>
              <w:spacing w:after="0"/>
              <w:rPr>
                <w:rFonts w:ascii="Arial" w:cs="Arial" w:eastAsia="Arial" w:hAnsi="Arial"/>
                <w:sz w:val="18"/>
                <w:szCs w:val="18"/>
                <w:color w:val="0000FF"/>
              </w:rPr>
            </w:pPr>
            <w:hyperlink r:id="rId229">
              <w:r>
                <w:rPr>
                  <w:rFonts w:ascii="Arial" w:cs="Arial" w:eastAsia="Arial" w:hAnsi="Arial"/>
                  <w:sz w:val="18"/>
                  <w:szCs w:val="18"/>
                  <w:color w:val="0000FF"/>
                </w:rPr>
                <w:t>Amendment No. 2 to Inventory Support and Services Agreement, dated as of March 18, 2005, by and between</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Delta Airlines, Inc. and MN Airlines, LLC (incorporated by reference to Exhibit 10.18 to Sun Country Airlines</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29">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10.15</w:t>
            </w:r>
          </w:p>
        </w:tc>
        <w:tc>
          <w:tcPr>
            <w:tcW w:w="9080" w:type="dxa"/>
            <w:vAlign w:val="bottom"/>
            <w:gridSpan w:val="15"/>
          </w:tcPr>
          <w:p>
            <w:pPr>
              <w:spacing w:after="0"/>
              <w:rPr>
                <w:rFonts w:ascii="Arial" w:cs="Arial" w:eastAsia="Arial" w:hAnsi="Arial"/>
                <w:sz w:val="18"/>
                <w:szCs w:val="18"/>
                <w:color w:val="0000FF"/>
              </w:rPr>
            </w:pPr>
            <w:hyperlink r:id="rId230">
              <w:r>
                <w:rPr>
                  <w:rFonts w:ascii="Arial" w:cs="Arial" w:eastAsia="Arial" w:hAnsi="Arial"/>
                  <w:sz w:val="18"/>
                  <w:szCs w:val="18"/>
                  <w:color w:val="0000FF"/>
                </w:rPr>
                <w:t>Amendment No. 3 to Inventory Support and Services Agreement, dated as of July 15, 2007, by and between</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Delta Airlines, Inc. and MN Airlines, LLC (incorporated by reference to Exhibit 10.19 to Sun Country Airlines</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0">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10.16</w:t>
            </w:r>
          </w:p>
        </w:tc>
        <w:tc>
          <w:tcPr>
            <w:tcW w:w="9080" w:type="dxa"/>
            <w:vAlign w:val="bottom"/>
            <w:gridSpan w:val="15"/>
          </w:tcPr>
          <w:p>
            <w:pPr>
              <w:spacing w:after="0"/>
              <w:rPr>
                <w:rFonts w:ascii="Arial" w:cs="Arial" w:eastAsia="Arial" w:hAnsi="Arial"/>
                <w:sz w:val="18"/>
                <w:szCs w:val="18"/>
                <w:color w:val="0000FF"/>
              </w:rPr>
            </w:pPr>
            <w:hyperlink r:id="rId231">
              <w:r>
                <w:rPr>
                  <w:rFonts w:ascii="Arial" w:cs="Arial" w:eastAsia="Arial" w:hAnsi="Arial"/>
                  <w:sz w:val="18"/>
                  <w:szCs w:val="18"/>
                  <w:color w:val="0000FF"/>
                </w:rPr>
                <w:t>Amendment No. 4 to Inventory Support and Services Agreement, dated as of May 23, 2008, by and between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Delta Airlines, Inc. and MN Airlines, LLC (incorporated by reference to Exhibit 10.20 to Sun Country Airlines</w:t>
              </w:r>
            </w:hyperlink>
          </w:p>
        </w:tc>
        <w:tc>
          <w:tcPr>
            <w:tcW w:w="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1">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10.17</w:t>
            </w:r>
          </w:p>
        </w:tc>
        <w:tc>
          <w:tcPr>
            <w:tcW w:w="9080" w:type="dxa"/>
            <w:vAlign w:val="bottom"/>
            <w:gridSpan w:val="15"/>
          </w:tcPr>
          <w:p>
            <w:pPr>
              <w:spacing w:after="0"/>
              <w:rPr>
                <w:rFonts w:ascii="Arial" w:cs="Arial" w:eastAsia="Arial" w:hAnsi="Arial"/>
                <w:sz w:val="18"/>
                <w:szCs w:val="18"/>
                <w:color w:val="0000FF"/>
              </w:rPr>
            </w:pPr>
            <w:hyperlink r:id="rId232">
              <w:r>
                <w:rPr>
                  <w:rFonts w:ascii="Arial" w:cs="Arial" w:eastAsia="Arial" w:hAnsi="Arial"/>
                  <w:sz w:val="18"/>
                  <w:szCs w:val="18"/>
                  <w:color w:val="0000FF"/>
                </w:rPr>
                <w:t>Amendment No. 5 to Inventory Support and Services Agreement, dated as of June 4, 2008, by and between</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Delta Airlines, Inc. and MN Airlines, LLC (incorporated by reference to Exhibit 10.21 to Sun Country Airlines</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2">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10.18</w:t>
            </w:r>
          </w:p>
        </w:tc>
        <w:tc>
          <w:tcPr>
            <w:tcW w:w="9080" w:type="dxa"/>
            <w:vAlign w:val="bottom"/>
            <w:gridSpan w:val="15"/>
          </w:tcPr>
          <w:p>
            <w:pPr>
              <w:spacing w:after="0"/>
              <w:rPr>
                <w:rFonts w:ascii="Arial" w:cs="Arial" w:eastAsia="Arial" w:hAnsi="Arial"/>
                <w:sz w:val="18"/>
                <w:szCs w:val="18"/>
                <w:color w:val="0000FF"/>
              </w:rPr>
            </w:pPr>
            <w:hyperlink r:id="rId233">
              <w:r>
                <w:rPr>
                  <w:rFonts w:ascii="Arial" w:cs="Arial" w:eastAsia="Arial" w:hAnsi="Arial"/>
                  <w:sz w:val="18"/>
                  <w:szCs w:val="18"/>
                  <w:color w:val="0000FF"/>
                </w:rPr>
                <w:t>Amendment No. 6 to Inventory Support and Services Agreement, dated as of April 1, 2009, by and between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Delta Airlines, Inc. and MN Airlines, LLC (incorporated by reference to Exhibit 10.22 to Sun Country Airlines</w:t>
              </w:r>
            </w:hyperlink>
          </w:p>
        </w:tc>
        <w:tc>
          <w:tcPr>
            <w:tcW w:w="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3">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10.19</w:t>
            </w:r>
          </w:p>
        </w:tc>
        <w:tc>
          <w:tcPr>
            <w:tcW w:w="9080" w:type="dxa"/>
            <w:vAlign w:val="bottom"/>
            <w:gridSpan w:val="15"/>
          </w:tcPr>
          <w:p>
            <w:pPr>
              <w:spacing w:after="0"/>
              <w:rPr>
                <w:rFonts w:ascii="Arial" w:cs="Arial" w:eastAsia="Arial" w:hAnsi="Arial"/>
                <w:sz w:val="18"/>
                <w:szCs w:val="18"/>
                <w:color w:val="0000FF"/>
              </w:rPr>
            </w:pPr>
            <w:hyperlink r:id="rId234">
              <w:r>
                <w:rPr>
                  <w:rFonts w:ascii="Arial" w:cs="Arial" w:eastAsia="Arial" w:hAnsi="Arial"/>
                  <w:sz w:val="18"/>
                  <w:szCs w:val="18"/>
                  <w:color w:val="0000FF"/>
                </w:rPr>
                <w:t>Amendment No. 7 to Inventory Support and Services Agreement, dated as of April 7, 2009, by and between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234">
              <w:r>
                <w:rPr>
                  <w:rFonts w:ascii="Arial" w:cs="Arial" w:eastAsia="Arial" w:hAnsi="Arial"/>
                  <w:sz w:val="18"/>
                  <w:szCs w:val="18"/>
                  <w:color w:val="0000FF"/>
                </w:rPr>
                <w:t>Delta Airlines, Inc. and MN Airlines, LLC (incorporated by reference to Exhibit 10.23 to Sun Country Airlines</w:t>
              </w:r>
            </w:hyperlink>
          </w:p>
        </w:tc>
        <w:tc>
          <w:tcPr>
            <w:tcW w:w="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4">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10.20</w:t>
            </w:r>
          </w:p>
        </w:tc>
        <w:tc>
          <w:tcPr>
            <w:tcW w:w="9080" w:type="dxa"/>
            <w:vAlign w:val="bottom"/>
            <w:gridSpan w:val="15"/>
          </w:tcPr>
          <w:p>
            <w:pPr>
              <w:spacing w:after="0"/>
              <w:rPr>
                <w:rFonts w:ascii="Arial" w:cs="Arial" w:eastAsia="Arial" w:hAnsi="Arial"/>
                <w:sz w:val="18"/>
                <w:szCs w:val="18"/>
                <w:color w:val="0000FF"/>
              </w:rPr>
            </w:pPr>
            <w:hyperlink r:id="rId235">
              <w:r>
                <w:rPr>
                  <w:rFonts w:ascii="Arial" w:cs="Arial" w:eastAsia="Arial" w:hAnsi="Arial"/>
                  <w:sz w:val="18"/>
                  <w:szCs w:val="18"/>
                  <w:color w:val="0000FF"/>
                </w:rPr>
                <w:t>Amendment No. 8 to Inventory Support and Services Agreement, dated as of May 1, 2009, by and between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Delta Airlines, Inc. and MN Airlines, LLC (incorporated by reference to Exhibit 10.24 to Sun Country Airlines</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10.21</w:t>
            </w:r>
          </w:p>
        </w:tc>
        <w:tc>
          <w:tcPr>
            <w:tcW w:w="9080" w:type="dxa"/>
            <w:vAlign w:val="bottom"/>
            <w:gridSpan w:val="15"/>
          </w:tcPr>
          <w:p>
            <w:pPr>
              <w:spacing w:after="0"/>
              <w:rPr>
                <w:rFonts w:ascii="Arial" w:cs="Arial" w:eastAsia="Arial" w:hAnsi="Arial"/>
                <w:sz w:val="18"/>
                <w:szCs w:val="18"/>
                <w:color w:val="0000FF"/>
              </w:rPr>
            </w:pPr>
            <w:hyperlink r:id="rId236">
              <w:r>
                <w:rPr>
                  <w:rFonts w:ascii="Arial" w:cs="Arial" w:eastAsia="Arial" w:hAnsi="Arial"/>
                  <w:sz w:val="18"/>
                  <w:szCs w:val="18"/>
                  <w:color w:val="0000FF"/>
                </w:rPr>
                <w:t>Amendment No. 9 to Inventory Support and Services Agreement, dated as of August 1, 2009, by and between</w:t>
              </w:r>
            </w:hyperlink>
          </w:p>
        </w:tc>
      </w:tr>
      <w:tr>
        <w:trPr>
          <w:trHeight w:val="183"/>
        </w:trPr>
        <w:tc>
          <w:tcPr>
            <w:tcW w:w="236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Delta Airlines, Inc. and MN Airlines, LLC (incorporated by reference to Exhibit 10.25 to Sun Country Airlines</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10.22</w:t>
            </w:r>
          </w:p>
        </w:tc>
        <w:tc>
          <w:tcPr>
            <w:tcW w:w="9080" w:type="dxa"/>
            <w:vAlign w:val="bottom"/>
            <w:gridSpan w:val="15"/>
          </w:tcPr>
          <w:p>
            <w:pPr>
              <w:spacing w:after="0"/>
              <w:rPr>
                <w:rFonts w:ascii="Arial" w:cs="Arial" w:eastAsia="Arial" w:hAnsi="Arial"/>
                <w:sz w:val="18"/>
                <w:szCs w:val="18"/>
                <w:color w:val="0000FF"/>
              </w:rPr>
            </w:pPr>
            <w:hyperlink r:id="rId237">
              <w:r>
                <w:rPr>
                  <w:rFonts w:ascii="Arial" w:cs="Arial" w:eastAsia="Arial" w:hAnsi="Arial"/>
                  <w:sz w:val="18"/>
                  <w:szCs w:val="18"/>
                  <w:color w:val="0000FF"/>
                </w:rPr>
                <w:t>Amendment No. 10 to Inventory Support and Services Agreement, dated as of January 1, 2010, by and</w:t>
              </w:r>
            </w:hyperlink>
          </w:p>
        </w:tc>
      </w:tr>
      <w:tr>
        <w:trPr>
          <w:trHeight w:val="183"/>
        </w:trPr>
        <w:tc>
          <w:tcPr>
            <w:tcW w:w="236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between Delta Airlines, Inc. and MN Airlines, LLC (incorporated by reference to Exhibit 10.26 to Sun Country</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640" w:type="dxa"/>
            <w:vAlign w:val="bottom"/>
            <w:gridSpan w:val="2"/>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10.23</w:t>
            </w:r>
          </w:p>
        </w:tc>
        <w:tc>
          <w:tcPr>
            <w:tcW w:w="9080" w:type="dxa"/>
            <w:vAlign w:val="bottom"/>
            <w:gridSpan w:val="15"/>
          </w:tcPr>
          <w:p>
            <w:pPr>
              <w:spacing w:after="0"/>
              <w:rPr>
                <w:rFonts w:ascii="Arial" w:cs="Arial" w:eastAsia="Arial" w:hAnsi="Arial"/>
                <w:sz w:val="18"/>
                <w:szCs w:val="18"/>
                <w:color w:val="0000FF"/>
              </w:rPr>
            </w:pPr>
            <w:hyperlink r:id="rId238">
              <w:r>
                <w:rPr>
                  <w:rFonts w:ascii="Arial" w:cs="Arial" w:eastAsia="Arial" w:hAnsi="Arial"/>
                  <w:sz w:val="18"/>
                  <w:szCs w:val="18"/>
                  <w:color w:val="0000FF"/>
                </w:rPr>
                <w:t>Amendment No. 11 to Inventory Support and Services Agreement, dated as of May 1, 2010, by and between</w:t>
              </w:r>
            </w:hyperlink>
          </w:p>
        </w:tc>
      </w:tr>
      <w:tr>
        <w:trPr>
          <w:trHeight w:val="183"/>
        </w:trPr>
        <w:tc>
          <w:tcPr>
            <w:tcW w:w="236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38">
              <w:r>
                <w:rPr>
                  <w:rFonts w:ascii="Arial" w:cs="Arial" w:eastAsia="Arial" w:hAnsi="Arial"/>
                  <w:sz w:val="18"/>
                  <w:szCs w:val="18"/>
                  <w:color w:val="0000FF"/>
                </w:rPr>
                <w:t>Delta Airlines, Inc. and MN Airlines, LLC (incorporated by reference to Exhibit 10.27 to Sun Country Airlines</w:t>
              </w:r>
            </w:hyperlink>
          </w:p>
        </w:tc>
        <w:tc>
          <w:tcPr>
            <w:tcW w:w="40" w:type="dxa"/>
            <w:vAlign w:val="bottom"/>
            <w:tcBorders>
              <w:top w:val="single" w:sz="8" w:color="0000FF"/>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8">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10.24</w:t>
            </w:r>
          </w:p>
        </w:tc>
        <w:tc>
          <w:tcPr>
            <w:tcW w:w="9080" w:type="dxa"/>
            <w:vAlign w:val="bottom"/>
            <w:gridSpan w:val="15"/>
          </w:tcPr>
          <w:p>
            <w:pPr>
              <w:spacing w:after="0"/>
              <w:rPr>
                <w:rFonts w:ascii="Arial" w:cs="Arial" w:eastAsia="Arial" w:hAnsi="Arial"/>
                <w:sz w:val="18"/>
                <w:szCs w:val="18"/>
                <w:color w:val="0000FF"/>
              </w:rPr>
            </w:pPr>
            <w:hyperlink r:id="rId239">
              <w:r>
                <w:rPr>
                  <w:rFonts w:ascii="Arial" w:cs="Arial" w:eastAsia="Arial" w:hAnsi="Arial"/>
                  <w:sz w:val="18"/>
                  <w:szCs w:val="18"/>
                  <w:color w:val="0000FF"/>
                </w:rPr>
                <w:t>Amendment No. 13 to Inventory Support and Services Agreement, dated as of November 1, 2011, by and</w:t>
              </w:r>
            </w:hyperlink>
          </w:p>
        </w:tc>
      </w:tr>
      <w:tr>
        <w:trPr>
          <w:trHeight w:val="183"/>
        </w:trPr>
        <w:tc>
          <w:tcPr>
            <w:tcW w:w="2360" w:type="dxa"/>
            <w:vAlign w:val="bottom"/>
          </w:tcPr>
          <w:p>
            <w:pPr>
              <w:spacing w:after="0"/>
              <w:rPr>
                <w:sz w:val="15"/>
                <w:szCs w:val="15"/>
                <w:color w:val="auto"/>
              </w:rPr>
            </w:pPr>
          </w:p>
        </w:tc>
        <w:tc>
          <w:tcPr>
            <w:tcW w:w="90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39">
              <w:r>
                <w:rPr>
                  <w:rFonts w:ascii="Arial" w:cs="Arial" w:eastAsia="Arial" w:hAnsi="Arial"/>
                  <w:sz w:val="18"/>
                  <w:szCs w:val="18"/>
                  <w:color w:val="0000FF"/>
                </w:rPr>
                <w:t>between Delta Airlines, Inc. and MN Airlines, LLC (incorporated by reference to Exhibit 10.28 to Sun Country</w:t>
              </w:r>
            </w:hyperlink>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39">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640" w:type="dxa"/>
            <w:vAlign w:val="bottom"/>
            <w:gridSpan w:val="2"/>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10.25</w:t>
            </w:r>
          </w:p>
        </w:tc>
        <w:tc>
          <w:tcPr>
            <w:tcW w:w="9080" w:type="dxa"/>
            <w:vAlign w:val="bottom"/>
            <w:gridSpan w:val="15"/>
          </w:tcPr>
          <w:p>
            <w:pPr>
              <w:spacing w:after="0"/>
              <w:rPr>
                <w:rFonts w:ascii="Arial" w:cs="Arial" w:eastAsia="Arial" w:hAnsi="Arial"/>
                <w:sz w:val="18"/>
                <w:szCs w:val="18"/>
                <w:color w:val="0000FF"/>
              </w:rPr>
            </w:pPr>
            <w:hyperlink r:id="rId240">
              <w:r>
                <w:rPr>
                  <w:rFonts w:ascii="Arial" w:cs="Arial" w:eastAsia="Arial" w:hAnsi="Arial"/>
                  <w:sz w:val="18"/>
                  <w:szCs w:val="18"/>
                  <w:color w:val="0000FF"/>
                </w:rPr>
                <w:t>Amendment No. 14 to Inventory Support and Services Agreement, dated as of May 28, 2013, by and between</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rPr>
            </w:pPr>
            <w:hyperlink r:id="rId240">
              <w:r>
                <w:rPr>
                  <w:rFonts w:ascii="Arial" w:cs="Arial" w:eastAsia="Arial" w:hAnsi="Arial"/>
                  <w:sz w:val="18"/>
                  <w:szCs w:val="18"/>
                  <w:color w:val="0000FF"/>
                </w:rPr>
                <w:t>Delta Airlines, Inc. and MN Airlines, LLC (incorporated by reference to Exhibit 10.29 to Sun Country Airlines</w:t>
              </w:r>
            </w:hyperlink>
          </w:p>
        </w:tc>
        <w:tc>
          <w:tcPr>
            <w:tcW w:w="100" w:type="dxa"/>
            <w:vAlign w:val="bottom"/>
            <w:tcBorders>
              <w:bottom w:val="single" w:sz="8" w:color="0000FF"/>
            </w:tcBorders>
            <w:gridSpan w:val="5"/>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40">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90"/>
        </w:trPr>
        <w:tc>
          <w:tcPr>
            <w:tcW w:w="2360" w:type="dxa"/>
            <w:vAlign w:val="bottom"/>
          </w:tcPr>
          <w:p>
            <w:pPr>
              <w:jc w:val="right"/>
              <w:ind w:right="1810"/>
              <w:spacing w:after="0"/>
              <w:rPr>
                <w:sz w:val="20"/>
                <w:szCs w:val="20"/>
                <w:color w:val="auto"/>
              </w:rPr>
            </w:pPr>
            <w:r>
              <w:rPr>
                <w:rFonts w:ascii="Arial" w:cs="Arial" w:eastAsia="Arial" w:hAnsi="Arial"/>
                <w:sz w:val="18"/>
                <w:szCs w:val="18"/>
                <w:color w:val="auto"/>
                <w:w w:val="97"/>
              </w:rPr>
              <w:t>10.26</w:t>
            </w:r>
          </w:p>
        </w:tc>
        <w:tc>
          <w:tcPr>
            <w:tcW w:w="9080" w:type="dxa"/>
            <w:vAlign w:val="bottom"/>
            <w:gridSpan w:val="15"/>
          </w:tcPr>
          <w:p>
            <w:pPr>
              <w:spacing w:after="0"/>
              <w:rPr>
                <w:rFonts w:ascii="Arial" w:cs="Arial" w:eastAsia="Arial" w:hAnsi="Arial"/>
                <w:sz w:val="18"/>
                <w:szCs w:val="18"/>
                <w:color w:val="0000FF"/>
              </w:rPr>
            </w:pPr>
            <w:hyperlink r:id="rId241">
              <w:r>
                <w:rPr>
                  <w:rFonts w:ascii="Arial" w:cs="Arial" w:eastAsia="Arial" w:hAnsi="Arial"/>
                  <w:sz w:val="18"/>
                  <w:szCs w:val="18"/>
                  <w:color w:val="0000FF"/>
                </w:rPr>
                <w:t>Amendment No. 15 to Inventory Support and Services Agreement, dated as of July 23, 2014, by and between</w:t>
              </w:r>
            </w:hyperlink>
          </w:p>
        </w:tc>
      </w:tr>
      <w:tr>
        <w:trPr>
          <w:trHeight w:val="183"/>
        </w:trPr>
        <w:tc>
          <w:tcPr>
            <w:tcW w:w="236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Delta Airlines, Inc. and MN Airlines, LLC (incorporated by reference to Exhibit 10.30 to Sun Country Airlines</w:t>
              </w:r>
            </w:hyperlink>
          </w:p>
        </w:tc>
        <w:tc>
          <w:tcPr>
            <w:tcW w:w="120" w:type="dxa"/>
            <w:vAlign w:val="bottom"/>
            <w:tcBorders>
              <w:bottom w:val="single" w:sz="8" w:color="0000FF"/>
            </w:tcBorders>
            <w:gridSpan w:val="6"/>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80" w:type="dxa"/>
            <w:vAlign w:val="bottom"/>
            <w:gridSpan w:val="15"/>
          </w:tcPr>
          <w:p>
            <w:pPr>
              <w:spacing w:after="0" w:line="196" w:lineRule="exact"/>
              <w:rPr>
                <w:rFonts w:ascii="Arial" w:cs="Arial" w:eastAsia="Arial" w:hAnsi="Arial"/>
                <w:sz w:val="18"/>
                <w:szCs w:val="18"/>
                <w:color w:val="0000FF"/>
              </w:rPr>
            </w:pPr>
            <w:hyperlink r:id="rId241">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10.27</w:t>
            </w:r>
          </w:p>
        </w:tc>
        <w:tc>
          <w:tcPr>
            <w:tcW w:w="9100" w:type="dxa"/>
            <w:vAlign w:val="bottom"/>
            <w:gridSpan w:val="23"/>
          </w:tcPr>
          <w:p>
            <w:pPr>
              <w:spacing w:after="0"/>
              <w:rPr>
                <w:rFonts w:ascii="Arial" w:cs="Arial" w:eastAsia="Arial" w:hAnsi="Arial"/>
                <w:sz w:val="18"/>
                <w:szCs w:val="18"/>
                <w:color w:val="0000FF"/>
              </w:rPr>
            </w:pPr>
            <w:hyperlink r:id="rId243">
              <w:r>
                <w:rPr>
                  <w:rFonts w:ascii="Arial" w:cs="Arial" w:eastAsia="Arial" w:hAnsi="Arial"/>
                  <w:sz w:val="18"/>
                  <w:szCs w:val="18"/>
                  <w:color w:val="0000FF"/>
                </w:rPr>
                <w:t>Amendment No. 16 to Inventory Support and Services Agreement, dated as of March 20, 2015, by and</w:t>
              </w:r>
            </w:hyperlink>
          </w:p>
        </w:tc>
      </w:tr>
      <w:tr>
        <w:trPr>
          <w:trHeight w:val="183"/>
        </w:trPr>
        <w:tc>
          <w:tcPr>
            <w:tcW w:w="2360" w:type="dxa"/>
            <w:vAlign w:val="bottom"/>
          </w:tcPr>
          <w:p>
            <w:pPr>
              <w:spacing w:after="0"/>
              <w:rPr>
                <w:sz w:val="15"/>
                <w:szCs w:val="15"/>
                <w:color w:val="auto"/>
              </w:rPr>
            </w:pPr>
          </w:p>
        </w:tc>
        <w:tc>
          <w:tcPr>
            <w:tcW w:w="906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between Delta Airlines, Inc. and MN Airlines, LLC (incorporated by reference to Exhibit 10.31 to Sun Country</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10.28</w:t>
            </w:r>
          </w:p>
        </w:tc>
        <w:tc>
          <w:tcPr>
            <w:tcW w:w="9100" w:type="dxa"/>
            <w:vAlign w:val="bottom"/>
            <w:gridSpan w:val="23"/>
          </w:tcPr>
          <w:p>
            <w:pPr>
              <w:spacing w:after="0"/>
              <w:rPr>
                <w:rFonts w:ascii="Arial" w:cs="Arial" w:eastAsia="Arial" w:hAnsi="Arial"/>
                <w:sz w:val="18"/>
                <w:szCs w:val="18"/>
                <w:color w:val="0000FF"/>
              </w:rPr>
            </w:pPr>
            <w:hyperlink r:id="rId244">
              <w:r>
                <w:rPr>
                  <w:rFonts w:ascii="Arial" w:cs="Arial" w:eastAsia="Arial" w:hAnsi="Arial"/>
                  <w:sz w:val="18"/>
                  <w:szCs w:val="18"/>
                  <w:color w:val="0000FF"/>
                </w:rPr>
                <w:t>Amendment No. 17 to Inventory Support and Services Agreement, dated as of April 1, 2018, by and between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Delta Airlines, Inc. and MN Airlines, LLC (incorporated by reference to Exhibit 10.32 to Sun Country Airlines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44">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10.29</w:t>
            </w:r>
          </w:p>
        </w:tc>
        <w:tc>
          <w:tcPr>
            <w:tcW w:w="9100" w:type="dxa"/>
            <w:vAlign w:val="bottom"/>
            <w:gridSpan w:val="23"/>
          </w:tcPr>
          <w:p>
            <w:pPr>
              <w:spacing w:after="0"/>
              <w:rPr>
                <w:rFonts w:ascii="Arial" w:cs="Arial" w:eastAsia="Arial" w:hAnsi="Arial"/>
                <w:sz w:val="18"/>
                <w:szCs w:val="18"/>
                <w:color w:val="0000FF"/>
              </w:rPr>
            </w:pPr>
            <w:hyperlink r:id="rId245">
              <w:r>
                <w:rPr>
                  <w:rFonts w:ascii="Arial" w:cs="Arial" w:eastAsia="Arial" w:hAnsi="Arial"/>
                  <w:sz w:val="18"/>
                  <w:szCs w:val="18"/>
                  <w:color w:val="0000FF"/>
                </w:rPr>
                <w:t>Amendment No. 18 to Inventory Support and Services Agreement, dated as of May 15, 2019, by and between</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Delta Airlines, Inc. and MN Airlines, LLC (incorporated by reference to Exhibit 10.33 to Sun Country Airlines</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45">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10.30</w:t>
            </w:r>
          </w:p>
        </w:tc>
        <w:tc>
          <w:tcPr>
            <w:tcW w:w="9100" w:type="dxa"/>
            <w:vAlign w:val="bottom"/>
            <w:gridSpan w:val="23"/>
          </w:tcPr>
          <w:p>
            <w:pPr>
              <w:spacing w:after="0"/>
              <w:rPr>
                <w:rFonts w:ascii="Arial" w:cs="Arial" w:eastAsia="Arial" w:hAnsi="Arial"/>
                <w:sz w:val="18"/>
                <w:szCs w:val="18"/>
                <w:color w:val="0000FF"/>
              </w:rPr>
            </w:pPr>
            <w:hyperlink r:id="rId246">
              <w:r>
                <w:rPr>
                  <w:rFonts w:ascii="Arial" w:cs="Arial" w:eastAsia="Arial" w:hAnsi="Arial"/>
                  <w:sz w:val="18"/>
                  <w:szCs w:val="18"/>
                  <w:color w:val="0000FF"/>
                </w:rPr>
                <w:t>2002 Master Agreement, dated as of May 1, 2019 between J. Aron &amp; Company LLC and MN Airlines, LLC</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46">
              <w:r>
                <w:rPr>
                  <w:rFonts w:ascii="Arial" w:cs="Arial" w:eastAsia="Arial" w:hAnsi="Arial"/>
                  <w:sz w:val="18"/>
                  <w:szCs w:val="18"/>
                  <w:color w:val="0000FF"/>
                </w:rPr>
                <w:t>(incorporated by reference to Exhibit 10.34 to Sun Country Airlines Holdings, Inc.’s Registration Statement on</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46">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10.31</w:t>
            </w:r>
          </w:p>
        </w:tc>
        <w:tc>
          <w:tcPr>
            <w:tcW w:w="9100" w:type="dxa"/>
            <w:vAlign w:val="bottom"/>
            <w:gridSpan w:val="23"/>
          </w:tcPr>
          <w:p>
            <w:pPr>
              <w:spacing w:after="0"/>
              <w:rPr>
                <w:rFonts w:ascii="Arial" w:cs="Arial" w:eastAsia="Arial" w:hAnsi="Arial"/>
                <w:sz w:val="18"/>
                <w:szCs w:val="18"/>
                <w:color w:val="0000FF"/>
              </w:rPr>
            </w:pPr>
            <w:hyperlink r:id="rId247">
              <w:r>
                <w:rPr>
                  <w:rFonts w:ascii="Arial" w:cs="Arial" w:eastAsia="Arial" w:hAnsi="Arial"/>
                  <w:sz w:val="18"/>
                  <w:szCs w:val="18"/>
                  <w:color w:val="0000FF"/>
                </w:rPr>
                <w:t>2002 Master Agreement, dated as of April 12, 2018 between Morgan Stanley Capital Services LLC and MN</w:t>
              </w:r>
            </w:hyperlink>
          </w:p>
        </w:tc>
      </w:tr>
      <w:tr>
        <w:trPr>
          <w:trHeight w:val="183"/>
        </w:trPr>
        <w:tc>
          <w:tcPr>
            <w:tcW w:w="236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Airlines, LLC (incorporated by reference to Exhibit 10.35 to Sun Country Airlines Holdings, Inc.’s Registration</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47">
              <w:r>
                <w:rPr>
                  <w:rFonts w:ascii="Arial" w:cs="Arial" w:eastAsia="Arial" w:hAnsi="Arial"/>
                  <w:sz w:val="18"/>
                  <w:szCs w:val="18"/>
                  <w:color w:val="0000FF"/>
                </w:rPr>
                <w:t>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10.32</w:t>
            </w:r>
          </w:p>
        </w:tc>
        <w:tc>
          <w:tcPr>
            <w:tcW w:w="9100" w:type="dxa"/>
            <w:vAlign w:val="bottom"/>
            <w:gridSpan w:val="23"/>
          </w:tcPr>
          <w:p>
            <w:pPr>
              <w:spacing w:after="0"/>
              <w:rPr>
                <w:rFonts w:ascii="Arial" w:cs="Arial" w:eastAsia="Arial" w:hAnsi="Arial"/>
                <w:sz w:val="18"/>
                <w:szCs w:val="18"/>
                <w:color w:val="0000FF"/>
              </w:rPr>
            </w:pPr>
            <w:hyperlink r:id="rId248">
              <w:r>
                <w:rPr>
                  <w:rFonts w:ascii="Arial" w:cs="Arial" w:eastAsia="Arial" w:hAnsi="Arial"/>
                  <w:sz w:val="18"/>
                  <w:szCs w:val="18"/>
                  <w:color w:val="0000FF"/>
                </w:rPr>
                <w:t>Trust Agreement of SCA-1 Intermediate Aircraft Holding Trust, dated as of September 25, 2018, by and among</w:t>
              </w:r>
            </w:hyperlink>
          </w:p>
        </w:tc>
      </w:tr>
      <w:tr>
        <w:trPr>
          <w:trHeight w:val="183"/>
        </w:trPr>
        <w:tc>
          <w:tcPr>
            <w:tcW w:w="2360" w:type="dxa"/>
            <w:vAlign w:val="bottom"/>
          </w:tcPr>
          <w:p>
            <w:pPr>
              <w:spacing w:after="0"/>
              <w:rPr>
                <w:sz w:val="15"/>
                <w:szCs w:val="15"/>
                <w:color w:val="auto"/>
              </w:rPr>
            </w:pPr>
          </w:p>
        </w:tc>
        <w:tc>
          <w:tcPr>
            <w:tcW w:w="88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SCA-1 Intermediate Charitable Trust and Wilmington Trust Company (incorporated by reference to Exhibit</w:t>
              </w:r>
            </w:hyperlink>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844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24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36</w:t>
              </w:r>
              <w:r>
                <w:rPr>
                  <w:rFonts w:ascii="Arial" w:cs="Arial" w:eastAsia="Arial" w:hAnsi="Arial"/>
                  <w:sz w:val="18"/>
                  <w:szCs w:val="18"/>
                  <w:color w:val="0000FF"/>
                  <w:w w:val="99"/>
                </w:rPr>
                <w:t xml:space="preserve"> to Sun Country Airlines Holdings, Inc.’s Registration Statement on Form S-1 (File No. 333-252858))</w:t>
              </w:r>
            </w:hyperlink>
          </w:p>
        </w:tc>
        <w:tc>
          <w:tcPr>
            <w:tcW w:w="660" w:type="dxa"/>
            <w:vAlign w:val="bottom"/>
            <w:gridSpan w:val="15"/>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10.33</w:t>
            </w:r>
          </w:p>
        </w:tc>
        <w:tc>
          <w:tcPr>
            <w:tcW w:w="9100" w:type="dxa"/>
            <w:vAlign w:val="bottom"/>
            <w:gridSpan w:val="23"/>
          </w:tcPr>
          <w:p>
            <w:pPr>
              <w:spacing w:after="0"/>
              <w:rPr>
                <w:rFonts w:ascii="Arial" w:cs="Arial" w:eastAsia="Arial" w:hAnsi="Arial"/>
                <w:sz w:val="18"/>
                <w:szCs w:val="18"/>
                <w:color w:val="0000FF"/>
              </w:rPr>
            </w:pPr>
            <w:hyperlink r:id="rId249">
              <w:r>
                <w:rPr>
                  <w:rFonts w:ascii="Arial" w:cs="Arial" w:eastAsia="Arial" w:hAnsi="Arial"/>
                  <w:sz w:val="18"/>
                  <w:szCs w:val="18"/>
                  <w:color w:val="0000FF"/>
                </w:rPr>
                <w:t>Third Amended and Restated Stockholders’ Agreement by and among Sun Country Airlines Holdings, Inc. and</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the stockholders party thereto (incorporated by reference to Exhibit 10.2 to Sun Country Airlines Holdings,</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49">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10.34</w:t>
            </w:r>
          </w:p>
        </w:tc>
        <w:tc>
          <w:tcPr>
            <w:tcW w:w="9100" w:type="dxa"/>
            <w:vAlign w:val="bottom"/>
            <w:gridSpan w:val="23"/>
          </w:tcPr>
          <w:p>
            <w:pPr>
              <w:spacing w:after="0"/>
              <w:rPr>
                <w:rFonts w:ascii="Arial" w:cs="Arial" w:eastAsia="Arial" w:hAnsi="Arial"/>
                <w:sz w:val="18"/>
                <w:szCs w:val="18"/>
                <w:color w:val="0000FF"/>
              </w:rPr>
            </w:pPr>
            <w:hyperlink r:id="rId250">
              <w:r>
                <w:rPr>
                  <w:rFonts w:ascii="Arial" w:cs="Arial" w:eastAsia="Arial" w:hAnsi="Arial"/>
                  <w:sz w:val="18"/>
                  <w:szCs w:val="18"/>
                  <w:color w:val="0000FF"/>
                </w:rPr>
                <w:t>Registration Rights Agreement by and between Sun Country Airlines Holdings, Inc. and the Holders party</w:t>
              </w:r>
            </w:hyperlink>
          </w:p>
        </w:tc>
      </w:tr>
      <w:tr>
        <w:trPr>
          <w:trHeight w:val="183"/>
        </w:trPr>
        <w:tc>
          <w:tcPr>
            <w:tcW w:w="236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thereto (incorporated by reference to Exhibit 10.1 to Sun Country Airlines Holdings, Inc.’s Current Report on</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50">
              <w:r>
                <w:rPr>
                  <w:rFonts w:ascii="Arial" w:cs="Arial" w:eastAsia="Arial" w:hAnsi="Arial"/>
                  <w:sz w:val="18"/>
                  <w:szCs w:val="18"/>
                  <w:color w:val="0000FF"/>
                </w:rPr>
                <w:t>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10.35†</w:t>
            </w:r>
          </w:p>
        </w:tc>
        <w:tc>
          <w:tcPr>
            <w:tcW w:w="9100" w:type="dxa"/>
            <w:vAlign w:val="bottom"/>
            <w:gridSpan w:val="23"/>
          </w:tcPr>
          <w:p>
            <w:pPr>
              <w:spacing w:after="0"/>
              <w:rPr>
                <w:rFonts w:ascii="Arial" w:cs="Arial" w:eastAsia="Arial" w:hAnsi="Arial"/>
                <w:sz w:val="18"/>
                <w:szCs w:val="18"/>
                <w:color w:val="0000FF"/>
              </w:rPr>
            </w:pPr>
            <w:hyperlink r:id="rId251">
              <w:r>
                <w:rPr>
                  <w:rFonts w:ascii="Arial" w:cs="Arial" w:eastAsia="Arial" w:hAnsi="Arial"/>
                  <w:sz w:val="18"/>
                  <w:szCs w:val="18"/>
                  <w:color w:val="0000FF"/>
                </w:rPr>
                <w:t>Form of Indemnification Agreement by and between the Registrant and each of its directors and executive</w:t>
              </w:r>
            </w:hyperlink>
          </w:p>
        </w:tc>
      </w:tr>
      <w:tr>
        <w:trPr>
          <w:trHeight w:val="183"/>
        </w:trPr>
        <w:tc>
          <w:tcPr>
            <w:tcW w:w="236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officers (incorporated by reference to Exhibit 10.39 to Sun Country Airlines Holdings, Inc.’s Registration</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51">
              <w:r>
                <w:rPr>
                  <w:rFonts w:ascii="Arial" w:cs="Arial" w:eastAsia="Arial" w:hAnsi="Arial"/>
                  <w:sz w:val="18"/>
                  <w:szCs w:val="18"/>
                  <w:color w:val="0000FF"/>
                </w:rPr>
                <w:t>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10.36†</w:t>
            </w:r>
          </w:p>
        </w:tc>
        <w:tc>
          <w:tcPr>
            <w:tcW w:w="9100" w:type="dxa"/>
            <w:vAlign w:val="bottom"/>
            <w:gridSpan w:val="23"/>
          </w:tcPr>
          <w:p>
            <w:pPr>
              <w:spacing w:after="0"/>
              <w:rPr>
                <w:rFonts w:ascii="Arial" w:cs="Arial" w:eastAsia="Arial" w:hAnsi="Arial"/>
                <w:sz w:val="18"/>
                <w:szCs w:val="18"/>
                <w:color w:val="0000FF"/>
              </w:rPr>
            </w:pPr>
            <w:hyperlink r:id="rId252">
              <w:r>
                <w:rPr>
                  <w:rFonts w:ascii="Arial" w:cs="Arial" w:eastAsia="Arial" w:hAnsi="Arial"/>
                  <w:sz w:val="18"/>
                  <w:szCs w:val="18"/>
                  <w:color w:val="0000FF"/>
                </w:rPr>
                <w:t>SCA Acquisition Holdings, LLC Amended and Restated Equity Incentive Plan, dated as of July 1, 2019</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(incorporated by reference to Exhibit 10.40 to Sun Country Airlines Holdings, Inc.’s Registration Statement on</w:t>
              </w:r>
            </w:hyperlink>
          </w:p>
        </w:tc>
        <w:tc>
          <w:tcPr>
            <w:tcW w:w="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52">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10.37†</w:t>
            </w:r>
          </w:p>
        </w:tc>
        <w:tc>
          <w:tcPr>
            <w:tcW w:w="9100" w:type="dxa"/>
            <w:vAlign w:val="bottom"/>
            <w:gridSpan w:val="23"/>
          </w:tcPr>
          <w:p>
            <w:pPr>
              <w:spacing w:after="0"/>
              <w:rPr>
                <w:rFonts w:ascii="Arial" w:cs="Arial" w:eastAsia="Arial" w:hAnsi="Arial"/>
                <w:sz w:val="18"/>
                <w:szCs w:val="18"/>
                <w:color w:val="0000FF"/>
              </w:rPr>
            </w:pPr>
            <w:hyperlink r:id="rId253">
              <w:r>
                <w:rPr>
                  <w:rFonts w:ascii="Arial" w:cs="Arial" w:eastAsia="Arial" w:hAnsi="Arial"/>
                  <w:sz w:val="18"/>
                  <w:szCs w:val="18"/>
                  <w:color w:val="0000FF"/>
                </w:rPr>
                <w:t>Sun Country Airlines Holdings, Inc. 2021 Omnibus Incentive Plan (incorporated by reference to Exhibit 4.2 to</w:t>
              </w:r>
            </w:hyperlink>
          </w:p>
        </w:tc>
      </w:tr>
      <w:tr>
        <w:trPr>
          <w:trHeight w:val="183"/>
        </w:trPr>
        <w:tc>
          <w:tcPr>
            <w:tcW w:w="236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53">
              <w:r>
                <w:rPr>
                  <w:rFonts w:ascii="Arial" w:cs="Arial" w:eastAsia="Arial" w:hAnsi="Arial"/>
                  <w:sz w:val="18"/>
                  <w:szCs w:val="18"/>
                  <w:color w:val="0000FF"/>
                  <w:w w:val="99"/>
                </w:rPr>
                <w:t>Sun Country Airlines Holdings, Inc.’s Registration Statement on Form S-8 (File No. 333-254371))</w:t>
              </w:r>
            </w:hyperlink>
          </w:p>
        </w:tc>
        <w:tc>
          <w:tcPr>
            <w:tcW w:w="138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10.38†</w:t>
            </w:r>
          </w:p>
        </w:tc>
        <w:tc>
          <w:tcPr>
            <w:tcW w:w="9100" w:type="dxa"/>
            <w:vAlign w:val="bottom"/>
            <w:gridSpan w:val="23"/>
          </w:tcPr>
          <w:p>
            <w:pPr>
              <w:spacing w:after="0"/>
              <w:rPr>
                <w:rFonts w:ascii="Arial" w:cs="Arial" w:eastAsia="Arial" w:hAnsi="Arial"/>
                <w:sz w:val="18"/>
                <w:szCs w:val="18"/>
                <w:color w:val="0000FF"/>
              </w:rPr>
            </w:pPr>
            <w:hyperlink r:id="rId254">
              <w:r>
                <w:rPr>
                  <w:rFonts w:ascii="Arial" w:cs="Arial" w:eastAsia="Arial" w:hAnsi="Arial"/>
                  <w:sz w:val="18"/>
                  <w:szCs w:val="18"/>
                  <w:color w:val="0000FF"/>
                </w:rPr>
                <w:t>Form of Option Award Agreement (incorporated by reference to Exhibit 10.42 to Sun Country Airlines Holdings,</w:t>
              </w:r>
            </w:hyperlink>
          </w:p>
        </w:tc>
      </w:tr>
      <w:tr>
        <w:trPr>
          <w:trHeight w:val="183"/>
        </w:trPr>
        <w:tc>
          <w:tcPr>
            <w:tcW w:w="2360" w:type="dxa"/>
            <w:vAlign w:val="bottom"/>
          </w:tcPr>
          <w:p>
            <w:pPr>
              <w:spacing w:after="0"/>
              <w:rPr>
                <w:sz w:val="15"/>
                <w:szCs w:val="15"/>
                <w:color w:val="auto"/>
              </w:rPr>
            </w:pPr>
          </w:p>
        </w:tc>
        <w:tc>
          <w:tcPr>
            <w:tcW w:w="90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Inc.’s Registration Statement on Form S-1 (File No. 333-252858))</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372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10.39†</w:t>
            </w:r>
          </w:p>
        </w:tc>
        <w:tc>
          <w:tcPr>
            <w:tcW w:w="9100" w:type="dxa"/>
            <w:vAlign w:val="bottom"/>
            <w:gridSpan w:val="23"/>
          </w:tcPr>
          <w:p>
            <w:pPr>
              <w:spacing w:after="0"/>
              <w:rPr>
                <w:rFonts w:ascii="Arial" w:cs="Arial" w:eastAsia="Arial" w:hAnsi="Arial"/>
                <w:sz w:val="18"/>
                <w:szCs w:val="18"/>
                <w:color w:val="0000FF"/>
              </w:rPr>
            </w:pPr>
            <w:hyperlink r:id="rId255">
              <w:r>
                <w:rPr>
                  <w:rFonts w:ascii="Arial" w:cs="Arial" w:eastAsia="Arial" w:hAnsi="Arial"/>
                  <w:sz w:val="18"/>
                  <w:szCs w:val="18"/>
                  <w:color w:val="0000FF"/>
                </w:rPr>
                <w:t>Employment Agreement, dated as of July 1, 2019, by and between Gregory A. Mays and Sun Country, Inc.</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(incorporated by reference to Exhibit 10.45 to Sun Country Airlines Holdings, Inc.’s Registration Statement on</w:t>
              </w:r>
            </w:hyperlink>
          </w:p>
        </w:tc>
        <w:tc>
          <w:tcPr>
            <w:tcW w:w="40" w:type="dxa"/>
            <w:vAlign w:val="bottom"/>
            <w:tcBorders>
              <w:bottom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55">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636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10.40</w:t>
            </w:r>
          </w:p>
        </w:tc>
        <w:tc>
          <w:tcPr>
            <w:tcW w:w="9100" w:type="dxa"/>
            <w:vAlign w:val="bottom"/>
            <w:gridSpan w:val="23"/>
          </w:tcPr>
          <w:p>
            <w:pPr>
              <w:spacing w:after="0"/>
              <w:rPr>
                <w:rFonts w:ascii="Arial" w:cs="Arial" w:eastAsia="Arial" w:hAnsi="Arial"/>
                <w:sz w:val="18"/>
                <w:szCs w:val="18"/>
                <w:color w:val="0000FF"/>
              </w:rPr>
            </w:pPr>
            <w:hyperlink r:id="rId256">
              <w:r>
                <w:rPr>
                  <w:rFonts w:ascii="Arial" w:cs="Arial" w:eastAsia="Arial" w:hAnsi="Arial"/>
                  <w:sz w:val="18"/>
                  <w:szCs w:val="18"/>
                  <w:color w:val="0000FF"/>
                </w:rPr>
                <w:t>Income Tax Receivable Agreement, by and among Sun Country Airlines, Inc., Sun Country Airlines Holdings,</w:t>
              </w:r>
            </w:hyperlink>
          </w:p>
        </w:tc>
      </w:tr>
      <w:tr>
        <w:trPr>
          <w:trHeight w:val="183"/>
        </w:trPr>
        <w:tc>
          <w:tcPr>
            <w:tcW w:w="236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Inc. and the other parties thereto (incorporated by reference to Exhibit 10.3 to Sun Country Airlines Holdings,</w:t>
              </w:r>
            </w:hyperlink>
          </w:p>
        </w:tc>
        <w:tc>
          <w:tcPr>
            <w:tcW w:w="80" w:type="dxa"/>
            <w:vAlign w:val="bottom"/>
            <w:tcBorders>
              <w:bottom w:val="single" w:sz="8" w:color="0000FF"/>
            </w:tcBorders>
            <w:gridSpan w:val="4"/>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0000FF"/>
              </w:rPr>
            </w:pPr>
            <w:hyperlink r:id="rId256">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10.43†</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10.44†</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10.46†</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10.49†</w:t>
      </w:r>
    </w:p>
    <w:p>
      <w:pPr>
        <w:spacing w:after="0" w:line="200" w:lineRule="exact"/>
        <w:rPr>
          <w:sz w:val="20"/>
          <w:szCs w:val="20"/>
          <w:color w:val="auto"/>
        </w:rPr>
      </w:pPr>
    </w:p>
    <w:p>
      <w:pPr>
        <w:spacing w:after="0" w:line="241" w:lineRule="exact"/>
        <w:rPr>
          <w:sz w:val="20"/>
          <w:szCs w:val="20"/>
          <w:color w:val="auto"/>
        </w:rPr>
      </w:pPr>
    </w:p>
    <w:p>
      <w:pPr>
        <w:ind w:left="20"/>
        <w:spacing w:after="0"/>
        <w:rPr>
          <w:rFonts w:ascii="Arial" w:cs="Arial" w:eastAsia="Arial" w:hAnsi="Arial"/>
          <w:sz w:val="18"/>
          <w:szCs w:val="18"/>
          <w:color w:val="auto"/>
        </w:rPr>
      </w:pPr>
      <w:hyperlink r:id="rId258">
        <w:r>
          <w:rPr>
            <w:rFonts w:ascii="Arial" w:cs="Arial" w:eastAsia="Arial" w:hAnsi="Arial"/>
            <w:sz w:val="18"/>
            <w:szCs w:val="18"/>
            <w:color w:val="auto"/>
          </w:rPr>
          <w:t>10.50</w:t>
        </w:r>
      </w:hyperlink>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Credit Agreement, dated as of February 10, 2021, among SCA Acquisition, LLC, Sun Country, Inc., the lenders</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and issuing banks party thereto and Barclays Bank PLC, as administrative agent (incorporated by reference to</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Exhibit 10.47 to Sun Country Airlines Holdings, Inc.’s Registration Statement on Form S-1 (File No. 333-</w:t>
        </w:r>
      </w:hyperlink>
      <w:hyperlink r:id="rId259">
        <w:r>
          <w:rPr>
            <w:rFonts w:ascii="Arial" w:cs="Arial" w:eastAsia="Arial" w:hAnsi="Arial"/>
            <w:sz w:val="18"/>
            <w:szCs w:val="18"/>
            <w:u w:val="single" w:color="auto"/>
            <w:color w:val="0000FF"/>
          </w:rPr>
          <w:t>252858))</w:t>
        </w:r>
      </w:hyperlink>
    </w:p>
    <w:p>
      <w:pPr>
        <w:spacing w:after="0" w:line="62" w:lineRule="exact"/>
        <w:rPr>
          <w:rFonts w:ascii="Arial" w:cs="Arial" w:eastAsia="Arial" w:hAnsi="Arial"/>
          <w:sz w:val="18"/>
          <w:szCs w:val="18"/>
          <w:u w:val="single" w:color="auto"/>
          <w:color w:val="0000FF"/>
        </w:rPr>
      </w:pPr>
    </w:p>
    <w:p>
      <w:pPr>
        <w:jc w:val="both"/>
        <w:spacing w:after="0" w:line="261" w:lineRule="auto"/>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Payroll Support Program 3 Agreement, dated as of April 27, 2021, by and between Sun Country, Inc. and the</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Department of the Treasury (incorporated by reference to Exhibit 10.1 to Sun Country Airlines Holdings, Inc.’s</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Quarterly Report on Form 10-Q filed with the Securities and Exchange Commission on July 28, 2021)</w:t>
        </w:r>
      </w:hyperlink>
    </w:p>
    <w:p>
      <w:pPr>
        <w:spacing w:after="0" w:line="54" w:lineRule="exact"/>
        <w:rPr>
          <w:rFonts w:ascii="Arial" w:cs="Arial" w:eastAsia="Arial" w:hAnsi="Arial"/>
          <w:sz w:val="18"/>
          <w:szCs w:val="18"/>
          <w:u w:val="single" w:color="auto"/>
          <w:color w:val="0000FF"/>
        </w:rPr>
      </w:pPr>
    </w:p>
    <w:p>
      <w:pPr>
        <w:jc w:val="both"/>
        <w:spacing w:after="0" w:line="261" w:lineRule="auto"/>
        <w:rPr>
          <w:rFonts w:ascii="Arial" w:cs="Arial" w:eastAsia="Arial" w:hAnsi="Arial"/>
          <w:sz w:val="18"/>
          <w:szCs w:val="18"/>
          <w:u w:val="single" w:color="auto"/>
          <w:color w:val="0000FF"/>
        </w:rPr>
      </w:pPr>
      <w:hyperlink r:id="rId261">
        <w:r>
          <w:rPr>
            <w:rFonts w:ascii="Arial" w:cs="Arial" w:eastAsia="Arial" w:hAnsi="Arial"/>
            <w:sz w:val="18"/>
            <w:szCs w:val="18"/>
            <w:u w:val="single" w:color="auto"/>
            <w:color w:val="0000FF"/>
          </w:rPr>
          <w:t>Form of Restricted Stock Unit Award Agreement under the Sun Country Airlines Holdings, Inc. 2021 Omnibus</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Incentive Plan (incorporated by reference to exhibit 10.43 to Sun Country Airlines Holdings, Inc.'s Annual</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Report on Form 10-K filed with the Securities and Exchange Commission on February 14, 2024)</w:t>
        </w:r>
      </w:hyperlink>
    </w:p>
    <w:p>
      <w:pPr>
        <w:spacing w:after="0" w:line="40" w:lineRule="exact"/>
        <w:rPr>
          <w:rFonts w:ascii="Arial" w:cs="Arial" w:eastAsia="Arial" w:hAnsi="Arial"/>
          <w:sz w:val="18"/>
          <w:szCs w:val="18"/>
          <w:u w:val="single" w:color="auto"/>
          <w:color w:val="0000FF"/>
        </w:rPr>
      </w:pPr>
    </w:p>
    <w:p>
      <w:pPr>
        <w:ind w:right="20"/>
        <w:spacing w:after="0" w:line="234" w:lineRule="auto"/>
        <w:rPr>
          <w:rFonts w:ascii="Arial" w:cs="Arial" w:eastAsia="Arial" w:hAnsi="Arial"/>
          <w:sz w:val="17"/>
          <w:szCs w:val="17"/>
          <w:u w:val="single" w:color="auto"/>
          <w:color w:val="0000FF"/>
        </w:rPr>
      </w:pPr>
      <w:hyperlink r:id="rId262">
        <w:r>
          <w:rPr>
            <w:rFonts w:ascii="Arial" w:cs="Arial" w:eastAsia="Arial" w:hAnsi="Arial"/>
            <w:sz w:val="17"/>
            <w:szCs w:val="17"/>
            <w:u w:val="single" w:color="auto"/>
            <w:color w:val="0000FF"/>
          </w:rPr>
          <w:t>Employment Letter, dated as of July 1, 2023, by and between Sun Country, Inc. and Rose Neale (incorporated</w:t>
        </w:r>
      </w:hyperlink>
      <w:r>
        <w:rPr>
          <w:rFonts w:ascii="Arial" w:cs="Arial" w:eastAsia="Arial" w:hAnsi="Arial"/>
          <w:sz w:val="17"/>
          <w:szCs w:val="17"/>
          <w:u w:val="single" w:color="auto"/>
          <w:color w:val="0000FF"/>
        </w:rPr>
        <w:t xml:space="preserve"> </w:t>
      </w:r>
      <w:hyperlink r:id="rId262">
        <w:r>
          <w:rPr>
            <w:rFonts w:ascii="Arial" w:cs="Arial" w:eastAsia="Arial" w:hAnsi="Arial"/>
            <w:sz w:val="17"/>
            <w:szCs w:val="17"/>
            <w:u w:val="single" w:color="auto"/>
            <w:color w:val="0000FF"/>
          </w:rPr>
          <w:t>by reference to exhibit 10.44 to Sun Country Airlines Holdings, Inc.'s Annual Report on Form 10-K filed with the</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Securities and Exchange Commission on February 14, 2024)</w:t>
        </w:r>
      </w:hyperlink>
    </w:p>
    <w:p>
      <w:pPr>
        <w:spacing w:after="0" w:line="59" w:lineRule="exact"/>
        <w:rPr>
          <w:sz w:val="20"/>
          <w:szCs w:val="20"/>
          <w:color w:val="auto"/>
        </w:rPr>
      </w:pPr>
    </w:p>
    <w:p>
      <w:pPr>
        <w:jc w:val="both"/>
        <w:ind w:right="40"/>
        <w:spacing w:after="0" w:line="234" w:lineRule="auto"/>
        <w:rPr>
          <w:rFonts w:ascii="Arial" w:cs="Arial" w:eastAsia="Arial" w:hAnsi="Arial"/>
          <w:sz w:val="17"/>
          <w:szCs w:val="17"/>
          <w:u w:val="single" w:color="auto"/>
          <w:color w:val="0000FF"/>
        </w:rPr>
      </w:pPr>
      <w:hyperlink r:id="rId263">
        <w:r>
          <w:rPr>
            <w:rFonts w:ascii="Arial" w:cs="Arial" w:eastAsia="Arial" w:hAnsi="Arial"/>
            <w:sz w:val="17"/>
            <w:szCs w:val="17"/>
            <w:u w:val="single" w:color="auto"/>
            <w:color w:val="0000FF"/>
          </w:rPr>
          <w:t>Term Loan Facility Agreement, dated as of March 21, 2023, by and among Sun Country Airlines Holdings, Inc.,</w:t>
        </w:r>
      </w:hyperlink>
      <w:r>
        <w:rPr>
          <w:rFonts w:ascii="Arial" w:cs="Arial" w:eastAsia="Arial" w:hAnsi="Arial"/>
          <w:sz w:val="17"/>
          <w:szCs w:val="17"/>
          <w:u w:val="single" w:color="auto"/>
          <w:color w:val="0000FF"/>
        </w:rPr>
        <w:t xml:space="preserve"> </w:t>
      </w:r>
      <w:hyperlink r:id="rId263">
        <w:r>
          <w:rPr>
            <w:rFonts w:ascii="Arial" w:cs="Arial" w:eastAsia="Arial" w:hAnsi="Arial"/>
            <w:sz w:val="17"/>
            <w:szCs w:val="17"/>
            <w:u w:val="single" w:color="auto"/>
            <w:color w:val="0000FF"/>
          </w:rPr>
          <w:t>Sun Country, Inc. (D/B/A Sun Country Airlines), the lenders party thereto and UMB Bank, National Association,</w:t>
        </w:r>
      </w:hyperlink>
    </w:p>
    <w:p>
      <w:pPr>
        <w:spacing w:after="0" w:line="1" w:lineRule="exact"/>
        <w:rPr>
          <w:sz w:val="20"/>
          <w:szCs w:val="20"/>
          <w:color w:val="auto"/>
        </w:rPr>
      </w:pPr>
    </w:p>
    <w:p>
      <w:pPr>
        <w:ind w:right="60"/>
        <w:spacing w:after="0" w:line="221" w:lineRule="auto"/>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as facility agent, security trustee and account bank (incorporated by reference to Exhibit 10.2 to Sun Country</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Airlines Holdings, Inc.’s Quarterly Report on Form 10-Q filed with the Securities and Exchange Commission on</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April 28, 2023)</w:t>
        </w:r>
      </w:hyperlink>
    </w:p>
    <w:p>
      <w:pPr>
        <w:spacing w:after="0" w:line="58" w:lineRule="exact"/>
        <w:rPr>
          <w:rFonts w:ascii="Arial" w:cs="Arial" w:eastAsia="Arial" w:hAnsi="Arial"/>
          <w:sz w:val="18"/>
          <w:szCs w:val="18"/>
          <w:u w:val="single" w:color="auto"/>
          <w:color w:val="0000FF"/>
        </w:rPr>
      </w:pPr>
    </w:p>
    <w:p>
      <w:pPr>
        <w:ind w:right="100"/>
        <w:spacing w:after="0" w:line="234" w:lineRule="auto"/>
        <w:rPr>
          <w:rFonts w:ascii="Arial" w:cs="Arial" w:eastAsia="Arial" w:hAnsi="Arial"/>
          <w:sz w:val="17"/>
          <w:szCs w:val="17"/>
          <w:u w:val="single" w:color="auto"/>
          <w:color w:val="0000FF"/>
        </w:rPr>
      </w:pPr>
      <w:hyperlink r:id="rId264">
        <w:r>
          <w:rPr>
            <w:rFonts w:ascii="Arial" w:cs="Arial" w:eastAsia="Arial" w:hAnsi="Arial"/>
            <w:sz w:val="17"/>
            <w:szCs w:val="17"/>
            <w:u w:val="single" w:color="auto"/>
            <w:color w:val="0000FF"/>
          </w:rPr>
          <w:t>Employment Agreement, dated as of April 11, 2023, by and between Jude Bricker and Sun Country, Inc.</w:t>
        </w:r>
      </w:hyperlink>
      <w:r>
        <w:rPr>
          <w:rFonts w:ascii="Arial" w:cs="Arial" w:eastAsia="Arial" w:hAnsi="Arial"/>
          <w:sz w:val="17"/>
          <w:szCs w:val="17"/>
          <w:u w:val="single" w:color="auto"/>
          <w:color w:val="0000FF"/>
        </w:rPr>
        <w:t xml:space="preserve"> </w:t>
      </w:r>
      <w:hyperlink r:id="rId264">
        <w:r>
          <w:rPr>
            <w:rFonts w:ascii="Arial" w:cs="Arial" w:eastAsia="Arial" w:hAnsi="Arial"/>
            <w:sz w:val="17"/>
            <w:szCs w:val="17"/>
            <w:u w:val="single" w:color="auto"/>
            <w:color w:val="0000FF"/>
          </w:rPr>
          <w:t>(incorporated by reference to Exhibit 10.1 to Sun Country Airlines Holdings, Inc.'s Current Report on Form 8-K</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filed with the Securities and Exchange Commission on May 12, 2023)</w:t>
        </w:r>
      </w:hyperlink>
    </w:p>
    <w:p>
      <w:pPr>
        <w:spacing w:after="0" w:line="59" w:lineRule="exact"/>
        <w:rPr>
          <w:sz w:val="20"/>
          <w:szCs w:val="20"/>
          <w:color w:val="auto"/>
        </w:rPr>
      </w:pPr>
    </w:p>
    <w:p>
      <w:pPr>
        <w:ind w:right="100"/>
        <w:spacing w:after="0" w:line="234" w:lineRule="auto"/>
        <w:rPr>
          <w:rFonts w:ascii="Arial" w:cs="Arial" w:eastAsia="Arial" w:hAnsi="Arial"/>
          <w:sz w:val="17"/>
          <w:szCs w:val="17"/>
          <w:u w:val="single" w:color="auto"/>
          <w:color w:val="0000FF"/>
        </w:rPr>
      </w:pPr>
      <w:hyperlink r:id="rId265">
        <w:r>
          <w:rPr>
            <w:rFonts w:ascii="Arial" w:cs="Arial" w:eastAsia="Arial" w:hAnsi="Arial"/>
            <w:sz w:val="17"/>
            <w:szCs w:val="17"/>
            <w:u w:val="single" w:color="auto"/>
            <w:color w:val="0000FF"/>
          </w:rPr>
          <w:t>Employment Agreement, dated as of April 11, 2023, by and between David Davis and Sun Country, Inc.</w:t>
        </w:r>
      </w:hyperlink>
      <w:r>
        <w:rPr>
          <w:rFonts w:ascii="Arial" w:cs="Arial" w:eastAsia="Arial" w:hAnsi="Arial"/>
          <w:sz w:val="17"/>
          <w:szCs w:val="17"/>
          <w:u w:val="single" w:color="auto"/>
          <w:color w:val="0000FF"/>
        </w:rPr>
        <w:t xml:space="preserve"> </w:t>
      </w:r>
      <w:hyperlink r:id="rId265">
        <w:r>
          <w:rPr>
            <w:rFonts w:ascii="Arial" w:cs="Arial" w:eastAsia="Arial" w:hAnsi="Arial"/>
            <w:sz w:val="17"/>
            <w:szCs w:val="17"/>
            <w:u w:val="single" w:color="auto"/>
            <w:color w:val="0000FF"/>
          </w:rPr>
          <w:t>(incorporated by reference to Exhibit 10.2 to Sun Country Airlines Holdings, Inc.'s Current Report on Form 8-K</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filed with the Securities and Exchange Commission on May 12, 2023)</w:t>
        </w:r>
      </w:hyperlink>
    </w:p>
    <w:p>
      <w:pPr>
        <w:spacing w:after="0" w:line="59" w:lineRule="exact"/>
        <w:rPr>
          <w:sz w:val="20"/>
          <w:szCs w:val="20"/>
          <w:color w:val="auto"/>
        </w:rPr>
      </w:pPr>
    </w:p>
    <w:p>
      <w:pPr>
        <w:ind w:right="240"/>
        <w:spacing w:after="0" w:line="234" w:lineRule="auto"/>
        <w:rPr>
          <w:rFonts w:ascii="Arial" w:cs="Arial" w:eastAsia="Arial" w:hAnsi="Arial"/>
          <w:sz w:val="17"/>
          <w:szCs w:val="17"/>
          <w:u w:val="single" w:color="auto"/>
          <w:color w:val="0000FF"/>
        </w:rPr>
      </w:pPr>
      <w:hyperlink r:id="rId266">
        <w:r>
          <w:rPr>
            <w:rFonts w:ascii="Arial" w:cs="Arial" w:eastAsia="Arial" w:hAnsi="Arial"/>
            <w:sz w:val="17"/>
            <w:szCs w:val="17"/>
            <w:u w:val="single" w:color="auto"/>
            <w:color w:val="0000FF"/>
          </w:rPr>
          <w:t>Amendment 19 to the Inventory Support Services Agreement, dated as July 20, 2023, by and between Sun</w:t>
        </w:r>
      </w:hyperlink>
      <w:r>
        <w:rPr>
          <w:rFonts w:ascii="Arial" w:cs="Arial" w:eastAsia="Arial" w:hAnsi="Arial"/>
          <w:sz w:val="17"/>
          <w:szCs w:val="17"/>
          <w:u w:val="single" w:color="auto"/>
          <w:color w:val="0000FF"/>
        </w:rPr>
        <w:t xml:space="preserve"> </w:t>
      </w:r>
      <w:hyperlink r:id="rId266">
        <w:r>
          <w:rPr>
            <w:rFonts w:ascii="Arial" w:cs="Arial" w:eastAsia="Arial" w:hAnsi="Arial"/>
            <w:sz w:val="17"/>
            <w:szCs w:val="17"/>
            <w:u w:val="single" w:color="auto"/>
            <w:color w:val="0000FF"/>
          </w:rPr>
          <w:t>Country, Inc., dba Sun Country Airlines and Delta Air Lines, Inc. (incorporated by reference to Exhibit 10.1 to</w:t>
        </w:r>
      </w:hyperlink>
    </w:p>
    <w:p>
      <w:pPr>
        <w:spacing w:after="0" w:line="1" w:lineRule="exact"/>
        <w:rPr>
          <w:sz w:val="20"/>
          <w:szCs w:val="20"/>
          <w:color w:val="auto"/>
        </w:rPr>
      </w:pPr>
    </w:p>
    <w:p>
      <w:pPr>
        <w:ind w:right="300"/>
        <w:spacing w:after="0" w:line="229" w:lineRule="auto"/>
        <w:rPr>
          <w:rFonts w:ascii="Arial" w:cs="Arial" w:eastAsia="Arial" w:hAnsi="Arial"/>
          <w:sz w:val="18"/>
          <w:szCs w:val="18"/>
          <w:u w:val="single" w:color="auto"/>
          <w:color w:val="0000FF"/>
        </w:rPr>
      </w:pPr>
      <w:hyperlink r:id="rId266">
        <w:r>
          <w:rPr>
            <w:rFonts w:ascii="Arial" w:cs="Arial" w:eastAsia="Arial" w:hAnsi="Arial"/>
            <w:sz w:val="18"/>
            <w:szCs w:val="18"/>
            <w:u w:val="single" w:color="auto"/>
            <w:color w:val="0000FF"/>
          </w:rPr>
          <w:t>Sun Country Airlines Holdings, Inc.’s Quarterly Report on Form 10-Q filed with the Securities and Exchange</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Commission on November 7, 2023)</w:t>
        </w:r>
      </w:hyperlink>
    </w:p>
    <w:p>
      <w:pPr>
        <w:spacing w:after="0" w:line="46" w:lineRule="exact"/>
        <w:rPr>
          <w:sz w:val="20"/>
          <w:szCs w:val="20"/>
          <w:color w:val="auto"/>
        </w:rPr>
      </w:pPr>
    </w:p>
    <w:p>
      <w:pPr>
        <w:spacing w:after="0" w:line="221" w:lineRule="auto"/>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Employment Letter, dated as of July 1, 2023, by and between Sun Country, Inc. and Eric Levenhagen</w:t>
        </w:r>
      </w:hyperlink>
      <w:r>
        <w:rPr>
          <w:rFonts w:ascii="Arial" w:cs="Arial" w:eastAsia="Arial" w:hAnsi="Arial"/>
          <w:sz w:val="18"/>
          <w:szCs w:val="18"/>
          <w:u w:val="single" w:color="auto"/>
          <w:color w:val="0000FF"/>
        </w:rPr>
        <w:t xml:space="preserve"> </w:t>
      </w:r>
      <w:hyperlink r:id="rId267">
        <w:r>
          <w:rPr>
            <w:rFonts w:ascii="Arial" w:cs="Arial" w:eastAsia="Arial" w:hAnsi="Arial"/>
            <w:sz w:val="18"/>
            <w:szCs w:val="18"/>
            <w:u w:val="single" w:color="auto"/>
            <w:color w:val="0000FF"/>
          </w:rPr>
          <w:t>(incorporated by reference to exhibit 10.49 to Sun Country Airlines Holdings, Inc.'s Annual Report on Form 10-</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K filed with the Securities and Exchange Commission on February 14, 2024)</w:t>
        </w:r>
      </w:hyperlink>
    </w:p>
    <w:p>
      <w:pPr>
        <w:spacing w:after="0" w:line="59" w:lineRule="exact"/>
        <w:rPr>
          <w:sz w:val="20"/>
          <w:szCs w:val="20"/>
          <w:color w:val="auto"/>
        </w:rPr>
      </w:pPr>
    </w:p>
    <w:p>
      <w:pPr>
        <w:jc w:val="both"/>
        <w:ind w:right="60"/>
        <w:spacing w:after="0" w:line="234" w:lineRule="auto"/>
        <w:rPr>
          <w:rFonts w:ascii="Arial" w:cs="Arial" w:eastAsia="Arial" w:hAnsi="Arial"/>
          <w:sz w:val="17"/>
          <w:szCs w:val="17"/>
          <w:u w:val="single" w:color="auto"/>
          <w:color w:val="0000FF"/>
        </w:rPr>
      </w:pPr>
      <w:hyperlink r:id="rId258">
        <w:r>
          <w:rPr>
            <w:rFonts w:ascii="Arial" w:cs="Arial" w:eastAsia="Arial" w:hAnsi="Arial"/>
            <w:sz w:val="17"/>
            <w:szCs w:val="17"/>
            <w:u w:val="single" w:color="auto"/>
            <w:color w:val="0000FF"/>
          </w:rPr>
          <w:t>Form of Performance-Based Restricted Stock Unit Award Agreement under the Sun Country Airlines Holdings,</w:t>
        </w:r>
      </w:hyperlink>
      <w:r>
        <w:rPr>
          <w:rFonts w:ascii="Arial" w:cs="Arial" w:eastAsia="Arial" w:hAnsi="Arial"/>
          <w:sz w:val="17"/>
          <w:szCs w:val="17"/>
          <w:u w:val="single" w:color="auto"/>
          <w:color w:val="0000FF"/>
        </w:rPr>
        <w:t xml:space="preserve"> </w:t>
      </w:r>
      <w:hyperlink r:id="rId258">
        <w:r>
          <w:rPr>
            <w:rFonts w:ascii="Arial" w:cs="Arial" w:eastAsia="Arial" w:hAnsi="Arial"/>
            <w:sz w:val="17"/>
            <w:szCs w:val="17"/>
            <w:u w:val="single" w:color="auto"/>
            <w:color w:val="0000FF"/>
          </w:rPr>
          <w:t>Inc. 2021 Omnibus Incentive Plan (incorporated by reference to Exhibit 10.1 to Sun Country Airlines Holdings,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Inc.’s Quarterly Report on Form 10-Q filed with the Securities and Exchange Commission on May 7, 2024)</w:t>
        </w:r>
      </w:hyperlink>
    </w:p>
    <w:p>
      <w:pPr>
        <w:spacing w:after="0" w:line="59" w:lineRule="exact"/>
        <w:rPr>
          <w:sz w:val="20"/>
          <w:szCs w:val="20"/>
          <w:color w:val="auto"/>
        </w:rPr>
      </w:pPr>
    </w:p>
    <w:p>
      <w:pPr>
        <w:ind w:right="260"/>
        <w:spacing w:after="0" w:line="234" w:lineRule="auto"/>
        <w:rPr>
          <w:rFonts w:ascii="Arial" w:cs="Arial" w:eastAsia="Arial" w:hAnsi="Arial"/>
          <w:sz w:val="17"/>
          <w:szCs w:val="17"/>
          <w:u w:val="single" w:color="auto"/>
          <w:color w:val="0000FF"/>
        </w:rPr>
      </w:pPr>
      <w:hyperlink r:id="rId268">
        <w:r>
          <w:rPr>
            <w:rFonts w:ascii="Arial" w:cs="Arial" w:eastAsia="Arial" w:hAnsi="Arial"/>
            <w:sz w:val="17"/>
            <w:szCs w:val="17"/>
            <w:u w:val="single" w:color="auto"/>
            <w:color w:val="0000FF"/>
          </w:rPr>
          <w:t>Amended and Restated Air Transportation Services Agreement, dated as of June 18, 2024, by and between</w:t>
        </w:r>
      </w:hyperlink>
      <w:r>
        <w:rPr>
          <w:rFonts w:ascii="Arial" w:cs="Arial" w:eastAsia="Arial" w:hAnsi="Arial"/>
          <w:sz w:val="17"/>
          <w:szCs w:val="17"/>
          <w:u w:val="single" w:color="auto"/>
          <w:color w:val="0000FF"/>
        </w:rPr>
        <w:t xml:space="preserve"> </w:t>
      </w:r>
      <w:hyperlink r:id="rId268">
        <w:r>
          <w:rPr>
            <w:rFonts w:ascii="Arial" w:cs="Arial" w:eastAsia="Arial" w:hAnsi="Arial"/>
            <w:sz w:val="17"/>
            <w:szCs w:val="17"/>
            <w:u w:val="single" w:color="auto"/>
            <w:color w:val="0000FF"/>
          </w:rPr>
          <w:t>Sun Country, Inc. and Amazon.com Services LLC (incorporated by reference to Exhibit 10.1 to Sun Country</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Airlines Holdings, Inc.'s Form 8-K filed with the Securities and Exchange Commission on June 20, 2024)</w:t>
        </w:r>
      </w:hyperlink>
    </w:p>
    <w:p>
      <w:pPr>
        <w:spacing w:after="0" w:line="59" w:lineRule="exact"/>
        <w:rPr>
          <w:sz w:val="20"/>
          <w:szCs w:val="20"/>
          <w:color w:val="auto"/>
        </w:rPr>
      </w:pPr>
    </w:p>
    <w:p>
      <w:pPr>
        <w:ind w:right="40"/>
        <w:spacing w:after="0" w:line="221" w:lineRule="auto"/>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Credit Card Program Agreement, dated as of March 17, 2025, between Sun Country, Inc. and Synchrony Bank</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(incorporated by reference to Exhibit 10.1 to Sun Country Airlines Holdings, Inc.'s Form 8-K filed with the</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Securities and Exchange Commission on March 20, 2025)</w:t>
        </w:r>
      </w:hyperlink>
    </w:p>
    <w:p>
      <w:pPr>
        <w:spacing w:after="0" w:line="59" w:lineRule="exact"/>
        <w:rPr>
          <w:sz w:val="20"/>
          <w:szCs w:val="20"/>
          <w:color w:val="auto"/>
        </w:rPr>
      </w:pPr>
    </w:p>
    <w:p>
      <w:pPr>
        <w:ind w:right="400"/>
        <w:spacing w:after="0" w:line="234" w:lineRule="auto"/>
        <w:rPr>
          <w:rFonts w:ascii="Arial" w:cs="Arial" w:eastAsia="Arial" w:hAnsi="Arial"/>
          <w:sz w:val="17"/>
          <w:szCs w:val="17"/>
          <w:u w:val="single" w:color="auto"/>
          <w:color w:val="0000FF"/>
        </w:rPr>
      </w:pPr>
      <w:hyperlink r:id="rId270">
        <w:r>
          <w:rPr>
            <w:rFonts w:ascii="Arial" w:cs="Arial" w:eastAsia="Arial" w:hAnsi="Arial"/>
            <w:sz w:val="17"/>
            <w:szCs w:val="17"/>
            <w:u w:val="single" w:color="auto"/>
            <w:color w:val="0000FF"/>
          </w:rPr>
          <w:t>Revolving Credit Facility, dated as of March 24, 2025, between Sun Country, Inc, and MUFG Bank, ltd and</w:t>
        </w:r>
      </w:hyperlink>
      <w:r>
        <w:rPr>
          <w:rFonts w:ascii="Arial" w:cs="Arial" w:eastAsia="Arial" w:hAnsi="Arial"/>
          <w:sz w:val="17"/>
          <w:szCs w:val="17"/>
          <w:u w:val="single" w:color="auto"/>
          <w:color w:val="0000FF"/>
        </w:rPr>
        <w:t xml:space="preserve"> </w:t>
      </w:r>
      <w:hyperlink r:id="rId270">
        <w:r>
          <w:rPr>
            <w:rFonts w:ascii="Arial" w:cs="Arial" w:eastAsia="Arial" w:hAnsi="Arial"/>
            <w:sz w:val="17"/>
            <w:szCs w:val="17"/>
            <w:u w:val="single" w:color="auto"/>
            <w:color w:val="0000FF"/>
          </w:rPr>
          <w:t>Sumitomo Mitsui Banking Corporation as lenders, and UMB Bank, National Association, as administrative</w:t>
        </w:r>
      </w:hyperlink>
    </w:p>
    <w:p>
      <w:pPr>
        <w:spacing w:after="0" w:line="1" w:lineRule="exact"/>
        <w:rPr>
          <w:sz w:val="20"/>
          <w:szCs w:val="20"/>
          <w:color w:val="auto"/>
        </w:rPr>
      </w:pPr>
    </w:p>
    <w:p>
      <w:pPr>
        <w:ind w:right="240"/>
        <w:spacing w:after="0" w:line="229" w:lineRule="auto"/>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Agent (incorporated by reference to Exhibit 10.2 to Sun Country Airlines Holdings, Inc.’s Quarterly Report on</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Form 10-Q filed with the Securities and Exchange Commission on May 3, 2025)</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660" w:space="720"/>
            <w:col w:w="8840"/>
          </w:cols>
          <w:pgMar w:left="320" w:top="337"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10.56</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10.57</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10.58†</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10.59†</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10.60†</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34" w:lineRule="auto"/>
        <w:rPr>
          <w:rFonts w:ascii="Arial" w:cs="Arial" w:eastAsia="Arial" w:hAnsi="Arial"/>
          <w:sz w:val="17"/>
          <w:szCs w:val="17"/>
          <w:u w:val="single" w:color="auto"/>
          <w:color w:val="0000FF"/>
        </w:rPr>
      </w:pPr>
      <w:hyperlink r:id="rId272">
        <w:r>
          <w:rPr>
            <w:rFonts w:ascii="Arial" w:cs="Arial" w:eastAsia="Arial" w:hAnsi="Arial"/>
            <w:sz w:val="17"/>
            <w:szCs w:val="17"/>
            <w:u w:val="single" w:color="auto"/>
            <w:color w:val="0000FF"/>
          </w:rPr>
          <w:t>Underwriting Agreement, dated as of February 10, 2025, among Sun Country Airlines Holdings, Inc., SCA</w:t>
        </w:r>
      </w:hyperlink>
      <w:r>
        <w:rPr>
          <w:rFonts w:ascii="Arial" w:cs="Arial" w:eastAsia="Arial" w:hAnsi="Arial"/>
          <w:sz w:val="17"/>
          <w:szCs w:val="17"/>
          <w:u w:val="single" w:color="auto"/>
          <w:color w:val="0000FF"/>
        </w:rPr>
        <w:t xml:space="preserve"> </w:t>
      </w:r>
      <w:hyperlink r:id="rId272">
        <w:r>
          <w:rPr>
            <w:rFonts w:ascii="Arial" w:cs="Arial" w:eastAsia="Arial" w:hAnsi="Arial"/>
            <w:sz w:val="17"/>
            <w:szCs w:val="17"/>
            <w:u w:val="single" w:color="auto"/>
            <w:color w:val="0000FF"/>
          </w:rPr>
          <w:t>Horus Holdings, LLC as the selling stockholder, and the underwriters named therein (incorporated by reference</w:t>
        </w:r>
      </w:hyperlink>
    </w:p>
    <w:p>
      <w:pPr>
        <w:spacing w:after="0" w:line="1" w:lineRule="exact"/>
        <w:rPr>
          <w:sz w:val="20"/>
          <w:szCs w:val="20"/>
          <w:color w:val="auto"/>
        </w:rPr>
      </w:pPr>
    </w:p>
    <w:p>
      <w:pPr>
        <w:ind w:right="780"/>
        <w:spacing w:after="0" w:line="229" w:lineRule="auto"/>
        <w:rPr>
          <w:rFonts w:ascii="Arial" w:cs="Arial" w:eastAsia="Arial" w:hAnsi="Arial"/>
          <w:sz w:val="18"/>
          <w:szCs w:val="18"/>
          <w:u w:val="single" w:color="auto"/>
          <w:color w:val="0000FF"/>
        </w:rPr>
      </w:pPr>
      <w:hyperlink r:id="rId272">
        <w:r>
          <w:rPr>
            <w:rFonts w:ascii="Arial" w:cs="Arial" w:eastAsia="Arial" w:hAnsi="Arial"/>
            <w:sz w:val="18"/>
            <w:szCs w:val="18"/>
            <w:u w:val="single" w:color="auto"/>
            <w:color w:val="0000FF"/>
          </w:rPr>
          <w:t>to Exhibit 1.1 to Sun Country Airlines Holdings, Inc.’s Form 8-K filed with the Securities and Exchange</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Commission on February 11, 2025)</w:t>
        </w:r>
      </w:hyperlink>
    </w:p>
    <w:p>
      <w:pPr>
        <w:spacing w:after="0" w:line="46" w:lineRule="exact"/>
        <w:rPr>
          <w:sz w:val="20"/>
          <w:szCs w:val="20"/>
          <w:color w:val="auto"/>
        </w:rPr>
      </w:pPr>
    </w:p>
    <w:p>
      <w:pPr>
        <w:ind w:right="40"/>
        <w:spacing w:after="0" w:line="234" w:lineRule="auto"/>
        <w:rPr>
          <w:rFonts w:ascii="Arial" w:cs="Arial" w:eastAsia="Arial" w:hAnsi="Arial"/>
          <w:sz w:val="17"/>
          <w:szCs w:val="17"/>
          <w:u w:val="single" w:color="auto"/>
          <w:color w:val="0000FF"/>
        </w:rPr>
      </w:pPr>
      <w:hyperlink r:id="rId273">
        <w:r>
          <w:rPr>
            <w:rFonts w:ascii="Arial" w:cs="Arial" w:eastAsia="Arial" w:hAnsi="Arial"/>
            <w:sz w:val="17"/>
            <w:szCs w:val="17"/>
            <w:u w:val="single" w:color="auto"/>
            <w:color w:val="0000FF"/>
          </w:rPr>
          <w:t>Loan Agreement, dated as of September 26, 2025, among Sun Country, Inc., UMB Bank, National Association,</w:t>
        </w:r>
      </w:hyperlink>
      <w:r>
        <w:rPr>
          <w:rFonts w:ascii="Arial" w:cs="Arial" w:eastAsia="Arial" w:hAnsi="Arial"/>
          <w:sz w:val="17"/>
          <w:szCs w:val="17"/>
          <w:u w:val="single" w:color="auto"/>
          <w:color w:val="0000FF"/>
        </w:rPr>
        <w:t xml:space="preserve"> </w:t>
      </w:r>
      <w:hyperlink r:id="rId273">
        <w:r>
          <w:rPr>
            <w:rFonts w:ascii="Arial" w:cs="Arial" w:eastAsia="Arial" w:hAnsi="Arial"/>
            <w:sz w:val="17"/>
            <w:szCs w:val="17"/>
            <w:u w:val="single" w:color="auto"/>
            <w:color w:val="0000FF"/>
          </w:rPr>
          <w:t>and the Lenders (incorporated by reference to Exhibit 10.1 to Sun Country Airlines Holdings, Inc.'s Form 8-K</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73">
        <w:r>
          <w:rPr>
            <w:rFonts w:ascii="Arial" w:cs="Arial" w:eastAsia="Arial" w:hAnsi="Arial"/>
            <w:sz w:val="18"/>
            <w:szCs w:val="18"/>
            <w:u w:val="single" w:color="auto"/>
            <w:color w:val="0000FF"/>
          </w:rPr>
          <w:t>filed with the Securities and Exchange Commission on October 1, 2025)</w:t>
        </w:r>
      </w:hyperlink>
    </w:p>
    <w:p>
      <w:pPr>
        <w:spacing w:after="0" w:line="59" w:lineRule="exact"/>
        <w:rPr>
          <w:sz w:val="20"/>
          <w:szCs w:val="20"/>
          <w:color w:val="auto"/>
        </w:rPr>
      </w:pPr>
    </w:p>
    <w:p>
      <w:pPr>
        <w:ind w:right="220"/>
        <w:spacing w:after="0" w:line="234" w:lineRule="auto"/>
        <w:rPr>
          <w:rFonts w:ascii="Arial" w:cs="Arial" w:eastAsia="Arial" w:hAnsi="Arial"/>
          <w:sz w:val="17"/>
          <w:szCs w:val="17"/>
          <w:u w:val="single" w:color="auto"/>
          <w:color w:val="0000FF"/>
        </w:rPr>
      </w:pPr>
      <w:hyperlink r:id="rId274">
        <w:r>
          <w:rPr>
            <w:rFonts w:ascii="Arial" w:cs="Arial" w:eastAsia="Arial" w:hAnsi="Arial"/>
            <w:sz w:val="17"/>
            <w:szCs w:val="17"/>
            <w:u w:val="single" w:color="auto"/>
            <w:color w:val="0000FF"/>
          </w:rPr>
          <w:t>Mortgage and Security Agreement, dated as of September 26, 2025, between Sun Country, Inc. and UMB</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Bank, National Association (incorporated by reference to Exhibit 10.2 to Sun Country Airlines Holdings, Inc.'s</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74">
        <w:r>
          <w:rPr>
            <w:rFonts w:ascii="Arial" w:cs="Arial" w:eastAsia="Arial" w:hAnsi="Arial"/>
            <w:sz w:val="18"/>
            <w:szCs w:val="18"/>
            <w:u w:val="single" w:color="auto"/>
            <w:color w:val="0000FF"/>
          </w:rPr>
          <w:t>Form 8-K filed with the Securities and Exchange Commission on October 1, 2025)</w:t>
        </w:r>
      </w:hyperlink>
    </w:p>
    <w:p>
      <w:pPr>
        <w:spacing w:after="0" w:line="14" w:lineRule="exact"/>
        <w:rPr>
          <w:sz w:val="20"/>
          <w:szCs w:val="20"/>
          <w:color w:val="auto"/>
        </w:rPr>
      </w:pPr>
    </w:p>
    <w:p>
      <w:pPr>
        <w:ind w:right="200"/>
        <w:spacing w:after="0" w:line="234" w:lineRule="auto"/>
        <w:rPr>
          <w:rFonts w:ascii="Arial" w:cs="Arial" w:eastAsia="Arial" w:hAnsi="Arial"/>
          <w:sz w:val="18"/>
          <w:szCs w:val="18"/>
          <w:u w:val="single" w:color="auto"/>
          <w:color w:val="0000FF"/>
        </w:rPr>
      </w:pPr>
      <w:hyperlink r:id="rId275">
        <w:r>
          <w:rPr>
            <w:rFonts w:ascii="Arial" w:cs="Arial" w:eastAsia="Arial" w:hAnsi="Arial"/>
            <w:sz w:val="18"/>
            <w:szCs w:val="18"/>
            <w:u w:val="single" w:color="auto"/>
            <w:color w:val="0000FF"/>
          </w:rPr>
          <w:t>Zubeck Employment Letter (incorporated by reference to Exhibit 10.1 to Sun Country Airlines Holdings, Inc.'s</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Form 8-K filed with the Securities and Exchange Commission on August 13, 2025)</w:t>
        </w:r>
      </w:hyperlink>
    </w:p>
    <w:p>
      <w:pPr>
        <w:spacing w:after="0" w:line="6" w:lineRule="exact"/>
        <w:rPr>
          <w:sz w:val="20"/>
          <w:szCs w:val="20"/>
          <w:color w:val="auto"/>
        </w:rPr>
      </w:pPr>
    </w:p>
    <w:p>
      <w:pPr>
        <w:ind w:right="400"/>
        <w:spacing w:after="0" w:line="234" w:lineRule="auto"/>
        <w:rPr>
          <w:rFonts w:ascii="Arial" w:cs="Arial" w:eastAsia="Arial" w:hAnsi="Arial"/>
          <w:sz w:val="17"/>
          <w:szCs w:val="17"/>
          <w:u w:val="single" w:color="auto"/>
          <w:color w:val="0000FF"/>
        </w:rPr>
      </w:pPr>
      <w:hyperlink r:id="rId276">
        <w:r>
          <w:rPr>
            <w:rFonts w:ascii="Arial" w:cs="Arial" w:eastAsia="Arial" w:hAnsi="Arial"/>
            <w:sz w:val="17"/>
            <w:szCs w:val="17"/>
            <w:u w:val="single" w:color="auto"/>
            <w:color w:val="0000FF"/>
          </w:rPr>
          <w:t>Executive Employment Letter, dated as of October 29, 2025, by and between Erin Rose Neale and Sun</w:t>
        </w:r>
      </w:hyperlink>
      <w:r>
        <w:rPr>
          <w:rFonts w:ascii="Arial" w:cs="Arial" w:eastAsia="Arial" w:hAnsi="Arial"/>
          <w:sz w:val="17"/>
          <w:szCs w:val="17"/>
          <w:u w:val="single" w:color="auto"/>
          <w:color w:val="0000FF"/>
        </w:rPr>
        <w:t xml:space="preserve"> </w:t>
      </w:r>
      <w:hyperlink r:id="rId276">
        <w:r>
          <w:rPr>
            <w:rFonts w:ascii="Arial" w:cs="Arial" w:eastAsia="Arial" w:hAnsi="Arial"/>
            <w:sz w:val="17"/>
            <w:szCs w:val="17"/>
            <w:u w:val="single" w:color="auto"/>
            <w:color w:val="0000FF"/>
          </w:rPr>
          <w:t>Country, Inc. (incorporated by reference to Exhibit 10.4 to Sun Country Airline’s Holdings, Inc.’s Form 10-Q</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76">
        <w:r>
          <w:rPr>
            <w:rFonts w:ascii="Arial" w:cs="Arial" w:eastAsia="Arial" w:hAnsi="Arial"/>
            <w:sz w:val="18"/>
            <w:szCs w:val="18"/>
            <w:u w:val="single" w:color="auto"/>
            <w:color w:val="0000FF"/>
          </w:rPr>
          <w:t>filed with the Securities and Exchange Commission on October 30, 2025)</w:t>
        </w:r>
      </w:hyperlink>
    </w:p>
    <w:p>
      <w:pPr>
        <w:spacing w:after="0" w:line="14" w:lineRule="exact"/>
        <w:rPr>
          <w:sz w:val="20"/>
          <w:szCs w:val="20"/>
          <w:color w:val="auto"/>
        </w:rPr>
      </w:pPr>
    </w:p>
    <w:p>
      <w:pPr>
        <w:ind w:right="220"/>
        <w:spacing w:after="0" w:line="229" w:lineRule="auto"/>
        <w:rPr>
          <w:rFonts w:ascii="Arial" w:cs="Arial" w:eastAsia="Arial" w:hAnsi="Arial"/>
          <w:sz w:val="17"/>
          <w:szCs w:val="17"/>
          <w:u w:val="single" w:color="auto"/>
          <w:color w:val="0000FF"/>
        </w:rPr>
      </w:pPr>
      <w:hyperlink r:id="rId277">
        <w:r>
          <w:rPr>
            <w:rFonts w:ascii="Arial" w:cs="Arial" w:eastAsia="Arial" w:hAnsi="Arial"/>
            <w:sz w:val="17"/>
            <w:szCs w:val="17"/>
            <w:u w:val="single" w:color="auto"/>
            <w:color w:val="0000FF"/>
          </w:rPr>
          <w:t>Executive Employment Letter, dated as of October 29, 2025, by and between Daniel Torque Zubeck and Sun</w:t>
        </w:r>
      </w:hyperlink>
      <w:r>
        <w:rPr>
          <w:rFonts w:ascii="Arial" w:cs="Arial" w:eastAsia="Arial" w:hAnsi="Arial"/>
          <w:sz w:val="17"/>
          <w:szCs w:val="17"/>
          <w:u w:val="single" w:color="auto"/>
          <w:color w:val="0000FF"/>
        </w:rPr>
        <w:t xml:space="preserve"> </w:t>
      </w:r>
      <w:hyperlink r:id="rId277">
        <w:r>
          <w:rPr>
            <w:rFonts w:ascii="Arial" w:cs="Arial" w:eastAsia="Arial" w:hAnsi="Arial"/>
            <w:sz w:val="17"/>
            <w:szCs w:val="17"/>
            <w:u w:val="single" w:color="auto"/>
            <w:color w:val="0000FF"/>
          </w:rPr>
          <w:t>Country, Inc. (incorporated by reference to Exhibit 10.5 to Sun Country Airline’s Holdings, Inc.’s Form 10-Q</w:t>
        </w:r>
      </w:hyperlink>
    </w:p>
    <w:p>
      <w:pPr>
        <w:spacing w:after="0"/>
        <w:rPr>
          <w:rFonts w:ascii="Arial" w:cs="Arial" w:eastAsia="Arial" w:hAnsi="Arial"/>
          <w:sz w:val="18"/>
          <w:szCs w:val="18"/>
          <w:u w:val="single" w:color="auto"/>
          <w:color w:val="0000FF"/>
        </w:rPr>
      </w:pPr>
      <w:hyperlink r:id="rId277">
        <w:r>
          <w:rPr>
            <w:rFonts w:ascii="Arial" w:cs="Arial" w:eastAsia="Arial" w:hAnsi="Arial"/>
            <w:sz w:val="18"/>
            <w:szCs w:val="18"/>
            <w:u w:val="single" w:color="auto"/>
            <w:color w:val="0000FF"/>
          </w:rPr>
          <w:t>filed with the Securities and Exchange Commission on October 30, 2025)</w:t>
        </w:r>
      </w:hyperlink>
    </w:p>
    <w:p>
      <w:pPr>
        <w:spacing w:after="0" w:line="14" w:lineRule="exact"/>
        <w:rPr>
          <w:sz w:val="20"/>
          <w:szCs w:val="20"/>
          <w:color w:val="auto"/>
        </w:rPr>
      </w:pPr>
    </w:p>
    <w:p>
      <w:pPr>
        <w:ind w:right="400"/>
        <w:spacing w:after="0" w:line="229" w:lineRule="auto"/>
        <w:rPr>
          <w:rFonts w:ascii="Arial" w:cs="Arial" w:eastAsia="Arial" w:hAnsi="Arial"/>
          <w:sz w:val="17"/>
          <w:szCs w:val="17"/>
          <w:u w:val="single" w:color="auto"/>
          <w:color w:val="0000FF"/>
        </w:rPr>
      </w:pPr>
      <w:hyperlink r:id="rId278">
        <w:r>
          <w:rPr>
            <w:rFonts w:ascii="Arial" w:cs="Arial" w:eastAsia="Arial" w:hAnsi="Arial"/>
            <w:sz w:val="17"/>
            <w:szCs w:val="17"/>
            <w:u w:val="single" w:color="auto"/>
            <w:color w:val="0000FF"/>
          </w:rPr>
          <w:t>Confidential Separation and Release Agreement, dated as of October 31, 2025, by and between Grant</w:t>
        </w:r>
      </w:hyperlink>
      <w:r>
        <w:rPr>
          <w:rFonts w:ascii="Arial" w:cs="Arial" w:eastAsia="Arial" w:hAnsi="Arial"/>
          <w:sz w:val="17"/>
          <w:szCs w:val="17"/>
          <w:u w:val="single" w:color="auto"/>
          <w:color w:val="0000FF"/>
        </w:rPr>
        <w:t xml:space="preserve"> </w:t>
      </w:r>
      <w:hyperlink r:id="rId278">
        <w:r>
          <w:rPr>
            <w:rFonts w:ascii="Arial" w:cs="Arial" w:eastAsia="Arial" w:hAnsi="Arial"/>
            <w:sz w:val="17"/>
            <w:szCs w:val="17"/>
            <w:u w:val="single" w:color="auto"/>
            <w:color w:val="0000FF"/>
          </w:rPr>
          <w:t>Whitney and Sun Country, Inc. (incorporated by reference to Exhibit 10.1 to Sun Country Airlines Holdings,</w:t>
        </w:r>
      </w:hyperlink>
    </w:p>
    <w:p>
      <w:pPr>
        <w:spacing w:after="0"/>
        <w:rPr>
          <w:rFonts w:ascii="Arial" w:cs="Arial" w:eastAsia="Arial" w:hAnsi="Arial"/>
          <w:sz w:val="18"/>
          <w:szCs w:val="18"/>
          <w:u w:val="single" w:color="auto"/>
          <w:color w:val="0000FF"/>
        </w:rPr>
      </w:pPr>
      <w:hyperlink r:id="rId278">
        <w:r>
          <w:rPr>
            <w:rFonts w:ascii="Arial" w:cs="Arial" w:eastAsia="Arial" w:hAnsi="Arial"/>
            <w:sz w:val="18"/>
            <w:szCs w:val="18"/>
            <w:u w:val="single" w:color="auto"/>
            <w:color w:val="0000FF"/>
          </w:rPr>
          <w:t>Inc.’s Form 8-K filed with the Securities and Exchange Commission on November 5, 2025)</w:t>
        </w:r>
      </w:hyperlink>
    </w:p>
    <w:p>
      <w:pPr>
        <w:spacing w:after="0" w:line="59" w:lineRule="exact"/>
        <w:rPr>
          <w:sz w:val="20"/>
          <w:szCs w:val="20"/>
          <w:color w:val="auto"/>
        </w:rPr>
      </w:pPr>
    </w:p>
    <w:p>
      <w:pPr>
        <w:ind w:right="20"/>
        <w:spacing w:after="0" w:line="221" w:lineRule="auto"/>
        <w:rPr>
          <w:rFonts w:ascii="Arial" w:cs="Arial" w:eastAsia="Arial" w:hAnsi="Arial"/>
          <w:sz w:val="18"/>
          <w:szCs w:val="18"/>
          <w:u w:val="single" w:color="auto"/>
          <w:color w:val="0000FF"/>
        </w:rPr>
      </w:pPr>
      <w:hyperlink r:id="rId279">
        <w:r>
          <w:rPr>
            <w:rFonts w:ascii="Arial" w:cs="Arial" w:eastAsia="Arial" w:hAnsi="Arial"/>
            <w:sz w:val="18"/>
            <w:szCs w:val="18"/>
            <w:u w:val="single" w:color="auto"/>
            <w:color w:val="0000FF"/>
          </w:rPr>
          <w:t>Sun Country Airlines Insider Trading Policy (incorporated by reference to exhibit 19.1 to Sun Country Airlines</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Holdings, Inc.'s Annual Report on Form 10-K filed with the Securities and Exchange Commission on February</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79">
        <w:r>
          <w:rPr>
            <w:rFonts w:ascii="Arial" w:cs="Arial" w:eastAsia="Arial" w:hAnsi="Arial"/>
            <w:sz w:val="18"/>
            <w:szCs w:val="18"/>
            <w:u w:val="single" w:color="auto"/>
            <w:color w:val="0000FF"/>
          </w:rPr>
          <w:t>12, 2025)</w:t>
        </w:r>
      </w:hyperlink>
    </w:p>
    <w:p>
      <w:pPr>
        <w:spacing w:after="0" w:line="72" w:lineRule="exact"/>
        <w:rPr>
          <w:sz w:val="20"/>
          <w:szCs w:val="20"/>
          <w:color w:val="auto"/>
        </w:rPr>
      </w:pPr>
    </w:p>
    <w:p>
      <w:pPr>
        <w:ind w:right="20"/>
        <w:spacing w:after="0" w:line="271" w:lineRule="auto"/>
        <w:rPr>
          <w:rFonts w:ascii="Arial" w:cs="Arial" w:eastAsia="Arial" w:hAnsi="Arial"/>
          <w:sz w:val="18"/>
          <w:szCs w:val="18"/>
          <w:u w:val="single" w:color="auto"/>
          <w:color w:val="0000FF"/>
        </w:rPr>
      </w:pPr>
      <w:hyperlink r:id="rId280">
        <w:r>
          <w:rPr>
            <w:rFonts w:ascii="Arial" w:cs="Arial" w:eastAsia="Arial" w:hAnsi="Arial"/>
            <w:sz w:val="18"/>
            <w:szCs w:val="18"/>
            <w:u w:val="single" w:color="auto"/>
            <w:color w:val="0000FF"/>
          </w:rPr>
          <w:t>Subsidiaries of the registrant (incorporated by reference to Exhibit 21.1 to Sun Country Airlines Holdings, Inc.’s</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Registration Statement on Form S-1 (File No. 333-252858))</w:t>
        </w:r>
      </w:hyperlink>
    </w:p>
    <w:p>
      <w:pPr>
        <w:spacing w:after="0" w:line="59" w:lineRule="exact"/>
        <w:rPr>
          <w:sz w:val="20"/>
          <w:szCs w:val="20"/>
          <w:color w:val="auto"/>
        </w:rPr>
      </w:pPr>
    </w:p>
    <w:p>
      <w:pPr>
        <w:sectPr>
          <w:pgSz w:w="11900" w:h="16838" w:orient="portrait"/>
          <w:cols w:equalWidth="0" w:num="2">
            <w:col w:w="1660" w:space="720"/>
            <w:col w:w="8860"/>
          </w:cols>
          <w:pgMar w:left="320" w:top="337" w:right="339" w:bottom="1440" w:gutter="0" w:footer="0" w:header="0"/>
        </w:sectPr>
      </w:pPr>
    </w:p>
    <w:p>
      <w:pPr>
        <w:ind w:left="20"/>
        <w:spacing w:after="0"/>
        <w:rPr>
          <w:sz w:val="20"/>
          <w:szCs w:val="20"/>
          <w:color w:val="auto"/>
        </w:rPr>
      </w:pPr>
      <w:r>
        <w:rPr>
          <w:rFonts w:ascii="Arial" w:cs="Arial" w:eastAsia="Arial" w:hAnsi="Arial"/>
          <w:sz w:val="18"/>
          <w:szCs w:val="18"/>
          <w:color w:val="auto"/>
        </w:rPr>
        <w:t>23.1*</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0000FF"/>
        </w:rPr>
        <w:t>Consent of KPMG LLP, independent registered public accounting firm</w:t>
      </w:r>
    </w:p>
    <w:p>
      <w:pPr>
        <w:spacing w:after="0" w:line="90"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0000FF"/>
        </w:rPr>
        <w:t>Certification by Sun Country’s President and Chief Executive Officer with respect to Sun Country’s Annual Report on Form 10-K for the fiscal year ended December 31, 2025</w:t>
      </w:r>
    </w:p>
    <w:p>
      <w:pPr>
        <w:spacing w:after="0" w:line="59"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0000FF"/>
        </w:rPr>
        <w:t>Certification by Sun Country’s Senior Vice President and Chief Financial Officer with respect to Sun Country’s Annual Report on Form 10-K for the fiscal year ended December 31, 2025</w:t>
      </w:r>
    </w:p>
    <w:p>
      <w:pPr>
        <w:spacing w:after="0" w:line="5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u w:val="single" w:color="auto"/>
          <w:color w:val="0000FF"/>
        </w:rPr>
        <w:t>Certification pursuant to Section 1350 of Chapter 63 of Title 18 of the United States Code by Sun Country Airlines Holdings, Inc.’s President and Chief Executive Officer and Senior Vice President and Chief Financial</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u w:val="single" w:color="auto"/>
          <w:color w:val="0000FF"/>
        </w:rPr>
        <w:t>Officer with respect to Sun Country’s Annual Report on Form 10-K for the fiscal year ended December 31, 2025</w:t>
      </w:r>
    </w:p>
    <w:p>
      <w:pPr>
        <w:spacing w:after="0" w:line="46" w:lineRule="exact"/>
        <w:rPr>
          <w:sz w:val="20"/>
          <w:szCs w:val="20"/>
          <w:color w:val="auto"/>
        </w:rPr>
      </w:pPr>
    </w:p>
    <w:p>
      <w:pPr>
        <w:ind w:right="20"/>
        <w:spacing w:after="0" w:line="221" w:lineRule="auto"/>
        <w:rPr>
          <w:rFonts w:ascii="Arial" w:cs="Arial" w:eastAsia="Arial" w:hAnsi="Arial"/>
          <w:sz w:val="18"/>
          <w:szCs w:val="18"/>
          <w:u w:val="single" w:color="auto"/>
          <w:color w:val="0000FF"/>
        </w:rPr>
      </w:pPr>
      <w:hyperlink r:id="rId281">
        <w:r>
          <w:rPr>
            <w:rFonts w:ascii="Arial" w:cs="Arial" w:eastAsia="Arial" w:hAnsi="Arial"/>
            <w:sz w:val="18"/>
            <w:szCs w:val="18"/>
            <w:u w:val="single" w:color="auto"/>
            <w:color w:val="0000FF"/>
          </w:rPr>
          <w:t>Sun Country Airlines Clawback Policy (incorporated by reference to exhibit 97 to Sun Country Airlines</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Holdings, Inc.'s Annual Report on Form 10-K filed with the Securities and Exchange Commission on February</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81">
        <w:r>
          <w:rPr>
            <w:rFonts w:ascii="Arial" w:cs="Arial" w:eastAsia="Arial" w:hAnsi="Arial"/>
            <w:sz w:val="18"/>
            <w:szCs w:val="18"/>
            <w:u w:val="single" w:color="auto"/>
            <w:color w:val="0000FF"/>
          </w:rPr>
          <w:t>14, 2024)</w:t>
        </w:r>
      </w:hyperlink>
    </w:p>
    <w:p>
      <w:pPr>
        <w:spacing w:after="0" w:line="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46" w:lineRule="exact"/>
        <w:rPr>
          <w:sz w:val="20"/>
          <w:szCs w:val="20"/>
          <w:color w:val="auto"/>
        </w:rPr>
      </w:pPr>
    </w:p>
    <w:p>
      <w:pPr>
        <w:sectPr>
          <w:pgSz w:w="11900" w:h="16838" w:orient="portrait"/>
          <w:cols w:equalWidth="0" w:num="2">
            <w:col w:w="1660" w:space="720"/>
            <w:col w:w="88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600" w:type="dxa"/>
            <w:vAlign w:val="bottom"/>
          </w:tcPr>
          <w:p>
            <w:pPr>
              <w:ind w:left="20"/>
              <w:spacing w:after="0"/>
              <w:rPr>
                <w:sz w:val="20"/>
                <w:szCs w:val="20"/>
                <w:color w:val="auto"/>
              </w:rPr>
            </w:pPr>
            <w:r>
              <w:rPr>
                <w:rFonts w:ascii="Arial" w:cs="Arial" w:eastAsia="Arial" w:hAnsi="Arial"/>
                <w:sz w:val="18"/>
                <w:szCs w:val="18"/>
                <w:color w:val="auto"/>
              </w:rPr>
              <w:t>101.SCH*</w:t>
            </w:r>
          </w:p>
        </w:tc>
        <w:tc>
          <w:tcPr>
            <w:tcW w:w="9640" w:type="dxa"/>
            <w:vAlign w:val="bottom"/>
          </w:tcPr>
          <w:p>
            <w:pPr>
              <w:ind w:left="780"/>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600" w:type="dxa"/>
            <w:vAlign w:val="bottom"/>
          </w:tcPr>
          <w:p>
            <w:pPr>
              <w:ind w:left="20"/>
              <w:spacing w:after="0"/>
              <w:rPr>
                <w:sz w:val="20"/>
                <w:szCs w:val="20"/>
                <w:color w:val="auto"/>
              </w:rPr>
            </w:pPr>
            <w:r>
              <w:rPr>
                <w:rFonts w:ascii="Arial" w:cs="Arial" w:eastAsia="Arial" w:hAnsi="Arial"/>
                <w:sz w:val="18"/>
                <w:szCs w:val="18"/>
                <w:color w:val="auto"/>
              </w:rPr>
              <w:t>101.CAL*</w:t>
            </w:r>
          </w:p>
        </w:tc>
        <w:tc>
          <w:tcPr>
            <w:tcW w:w="9640" w:type="dxa"/>
            <w:vAlign w:val="bottom"/>
          </w:tcPr>
          <w:p>
            <w:pPr>
              <w:ind w:left="7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600" w:type="dxa"/>
            <w:vAlign w:val="bottom"/>
          </w:tcPr>
          <w:p>
            <w:pPr>
              <w:ind w:left="20"/>
              <w:spacing w:after="0"/>
              <w:rPr>
                <w:sz w:val="20"/>
                <w:szCs w:val="20"/>
                <w:color w:val="auto"/>
              </w:rPr>
            </w:pPr>
            <w:r>
              <w:rPr>
                <w:rFonts w:ascii="Arial" w:cs="Arial" w:eastAsia="Arial" w:hAnsi="Arial"/>
                <w:sz w:val="18"/>
                <w:szCs w:val="18"/>
                <w:color w:val="auto"/>
              </w:rPr>
              <w:t>101.DEF*</w:t>
            </w:r>
          </w:p>
        </w:tc>
        <w:tc>
          <w:tcPr>
            <w:tcW w:w="9640" w:type="dxa"/>
            <w:vAlign w:val="bottom"/>
          </w:tcPr>
          <w:p>
            <w:pPr>
              <w:ind w:left="7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0"/>
        </w:trPr>
        <w:tc>
          <w:tcPr>
            <w:tcW w:w="1600" w:type="dxa"/>
            <w:vAlign w:val="bottom"/>
          </w:tcPr>
          <w:p>
            <w:pPr>
              <w:ind w:left="20"/>
              <w:spacing w:after="0"/>
              <w:rPr>
                <w:sz w:val="20"/>
                <w:szCs w:val="20"/>
                <w:color w:val="auto"/>
              </w:rPr>
            </w:pPr>
            <w:r>
              <w:rPr>
                <w:rFonts w:ascii="Arial" w:cs="Arial" w:eastAsia="Arial" w:hAnsi="Arial"/>
                <w:sz w:val="18"/>
                <w:szCs w:val="18"/>
                <w:color w:val="auto"/>
              </w:rPr>
              <w:t>101.LAB*</w:t>
            </w:r>
          </w:p>
        </w:tc>
        <w:tc>
          <w:tcPr>
            <w:tcW w:w="9640" w:type="dxa"/>
            <w:vAlign w:val="bottom"/>
          </w:tcPr>
          <w:p>
            <w:pPr>
              <w:ind w:left="78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10"/>
        </w:trPr>
        <w:tc>
          <w:tcPr>
            <w:tcW w:w="1600" w:type="dxa"/>
            <w:vAlign w:val="bottom"/>
          </w:tcPr>
          <w:p>
            <w:pPr>
              <w:ind w:left="20"/>
              <w:spacing w:after="0"/>
              <w:rPr>
                <w:sz w:val="20"/>
                <w:szCs w:val="20"/>
                <w:color w:val="auto"/>
              </w:rPr>
            </w:pPr>
            <w:r>
              <w:rPr>
                <w:rFonts w:ascii="Arial" w:cs="Arial" w:eastAsia="Arial" w:hAnsi="Arial"/>
                <w:sz w:val="18"/>
                <w:szCs w:val="18"/>
                <w:color w:val="auto"/>
              </w:rPr>
              <w:t>101.PRE*</w:t>
            </w:r>
          </w:p>
        </w:tc>
        <w:tc>
          <w:tcPr>
            <w:tcW w:w="9640" w:type="dxa"/>
            <w:vAlign w:val="bottom"/>
          </w:tcPr>
          <w:p>
            <w:pPr>
              <w:ind w:left="7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918"/>
        </w:trPr>
        <w:tc>
          <w:tcPr>
            <w:tcW w:w="1600" w:type="dxa"/>
            <w:vAlign w:val="bottom"/>
          </w:tcPr>
          <w:p>
            <w:pPr>
              <w:spacing w:after="0"/>
              <w:rPr>
                <w:sz w:val="24"/>
                <w:szCs w:val="24"/>
                <w:color w:val="auto"/>
              </w:rPr>
            </w:pPr>
          </w:p>
        </w:tc>
        <w:tc>
          <w:tcPr>
            <w:tcW w:w="9640" w:type="dxa"/>
            <w:vAlign w:val="bottom"/>
          </w:tcPr>
          <w:p>
            <w:pPr>
              <w:ind w:left="3880"/>
              <w:spacing w:after="0"/>
              <w:rPr>
                <w:sz w:val="20"/>
                <w:szCs w:val="20"/>
                <w:color w:val="auto"/>
              </w:rPr>
            </w:pPr>
            <w:r>
              <w:rPr>
                <w:rFonts w:ascii="Arial" w:cs="Arial" w:eastAsia="Arial" w:hAnsi="Arial"/>
                <w:sz w:val="18"/>
                <w:szCs w:val="18"/>
                <w:color w:val="auto"/>
              </w:rPr>
              <w:t>132</w:t>
            </w:r>
          </w:p>
        </w:tc>
      </w:tr>
      <w:tr>
        <w:trPr>
          <w:trHeight w:val="111"/>
        </w:trPr>
        <w:tc>
          <w:tcPr>
            <w:tcW w:w="160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Files (formatted as inline XBRL and contained in Exhibit 101)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63"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Torque Zubeck</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564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Title</w:t>
            </w:r>
          </w:p>
        </w:tc>
        <w:tc>
          <w:tcPr>
            <w:tcW w:w="2260" w:type="dxa"/>
            <w:vAlign w:val="bottom"/>
          </w:tcPr>
          <w:p>
            <w:pPr>
              <w:jc w:val="center"/>
              <w:ind w:left="710"/>
              <w:spacing w:after="0"/>
              <w:rPr>
                <w:sz w:val="20"/>
                <w:szCs w:val="20"/>
                <w:color w:val="auto"/>
              </w:rPr>
            </w:pPr>
            <w:r>
              <w:rPr>
                <w:rFonts w:ascii="Arial" w:cs="Arial" w:eastAsia="Arial" w:hAnsi="Arial"/>
                <w:sz w:val="18"/>
                <w:szCs w:val="18"/>
                <w:b w:val="1"/>
                <w:bCs w:val="1"/>
                <w:color w:val="auto"/>
                <w:w w:val="97"/>
              </w:rPr>
              <w:t>Date</w:t>
            </w:r>
          </w:p>
        </w:tc>
      </w:tr>
      <w:tr>
        <w:trPr>
          <w:trHeight w:val="488"/>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Jude Bricker</w:t>
            </w:r>
          </w:p>
        </w:tc>
        <w:tc>
          <w:tcPr>
            <w:tcW w:w="5640" w:type="dxa"/>
            <w:vAlign w:val="bottom"/>
          </w:tcPr>
          <w:p>
            <w:pPr>
              <w:jc w:val="center"/>
              <w:ind w:left="270"/>
              <w:spacing w:after="0"/>
              <w:rPr>
                <w:sz w:val="20"/>
                <w:szCs w:val="20"/>
                <w:color w:val="auto"/>
              </w:rPr>
            </w:pPr>
            <w:r>
              <w:rPr>
                <w:rFonts w:ascii="Arial" w:cs="Arial" w:eastAsia="Arial" w:hAnsi="Arial"/>
                <w:sz w:val="18"/>
                <w:szCs w:val="18"/>
                <w:color w:val="auto"/>
                <w:w w:val="99"/>
              </w:rPr>
              <w:t>President and Chief Executive Officer; 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Jude Bricker</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9"/>
              </w:rPr>
              <w:t>(Principal Executive Officer)</w:t>
            </w:r>
          </w:p>
        </w:tc>
        <w:tc>
          <w:tcPr>
            <w:tcW w:w="22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Jennifer Vogel</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9"/>
              </w:rPr>
              <w:t>Chair of the Board; 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Jennifer Vogel</w:t>
            </w: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Patrick O'Keeffe</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8"/>
              </w:rPr>
              <w:t>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rPr>
              <w:t>Patrick O'Keeffe</w:t>
            </w: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Thomas C. Kennedy</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8"/>
              </w:rPr>
              <w:t>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Thomas C. Kennedy</w:t>
            </w: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Marion Blakey</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8"/>
              </w:rPr>
              <w:t>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Marion Blakey</w:t>
            </w: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Kerry Philipovitch</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8"/>
              </w:rPr>
              <w:t>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Kerry Philipovitch</w:t>
            </w: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Gail Peterson</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8"/>
              </w:rPr>
              <w:t>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rPr>
              <w:t>Gail Peterson</w:t>
            </w: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Wendy Schoppert</w:t>
            </w:r>
          </w:p>
        </w:tc>
        <w:tc>
          <w:tcPr>
            <w:tcW w:w="5640" w:type="dxa"/>
            <w:vAlign w:val="bottom"/>
          </w:tcPr>
          <w:p>
            <w:pPr>
              <w:jc w:val="center"/>
              <w:ind w:left="250"/>
              <w:spacing w:after="0"/>
              <w:rPr>
                <w:sz w:val="20"/>
                <w:szCs w:val="20"/>
                <w:color w:val="auto"/>
              </w:rPr>
            </w:pPr>
            <w:r>
              <w:rPr>
                <w:rFonts w:ascii="Arial" w:cs="Arial" w:eastAsia="Arial" w:hAnsi="Arial"/>
                <w:sz w:val="18"/>
                <w:szCs w:val="18"/>
                <w:color w:val="auto"/>
                <w:w w:val="98"/>
              </w:rPr>
              <w:t>Director</w:t>
            </w:r>
          </w:p>
        </w:tc>
        <w:tc>
          <w:tcPr>
            <w:tcW w:w="2260" w:type="dxa"/>
            <w:vAlign w:val="bottom"/>
          </w:tcPr>
          <w:p>
            <w:pPr>
              <w:jc w:val="center"/>
              <w:ind w:left="710"/>
              <w:spacing w:after="0"/>
              <w:rPr>
                <w:sz w:val="20"/>
                <w:szCs w:val="20"/>
                <w:color w:val="auto"/>
              </w:rPr>
            </w:pPr>
            <w:r>
              <w:rPr>
                <w:rFonts w:ascii="Arial" w:cs="Arial" w:eastAsia="Arial" w:hAnsi="Arial"/>
                <w:sz w:val="18"/>
                <w:szCs w:val="18"/>
                <w:color w:val="auto"/>
                <w:w w:val="99"/>
              </w:rPr>
              <w:t>February 12, 2026</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Wendy Schoppert</w:t>
            </w:r>
          </w:p>
        </w:tc>
        <w:tc>
          <w:tcPr>
            <w:tcW w:w="56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899"/>
        </w:trPr>
        <w:tc>
          <w:tcPr>
            <w:tcW w:w="2880" w:type="dxa"/>
            <w:vAlign w:val="bottom"/>
          </w:tcPr>
          <w:p>
            <w:pPr>
              <w:spacing w:after="0"/>
              <w:rPr>
                <w:sz w:val="24"/>
                <w:szCs w:val="24"/>
                <w:color w:val="auto"/>
              </w:rPr>
            </w:pPr>
          </w:p>
        </w:tc>
        <w:tc>
          <w:tcPr>
            <w:tcW w:w="5640" w:type="dxa"/>
            <w:vAlign w:val="bottom"/>
          </w:tcPr>
          <w:p>
            <w:pPr>
              <w:jc w:val="right"/>
              <w:ind w:right="2650"/>
              <w:spacing w:after="0"/>
              <w:rPr>
                <w:sz w:val="20"/>
                <w:szCs w:val="20"/>
                <w:color w:val="auto"/>
              </w:rPr>
            </w:pPr>
            <w:r>
              <w:rPr>
                <w:rFonts w:ascii="Arial" w:cs="Arial" w:eastAsia="Arial" w:hAnsi="Arial"/>
                <w:sz w:val="18"/>
                <w:szCs w:val="18"/>
                <w:color w:val="auto"/>
              </w:rPr>
              <w:t>135</w:t>
            </w:r>
          </w:p>
        </w:tc>
        <w:tc>
          <w:tcPr>
            <w:tcW w:w="22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64"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 333-254371) on Form S-8 and (No. 333-269023) on Form S-3 of our report dated February 12, 2026, with respect to the consolidated financial statements of Sun Country Airlines Holdings, Inc. and subsidiaries and the effectiveness of internal control over financial reporting.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Minneapolis, Minnesota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12, 2026</w:t>
      </w:r>
    </w:p>
    <w:p>
      <w:pPr>
        <w:sectPr>
          <w:pgSz w:w="11900" w:h="16838" w:orient="portrait"/>
          <w:cols w:equalWidth="0" w:num="1">
            <w:col w:w="11240"/>
          </w:cols>
          <w:pgMar w:left="320" w:top="115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Jude Bricker, certify that:</w:t>
      </w:r>
    </w:p>
    <w:p>
      <w:pPr>
        <w:spacing w:after="0" w:line="22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Sun Country Airlines Holdings, Inc. ("Sun Country") for the year ended December 31, 2025;</w:t>
      </w:r>
    </w:p>
    <w:p>
      <w:pPr>
        <w:spacing w:after="0" w:line="23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Sun Country and have:</w:t>
      </w:r>
    </w:p>
    <w:p>
      <w:pPr>
        <w:spacing w:after="0" w:line="51" w:lineRule="exact"/>
        <w:rPr>
          <w:rFonts w:ascii="Times New Roman" w:cs="Times New Roman" w:eastAsia="Times New Roman" w:hAnsi="Times New Roman"/>
          <w:sz w:val="16"/>
          <w:szCs w:val="16"/>
          <w:color w:val="auto"/>
        </w:rPr>
      </w:pPr>
    </w:p>
    <w:p>
      <w:pPr>
        <w:ind w:left="1140" w:right="160" w:hanging="322"/>
        <w:spacing w:after="0" w:line="272" w:lineRule="auto"/>
        <w:tabs>
          <w:tab w:leader="none" w:pos="1131"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6"/>
          <w:szCs w:val="16"/>
          <w:color w:val="auto"/>
        </w:rPr>
      </w:pPr>
    </w:p>
    <w:p>
      <w:pPr>
        <w:ind w:left="1140" w:right="80" w:hanging="322"/>
        <w:spacing w:after="0" w:line="272" w:lineRule="auto"/>
        <w:tabs>
          <w:tab w:leader="none" w:pos="11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6"/>
          <w:szCs w:val="16"/>
          <w:color w:val="auto"/>
        </w:rPr>
      </w:pPr>
    </w:p>
    <w:p>
      <w:pPr>
        <w:ind w:left="1140" w:right="100" w:hanging="322"/>
        <w:spacing w:after="0" w:line="290" w:lineRule="auto"/>
        <w:tabs>
          <w:tab w:leader="none" w:pos="1131"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298" w:lineRule="auto"/>
        <w:tabs>
          <w:tab w:leader="none" w:pos="11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50" w:lineRule="exact"/>
        <w:rPr>
          <w:rFonts w:ascii="Times New Roman" w:cs="Times New Roman" w:eastAsia="Times New Roman" w:hAnsi="Times New Roman"/>
          <w:sz w:val="16"/>
          <w:szCs w:val="16"/>
          <w:color w:val="auto"/>
        </w:rPr>
      </w:pPr>
    </w:p>
    <w:p>
      <w:pPr>
        <w:ind w:left="660" w:right="440" w:hanging="328"/>
        <w:spacing w:after="0" w:line="260" w:lineRule="auto"/>
        <w:tabs>
          <w:tab w:leader="none" w:pos="6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ind w:left="1140" w:right="240" w:hanging="322"/>
        <w:spacing w:after="0" w:line="255" w:lineRule="auto"/>
        <w:tabs>
          <w:tab w:leader="none" w:pos="1131"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Sun Country's internal control over financial reporting.</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12, 2026</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115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Daniel Torque Zubeck, certify that:</w:t>
      </w:r>
    </w:p>
    <w:p>
      <w:pPr>
        <w:spacing w:after="0" w:line="22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Sun Country Airlines Holdings, Inc. ("Sun Country") for the year ended December 31, 2025;</w:t>
      </w:r>
    </w:p>
    <w:p>
      <w:pPr>
        <w:spacing w:after="0" w:line="23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Sun Country and have:</w:t>
      </w:r>
    </w:p>
    <w:p>
      <w:pPr>
        <w:spacing w:after="0" w:line="51" w:lineRule="exact"/>
        <w:rPr>
          <w:rFonts w:ascii="Times New Roman" w:cs="Times New Roman" w:eastAsia="Times New Roman" w:hAnsi="Times New Roman"/>
          <w:sz w:val="16"/>
          <w:szCs w:val="16"/>
          <w:color w:val="auto"/>
        </w:rPr>
      </w:pPr>
    </w:p>
    <w:p>
      <w:pPr>
        <w:ind w:left="1140" w:right="160" w:hanging="322"/>
        <w:spacing w:after="0" w:line="272" w:lineRule="auto"/>
        <w:tabs>
          <w:tab w:leader="none" w:pos="1131"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6"/>
          <w:szCs w:val="16"/>
          <w:color w:val="auto"/>
        </w:rPr>
      </w:pPr>
    </w:p>
    <w:p>
      <w:pPr>
        <w:ind w:left="1140" w:right="80" w:hanging="322"/>
        <w:spacing w:after="0" w:line="272" w:lineRule="auto"/>
        <w:tabs>
          <w:tab w:leader="none" w:pos="11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6"/>
          <w:szCs w:val="16"/>
          <w:color w:val="auto"/>
        </w:rPr>
      </w:pPr>
    </w:p>
    <w:p>
      <w:pPr>
        <w:ind w:left="1140" w:right="100" w:hanging="322"/>
        <w:spacing w:after="0" w:line="290" w:lineRule="auto"/>
        <w:tabs>
          <w:tab w:leader="none" w:pos="1131"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298" w:lineRule="auto"/>
        <w:tabs>
          <w:tab w:leader="none" w:pos="11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50" w:lineRule="exact"/>
        <w:rPr>
          <w:rFonts w:ascii="Times New Roman" w:cs="Times New Roman" w:eastAsia="Times New Roman" w:hAnsi="Times New Roman"/>
          <w:sz w:val="16"/>
          <w:szCs w:val="16"/>
          <w:color w:val="auto"/>
        </w:rPr>
      </w:pPr>
    </w:p>
    <w:p>
      <w:pPr>
        <w:ind w:left="660" w:right="440" w:hanging="328"/>
        <w:spacing w:after="0" w:line="260"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ind w:left="1140" w:right="240" w:hanging="322"/>
        <w:spacing w:after="0" w:line="255" w:lineRule="auto"/>
        <w:tabs>
          <w:tab w:leader="none" w:pos="1131"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Sun Country's internal control over financial reporting.</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12, 2026</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Daniel Torque Zubeck</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p>
      <w:pPr>
        <w:sectPr>
          <w:pgSz w:w="11900" w:h="16838" w:orient="portrait"/>
          <w:cols w:equalWidth="0" w:num="1">
            <w:col w:w="11240"/>
          </w:cols>
          <w:pgMar w:left="320" w:top="115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12, 2026</w:t>
      </w:r>
    </w:p>
    <w:p>
      <w:pPr>
        <w:spacing w:after="0" w:line="22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annual report on Form 10-K of Sun Country Airlines Holdings, Inc. ("Sun Country") for the annual period ended December 31, 2025 (the "Report").</w:t>
      </w:r>
    </w:p>
    <w:p>
      <w:pPr>
        <w:spacing w:after="0" w:line="18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Each of the undersigned, the Chief Executive Officer and the President and Chief Financial Officer, respectively, of Sun Country, hereby certifies that, as of the end of the period covered by the Report:</w:t>
      </w:r>
    </w:p>
    <w:p>
      <w:pPr>
        <w:spacing w:after="0" w:line="16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Report fully complies with the requirements of Section 13(a) of the Securities Exchange Act of 1934; and</w:t>
      </w:r>
    </w:p>
    <w:p>
      <w:pPr>
        <w:spacing w:after="0" w:line="23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Sun Country.</w:t>
      </w:r>
    </w:p>
    <w:p>
      <w:pPr>
        <w:spacing w:after="0" w:line="26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0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Daniel Torque Zubeck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0">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Daniel Torque Zubeck</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Senior Vice President and Chief Financial Officer</w:t>
      </w:r>
    </w:p>
    <w:sectPr>
      <w:pgSz w:w="11900" w:h="16838" w:orient="portrait"/>
      <w:cols w:equalWidth="0" w:num="1">
        <w:col w:w="11240"/>
      </w:cols>
      <w:pgMar w:left="320" w:top="11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endash "/>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Roman"/>
      <w:start w:val="2"/>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lowerRoman"/>
      <w:start w:val="1"/>
    </w:lvl>
  </w:abstractNum>
  <w:abstractNum w:abstractNumId="21">
    <w:nsid w:val="737B8DDC"/>
    <w:multiLevelType w:val="hybridMultilevel"/>
    <w:lvl w:ilvl="0">
      <w:lvlJc w:val="left"/>
      <w:lvlText w:val="\endash "/>
      <w:numFmt w:val="bullet"/>
      <w:start w:val="1"/>
    </w:lvl>
  </w:abstractNum>
  <w:abstractNum w:abstractNumId="22">
    <w:nsid w:val="6CEAF087"/>
    <w:multiLevelType w:val="hybridMultilevel"/>
    <w:lvl w:ilvl="0">
      <w:lvlJc w:val="left"/>
      <w:lvlText w:val="%1."/>
      <w:numFmt w:val="decimal"/>
      <w:start w:val="22"/>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4"/>
    </w:lvl>
  </w:abstractNum>
  <w:abstractNum w:abstractNumId="25">
    <w:nsid w:val="3006C83E"/>
    <w:multiLevelType w:val="hybridMultilevel"/>
    <w:lvl w:ilvl="0">
      <w:lvlJc w:val="left"/>
      <w:lvlText w:val="%1)"/>
      <w:numFmt w:val="decimal"/>
      <w:start w:val="4"/>
    </w:lvl>
  </w:abstractNum>
  <w:abstractNum w:abstractNumId="26">
    <w:nsid w:val="614FD4A1"/>
    <w:multiLevelType w:val="hybridMultilevel"/>
    <w:lvl w:ilvl="0">
      <w:lvlJc w:val="left"/>
      <w:lvlText w:val="%1"/>
      <w:numFmt w:val="decimal"/>
      <w:start w:val="1"/>
    </w:lvl>
    <w:lvl w:ilvl="1">
      <w:lvlJc w:val="left"/>
      <w:lvlText w:val="(%2)"/>
      <w:numFmt w:val="decimal"/>
      <w:start w:val="1"/>
    </w:lvl>
  </w:abstractNum>
  <w:abstractNum w:abstractNumId="27">
    <w:nsid w:val="419AC241"/>
    <w:multiLevelType w:val="hybridMultilevel"/>
    <w:lvl w:ilvl="0">
      <w:lvlJc w:val="left"/>
      <w:lvlText w:val="%1."/>
      <w:numFmt w:val="decimal"/>
      <w:start w:val="5"/>
    </w:lvl>
    <w:lvl w:ilvl="1">
      <w:lvlJc w:val="left"/>
      <w:lvlText w:val="%2"/>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6"/>
    </w:lvl>
  </w:abstractNum>
  <w:abstractNum w:abstractNumId="33">
    <w:nsid w:val="7724C67E"/>
    <w:multiLevelType w:val="hybridMultilevel"/>
    <w:lvl w:ilvl="0">
      <w:lvlJc w:val="left"/>
      <w:lvlText w:val="%1."/>
      <w:numFmt w:val="decimal"/>
      <w:start w:val="19"/>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7" Type="http://schemas.openxmlformats.org/officeDocument/2006/relationships/image" Target="media/image190.png"/><Relationship Id="rId215" Type="http://schemas.openxmlformats.org/officeDocument/2006/relationships/image" Target="media/image191.png"/><Relationship Id="rId228" Type="http://schemas.openxmlformats.org/officeDocument/2006/relationships/image" Target="media/image192.png"/><Relationship Id="rId242" Type="http://schemas.openxmlformats.org/officeDocument/2006/relationships/image" Target="media/image193.png"/><Relationship Id="rId257" Type="http://schemas.openxmlformats.org/officeDocument/2006/relationships/image" Target="media/image194.png"/><Relationship Id="rId271" Type="http://schemas.openxmlformats.org/officeDocument/2006/relationships/image" Target="media/image195.png"/><Relationship Id="rId282" Type="http://schemas.openxmlformats.org/officeDocument/2006/relationships/image" Target="media/image196.png"/><Relationship Id="rId283" Type="http://schemas.openxmlformats.org/officeDocument/2006/relationships/image" Target="media/image197.png"/><Relationship Id="rId284" Type="http://schemas.openxmlformats.org/officeDocument/2006/relationships/image" Target="media/image198.png"/><Relationship Id="rId285" Type="http://schemas.openxmlformats.org/officeDocument/2006/relationships/image" Target="media/image199.png"/><Relationship Id="rId286" Type="http://schemas.openxmlformats.org/officeDocument/2006/relationships/image" Target="media/image200.png"/><Relationship Id="rId287" Type="http://schemas.openxmlformats.org/officeDocument/2006/relationships/image" Target="media/image201.png"/><Relationship Id="rId288" Type="http://schemas.openxmlformats.org/officeDocument/2006/relationships/image" Target="media/image202.png"/><Relationship Id="rId289" Type="http://schemas.openxmlformats.org/officeDocument/2006/relationships/image" Target="media/image203.png"/><Relationship Id="rId290" Type="http://schemas.openxmlformats.org/officeDocument/2006/relationships/image" Target="media/image204.png"/><Relationship Id="rId197" Type="http://schemas.openxmlformats.org/officeDocument/2006/relationships/hyperlink" Target="https://www.sec.gov/Archives/edgar/data/1743907/000119312526009914/d20291dex21.htm" TargetMode="External"/><Relationship Id="rId198" Type="http://schemas.openxmlformats.org/officeDocument/2006/relationships/hyperlink" Target="https://www.sec.gov/Archives/edgar/data/1743907/000119312521083088/d54989dex31.htm" TargetMode="External"/><Relationship Id="rId199" Type="http://schemas.openxmlformats.org/officeDocument/2006/relationships/hyperlink" Target="https://www.sec.gov/Archives/edgar/data/1743907/000119312521083088/d54989dex32.htm" TargetMode="External"/><Relationship Id="rId200" Type="http://schemas.openxmlformats.org/officeDocument/2006/relationships/hyperlink" Target="https://www.sec.gov/Archives/edgar/data/1743907/000119312521032486/d71456dex41.htm" TargetMode="External"/><Relationship Id="rId201" Type="http://schemas.openxmlformats.org/officeDocument/2006/relationships/hyperlink" Target="https://www.sec.gov/Archives/edgar/data/1743907/000119312521032486/d71456dex42.htm" TargetMode="External"/><Relationship Id="rId202" Type="http://schemas.openxmlformats.org/officeDocument/2006/relationships/hyperlink" Target="https://www.sec.gov/Archives/edgar/data/1743907/000119312521032486/d71456dex43.htm" TargetMode="External"/><Relationship Id="rId203" Type="http://schemas.openxmlformats.org/officeDocument/2006/relationships/hyperlink" Target="https://www.sec.gov/Archives/edgar/data/1743907/000119312521032486/d71456dex44.htm" TargetMode="External"/><Relationship Id="rId204" Type="http://schemas.openxmlformats.org/officeDocument/2006/relationships/hyperlink" Target="https://www.sec.gov/Archives/edgar/data/1743907/000119312521032486/d71456dex45.htm" TargetMode="External"/><Relationship Id="rId205" Type="http://schemas.openxmlformats.org/officeDocument/2006/relationships/hyperlink" Target="https://www.sec.gov/Archives/edgar/data/1743907/000119312522095256/d331629dex41.htm" TargetMode="External"/><Relationship Id="rId206" Type="http://schemas.openxmlformats.org/officeDocument/2006/relationships/hyperlink" Target="https://www.sec.gov/Archives/edgar/data/1743907/000119312522095256/d331629dex42.htm" TargetMode="External"/><Relationship Id="rId208" Type="http://schemas.openxmlformats.org/officeDocument/2006/relationships/hyperlink" Target="https://www.sec.gov/Archives/edgar/data/1743907/000119312522095256/d331629dex43.htm" TargetMode="External"/><Relationship Id="rId209" Type="http://schemas.openxmlformats.org/officeDocument/2006/relationships/hyperlink" Target="https://www.sec.gov/Archives/edgar/data/1743907/000119312522095256/d331629dex44.htm" TargetMode="External"/><Relationship Id="rId210" Type="http://schemas.openxmlformats.org/officeDocument/2006/relationships/hyperlink" Target="https://www.sec.gov/Archives/edgar/data/1743907/000174390725000005/sncy-20241231xex414.htm" TargetMode="External"/><Relationship Id="rId211" Type="http://schemas.openxmlformats.org/officeDocument/2006/relationships/hyperlink" Target="https://www.sec.gov/Archives/edgar/data/1743907/000174390725000005/eetctrusttoindenture-ex415.htm" TargetMode="External"/><Relationship Id="rId212" Type="http://schemas.openxmlformats.org/officeDocument/2006/relationships/hyperlink" Target="https://www.sec.gov/Archives/edgar/data/1743907/000174390725000005/eetcparticipationagreement.htm" TargetMode="External"/><Relationship Id="rId213" Type="http://schemas.openxmlformats.org/officeDocument/2006/relationships/hyperlink" Target="https://www.sec.gov/Archives/edgar/data/1743907/000174390725000005/eetcintercreditoramendment.htm" TargetMode="External"/><Relationship Id="rId214" Type="http://schemas.openxmlformats.org/officeDocument/2006/relationships/hyperlink" Target="https://www.sec.gov/Archives/edgar/data/1743907/000119312521032486/d71456dex105.htm" TargetMode="External"/><Relationship Id="rId216" Type="http://schemas.openxmlformats.org/officeDocument/2006/relationships/hyperlink" Target="https://www.sec.gov/Archives/edgar/data/1743907/000119312521032486/d71456dex106.htm" TargetMode="External"/><Relationship Id="rId217" Type="http://schemas.openxmlformats.org/officeDocument/2006/relationships/hyperlink" Target="https://www.sec.gov/Archives/edgar/data/1743907/000119312521032486/d71456dex107.htm" TargetMode="External"/><Relationship Id="rId218" Type="http://schemas.openxmlformats.org/officeDocument/2006/relationships/hyperlink" Target="https://www.sec.gov/Archives/edgar/data/1743907/000119312521032486/d71456dex108.htm" TargetMode="External"/><Relationship Id="rId219" Type="http://schemas.openxmlformats.org/officeDocument/2006/relationships/hyperlink" Target="https://www.sec.gov/Archives/edgar/data/1743907/000119312521032486/d71456dex109.htm" TargetMode="External"/><Relationship Id="rId220" Type="http://schemas.openxmlformats.org/officeDocument/2006/relationships/hyperlink" Target="https://www.sec.gov/Archives/edgar/data/1743907/000119312521032486/d71456dex1010.htm" TargetMode="External"/><Relationship Id="rId221" Type="http://schemas.openxmlformats.org/officeDocument/2006/relationships/hyperlink" Target="https://www.sec.gov/Archives/edgar/data/1743907/000119312521032486/d71456dex1011.htm" TargetMode="External"/><Relationship Id="rId222" Type="http://schemas.openxmlformats.org/officeDocument/2006/relationships/hyperlink" Target="https://www.sec.gov/Archives/edgar/data/1743907/000119312521032486/d71456dex1012.htm" TargetMode="External"/><Relationship Id="rId223" Type="http://schemas.openxmlformats.org/officeDocument/2006/relationships/hyperlink" Target="https://www.sec.gov/Archives/edgar/data/1743907/000119312521032486/d71456dex1013.htm" TargetMode="External"/><Relationship Id="rId224" Type="http://schemas.openxmlformats.org/officeDocument/2006/relationships/hyperlink" Target="https://www.sec.gov/Archives/edgar/data/1743907/000119312521032486/d71456dex1014.htm" TargetMode="External"/><Relationship Id="rId225" Type="http://schemas.openxmlformats.org/officeDocument/2006/relationships/hyperlink" Target="https://www.sec.gov/Archives/edgar/data/1743907/000119312521032486/d71456dex1015.htm" TargetMode="External"/><Relationship Id="rId226" Type="http://schemas.openxmlformats.org/officeDocument/2006/relationships/hyperlink" Target="https://www.sec.gov/Archives/edgar/data/1743907/000119312521032486/d71456dex1016.htm" TargetMode="External"/><Relationship Id="rId227" Type="http://schemas.openxmlformats.org/officeDocument/2006/relationships/hyperlink" Target="https://www.sec.gov/Archives/edgar/data/1743907/000119312521032486/d71456dex1017.htm" TargetMode="External"/><Relationship Id="rId229" Type="http://schemas.openxmlformats.org/officeDocument/2006/relationships/hyperlink" Target="https://www.sec.gov/Archives/edgar/data/1743907/000119312521032486/d71456dex1018.htm" TargetMode="External"/><Relationship Id="rId230" Type="http://schemas.openxmlformats.org/officeDocument/2006/relationships/hyperlink" Target="https://www.sec.gov/Archives/edgar/data/1743907/000119312521032486/d71456dex1019.htm" TargetMode="External"/><Relationship Id="rId231" Type="http://schemas.openxmlformats.org/officeDocument/2006/relationships/hyperlink" Target="https://www.sec.gov/Archives/edgar/data/1743907/000119312521032486/d71456dex1020.htm" TargetMode="External"/><Relationship Id="rId232" Type="http://schemas.openxmlformats.org/officeDocument/2006/relationships/hyperlink" Target="https://www.sec.gov/Archives/edgar/data/1743907/000119312521032486/d71456dex1021.htm" TargetMode="External"/><Relationship Id="rId233" Type="http://schemas.openxmlformats.org/officeDocument/2006/relationships/hyperlink" Target="https://www.sec.gov/Archives/edgar/data/1743907/000119312521032486/d71456dex1022.htm" TargetMode="External"/><Relationship Id="rId234" Type="http://schemas.openxmlformats.org/officeDocument/2006/relationships/hyperlink" Target="https://www.sec.gov/Archives/edgar/data/1743907/000119312521032486/d71456dex1023.htm" TargetMode="External"/><Relationship Id="rId235" Type="http://schemas.openxmlformats.org/officeDocument/2006/relationships/hyperlink" Target="https://www.sec.gov/Archives/edgar/data/1743907/000119312521032486/d71456dex1024.htm" TargetMode="External"/><Relationship Id="rId236" Type="http://schemas.openxmlformats.org/officeDocument/2006/relationships/hyperlink" Target="https://www.sec.gov/Archives/edgar/data/1743907/000119312521032486/d71456dex1025.htm" TargetMode="External"/><Relationship Id="rId237" Type="http://schemas.openxmlformats.org/officeDocument/2006/relationships/hyperlink" Target="https://www.sec.gov/Archives/edgar/data/1743907/000119312521032486/d71456dex1026.htm" TargetMode="External"/><Relationship Id="rId238" Type="http://schemas.openxmlformats.org/officeDocument/2006/relationships/hyperlink" Target="https://www.sec.gov/Archives/edgar/data/1743907/000119312521032486/d71456dex1027.htm" TargetMode="External"/><Relationship Id="rId239" Type="http://schemas.openxmlformats.org/officeDocument/2006/relationships/hyperlink" Target="https://www.sec.gov/Archives/edgar/data/1743907/000119312521032486/d71456dex1028.htm" TargetMode="External"/><Relationship Id="rId240" Type="http://schemas.openxmlformats.org/officeDocument/2006/relationships/hyperlink" Target="https://www.sec.gov/Archives/edgar/data/1743907/000119312521032486/d71456dex1029.htm" TargetMode="External"/><Relationship Id="rId241" Type="http://schemas.openxmlformats.org/officeDocument/2006/relationships/hyperlink" Target="https://www.sec.gov/Archives/edgar/data/1743907/000119312521032486/d71456dex1030.htm" TargetMode="External"/><Relationship Id="rId243" Type="http://schemas.openxmlformats.org/officeDocument/2006/relationships/hyperlink" Target="https://www.sec.gov/Archives/edgar/data/1743907/000119312521032486/d71456dex1031.htm" TargetMode="External"/><Relationship Id="rId244" Type="http://schemas.openxmlformats.org/officeDocument/2006/relationships/hyperlink" Target="https://www.sec.gov/Archives/edgar/data/1743907/000119312521032486/d71456dex1032.htm" TargetMode="External"/><Relationship Id="rId245" Type="http://schemas.openxmlformats.org/officeDocument/2006/relationships/hyperlink" Target="https://www.sec.gov/Archives/edgar/data/1743907/000119312521032486/d71456dex1033.htm" TargetMode="External"/><Relationship Id="rId246" Type="http://schemas.openxmlformats.org/officeDocument/2006/relationships/hyperlink" Target="https://www.sec.gov/Archives/edgar/data/1743907/000119312521032486/d71456dex1034.htm" TargetMode="External"/><Relationship Id="rId247" Type="http://schemas.openxmlformats.org/officeDocument/2006/relationships/hyperlink" Target="https://www.sec.gov/Archives/edgar/data/1743907/000119312521032486/d71456dex1035.htm" TargetMode="External"/><Relationship Id="rId248" Type="http://schemas.openxmlformats.org/officeDocument/2006/relationships/hyperlink" Target="https://www.sec.gov/Archives/edgar/data/1743907/000119312521032486/d71456dex1036.htm" TargetMode="External"/><Relationship Id="rId249" Type="http://schemas.openxmlformats.org/officeDocument/2006/relationships/hyperlink" Target="https://www.sec.gov/Archives/edgar/data/1743907/000119312521089702/d151286dex102.htm" TargetMode="External"/><Relationship Id="rId250" Type="http://schemas.openxmlformats.org/officeDocument/2006/relationships/hyperlink" Target="https://www.sec.gov/Archives/edgar/data/1743907/000119312521089702/d151286dex101.htm" TargetMode="External"/><Relationship Id="rId251" Type="http://schemas.openxmlformats.org/officeDocument/2006/relationships/hyperlink" Target="https://www.sec.gov/Archives/edgar/data/1743907/000119312521032486/d71456dex1039.htm" TargetMode="External"/><Relationship Id="rId252" Type="http://schemas.openxmlformats.org/officeDocument/2006/relationships/hyperlink" Target="https://www.sec.gov/Archives/edgar/data/1743907/000119312521032486/d71456dex1040.htm" TargetMode="External"/><Relationship Id="rId253" Type="http://schemas.openxmlformats.org/officeDocument/2006/relationships/hyperlink" Target="https://www.sec.gov/Archives/edgar/data/1743907/000119312521083088/d54989dex42.htm" TargetMode="External"/><Relationship Id="rId254" Type="http://schemas.openxmlformats.org/officeDocument/2006/relationships/hyperlink" Target="https://www.sec.gov/Archives/edgar/data/1743907/000119312521032486/d71456dex1042.htm" TargetMode="External"/><Relationship Id="rId255" Type="http://schemas.openxmlformats.org/officeDocument/2006/relationships/hyperlink" Target="https://www.sec.gov/Archives/edgar/data/1743907/000119312521032486/d71456dex1045.htm" TargetMode="External"/><Relationship Id="rId256" Type="http://schemas.openxmlformats.org/officeDocument/2006/relationships/hyperlink" Target="https://www.sec.gov/Archives/edgar/data/1743907/000119312521089702/d151286dex103.htm" TargetMode="External"/><Relationship Id="rId258" Type="http://schemas.openxmlformats.org/officeDocument/2006/relationships/hyperlink" Target="https://www.sec.gov/Archives/edgar/data/1743907/000174390724000009/exhibit101prsuagreement.htm" TargetMode="External"/><Relationship Id="rId259" Type="http://schemas.openxmlformats.org/officeDocument/2006/relationships/hyperlink" Target="https://www.sec.gov/Archives/edgar/data/1743907/000119312521051676/d71456dex1047.htm" TargetMode="External"/><Relationship Id="rId260" Type="http://schemas.openxmlformats.org/officeDocument/2006/relationships/hyperlink" Target="https://www.sec.gov/Archives/edgar/data/1743907/000155837021009506/sncy-20210630xex10d1.htm" TargetMode="External"/><Relationship Id="rId261" Type="http://schemas.openxmlformats.org/officeDocument/2006/relationships/hyperlink" Target="https://www.sec.gov/Archives/edgar/data/1743907/000174390724000005/sncy-20231231xex1043.htm" TargetMode="External"/><Relationship Id="rId262" Type="http://schemas.openxmlformats.org/officeDocument/2006/relationships/hyperlink" Target="https://www.sec.gov/Archives/edgar/data/1743907/000174390724000005/ex1044suncountry-roseneale.htm" TargetMode="External"/><Relationship Id="rId263" Type="http://schemas.openxmlformats.org/officeDocument/2006/relationships/hyperlink" Target="https://www.sec.gov/Archives/edgar/data/1743907/000174390723000013/sncy-20230331x10xqexx102.htm" TargetMode="External"/><Relationship Id="rId264" Type="http://schemas.openxmlformats.org/officeDocument/2006/relationships/hyperlink" Target="https://www.sec.gov/Archives/edgar/data/1743907/000119312523143537/d485508dex101.htm" TargetMode="External"/><Relationship Id="rId265" Type="http://schemas.openxmlformats.org/officeDocument/2006/relationships/hyperlink" Target="https://www.sec.gov/Archives/edgar/data/1743907/000119312523143537/d485508dex102.htm" TargetMode="External"/><Relationship Id="rId266" Type="http://schemas.openxmlformats.org/officeDocument/2006/relationships/hyperlink" Target="https://www.sec.gov/Archives/edgar/data/1743907/000174390723000023/sncy-20230930x10xqex101.htm" TargetMode="External"/><Relationship Id="rId267" Type="http://schemas.openxmlformats.org/officeDocument/2006/relationships/hyperlink" Target="https://www.sec.gov/Archives/edgar/data/1743907/000174390724000005/ex1049suncountry-ericleven.htm" TargetMode="External"/><Relationship Id="rId268" Type="http://schemas.openxmlformats.org/officeDocument/2006/relationships/hyperlink" Target="https://www.sec.gov/Archives/edgar/data/1743907/000119312524164060/d832220dex101.htm" TargetMode="External"/><Relationship Id="rId269" Type="http://schemas.openxmlformats.org/officeDocument/2006/relationships/hyperlink" Target="https://www.sec.gov/Archives/edgar/data/1743907/000174390725000010/sca-syfxprogramagreementre.htm" TargetMode="External"/><Relationship Id="rId270" Type="http://schemas.openxmlformats.org/officeDocument/2006/relationships/hyperlink" Target="https://www.sec.gov/Archives/edgar/data/1743907/000174390725000021/suncountrycreditandguarant.htm" TargetMode="External"/><Relationship Id="rId272" Type="http://schemas.openxmlformats.org/officeDocument/2006/relationships/hyperlink" Target="https://www.sec.gov/Archives/edgar/data/1743907/000119312525024316/d932164dex11.htm" TargetMode="External"/><Relationship Id="rId273" Type="http://schemas.openxmlformats.org/officeDocument/2006/relationships/hyperlink" Target="https://www.sec.gov/Archives/edgar/data/1743907/000174390725000047/a101castlelake-suncountry2.htm" TargetMode="External"/><Relationship Id="rId274" Type="http://schemas.openxmlformats.org/officeDocument/2006/relationships/hyperlink" Target="https://www.sec.gov/Archives/edgar/data/1743907/000174390725000047/a102castlelake-suncountry2.htm" TargetMode="External"/><Relationship Id="rId275" Type="http://schemas.openxmlformats.org/officeDocument/2006/relationships/hyperlink" Target="https://www.sec.gov/Archives/edgar/data/1743907/000119312525179984/d936426dex101.htm" TargetMode="External"/><Relationship Id="rId276" Type="http://schemas.openxmlformats.org/officeDocument/2006/relationships/hyperlink" Target="https://www.sec.gov/Archives/edgar/data/1743907/000174390725000069/sncy-20250930x10qexhibit104.htm" TargetMode="External"/><Relationship Id="rId277" Type="http://schemas.openxmlformats.org/officeDocument/2006/relationships/hyperlink" Target="https://www.sec.gov/Archives/edgar/data/1743907/000174390725000069/sncy-20250930x10qexhibit105.htm" TargetMode="External"/><Relationship Id="rId278" Type="http://schemas.openxmlformats.org/officeDocument/2006/relationships/hyperlink" Target="https://www.sec.gov/Archives/edgar/data/1743907/000174390725000071/grantwhitney-separationagr.htm" TargetMode="External"/><Relationship Id="rId279" Type="http://schemas.openxmlformats.org/officeDocument/2006/relationships/hyperlink" Target="https://www.sec.gov/Archives/edgar/data/1743907/000174390725000005/securitiestradingpolicy-ex.htm" TargetMode="External"/><Relationship Id="rId280" Type="http://schemas.openxmlformats.org/officeDocument/2006/relationships/hyperlink" Target="https://www.sec.gov/Archives/edgar/data/1743907/000119312521032486/d71456dex211.htm" TargetMode="External"/><Relationship Id="rId281" Type="http://schemas.openxmlformats.org/officeDocument/2006/relationships/hyperlink" Target="https://www.sec.gov/Archives/edgar/data/1743907/000174390724000005/ex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2026-02-12T15:24:59Z</dcterms:created>
  <dcterms:modified xsi:type="dcterms:W3CDTF">2026-02-12T15:24:59Z</dcterms:modified>
</cp:coreProperties>
</file>