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215900</wp:posOffset>
            </wp:positionV>
            <wp:extent cx="714248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2413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248285</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8-K</w:t>
      </w:r>
    </w:p>
    <w:p>
      <w:pPr>
        <w:spacing w:after="0" w:line="205"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CURRENT REPORT</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Pursuant to Section 13 or 15(d)</w:t>
      </w:r>
    </w:p>
    <w:p>
      <w:pPr>
        <w:spacing w:after="0" w:line="5" w:lineRule="exact"/>
        <w:rPr>
          <w:sz w:val="24"/>
          <w:szCs w:val="24"/>
          <w:color w:val="auto"/>
        </w:rPr>
      </w:pPr>
    </w:p>
    <w:p>
      <w:pPr>
        <w:ind w:left="4260"/>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September 9, 2021</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Sun Country Airlines Holdings,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637" w:right="339" w:bottom="1440" w:gutter="0" w:footer="0" w:header="0"/>
        </w:sectPr>
      </w:pPr>
    </w:p>
    <w:p>
      <w:pPr>
        <w:spacing w:after="0" w:line="189" w:lineRule="exact"/>
        <w:rPr>
          <w:sz w:val="24"/>
          <w:szCs w:val="24"/>
          <w:color w:val="auto"/>
        </w:rPr>
      </w:pPr>
    </w:p>
    <w:p>
      <w:pPr>
        <w:ind w:left="1460"/>
        <w:spacing w:after="0"/>
        <w:rPr>
          <w:sz w:val="20"/>
          <w:szCs w:val="20"/>
          <w:color w:val="auto"/>
        </w:rPr>
      </w:pPr>
      <w:r>
        <w:rPr>
          <w:rFonts w:ascii="Arial" w:cs="Arial" w:eastAsia="Arial" w:hAnsi="Arial"/>
          <w:sz w:val="17"/>
          <w:szCs w:val="17"/>
          <w:b w:val="1"/>
          <w:bCs w:val="1"/>
          <w:color w:val="auto"/>
        </w:rPr>
        <w:t>Delaware</w:t>
      </w:r>
    </w:p>
    <w:p>
      <w:pPr>
        <w:spacing w:after="0" w:line="21" w:lineRule="exact"/>
        <w:rPr>
          <w:sz w:val="24"/>
          <w:szCs w:val="24"/>
          <w:color w:val="auto"/>
        </w:rPr>
      </w:pPr>
    </w:p>
    <w:p>
      <w:pPr>
        <w:ind w:left="1520"/>
        <w:spacing w:after="0"/>
        <w:rPr>
          <w:sz w:val="20"/>
          <w:szCs w:val="20"/>
          <w:color w:val="auto"/>
        </w:rPr>
      </w:pPr>
      <w:r>
        <w:rPr>
          <w:rFonts w:ascii="Arial" w:cs="Arial" w:eastAsia="Arial" w:hAnsi="Arial"/>
          <w:sz w:val="17"/>
          <w:szCs w:val="17"/>
          <w:color w:val="auto"/>
        </w:rPr>
        <w:t>(State of</w:t>
      </w:r>
    </w:p>
    <w:p>
      <w:pPr>
        <w:spacing w:after="0" w:line="5" w:lineRule="exact"/>
        <w:rPr>
          <w:sz w:val="24"/>
          <w:szCs w:val="24"/>
          <w:color w:val="auto"/>
        </w:rPr>
      </w:pPr>
    </w:p>
    <w:p>
      <w:pPr>
        <w:ind w:left="1320"/>
        <w:spacing w:after="0"/>
        <w:rPr>
          <w:sz w:val="20"/>
          <w:szCs w:val="20"/>
          <w:color w:val="auto"/>
        </w:rPr>
      </w:pPr>
      <w:r>
        <w:rPr>
          <w:rFonts w:ascii="Arial" w:cs="Arial" w:eastAsia="Arial" w:hAnsi="Arial"/>
          <w:sz w:val="15"/>
          <w:szCs w:val="15"/>
          <w:color w:val="auto"/>
        </w:rPr>
        <w:t>Incorporation)</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001-40217</w:t>
      </w:r>
    </w:p>
    <w:p>
      <w:pPr>
        <w:spacing w:after="0" w:line="21" w:lineRule="exact"/>
        <w:rPr>
          <w:sz w:val="24"/>
          <w:szCs w:val="24"/>
          <w:color w:val="auto"/>
        </w:rPr>
      </w:pPr>
    </w:p>
    <w:p>
      <w:pPr>
        <w:jc w:val="center"/>
        <w:ind w:right="2020"/>
        <w:spacing w:after="0"/>
        <w:rPr>
          <w:sz w:val="20"/>
          <w:szCs w:val="20"/>
          <w:color w:val="auto"/>
        </w:rPr>
      </w:pPr>
      <w:r>
        <w:rPr>
          <w:rFonts w:ascii="Arial" w:cs="Arial" w:eastAsia="Arial" w:hAnsi="Arial"/>
          <w:sz w:val="15"/>
          <w:szCs w:val="15"/>
          <w:color w:val="auto"/>
        </w:rPr>
        <w:t>(Commission</w:t>
      </w:r>
    </w:p>
    <w:p>
      <w:pPr>
        <w:spacing w:after="0" w:line="28" w:lineRule="exact"/>
        <w:rPr>
          <w:sz w:val="24"/>
          <w:szCs w:val="24"/>
          <w:color w:val="auto"/>
        </w:rPr>
      </w:pPr>
    </w:p>
    <w:p>
      <w:pPr>
        <w:jc w:val="center"/>
        <w:ind w:right="2020"/>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1160"/>
        <w:spacing w:after="0"/>
        <w:rPr>
          <w:sz w:val="20"/>
          <w:szCs w:val="20"/>
          <w:color w:val="auto"/>
        </w:rPr>
      </w:pPr>
      <w:r>
        <w:rPr>
          <w:rFonts w:ascii="Arial" w:cs="Arial" w:eastAsia="Arial" w:hAnsi="Arial"/>
          <w:sz w:val="17"/>
          <w:szCs w:val="17"/>
          <w:b w:val="1"/>
          <w:bCs w:val="1"/>
          <w:color w:val="auto"/>
        </w:rPr>
        <w:t>82-4092570</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(I.R.S. Employer</w:t>
      </w:r>
    </w:p>
    <w:p>
      <w:pPr>
        <w:spacing w:after="0" w:line="5"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460" w:space="720"/>
            <w:col w:w="2920" w:space="720"/>
            <w:col w:w="2420"/>
          </w:cols>
          <w:pgMar w:left="320" w:top="637" w:right="339" w:bottom="1440" w:gutter="0" w:footer="0" w:header="0"/>
          <w:type w:val="continuous"/>
        </w:sectPr>
      </w:pPr>
    </w:p>
    <w:p>
      <w:pPr>
        <w:jc w:val="center"/>
        <w:ind w:right="1880"/>
        <w:spacing w:after="0"/>
        <w:rPr>
          <w:sz w:val="20"/>
          <w:szCs w:val="20"/>
          <w:color w:val="auto"/>
        </w:rPr>
      </w:pPr>
      <w:r>
        <w:rPr>
          <w:rFonts w:ascii="Arial" w:cs="Arial" w:eastAsia="Arial" w:hAnsi="Arial"/>
          <w:sz w:val="17"/>
          <w:szCs w:val="17"/>
          <w:b w:val="1"/>
          <w:bCs w:val="1"/>
          <w:color w:val="auto"/>
        </w:rPr>
        <w:t>2005 Cargo Road</w:t>
      </w:r>
    </w:p>
    <w:p>
      <w:pPr>
        <w:spacing w:after="0" w:line="21"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Minneapolis, MN</w:t>
      </w:r>
    </w:p>
    <w:p>
      <w:pPr>
        <w:spacing w:after="0" w:line="5" w:lineRule="exact"/>
        <w:rPr>
          <w:sz w:val="24"/>
          <w:szCs w:val="24"/>
          <w:color w:val="auto"/>
        </w:rPr>
      </w:pPr>
    </w:p>
    <w:p>
      <w:pPr>
        <w:jc w:val="center"/>
        <w:ind w:right="188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80"/>
        <w:spacing w:after="0"/>
        <w:rPr>
          <w:sz w:val="20"/>
          <w:szCs w:val="20"/>
          <w:color w:val="auto"/>
        </w:rPr>
      </w:pPr>
      <w:r>
        <w:rPr>
          <w:rFonts w:ascii="Arial" w:cs="Arial" w:eastAsia="Arial" w:hAnsi="Arial"/>
          <w:sz w:val="17"/>
          <w:szCs w:val="17"/>
          <w:b w:val="1"/>
          <w:bCs w:val="1"/>
          <w:color w:val="auto"/>
        </w:rPr>
        <w:t>55450</w:t>
      </w:r>
    </w:p>
    <w:p>
      <w:pPr>
        <w:spacing w:after="0" w:line="21" w:lineRule="exact"/>
        <w:rPr>
          <w:sz w:val="24"/>
          <w:szCs w:val="24"/>
          <w:color w:val="auto"/>
        </w:rPr>
      </w:pPr>
    </w:p>
    <w:p>
      <w:pPr>
        <w:jc w:val="center"/>
        <w:ind w:right="23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637" w:right="339" w:bottom="1440" w:gutter="0" w:footer="0" w:header="0"/>
          <w:type w:val="continuous"/>
        </w:sectPr>
      </w:pP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(651) 681-3900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ectPr>
          <w:pgSz w:w="11900" w:h="16838" w:orient="portrait"/>
          <w:cols w:equalWidth="0" w:num="1">
            <w:col w:w="11240"/>
          </w:cols>
          <w:pgMar w:left="320" w:top="637" w:right="339" w:bottom="1440" w:gutter="0" w:footer="0" w:header="0"/>
          <w:type w:val="continuous"/>
        </w:sect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5" w:lineRule="exact"/>
        <w:rPr>
          <w:sz w:val="24"/>
          <w:szCs w:val="24"/>
          <w:color w:val="auto"/>
        </w:rPr>
      </w:pPr>
    </w:p>
    <w:p>
      <w:pPr>
        <w:ind w:right="720"/>
        <w:spacing w:after="0" w:line="267"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220" w:hanging="220"/>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8" w:lineRule="exact"/>
        <w:rPr>
          <w:rFonts w:ascii="MS PGothic" w:cs="MS PGothic" w:eastAsia="MS PGothic" w:hAnsi="MS PGothic"/>
          <w:sz w:val="17"/>
          <w:szCs w:val="17"/>
          <w:color w:val="auto"/>
        </w:rPr>
      </w:pPr>
    </w:p>
    <w:p>
      <w:pPr>
        <w:ind w:left="220" w:hanging="220"/>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4" w:lineRule="exact"/>
        <w:rPr>
          <w:rFonts w:ascii="MS PGothic" w:cs="MS PGothic" w:eastAsia="MS PGothic" w:hAnsi="MS PGothic"/>
          <w:sz w:val="17"/>
          <w:szCs w:val="17"/>
          <w:color w:val="auto"/>
        </w:rPr>
      </w:pPr>
    </w:p>
    <w:p>
      <w:pPr>
        <w:ind w:left="220" w:hanging="220"/>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4" w:lineRule="exact"/>
        <w:rPr>
          <w:rFonts w:ascii="MS PGothic" w:cs="MS PGothic" w:eastAsia="MS PGothic" w:hAnsi="MS PGothic"/>
          <w:sz w:val="17"/>
          <w:szCs w:val="17"/>
          <w:color w:val="auto"/>
        </w:rPr>
      </w:pPr>
    </w:p>
    <w:p>
      <w:pPr>
        <w:ind w:left="220" w:hanging="220"/>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940" w:type="dxa"/>
            <w:vAlign w:val="bottom"/>
            <w:gridSpan w:val="3"/>
          </w:tcPr>
          <w:p>
            <w:pPr>
              <w:jc w:val="center"/>
              <w:ind w:right="100"/>
              <w:spacing w:after="0"/>
              <w:rPr>
                <w:sz w:val="20"/>
                <w:szCs w:val="20"/>
                <w:color w:val="auto"/>
              </w:rPr>
            </w:pPr>
            <w:r>
              <w:rPr>
                <w:rFonts w:ascii="Arial" w:cs="Arial" w:eastAsia="Arial" w:hAnsi="Arial"/>
                <w:sz w:val="17"/>
                <w:szCs w:val="17"/>
                <w:color w:val="auto"/>
                <w:w w:val="88"/>
              </w:rPr>
              <w:t>Securities registered pursuant to Section 12(b) of the Act:</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38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Trading</w:t>
            </w:r>
          </w:p>
        </w:tc>
        <w:tc>
          <w:tcPr>
            <w:tcW w:w="3480" w:type="dxa"/>
            <w:vAlign w:val="bottom"/>
          </w:tcPr>
          <w:p>
            <w:pPr>
              <w:jc w:val="center"/>
              <w:spacing w:after="0"/>
              <w:rPr>
                <w:sz w:val="20"/>
                <w:szCs w:val="20"/>
                <w:color w:val="auto"/>
              </w:rPr>
            </w:pPr>
            <w:r>
              <w:rPr>
                <w:rFonts w:ascii="Arial" w:cs="Arial" w:eastAsia="Arial" w:hAnsi="Arial"/>
                <w:sz w:val="17"/>
                <w:szCs w:val="17"/>
                <w:b w:val="1"/>
                <w:bCs w:val="1"/>
                <w:color w:val="auto"/>
                <w:w w:val="85"/>
              </w:rPr>
              <w:t>Name of each exchange</w:t>
            </w:r>
          </w:p>
        </w:tc>
      </w:tr>
      <w:tr>
        <w:trPr>
          <w:trHeight w:val="217"/>
        </w:trPr>
        <w:tc>
          <w:tcPr>
            <w:tcW w:w="20" w:type="dxa"/>
            <w:vAlign w:val="bottom"/>
          </w:tcPr>
          <w:p>
            <w:pPr>
              <w:spacing w:after="0"/>
              <w:rPr>
                <w:sz w:val="18"/>
                <w:szCs w:val="18"/>
                <w:color w:val="auto"/>
              </w:rPr>
            </w:pPr>
          </w:p>
        </w:tc>
        <w:tc>
          <w:tcPr>
            <w:tcW w:w="39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4"/>
              </w:rPr>
              <w:t>Title of each class</w:t>
            </w:r>
          </w:p>
        </w:tc>
        <w:tc>
          <w:tcPr>
            <w:tcW w:w="3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Symbol(s)</w:t>
            </w:r>
          </w:p>
        </w:tc>
        <w:tc>
          <w:tcPr>
            <w:tcW w:w="3480" w:type="dxa"/>
            <w:vAlign w:val="bottom"/>
          </w:tcPr>
          <w:p>
            <w:pPr>
              <w:jc w:val="center"/>
              <w:spacing w:after="0"/>
              <w:rPr>
                <w:sz w:val="20"/>
                <w:szCs w:val="20"/>
                <w:color w:val="auto"/>
              </w:rPr>
            </w:pPr>
            <w:r>
              <w:rPr>
                <w:rFonts w:ascii="Arial" w:cs="Arial" w:eastAsia="Arial" w:hAnsi="Arial"/>
                <w:sz w:val="17"/>
                <w:szCs w:val="17"/>
                <w:b w:val="1"/>
                <w:bCs w:val="1"/>
                <w:color w:val="auto"/>
                <w:w w:val="87"/>
              </w:rPr>
              <w:t>on which registered</w:t>
            </w:r>
          </w:p>
        </w:tc>
      </w:tr>
      <w:tr>
        <w:trPr>
          <w:trHeight w:val="205"/>
        </w:trPr>
        <w:tc>
          <w:tcPr>
            <w:tcW w:w="20" w:type="dxa"/>
            <w:vAlign w:val="bottom"/>
          </w:tcPr>
          <w:p>
            <w:pPr>
              <w:spacing w:after="0"/>
              <w:rPr>
                <w:sz w:val="17"/>
                <w:szCs w:val="17"/>
                <w:color w:val="auto"/>
              </w:rPr>
            </w:pPr>
          </w:p>
        </w:tc>
        <w:tc>
          <w:tcPr>
            <w:tcW w:w="38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Common Stock, par value $0.01 per share</w:t>
            </w:r>
          </w:p>
        </w:tc>
        <w:tc>
          <w:tcPr>
            <w:tcW w:w="10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SNCY</w:t>
            </w:r>
          </w:p>
        </w:tc>
        <w:tc>
          <w:tcPr>
            <w:tcW w:w="100" w:type="dxa"/>
            <w:vAlign w:val="bottom"/>
          </w:tcPr>
          <w:p>
            <w:pPr>
              <w:spacing w:after="0"/>
              <w:rPr>
                <w:sz w:val="17"/>
                <w:szCs w:val="17"/>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The Nasdaq Stock Market LLC</w:t>
            </w:r>
          </w:p>
        </w:tc>
      </w:tr>
    </w:tbl>
    <w:p>
      <w:pPr>
        <w:spacing w:after="0" w:line="176" w:lineRule="exact"/>
        <w:rPr>
          <w:sz w:val="24"/>
          <w:szCs w:val="24"/>
          <w:color w:val="auto"/>
        </w:rPr>
      </w:pPr>
    </w:p>
    <w:p>
      <w:pPr>
        <w:ind w:right="120"/>
        <w:spacing w:after="0" w:line="267"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3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36" w:lineRule="exact"/>
        <w:rPr>
          <w:sz w:val="24"/>
          <w:szCs w:val="24"/>
          <w:color w:val="auto"/>
        </w:rPr>
      </w:pPr>
    </w:p>
    <w:p>
      <w:pPr>
        <w:ind w:right="220"/>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714248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514350</wp:posOffset>
            </wp:positionV>
            <wp:extent cx="714248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 w:name="page2"/>
    <w:bookmarkEnd w:id="1"/>
    <w:p>
      <w:pPr>
        <w:ind w:left="20"/>
        <w:spacing w:after="0"/>
        <w:tabs>
          <w:tab w:leader="none" w:pos="110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0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Sun Country Airlines Holdings, Inc. (the “Company”) intends to conduct an investor presentation at several industry conferences beginning on September 9, 2021. The presentation that will be used at the conferences is attached hereto as Exhibit 99.1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presentation, the Company is providing an update to its guidance for the third quarter of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240" w:type="dxa"/>
            <w:vAlign w:val="bottom"/>
          </w:tcPr>
          <w:p>
            <w:pPr>
              <w:ind w:left="740"/>
              <w:spacing w:after="0"/>
              <w:rPr>
                <w:sz w:val="20"/>
                <w:szCs w:val="20"/>
                <w:color w:val="auto"/>
              </w:rPr>
            </w:pPr>
            <w:r>
              <w:rPr>
                <w:rFonts w:ascii="Arial" w:cs="Arial" w:eastAsia="Arial" w:hAnsi="Arial"/>
                <w:sz w:val="17"/>
                <w:szCs w:val="17"/>
                <w:b w:val="1"/>
                <w:bCs w:val="1"/>
                <w:color w:val="auto"/>
              </w:rPr>
              <w:t>Guidance for Third Quarter 2021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jc w:val="center"/>
              <w:ind w:left="3077"/>
              <w:spacing w:after="0"/>
              <w:rPr>
                <w:sz w:val="20"/>
                <w:szCs w:val="20"/>
                <w:color w:val="auto"/>
              </w:rPr>
            </w:pPr>
            <w:r>
              <w:rPr>
                <w:rFonts w:ascii="Arial" w:cs="Arial" w:eastAsia="Arial" w:hAnsi="Arial"/>
                <w:sz w:val="17"/>
                <w:szCs w:val="17"/>
                <w:b w:val="1"/>
                <w:bCs w:val="1"/>
                <w:color w:val="auto"/>
                <w:w w:val="87"/>
              </w:rPr>
              <w:t>New guidance</w:t>
            </w:r>
          </w:p>
        </w:tc>
        <w:tc>
          <w:tcPr>
            <w:tcW w:w="2320" w:type="dxa"/>
            <w:vAlign w:val="bottom"/>
          </w:tcPr>
          <w:p>
            <w:pPr>
              <w:jc w:val="center"/>
              <w:ind w:left="17"/>
              <w:spacing w:after="0"/>
              <w:rPr>
                <w:sz w:val="20"/>
                <w:szCs w:val="20"/>
                <w:color w:val="auto"/>
              </w:rPr>
            </w:pPr>
            <w:r>
              <w:rPr>
                <w:rFonts w:ascii="Arial" w:cs="Arial" w:eastAsia="Arial" w:hAnsi="Arial"/>
                <w:sz w:val="17"/>
                <w:szCs w:val="17"/>
                <w:b w:val="1"/>
                <w:bCs w:val="1"/>
                <w:color w:val="auto"/>
                <w:w w:val="85"/>
              </w:rPr>
              <w:t>Previous guidance</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60" w:type="dxa"/>
            <w:vAlign w:val="bottom"/>
            <w:shd w:val="clear" w:color="auto" w:fill="C6F4F9"/>
          </w:tcPr>
          <w:p>
            <w:pPr>
              <w:spacing w:after="0"/>
              <w:rPr>
                <w:sz w:val="20"/>
                <w:szCs w:val="20"/>
                <w:color w:val="auto"/>
              </w:rPr>
            </w:pPr>
            <w:r>
              <w:rPr>
                <w:rFonts w:ascii="Arial" w:cs="Arial" w:eastAsia="Arial" w:hAnsi="Arial"/>
                <w:sz w:val="17"/>
                <w:szCs w:val="17"/>
                <w:color w:val="auto"/>
              </w:rPr>
              <w:t>Total revenue - millions</w:t>
            </w:r>
          </w:p>
        </w:tc>
        <w:tc>
          <w:tcPr>
            <w:tcW w:w="5240" w:type="dxa"/>
            <w:vAlign w:val="bottom"/>
            <w:shd w:val="clear" w:color="auto" w:fill="C6F4F9"/>
          </w:tcPr>
          <w:p>
            <w:pPr>
              <w:jc w:val="center"/>
              <w:ind w:left="3077"/>
              <w:spacing w:after="0"/>
              <w:rPr>
                <w:sz w:val="20"/>
                <w:szCs w:val="20"/>
                <w:color w:val="auto"/>
              </w:rPr>
            </w:pPr>
            <w:r>
              <w:rPr>
                <w:rFonts w:ascii="Arial" w:cs="Arial" w:eastAsia="Arial" w:hAnsi="Arial"/>
                <w:sz w:val="17"/>
                <w:szCs w:val="17"/>
                <w:color w:val="auto"/>
                <w:w w:val="88"/>
              </w:rPr>
              <w:t>$170 to $175</w:t>
            </w:r>
          </w:p>
        </w:tc>
        <w:tc>
          <w:tcPr>
            <w:tcW w:w="2320" w:type="dxa"/>
            <w:vAlign w:val="bottom"/>
            <w:shd w:val="clear" w:color="auto" w:fill="C6F4F9"/>
          </w:tcPr>
          <w:p>
            <w:pPr>
              <w:jc w:val="center"/>
              <w:spacing w:after="0"/>
              <w:rPr>
                <w:sz w:val="20"/>
                <w:szCs w:val="20"/>
                <w:color w:val="auto"/>
              </w:rPr>
            </w:pPr>
            <w:r>
              <w:rPr>
                <w:rFonts w:ascii="Arial" w:cs="Arial" w:eastAsia="Arial" w:hAnsi="Arial"/>
                <w:sz w:val="17"/>
                <w:szCs w:val="17"/>
                <w:color w:val="auto"/>
                <w:w w:val="88"/>
              </w:rPr>
              <w:t>$170 to $175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Fuel cost per gallon – excluding derivatives</w:t>
            </w:r>
          </w:p>
        </w:tc>
        <w:tc>
          <w:tcPr>
            <w:tcW w:w="5240" w:type="dxa"/>
            <w:vAlign w:val="bottom"/>
          </w:tcPr>
          <w:p>
            <w:pPr>
              <w:jc w:val="center"/>
              <w:ind w:left="3077"/>
              <w:spacing w:after="0"/>
              <w:rPr>
                <w:sz w:val="20"/>
                <w:szCs w:val="20"/>
                <w:color w:val="auto"/>
              </w:rPr>
            </w:pPr>
            <w:r>
              <w:rPr>
                <w:rFonts w:ascii="Arial" w:cs="Arial" w:eastAsia="Arial" w:hAnsi="Arial"/>
                <w:sz w:val="17"/>
                <w:szCs w:val="17"/>
                <w:color w:val="auto"/>
                <w:w w:val="84"/>
              </w:rPr>
              <w:t>$2.14</w:t>
            </w:r>
          </w:p>
        </w:tc>
        <w:tc>
          <w:tcPr>
            <w:tcW w:w="2320" w:type="dxa"/>
            <w:vAlign w:val="bottom"/>
          </w:tcPr>
          <w:p>
            <w:pPr>
              <w:jc w:val="center"/>
              <w:ind w:left="17"/>
              <w:spacing w:after="0"/>
              <w:rPr>
                <w:sz w:val="20"/>
                <w:szCs w:val="20"/>
                <w:color w:val="auto"/>
              </w:rPr>
            </w:pPr>
            <w:r>
              <w:rPr>
                <w:rFonts w:ascii="Arial" w:cs="Arial" w:eastAsia="Arial" w:hAnsi="Arial"/>
                <w:sz w:val="17"/>
                <w:szCs w:val="17"/>
                <w:color w:val="auto"/>
                <w:w w:val="89"/>
              </w:rPr>
              <w:t>$2.30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6F4F9"/>
          </w:tcPr>
          <w:p>
            <w:pPr>
              <w:spacing w:after="0"/>
              <w:rPr>
                <w:sz w:val="20"/>
                <w:szCs w:val="20"/>
                <w:color w:val="auto"/>
              </w:rPr>
            </w:pPr>
            <w:r>
              <w:rPr>
                <w:rFonts w:ascii="Arial" w:cs="Arial" w:eastAsia="Arial" w:hAnsi="Arial"/>
                <w:sz w:val="17"/>
                <w:szCs w:val="17"/>
                <w:color w:val="auto"/>
              </w:rPr>
              <w:t>Operating income margin – percentage</w:t>
            </w:r>
          </w:p>
        </w:tc>
        <w:tc>
          <w:tcPr>
            <w:tcW w:w="5240" w:type="dxa"/>
            <w:vAlign w:val="bottom"/>
            <w:shd w:val="clear" w:color="auto" w:fill="C6F4F9"/>
          </w:tcPr>
          <w:p>
            <w:pPr>
              <w:jc w:val="center"/>
              <w:ind w:left="3077"/>
              <w:spacing w:after="0"/>
              <w:rPr>
                <w:sz w:val="20"/>
                <w:szCs w:val="20"/>
                <w:color w:val="auto"/>
              </w:rPr>
            </w:pPr>
            <w:r>
              <w:rPr>
                <w:rFonts w:ascii="Arial" w:cs="Arial" w:eastAsia="Arial" w:hAnsi="Arial"/>
                <w:sz w:val="17"/>
                <w:szCs w:val="17"/>
                <w:color w:val="auto"/>
                <w:w w:val="90"/>
              </w:rPr>
              <w:t>7.0% - 9.5%</w:t>
            </w:r>
          </w:p>
        </w:tc>
        <w:tc>
          <w:tcPr>
            <w:tcW w:w="2320" w:type="dxa"/>
            <w:vAlign w:val="bottom"/>
            <w:shd w:val="clear" w:color="auto" w:fill="C6F4F9"/>
          </w:tcPr>
          <w:p>
            <w:pPr>
              <w:jc w:val="center"/>
              <w:spacing w:after="0"/>
              <w:rPr>
                <w:sz w:val="20"/>
                <w:szCs w:val="20"/>
                <w:color w:val="auto"/>
              </w:rPr>
            </w:pPr>
            <w:r>
              <w:rPr>
                <w:rFonts w:ascii="Arial" w:cs="Arial" w:eastAsia="Arial" w:hAnsi="Arial"/>
                <w:sz w:val="17"/>
                <w:szCs w:val="17"/>
                <w:color w:val="auto"/>
                <w:w w:val="90"/>
              </w:rPr>
              <w:t>5.5% - 9.5%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Effective tax rate</w:t>
            </w:r>
          </w:p>
        </w:tc>
        <w:tc>
          <w:tcPr>
            <w:tcW w:w="5240" w:type="dxa"/>
            <w:vAlign w:val="bottom"/>
          </w:tcPr>
          <w:p>
            <w:pPr>
              <w:jc w:val="center"/>
              <w:ind w:left="3077"/>
              <w:spacing w:after="0"/>
              <w:rPr>
                <w:sz w:val="20"/>
                <w:szCs w:val="20"/>
                <w:color w:val="auto"/>
              </w:rPr>
            </w:pPr>
            <w:r>
              <w:rPr>
                <w:rFonts w:ascii="Arial" w:cs="Arial" w:eastAsia="Arial" w:hAnsi="Arial"/>
                <w:sz w:val="17"/>
                <w:szCs w:val="17"/>
                <w:color w:val="auto"/>
                <w:w w:val="93"/>
              </w:rPr>
              <w:t>25%</w:t>
            </w:r>
          </w:p>
        </w:tc>
        <w:tc>
          <w:tcPr>
            <w:tcW w:w="2320" w:type="dxa"/>
            <w:vAlign w:val="bottom"/>
          </w:tcPr>
          <w:p>
            <w:pPr>
              <w:jc w:val="center"/>
              <w:ind w:left="17"/>
              <w:spacing w:after="0"/>
              <w:rPr>
                <w:sz w:val="20"/>
                <w:szCs w:val="20"/>
                <w:color w:val="auto"/>
              </w:rPr>
            </w:pPr>
            <w:r>
              <w:rPr>
                <w:rFonts w:ascii="Arial" w:cs="Arial" w:eastAsia="Arial" w:hAnsi="Arial"/>
                <w:sz w:val="17"/>
                <w:szCs w:val="17"/>
                <w:color w:val="auto"/>
                <w:w w:val="88"/>
              </w:rPr>
              <w:t>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60" w:type="dxa"/>
            <w:vAlign w:val="bottom"/>
            <w:shd w:val="clear" w:color="auto" w:fill="C6F4F9"/>
          </w:tcPr>
          <w:p>
            <w:pPr>
              <w:spacing w:after="0"/>
              <w:rPr>
                <w:sz w:val="20"/>
                <w:szCs w:val="20"/>
                <w:color w:val="auto"/>
              </w:rPr>
            </w:pPr>
            <w:r>
              <w:rPr>
                <w:rFonts w:ascii="Arial" w:cs="Arial" w:eastAsia="Arial" w:hAnsi="Arial"/>
                <w:sz w:val="17"/>
                <w:szCs w:val="17"/>
                <w:color w:val="auto"/>
              </w:rPr>
              <w:t>Total system ASMs - millions</w:t>
            </w:r>
          </w:p>
        </w:tc>
        <w:tc>
          <w:tcPr>
            <w:tcW w:w="5240" w:type="dxa"/>
            <w:vAlign w:val="bottom"/>
            <w:shd w:val="clear" w:color="auto" w:fill="C6F4F9"/>
          </w:tcPr>
          <w:p>
            <w:pPr>
              <w:jc w:val="center"/>
              <w:ind w:left="3077"/>
              <w:spacing w:after="0"/>
              <w:rPr>
                <w:sz w:val="20"/>
                <w:szCs w:val="20"/>
                <w:color w:val="auto"/>
              </w:rPr>
            </w:pPr>
            <w:r>
              <w:rPr>
                <w:rFonts w:ascii="Arial" w:cs="Arial" w:eastAsia="Arial" w:hAnsi="Arial"/>
                <w:sz w:val="17"/>
                <w:szCs w:val="17"/>
                <w:color w:val="auto"/>
                <w:w w:val="88"/>
              </w:rPr>
              <w:t>1,500 to 1,560</w:t>
            </w:r>
          </w:p>
        </w:tc>
        <w:tc>
          <w:tcPr>
            <w:tcW w:w="2320" w:type="dxa"/>
            <w:vAlign w:val="bottom"/>
            <w:shd w:val="clear" w:color="auto" w:fill="C6F4F9"/>
          </w:tcPr>
          <w:p>
            <w:pPr>
              <w:jc w:val="center"/>
              <w:spacing w:after="0"/>
              <w:rPr>
                <w:sz w:val="20"/>
                <w:szCs w:val="20"/>
                <w:color w:val="auto"/>
              </w:rPr>
            </w:pPr>
            <w:r>
              <w:rPr>
                <w:rFonts w:ascii="Arial" w:cs="Arial" w:eastAsia="Arial" w:hAnsi="Arial"/>
                <w:sz w:val="17"/>
                <w:szCs w:val="17"/>
                <w:color w:val="auto"/>
                <w:w w:val="88"/>
              </w:rPr>
              <w:t>1,500 to 1,560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178"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The information in this Current Report on Form 8-K contains forward-looking statements based on management’s current expectations and projections, which are intended to qualify for the safe harbor of Section 27A of the Securities Act of 1933, as amended, and Section 21E of the Exchange Act. Forward-looking statements include statements regarding third quarter guidance and other statements identified by words such as “believe,” “will,” “may,” “might,” “likely,” “expect,” “anticipates,” “intends,” “plans,” “seeks,” “estimates,” “believes,” “continues,” “projects” and similar references to future periods, or by the inclusion of forecasts or projections. All forward-looking statements are based on current expectations and projections of future events. These forward-looking statements reflect the current views, estimates and assumptions of the Company, and are subject to various risks and uncertainties that cannot be predicted or qualified and could cause actual results in the Company’s performance to differ materially from those expressed or implied by such forward looking statements. These risks and uncertainties include, but are not limited to, the COVID-19 pandemic and its effects including related travel restrictions, social distancing measures and decreased demand for air travel, the competitive environment in the Company’s industry, the Company’s ability to implement its business strategy successfully and other factors set forth under “Risk Factors” in the Company’s Registration Statement on Form S-1 (File No. 333-252858), as amended, including the final prospectus dated March 16, 2021 included therein. All forward-looking statements made herein are expressly qualified in their entirety by these cautionary statements and there can be no assurance that the actual results, events or developments referenced herein will occur or be realized. Readers are cautioned that all forward-looking statements speak only to the facts and circumstances present as of the date of this Current Report on Form 8-K. The Company expressly disclaims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315595</wp:posOffset>
            </wp:positionV>
            <wp:extent cx="714248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 w:name="page3"/>
    <w:bookmarkEnd w:id="2"/>
    <w:p>
      <w:pPr>
        <w:ind w:left="20"/>
        <w:spacing w:after="0"/>
        <w:tabs>
          <w:tab w:leader="none" w:pos="110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9" w:lineRule="exact"/>
        <w:rPr>
          <w:sz w:val="20"/>
          <w:szCs w:val="20"/>
          <w:color w:val="auto"/>
        </w:rPr>
      </w:pPr>
    </w:p>
    <w:p>
      <w:pPr>
        <w:ind w:left="240" w:hanging="240"/>
        <w:spacing w:after="0"/>
        <w:tabs>
          <w:tab w:leader="none" w:pos="24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20" w:type="dxa"/>
            <w:vAlign w:val="bottom"/>
            <w:gridSpan w:val="3"/>
          </w:tcPr>
          <w:p>
            <w:pPr>
              <w:spacing w:after="0"/>
              <w:rPr>
                <w:sz w:val="20"/>
                <w:szCs w:val="20"/>
                <w:color w:val="auto"/>
              </w:rPr>
            </w:pPr>
            <w:r>
              <w:rPr>
                <w:rFonts w:ascii="Arial" w:cs="Arial" w:eastAsia="Arial" w:hAnsi="Arial"/>
                <w:sz w:val="17"/>
                <w:szCs w:val="17"/>
                <w:b w:val="1"/>
                <w:bCs w:val="1"/>
                <w:color w:val="auto"/>
              </w:rPr>
              <w:t>Exhibit No.</w:t>
            </w:r>
          </w:p>
        </w:tc>
        <w:tc>
          <w:tcPr>
            <w:tcW w:w="1012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r>
      <w:tr>
        <w:trPr>
          <w:trHeight w:val="155"/>
        </w:trPr>
        <w:tc>
          <w:tcPr>
            <w:tcW w:w="20" w:type="dxa"/>
            <w:vAlign w:val="bottom"/>
          </w:tcPr>
          <w:p>
            <w:pPr>
              <w:spacing w:after="0"/>
              <w:rPr>
                <w:sz w:val="13"/>
                <w:szCs w:val="13"/>
                <w:color w:val="auto"/>
              </w:rPr>
            </w:pPr>
          </w:p>
        </w:tc>
        <w:tc>
          <w:tcPr>
            <w:tcW w:w="1000" w:type="dxa"/>
            <w:vAlign w:val="bottom"/>
            <w:tcBorders>
              <w:top w:val="single" w:sz="8" w:color="auto"/>
            </w:tcBorders>
          </w:tcPr>
          <w:p>
            <w:pPr>
              <w:spacing w:after="0" w:line="155" w:lineRule="exact"/>
              <w:rPr>
                <w:sz w:val="20"/>
                <w:szCs w:val="20"/>
                <w:color w:val="auto"/>
              </w:rPr>
            </w:pPr>
            <w:r>
              <w:rPr>
                <w:rFonts w:ascii="Arial" w:cs="Arial" w:eastAsia="Arial" w:hAnsi="Arial"/>
                <w:sz w:val="17"/>
                <w:szCs w:val="17"/>
                <w:color w:val="auto"/>
              </w:rPr>
              <w:t>99.1</w:t>
            </w:r>
          </w:p>
        </w:tc>
        <w:tc>
          <w:tcPr>
            <w:tcW w:w="100" w:type="dxa"/>
            <w:vAlign w:val="bottom"/>
          </w:tcPr>
          <w:p>
            <w:pPr>
              <w:spacing w:after="0"/>
              <w:rPr>
                <w:sz w:val="13"/>
                <w:szCs w:val="13"/>
                <w:color w:val="auto"/>
              </w:rPr>
            </w:pPr>
          </w:p>
        </w:tc>
        <w:tc>
          <w:tcPr>
            <w:tcW w:w="10120" w:type="dxa"/>
            <w:vAlign w:val="bottom"/>
            <w:tcBorders>
              <w:top w:val="single" w:sz="8" w:color="auto"/>
            </w:tcBorders>
            <w:gridSpan w:val="2"/>
          </w:tcPr>
          <w:p>
            <w:pPr>
              <w:spacing w:after="0" w:line="155" w:lineRule="exact"/>
              <w:rPr>
                <w:rFonts w:ascii="Arial" w:cs="Arial" w:eastAsia="Arial" w:hAnsi="Arial"/>
                <w:sz w:val="17"/>
                <w:szCs w:val="17"/>
                <w:color w:val="0000EE"/>
              </w:rPr>
            </w:pPr>
            <w:hyperlink w:anchor="page5">
              <w:r>
                <w:rPr>
                  <w:rFonts w:ascii="Arial" w:cs="Arial" w:eastAsia="Arial" w:hAnsi="Arial"/>
                  <w:sz w:val="17"/>
                  <w:szCs w:val="17"/>
                  <w:color w:val="0000EE"/>
                </w:rPr>
                <w:t>Presentation dated September 2021</w:t>
              </w:r>
            </w:hyperlink>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18"/>
        </w:trPr>
        <w:tc>
          <w:tcPr>
            <w:tcW w:w="1020" w:type="dxa"/>
            <w:vAlign w:val="bottom"/>
            <w:gridSpan w:val="2"/>
          </w:tcPr>
          <w:p>
            <w:pPr>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732"/>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SIGNATURES</w:t>
      </w:r>
    </w:p>
    <w:p>
      <w:pPr>
        <w:spacing w:after="0" w:line="209" w:lineRule="exact"/>
        <w:rPr>
          <w:sz w:val="20"/>
          <w:szCs w:val="20"/>
          <w:color w:val="auto"/>
        </w:rPr>
      </w:pPr>
    </w:p>
    <w:p>
      <w:pPr>
        <w:ind w:firstLine="601"/>
        <w:spacing w:after="0" w:line="267"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40" w:type="dxa"/>
            <w:vAlign w:val="bottom"/>
          </w:tcPr>
          <w:p>
            <w:pPr>
              <w:spacing w:after="0"/>
              <w:rPr>
                <w:sz w:val="20"/>
                <w:szCs w:val="20"/>
                <w:color w:val="auto"/>
              </w:rPr>
            </w:pPr>
            <w:r>
              <w:rPr>
                <w:rFonts w:ascii="Arial" w:cs="Arial" w:eastAsia="Arial" w:hAnsi="Arial"/>
                <w:sz w:val="17"/>
                <w:szCs w:val="17"/>
                <w:color w:val="auto"/>
              </w:rPr>
              <w:t>Date: September 9, 2021</w:t>
            </w:r>
          </w:p>
        </w:tc>
        <w:tc>
          <w:tcPr>
            <w:tcW w:w="6500" w:type="dxa"/>
            <w:vAlign w:val="bottom"/>
            <w:gridSpan w:val="2"/>
          </w:tcPr>
          <w:p>
            <w:pPr>
              <w:ind w:left="2000"/>
              <w:spacing w:after="0"/>
              <w:rPr>
                <w:sz w:val="20"/>
                <w:szCs w:val="20"/>
                <w:color w:val="auto"/>
              </w:rPr>
            </w:pPr>
            <w:r>
              <w:rPr>
                <w:rFonts w:ascii="Arial" w:cs="Arial" w:eastAsia="Arial" w:hAnsi="Arial"/>
                <w:sz w:val="17"/>
                <w:szCs w:val="17"/>
                <w:b w:val="1"/>
                <w:bCs w:val="1"/>
                <w:color w:val="auto"/>
              </w:rPr>
              <w:t>Sun Country Airlines Holdings, Inc.</w:t>
            </w:r>
          </w:p>
        </w:tc>
        <w:tc>
          <w:tcPr>
            <w:tcW w:w="1100" w:type="dxa"/>
            <w:vAlign w:val="bottom"/>
          </w:tcPr>
          <w:p>
            <w:pPr>
              <w:spacing w:after="0"/>
              <w:rPr>
                <w:sz w:val="18"/>
                <w:szCs w:val="18"/>
                <w:color w:val="auto"/>
              </w:rPr>
            </w:pPr>
          </w:p>
        </w:tc>
      </w:tr>
      <w:tr>
        <w:trPr>
          <w:trHeight w:val="601"/>
        </w:trPr>
        <w:tc>
          <w:tcPr>
            <w:tcW w:w="364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Eric Levenhagen</w:t>
            </w:r>
          </w:p>
        </w:tc>
        <w:tc>
          <w:tcPr>
            <w:tcW w:w="1100" w:type="dxa"/>
            <w:vAlign w:val="bottom"/>
          </w:tcPr>
          <w:p>
            <w:pPr>
              <w:spacing w:after="0"/>
              <w:rPr>
                <w:sz w:val="24"/>
                <w:szCs w:val="24"/>
                <w:color w:val="auto"/>
              </w:rPr>
            </w:pPr>
          </w:p>
        </w:tc>
      </w:tr>
      <w:tr>
        <w:trPr>
          <w:trHeight w:val="181"/>
        </w:trPr>
        <w:tc>
          <w:tcPr>
            <w:tcW w:w="36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940" w:type="dxa"/>
            <w:vAlign w:val="bottom"/>
          </w:tcPr>
          <w:p>
            <w:pPr>
              <w:spacing w:after="0" w:line="180" w:lineRule="exact"/>
              <w:rPr>
                <w:sz w:val="20"/>
                <w:szCs w:val="20"/>
                <w:color w:val="auto"/>
              </w:rPr>
            </w:pPr>
            <w:r>
              <w:rPr>
                <w:rFonts w:ascii="Arial" w:cs="Arial" w:eastAsia="Arial" w:hAnsi="Arial"/>
                <w:sz w:val="17"/>
                <w:szCs w:val="17"/>
                <w:color w:val="auto"/>
              </w:rPr>
              <w:t>Eric Levenhagen</w:t>
            </w:r>
          </w:p>
        </w:tc>
        <w:tc>
          <w:tcPr>
            <w:tcW w:w="1100" w:type="dxa"/>
            <w:vAlign w:val="bottom"/>
          </w:tcPr>
          <w:p>
            <w:pPr>
              <w:spacing w:after="0"/>
              <w:rPr>
                <w:sz w:val="15"/>
                <w:szCs w:val="15"/>
                <w:color w:val="auto"/>
              </w:rPr>
            </w:pPr>
          </w:p>
        </w:tc>
      </w:tr>
      <w:tr>
        <w:trPr>
          <w:trHeight w:val="200"/>
        </w:trPr>
        <w:tc>
          <w:tcPr>
            <w:tcW w:w="36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Chief Administrative Officer, General Counsel and</w:t>
            </w:r>
          </w:p>
        </w:tc>
        <w:tc>
          <w:tcPr>
            <w:tcW w:w="1100" w:type="dxa"/>
            <w:vAlign w:val="bottom"/>
          </w:tcPr>
          <w:p>
            <w:pPr>
              <w:spacing w:after="0"/>
              <w:rPr>
                <w:sz w:val="17"/>
                <w:szCs w:val="17"/>
                <w:color w:val="auto"/>
              </w:rPr>
            </w:pPr>
          </w:p>
        </w:tc>
      </w:tr>
      <w:tr>
        <w:trPr>
          <w:trHeight w:val="213"/>
        </w:trPr>
        <w:tc>
          <w:tcPr>
            <w:tcW w:w="3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Secretary</w:t>
            </w:r>
          </w:p>
        </w:tc>
        <w:tc>
          <w:tcPr>
            <w:tcW w:w="1100" w:type="dxa"/>
            <w:vAlign w:val="bottom"/>
          </w:tcPr>
          <w:p>
            <w:pPr>
              <w:spacing w:after="0"/>
              <w:rPr>
                <w:sz w:val="18"/>
                <w:szCs w:val="18"/>
                <w:color w:val="auto"/>
              </w:rPr>
            </w:pPr>
          </w:p>
        </w:tc>
      </w:tr>
      <w:tr>
        <w:trPr>
          <w:trHeight w:val="932"/>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9" w:right="339" w:bottom="1440" w:gutter="0" w:footer="0" w:header="0"/>
        </w:sectPr>
      </w:pPr>
    </w:p>
    <w:bookmarkStart w:id="4" w:name="page5"/>
    <w:bookmarkEnd w:id="4"/>
    <w:p>
      <w:pPr>
        <w:ind w:left="9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140335</wp:posOffset>
            </wp:positionV>
            <wp:extent cx="7190105" cy="6021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0105" cy="602107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76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0105" cy="6076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200900" cy="6076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6076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0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0105" cy="6060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0105" cy="6068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010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97725" cy="6068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725" cy="6068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5901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230" cy="5901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5901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230" cy="5901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59093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230" cy="5909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5901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230" cy="5901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44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230" cy="6044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502285</wp:posOffset>
            </wp:positionV>
            <wp:extent cx="7174230" cy="6052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230" cy="60528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2021-09-09T07:03:08Z</dcterms:created>
  <dcterms:modified xsi:type="dcterms:W3CDTF">2021-09-09T07:03:08Z</dcterms:modified>
</cp:coreProperties>
</file>