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right="9540" w:firstLine="8"/>
        <w:spacing w:after="0" w:line="225"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282575"/>
                    </a:xfrm>
                    <a:prstGeom prst="rect">
                      <a:avLst/>
                    </a:prstGeom>
                    <a:noFill/>
                  </pic:spPr>
                </pic:pic>
              </a:graphicData>
            </a:graphic>
          </wp:anchor>
        </w:drawing>
        <w:t>CUSIP No. 866683105</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1</w:t>
            </w:r>
          </w:p>
        </w:tc>
        <w:tc>
          <w:tcPr>
            <w:tcW w:w="160" w:type="dxa"/>
            <w:vAlign w:val="bottom"/>
            <w:tcBorders>
              <w:top w:val="single" w:sz="8" w:color="auto"/>
              <w:right w:val="single" w:sz="8" w:color="auto"/>
            </w:tcBorders>
          </w:tcPr>
          <w:p>
            <w:pPr>
              <w:spacing w:after="0"/>
              <w:rPr>
                <w:sz w:val="24"/>
                <w:szCs w:val="24"/>
                <w:color w:val="auto"/>
              </w:rPr>
            </w:pPr>
          </w:p>
        </w:tc>
        <w:tc>
          <w:tcPr>
            <w:tcW w:w="88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color w:val="auto"/>
              </w:rPr>
              <w:t>SCA Horus Holdings, LLC</w:t>
            </w:r>
          </w:p>
        </w:tc>
        <w:tc>
          <w:tcPr>
            <w:tcW w:w="66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78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2</w:t>
            </w: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91"/>
              </w:rPr>
              <w:t>3</w:t>
            </w: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4</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5</w:t>
            </w:r>
          </w:p>
        </w:tc>
        <w:tc>
          <w:tcPr>
            <w:tcW w:w="66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left w:val="single" w:sz="8" w:color="auto"/>
              <w:right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6</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1"/>
                <w:szCs w:val="21"/>
                <w:color w:val="auto"/>
              </w:rPr>
            </w:pPr>
          </w:p>
        </w:tc>
        <w:tc>
          <w:tcPr>
            <w:tcW w:w="720" w:type="dxa"/>
            <w:vAlign w:val="bottom"/>
            <w:tcBorders>
              <w:right w:val="single" w:sz="8" w:color="auto"/>
            </w:tcBorders>
            <w:vMerge w:val="continue"/>
          </w:tcPr>
          <w:p>
            <w:pPr>
              <w:spacing w:after="0"/>
              <w:rPr>
                <w:sz w:val="21"/>
                <w:szCs w:val="21"/>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7</w:t>
            </w:r>
          </w:p>
        </w:tc>
        <w:tc>
          <w:tcPr>
            <w:tcW w:w="6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6600" w:type="dxa"/>
            <w:vAlign w:val="bottom"/>
            <w:vMerge w:val="continue"/>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ind w:right="690"/>
              <w:spacing w:after="0"/>
              <w:rPr>
                <w:sz w:val="20"/>
                <w:szCs w:val="20"/>
                <w:color w:val="auto"/>
              </w:rPr>
            </w:pPr>
            <w:r>
              <w:rPr>
                <w:rFonts w:ascii="Arial" w:cs="Arial" w:eastAsia="Arial" w:hAnsi="Arial"/>
                <w:sz w:val="18"/>
                <w:szCs w:val="18"/>
                <w:color w:val="auto"/>
              </w:rPr>
              <w:t>WITH:</w:t>
            </w: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8</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9</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6"/>
              </w:rPr>
              <w:t>24,869,997 shares</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87"/>
              </w:rPr>
              <w:t>10</w:t>
            </w:r>
          </w:p>
        </w:tc>
        <w:tc>
          <w:tcPr>
            <w:tcW w:w="160" w:type="dxa"/>
            <w:vAlign w:val="bottom"/>
            <w:tcBorders>
              <w:right w:val="single" w:sz="8" w:color="auto"/>
            </w:tcBorders>
          </w:tcPr>
          <w:p>
            <w:pPr>
              <w:spacing w:after="0"/>
              <w:rPr>
                <w:sz w:val="24"/>
                <w:szCs w:val="24"/>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w w:val="99"/>
              </w:rPr>
              <w:t>CHECK BOX IF THE AGGREGATE AMOUNT IN ROW (9) EXCLUDES CERTAIN SHARES (See Instructions)</w:t>
            </w:r>
          </w:p>
        </w:tc>
        <w:tc>
          <w:tcPr>
            <w:tcW w:w="1460" w:type="dxa"/>
            <w:vAlign w:val="bottom"/>
            <w:tcBorders>
              <w:right w:val="single" w:sz="8" w:color="auto"/>
            </w:tcBorders>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11</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12</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41"/>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2</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335" cy="283210"/>
                    </a:xfrm>
                    <a:prstGeom prst="rect">
                      <a:avLst/>
                    </a:prstGeom>
                    <a:noFill/>
                  </pic:spPr>
                </pic:pic>
              </a:graphicData>
            </a:graphic>
          </wp:anchor>
        </w:drawing>
        <w:t>CUSIP No. 866683105</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1</w:t>
            </w:r>
          </w:p>
        </w:tc>
        <w:tc>
          <w:tcPr>
            <w:tcW w:w="160" w:type="dxa"/>
            <w:vAlign w:val="bottom"/>
            <w:tcBorders>
              <w:top w:val="single" w:sz="8" w:color="auto"/>
              <w:right w:val="single" w:sz="8" w:color="auto"/>
            </w:tcBorders>
          </w:tcPr>
          <w:p>
            <w:pPr>
              <w:spacing w:after="0"/>
              <w:rPr>
                <w:sz w:val="24"/>
                <w:szCs w:val="24"/>
                <w:color w:val="auto"/>
              </w:rPr>
            </w:pPr>
          </w:p>
        </w:tc>
        <w:tc>
          <w:tcPr>
            <w:tcW w:w="88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AP VIII (SCA Stock AIV), LLC</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78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2</w:t>
            </w: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91"/>
              </w:rPr>
              <w:t>3</w:t>
            </w: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4</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5</w:t>
            </w:r>
          </w:p>
        </w:tc>
        <w:tc>
          <w:tcPr>
            <w:tcW w:w="66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left w:val="single" w:sz="8" w:color="auto"/>
              <w:right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6</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1"/>
                <w:szCs w:val="21"/>
                <w:color w:val="auto"/>
              </w:rPr>
            </w:pPr>
          </w:p>
        </w:tc>
        <w:tc>
          <w:tcPr>
            <w:tcW w:w="720" w:type="dxa"/>
            <w:vAlign w:val="bottom"/>
            <w:tcBorders>
              <w:right w:val="single" w:sz="8" w:color="auto"/>
            </w:tcBorders>
            <w:vMerge w:val="continue"/>
          </w:tcPr>
          <w:p>
            <w:pPr>
              <w:spacing w:after="0"/>
              <w:rPr>
                <w:sz w:val="21"/>
                <w:szCs w:val="21"/>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7</w:t>
            </w:r>
          </w:p>
        </w:tc>
        <w:tc>
          <w:tcPr>
            <w:tcW w:w="6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6600" w:type="dxa"/>
            <w:vAlign w:val="bottom"/>
            <w:vMerge w:val="continue"/>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ind w:right="690"/>
              <w:spacing w:after="0"/>
              <w:rPr>
                <w:sz w:val="20"/>
                <w:szCs w:val="20"/>
                <w:color w:val="auto"/>
              </w:rPr>
            </w:pPr>
            <w:r>
              <w:rPr>
                <w:rFonts w:ascii="Arial" w:cs="Arial" w:eastAsia="Arial" w:hAnsi="Arial"/>
                <w:sz w:val="18"/>
                <w:szCs w:val="18"/>
                <w:color w:val="auto"/>
              </w:rPr>
              <w:t>WITH:</w:t>
            </w: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8</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9</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6"/>
              </w:rPr>
              <w:t>24,869,997 shares</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87"/>
              </w:rPr>
              <w:t>10</w:t>
            </w:r>
          </w:p>
        </w:tc>
        <w:tc>
          <w:tcPr>
            <w:tcW w:w="160" w:type="dxa"/>
            <w:vAlign w:val="bottom"/>
            <w:tcBorders>
              <w:right w:val="single" w:sz="8" w:color="auto"/>
            </w:tcBorders>
          </w:tcPr>
          <w:p>
            <w:pPr>
              <w:spacing w:after="0"/>
              <w:rPr>
                <w:sz w:val="24"/>
                <w:szCs w:val="24"/>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w w:val="99"/>
              </w:rPr>
              <w:t>CHECK BOX IF THE AGGREGATE AMOUNT IN ROW (9) EXCLUDES CERTAIN SHARES (See Instructions)</w:t>
            </w:r>
          </w:p>
        </w:tc>
        <w:tc>
          <w:tcPr>
            <w:tcW w:w="1460" w:type="dxa"/>
            <w:vAlign w:val="bottom"/>
            <w:tcBorders>
              <w:right w:val="single" w:sz="8" w:color="auto"/>
            </w:tcBorders>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11</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12</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41"/>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3</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3" w:name="page4"/>
    <w:bookmarkEnd w:id="3"/>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282575"/>
                    </a:xfrm>
                    <a:prstGeom prst="rect">
                      <a:avLst/>
                    </a:prstGeom>
                    <a:noFill/>
                  </pic:spPr>
                </pic:pic>
              </a:graphicData>
            </a:graphic>
          </wp:anchor>
        </w:drawing>
        <w:t>CUSIP No. 866683105</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1</w:t>
            </w:r>
          </w:p>
        </w:tc>
        <w:tc>
          <w:tcPr>
            <w:tcW w:w="160" w:type="dxa"/>
            <w:vAlign w:val="bottom"/>
            <w:tcBorders>
              <w:top w:val="single" w:sz="8" w:color="auto"/>
              <w:right w:val="single" w:sz="8" w:color="auto"/>
            </w:tcBorders>
          </w:tcPr>
          <w:p>
            <w:pPr>
              <w:spacing w:after="0"/>
              <w:rPr>
                <w:sz w:val="24"/>
                <w:szCs w:val="24"/>
                <w:color w:val="auto"/>
              </w:rPr>
            </w:pPr>
          </w:p>
        </w:tc>
        <w:tc>
          <w:tcPr>
            <w:tcW w:w="88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Antoine Munfakh</w:t>
            </w:r>
          </w:p>
        </w:tc>
        <w:tc>
          <w:tcPr>
            <w:tcW w:w="7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78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2</w:t>
            </w: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91"/>
              </w:rPr>
              <w:t>3</w:t>
            </w: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4</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5</w:t>
            </w:r>
          </w:p>
        </w:tc>
        <w:tc>
          <w:tcPr>
            <w:tcW w:w="66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left w:val="single" w:sz="8" w:color="auto"/>
              <w:right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6</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1"/>
                <w:szCs w:val="21"/>
                <w:color w:val="auto"/>
              </w:rPr>
            </w:pPr>
          </w:p>
        </w:tc>
        <w:tc>
          <w:tcPr>
            <w:tcW w:w="720" w:type="dxa"/>
            <w:vAlign w:val="bottom"/>
            <w:tcBorders>
              <w:right w:val="single" w:sz="8" w:color="auto"/>
            </w:tcBorders>
            <w:vMerge w:val="continue"/>
          </w:tcPr>
          <w:p>
            <w:pPr>
              <w:spacing w:after="0"/>
              <w:rPr>
                <w:sz w:val="21"/>
                <w:szCs w:val="21"/>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7</w:t>
            </w:r>
          </w:p>
        </w:tc>
        <w:tc>
          <w:tcPr>
            <w:tcW w:w="6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6600" w:type="dxa"/>
            <w:vAlign w:val="bottom"/>
            <w:vMerge w:val="continue"/>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ind w:right="690"/>
              <w:spacing w:after="0"/>
              <w:rPr>
                <w:sz w:val="20"/>
                <w:szCs w:val="20"/>
                <w:color w:val="auto"/>
              </w:rPr>
            </w:pPr>
            <w:r>
              <w:rPr>
                <w:rFonts w:ascii="Arial" w:cs="Arial" w:eastAsia="Arial" w:hAnsi="Arial"/>
                <w:sz w:val="18"/>
                <w:szCs w:val="18"/>
                <w:color w:val="auto"/>
              </w:rPr>
              <w:t>WITH:</w:t>
            </w: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8</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9</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6"/>
              </w:rPr>
              <w:t>24,869,997 shares</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87"/>
              </w:rPr>
              <w:t>10</w:t>
            </w:r>
          </w:p>
        </w:tc>
        <w:tc>
          <w:tcPr>
            <w:tcW w:w="160" w:type="dxa"/>
            <w:vAlign w:val="bottom"/>
            <w:tcBorders>
              <w:right w:val="single" w:sz="8" w:color="auto"/>
            </w:tcBorders>
          </w:tcPr>
          <w:p>
            <w:pPr>
              <w:spacing w:after="0"/>
              <w:rPr>
                <w:sz w:val="24"/>
                <w:szCs w:val="24"/>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w w:val="99"/>
              </w:rPr>
              <w:t>CHECK BOX IF THE AGGREGATE AMOUNT IN ROW (9) EXCLUDES CERTAIN SHARES (See Instructions)</w:t>
            </w:r>
          </w:p>
        </w:tc>
        <w:tc>
          <w:tcPr>
            <w:tcW w:w="1460" w:type="dxa"/>
            <w:vAlign w:val="bottom"/>
            <w:tcBorders>
              <w:right w:val="single" w:sz="8" w:color="auto"/>
            </w:tcBorders>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11</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12</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IN</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41"/>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4</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4" w:name="page5"/>
    <w:bookmarkEnd w:id="4"/>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283210"/>
                    </a:xfrm>
                    <a:prstGeom prst="rect">
                      <a:avLst/>
                    </a:prstGeom>
                    <a:noFill/>
                  </pic:spPr>
                </pic:pic>
              </a:graphicData>
            </a:graphic>
          </wp:anchor>
        </w:drawing>
        <w:t>CUSIP No. 866683105</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1</w:t>
            </w:r>
          </w:p>
        </w:tc>
        <w:tc>
          <w:tcPr>
            <w:tcW w:w="160" w:type="dxa"/>
            <w:vAlign w:val="bottom"/>
            <w:tcBorders>
              <w:top w:val="single" w:sz="8" w:color="auto"/>
              <w:right w:val="single" w:sz="8" w:color="auto"/>
            </w:tcBorders>
          </w:tcPr>
          <w:p>
            <w:pPr>
              <w:spacing w:after="0"/>
              <w:rPr>
                <w:sz w:val="24"/>
                <w:szCs w:val="24"/>
                <w:color w:val="auto"/>
              </w:rPr>
            </w:pPr>
          </w:p>
        </w:tc>
        <w:tc>
          <w:tcPr>
            <w:tcW w:w="88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Patrick Kearney</w:t>
            </w:r>
          </w:p>
        </w:tc>
        <w:tc>
          <w:tcPr>
            <w:tcW w:w="7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78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2</w:t>
            </w:r>
          </w:p>
        </w:tc>
        <w:tc>
          <w:tcPr>
            <w:tcW w:w="160" w:type="dxa"/>
            <w:vAlign w:val="bottom"/>
            <w:tcBorders>
              <w:right w:val="single" w:sz="8" w:color="auto"/>
            </w:tcBorders>
          </w:tcPr>
          <w:p>
            <w:pPr>
              <w:spacing w:after="0"/>
              <w:rPr>
                <w:sz w:val="20"/>
                <w:szCs w:val="20"/>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ind w:left="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91"/>
              </w:rPr>
              <w:t>3</w:t>
            </w: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4</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5</w:t>
            </w:r>
          </w:p>
        </w:tc>
        <w:tc>
          <w:tcPr>
            <w:tcW w:w="66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left w:val="single" w:sz="8" w:color="auto"/>
              <w:right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6</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1"/>
                <w:szCs w:val="21"/>
                <w:color w:val="auto"/>
              </w:rPr>
            </w:pPr>
          </w:p>
        </w:tc>
        <w:tc>
          <w:tcPr>
            <w:tcW w:w="720" w:type="dxa"/>
            <w:vAlign w:val="bottom"/>
            <w:tcBorders>
              <w:right w:val="single" w:sz="8" w:color="auto"/>
            </w:tcBorders>
            <w:vMerge w:val="continue"/>
          </w:tcPr>
          <w:p>
            <w:pPr>
              <w:spacing w:after="0"/>
              <w:rPr>
                <w:sz w:val="21"/>
                <w:szCs w:val="21"/>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7</w:t>
            </w:r>
          </w:p>
        </w:tc>
        <w:tc>
          <w:tcPr>
            <w:tcW w:w="6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6600" w:type="dxa"/>
            <w:vAlign w:val="bottom"/>
            <w:vMerge w:val="continue"/>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ind w:right="690"/>
              <w:spacing w:after="0"/>
              <w:rPr>
                <w:sz w:val="20"/>
                <w:szCs w:val="20"/>
                <w:color w:val="auto"/>
              </w:rPr>
            </w:pPr>
            <w:r>
              <w:rPr>
                <w:rFonts w:ascii="Arial" w:cs="Arial" w:eastAsia="Arial" w:hAnsi="Arial"/>
                <w:sz w:val="18"/>
                <w:szCs w:val="18"/>
                <w:color w:val="auto"/>
              </w:rPr>
              <w:t>WITH:</w:t>
            </w: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43"/>
                <w:szCs w:val="43"/>
                <w:b w:val="1"/>
                <w:bCs w:val="1"/>
                <w:color w:val="auto"/>
              </w:rPr>
              <w:t>8</w:t>
            </w:r>
          </w:p>
        </w:tc>
        <w:tc>
          <w:tcPr>
            <w:tcW w:w="6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91"/>
              </w:rPr>
              <w:t>9</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6"/>
              </w:rPr>
              <w:t>24,869,997 shares</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83"/>
        </w:trPr>
        <w:tc>
          <w:tcPr>
            <w:tcW w:w="780" w:type="dxa"/>
            <w:vAlign w:val="bottom"/>
            <w:tcBorders>
              <w:left w:val="single" w:sz="8" w:color="auto"/>
            </w:tcBorders>
          </w:tcPr>
          <w:p>
            <w:pPr>
              <w:jc w:val="center"/>
              <w:spacing w:after="0"/>
              <w:rPr>
                <w:sz w:val="20"/>
                <w:szCs w:val="20"/>
                <w:color w:val="auto"/>
              </w:rPr>
            </w:pPr>
            <w:r>
              <w:rPr>
                <w:rFonts w:ascii="Arial" w:cs="Arial" w:eastAsia="Arial" w:hAnsi="Arial"/>
                <w:sz w:val="43"/>
                <w:szCs w:val="43"/>
                <w:b w:val="1"/>
                <w:bCs w:val="1"/>
                <w:color w:val="auto"/>
                <w:w w:val="87"/>
              </w:rPr>
              <w:t>10</w:t>
            </w:r>
          </w:p>
        </w:tc>
        <w:tc>
          <w:tcPr>
            <w:tcW w:w="160" w:type="dxa"/>
            <w:vAlign w:val="bottom"/>
            <w:tcBorders>
              <w:right w:val="single" w:sz="8" w:color="auto"/>
            </w:tcBorders>
          </w:tcPr>
          <w:p>
            <w:pPr>
              <w:spacing w:after="0"/>
              <w:rPr>
                <w:sz w:val="24"/>
                <w:szCs w:val="24"/>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w w:val="99"/>
              </w:rPr>
              <w:t>CHECK BOX IF THE AGGREGATE AMOUNT IN ROW (9) EXCLUDES CERTAIN SHARES (See Instructions)</w:t>
            </w:r>
          </w:p>
        </w:tc>
        <w:tc>
          <w:tcPr>
            <w:tcW w:w="1460" w:type="dxa"/>
            <w:vAlign w:val="bottom"/>
            <w:tcBorders>
              <w:right w:val="single" w:sz="8" w:color="auto"/>
            </w:tcBorders>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11</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tcBorders>
            <w:gridSpan w:val="4"/>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0" w:type="dxa"/>
            <w:vAlign w:val="bottom"/>
            <w:tcBorders>
              <w:left w:val="single" w:sz="8" w:color="auto"/>
            </w:tcBorders>
            <w:vMerge w:val="restart"/>
          </w:tcPr>
          <w:p>
            <w:pPr>
              <w:jc w:val="center"/>
              <w:spacing w:after="0"/>
              <w:rPr>
                <w:sz w:val="20"/>
                <w:szCs w:val="20"/>
                <w:color w:val="auto"/>
              </w:rPr>
            </w:pPr>
            <w:r>
              <w:rPr>
                <w:rFonts w:ascii="Arial" w:cs="Arial" w:eastAsia="Arial" w:hAnsi="Arial"/>
                <w:sz w:val="43"/>
                <w:szCs w:val="43"/>
                <w:b w:val="1"/>
                <w:bCs w:val="1"/>
                <w:color w:val="auto"/>
                <w:w w:val="87"/>
              </w:rPr>
              <w:t>12</w:t>
            </w:r>
          </w:p>
        </w:tc>
        <w:tc>
          <w:tcPr>
            <w:tcW w:w="160" w:type="dxa"/>
            <w:vAlign w:val="bottom"/>
            <w:tcBorders>
              <w:right w:val="single" w:sz="8" w:color="auto"/>
            </w:tcBorders>
          </w:tcPr>
          <w:p>
            <w:pPr>
              <w:spacing w:after="0"/>
              <w:rPr>
                <w:sz w:val="22"/>
                <w:szCs w:val="22"/>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80" w:type="dxa"/>
            <w:vAlign w:val="bottom"/>
            <w:tcBorders>
              <w:left w:val="single" w:sz="8" w:color="auto"/>
            </w:tcBorders>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IN</w:t>
            </w:r>
          </w:p>
        </w:tc>
        <w:tc>
          <w:tcPr>
            <w:tcW w:w="7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8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41"/>
        </w:trPr>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5</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(a)</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Name of Issuer</w:t>
            </w:r>
          </w:p>
        </w:tc>
        <w:tc>
          <w:tcPr>
            <w:tcW w:w="110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Sun Country Airlines Holdings, Inc.</w:t>
            </w:r>
          </w:p>
        </w:tc>
        <w:tc>
          <w:tcPr>
            <w:tcW w:w="11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(b)</w:t>
            </w:r>
          </w:p>
        </w:tc>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2005 Cargo Road</w:t>
            </w:r>
          </w:p>
        </w:tc>
        <w:tc>
          <w:tcPr>
            <w:tcW w:w="11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Minneapolis, Minnesota 55450</w:t>
            </w:r>
          </w:p>
        </w:tc>
        <w:tc>
          <w:tcPr>
            <w:tcW w:w="11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(a)</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Name of Person Filing</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This statement is filed by (i) SCA Horus Holdings, LLC (“Apollo Stockholder”); (ii) AP VIII (SCA Stock AIV), LLC,</w:t>
            </w: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4"/>
              </w:rPr>
              <w:t>(iii) Antoine Munfakh, and (iv) Patrick Kearney. The foregoing are collectively referred to herein as the “Reporting Persons.”</w:t>
            </w:r>
          </w:p>
        </w:tc>
      </w:tr>
      <w:tr>
        <w:trPr>
          <w:trHeight w:val="418"/>
        </w:trPr>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9"/>
              </w:rPr>
              <w:t>The Apollo Stockholder holds securities of the Issuer. AP VIII (SCA Stock AIV), LLC is the sole member of the Apollo</w:t>
            </w: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Stockholder. Antoine Munfakh and Patrick Kearney are the directors of AP VIII (SCA Stock AIV), LLC.</w:t>
            </w:r>
          </w:p>
        </w:tc>
      </w:tr>
      <w:tr>
        <w:trPr>
          <w:trHeight w:val="418"/>
        </w:trPr>
        <w:tc>
          <w:tcPr>
            <w:tcW w:w="9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(b)</w:t>
            </w:r>
          </w:p>
        </w:tc>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2"/>
              </w:rPr>
              <w:t>The address of the principal office of each of the Apollo Stockholder and Messrs. Munfakh and Kearney is 9 West 57th Street,</w:t>
            </w: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43rd Floor, New York, New York 10019. The address of the principal office of AP VIII (SCA Stock AIV), LLC is One</w:t>
            </w: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Manhattanville Road, Suite 201, Purchase, New York 10577.</w:t>
            </w:r>
          </w:p>
        </w:tc>
      </w:tr>
      <w:tr>
        <w:trPr>
          <w:trHeight w:val="418"/>
        </w:trPr>
        <w:tc>
          <w:tcPr>
            <w:tcW w:w="9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(c)</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Citizenship</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4"/>
              </w:rPr>
              <w:t>The Apollo Stockholder and AP VIII (SCA Stock AIV), LLC are each a Delaware limited liability company. Messrs. Munfakh</w:t>
            </w: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and Kearney are each United States citizens.</w:t>
            </w:r>
          </w:p>
        </w:tc>
      </w:tr>
      <w:tr>
        <w:trPr>
          <w:trHeight w:val="418"/>
        </w:trPr>
        <w:tc>
          <w:tcPr>
            <w:tcW w:w="9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(d)</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Title of Class of Securities</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Common Stock, par value $0.01 per share (the “Common Stock”).</w:t>
            </w:r>
          </w:p>
        </w:tc>
      </w:tr>
      <w:tr>
        <w:trPr>
          <w:trHeight w:val="418"/>
        </w:trPr>
        <w:tc>
          <w:tcPr>
            <w:tcW w:w="9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(e)</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866683105</w:t>
            </w:r>
          </w:p>
        </w:tc>
        <w:tc>
          <w:tcPr>
            <w:tcW w:w="11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20" w:type="dxa"/>
            <w:vAlign w:val="bottom"/>
            <w:gridSpan w:val="4"/>
          </w:tcPr>
          <w:p>
            <w:pPr>
              <w:ind w:left="38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230"/>
        </w:trPr>
        <w:tc>
          <w:tcPr>
            <w:tcW w:w="920" w:type="dxa"/>
            <w:vAlign w:val="bottom"/>
          </w:tcPr>
          <w:p>
            <w:pPr>
              <w:spacing w:after="0"/>
              <w:rPr>
                <w:sz w:val="20"/>
                <w:szCs w:val="20"/>
                <w:color w:val="auto"/>
              </w:rPr>
            </w:pPr>
          </w:p>
        </w:tc>
        <w:tc>
          <w:tcPr>
            <w:tcW w:w="3860" w:type="dxa"/>
            <w:vAlign w:val="bottom"/>
            <w:gridSpan w:val="2"/>
          </w:tcPr>
          <w:p>
            <w:pPr>
              <w:ind w:left="380"/>
              <w:spacing w:after="0"/>
              <w:rPr>
                <w:sz w:val="20"/>
                <w:szCs w:val="20"/>
                <w:color w:val="auto"/>
              </w:rPr>
            </w:pPr>
            <w:r>
              <w:rPr>
                <w:rFonts w:ascii="Arial" w:cs="Arial" w:eastAsia="Arial" w:hAnsi="Arial"/>
                <w:sz w:val="18"/>
                <w:szCs w:val="18"/>
                <w:color w:val="auto"/>
              </w:rPr>
              <w:t>Not applicable.</w:t>
            </w:r>
          </w:p>
        </w:tc>
        <w:tc>
          <w:tcPr>
            <w:tcW w:w="11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860" w:type="dxa"/>
            <w:vAlign w:val="bottom"/>
            <w:gridSpan w:val="2"/>
          </w:tcPr>
          <w:p>
            <w:pPr>
              <w:ind w:left="380"/>
              <w:spacing w:after="0"/>
              <w:rPr>
                <w:sz w:val="20"/>
                <w:szCs w:val="20"/>
                <w:color w:val="auto"/>
              </w:rPr>
            </w:pPr>
            <w:r>
              <w:rPr>
                <w:rFonts w:ascii="Arial" w:cs="Arial" w:eastAsia="Arial" w:hAnsi="Arial"/>
                <w:sz w:val="18"/>
                <w:szCs w:val="18"/>
                <w:b w:val="1"/>
                <w:bCs w:val="1"/>
                <w:color w:val="auto"/>
              </w:rPr>
              <w:t>Ownership.</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b w:val="1"/>
                <w:bCs w:val="1"/>
                <w:color w:val="auto"/>
              </w:rPr>
              <w:t>(a)</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Amount beneficially owned:</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c>
          <w:tcPr>
            <w:tcW w:w="53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1100" w:type="dxa"/>
            <w:vAlign w:val="bottom"/>
          </w:tcPr>
          <w:p>
            <w:pPr>
              <w:jc w:val="right"/>
              <w:spacing w:after="0"/>
              <w:rPr>
                <w:sz w:val="20"/>
                <w:szCs w:val="20"/>
                <w:color w:val="auto"/>
              </w:rPr>
            </w:pPr>
            <w:r>
              <w:rPr>
                <w:rFonts w:ascii="Arial" w:cs="Arial" w:eastAsia="Arial" w:hAnsi="Arial"/>
                <w:sz w:val="18"/>
                <w:szCs w:val="18"/>
                <w:color w:val="auto"/>
              </w:rPr>
              <w:t>24,869,997</w:t>
            </w:r>
          </w:p>
        </w:tc>
        <w:tc>
          <w:tcPr>
            <w:tcW w:w="53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c>
          <w:tcPr>
            <w:tcW w:w="53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Patrick Kearney</w:t>
            </w:r>
          </w:p>
        </w:tc>
        <w:tc>
          <w:tcPr>
            <w:tcW w:w="1100" w:type="dxa"/>
            <w:vAlign w:val="bottom"/>
          </w:tcPr>
          <w:p>
            <w:pPr>
              <w:jc w:val="right"/>
              <w:spacing w:after="0"/>
              <w:rPr>
                <w:sz w:val="20"/>
                <w:szCs w:val="20"/>
                <w:color w:val="auto"/>
              </w:rPr>
            </w:pPr>
            <w:r>
              <w:rPr>
                <w:rFonts w:ascii="Arial" w:cs="Arial" w:eastAsia="Arial" w:hAnsi="Arial"/>
                <w:sz w:val="18"/>
                <w:szCs w:val="18"/>
                <w:color w:val="auto"/>
              </w:rPr>
              <w:t>24,869,997</w:t>
            </w:r>
          </w:p>
        </w:tc>
        <w:tc>
          <w:tcPr>
            <w:tcW w:w="5360" w:type="dxa"/>
            <w:vAlign w:val="bottom"/>
          </w:tcPr>
          <w:p>
            <w:pPr>
              <w:spacing w:after="0"/>
              <w:rPr>
                <w:sz w:val="20"/>
                <w:szCs w:val="20"/>
                <w:color w:val="auto"/>
              </w:rPr>
            </w:pPr>
          </w:p>
        </w:tc>
      </w:tr>
    </w:tbl>
    <w:p>
      <w:pPr>
        <w:spacing w:after="0" w:line="187" w:lineRule="exact"/>
        <w:rPr>
          <w:sz w:val="20"/>
          <w:szCs w:val="20"/>
          <w:color w:val="auto"/>
        </w:rPr>
      </w:pPr>
    </w:p>
    <w:p>
      <w:pPr>
        <w:jc w:val="both"/>
        <w:ind w:left="1960"/>
        <w:spacing w:after="0" w:line="311" w:lineRule="auto"/>
        <w:rPr>
          <w:sz w:val="20"/>
          <w:szCs w:val="20"/>
          <w:color w:val="auto"/>
        </w:rPr>
      </w:pPr>
      <w:r>
        <w:rPr>
          <w:rFonts w:ascii="Arial" w:cs="Arial" w:eastAsia="Arial" w:hAnsi="Arial"/>
          <w:sz w:val="16"/>
          <w:szCs w:val="16"/>
          <w:color w:val="auto"/>
        </w:rPr>
        <w:t>Each of the reporting persons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130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(b) Percent of class:</w:t>
            </w:r>
          </w:p>
        </w:tc>
        <w:tc>
          <w:tcPr>
            <w:tcW w:w="10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6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102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6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6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Patrick Kearney</w:t>
            </w:r>
          </w:p>
        </w:tc>
        <w:tc>
          <w:tcPr>
            <w:tcW w:w="1020" w:type="dxa"/>
            <w:vAlign w:val="bottom"/>
          </w:tcPr>
          <w:p>
            <w:pPr>
              <w:jc w:val="right"/>
              <w:spacing w:after="0"/>
              <w:rPr>
                <w:sz w:val="20"/>
                <w:szCs w:val="20"/>
                <w:color w:val="auto"/>
              </w:rPr>
            </w:pPr>
            <w:r>
              <w:rPr>
                <w:rFonts w:ascii="Arial" w:cs="Arial" w:eastAsia="Arial" w:hAnsi="Arial"/>
                <w:sz w:val="18"/>
                <w:szCs w:val="18"/>
                <w:color w:val="auto"/>
              </w:rPr>
              <w:t>42.8%</w:t>
            </w:r>
          </w:p>
        </w:tc>
      </w:tr>
    </w:tbl>
    <w:p>
      <w:pPr>
        <w:spacing w:after="0" w:line="18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The percentages are based on 58,166,674 shares of Common Stock outstanding as of September 30, 2022, as disclosed in the Issuer’s Quarterly Report on Form 10-Q filed on November 2, 2022.</w:t>
      </w:r>
    </w:p>
    <w:p>
      <w:pPr>
        <w:spacing w:after="0" w:line="166" w:lineRule="exact"/>
        <w:rPr>
          <w:sz w:val="20"/>
          <w:szCs w:val="20"/>
          <w:color w:val="auto"/>
        </w:rPr>
      </w:pPr>
    </w:p>
    <w:p>
      <w:pPr>
        <w:ind w:left="1180" w:hanging="524"/>
        <w:spacing w:after="0"/>
        <w:tabs>
          <w:tab w:leader="none" w:pos="1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sz w:val="20"/>
          <w:szCs w:val="20"/>
          <w:color w:val="auto"/>
        </w:rPr>
      </w:pPr>
    </w:p>
    <w:p>
      <w:pPr>
        <w:jc w:val="center"/>
        <w:ind w:right="4040"/>
        <w:spacing w:after="0"/>
        <w:rPr>
          <w:sz w:val="20"/>
          <w:szCs w:val="20"/>
          <w:color w:val="auto"/>
        </w:rPr>
      </w:pPr>
      <w:r>
        <w:rPr>
          <w:rFonts w:ascii="Arial" w:cs="Arial" w:eastAsia="Arial" w:hAnsi="Arial"/>
          <w:sz w:val="18"/>
          <w:szCs w:val="18"/>
          <w:color w:val="auto"/>
        </w:rPr>
        <w:t>(i)            Sole power to vote or to direct the vote:</w:t>
      </w:r>
    </w:p>
    <w:p>
      <w:pPr>
        <w:spacing w:after="0" w:line="23" w:lineRule="exact"/>
        <w:rPr>
          <w:sz w:val="20"/>
          <w:szCs w:val="20"/>
          <w:color w:val="auto"/>
        </w:rPr>
      </w:pPr>
    </w:p>
    <w:p>
      <w:pPr>
        <w:jc w:val="center"/>
        <w:ind w:right="4100"/>
        <w:spacing w:after="0"/>
        <w:rPr>
          <w:sz w:val="20"/>
          <w:szCs w:val="20"/>
          <w:color w:val="auto"/>
        </w:rPr>
      </w:pPr>
      <w:r>
        <w:rPr>
          <w:rFonts w:ascii="Arial" w:cs="Arial" w:eastAsia="Arial" w:hAnsi="Arial"/>
          <w:sz w:val="18"/>
          <w:szCs w:val="18"/>
          <w:color w:val="auto"/>
        </w:rPr>
        <w:t>0 for all Reporting Persons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Shared power to vote or to direct the vote:</w:t>
      </w:r>
    </w:p>
    <w:p>
      <w:pPr>
        <w:spacing w:after="0" w:line="23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1220" w:type="dxa"/>
            <w:vAlign w:val="bottom"/>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Patrick Kearney</w:t>
            </w:r>
          </w:p>
        </w:tc>
        <w:tc>
          <w:tcPr>
            <w:tcW w:w="1220" w:type="dxa"/>
            <w:vAlign w:val="bottom"/>
          </w:tcPr>
          <w:p>
            <w:pPr>
              <w:jc w:val="right"/>
              <w:spacing w:after="0"/>
              <w:rPr>
                <w:sz w:val="20"/>
                <w:szCs w:val="20"/>
                <w:color w:val="auto"/>
              </w:rPr>
            </w:pPr>
            <w:r>
              <w:rPr>
                <w:rFonts w:ascii="Arial" w:cs="Arial" w:eastAsia="Arial" w:hAnsi="Arial"/>
                <w:sz w:val="18"/>
                <w:szCs w:val="18"/>
                <w:color w:val="auto"/>
              </w:rPr>
              <w:t>24,869,997</w:t>
            </w: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0 for all Reporting Persons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3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1220" w:type="dxa"/>
            <w:vAlign w:val="bottom"/>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Patrick Kearney</w:t>
            </w:r>
          </w:p>
        </w:tc>
        <w:tc>
          <w:tcPr>
            <w:tcW w:w="1220" w:type="dxa"/>
            <w:vAlign w:val="bottom"/>
          </w:tcPr>
          <w:p>
            <w:pPr>
              <w:jc w:val="right"/>
              <w:spacing w:after="0"/>
              <w:rPr>
                <w:sz w:val="20"/>
                <w:szCs w:val="20"/>
                <w:color w:val="auto"/>
              </w:rPr>
            </w:pPr>
            <w:r>
              <w:rPr>
                <w:rFonts w:ascii="Arial" w:cs="Arial" w:eastAsia="Arial" w:hAnsi="Arial"/>
                <w:sz w:val="18"/>
                <w:szCs w:val="18"/>
                <w:color w:val="auto"/>
              </w:rPr>
              <w:t>24,869,997</w:t>
            </w:r>
          </w:p>
        </w:tc>
      </w:tr>
    </w:tbl>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left="1300" w:right="2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300" w:right="20" w:hanging="1295"/>
        <w:spacing w:after="0" w:line="261"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4"/>
                <w:szCs w:val="24"/>
                <w:color w:val="auto"/>
              </w:rPr>
            </w:pPr>
          </w:p>
        </w:tc>
        <w:tc>
          <w:tcPr>
            <w:tcW w:w="10260" w:type="dxa"/>
            <w:vAlign w:val="bottom"/>
          </w:tcPr>
          <w:p>
            <w:pPr>
              <w:ind w:left="2660"/>
              <w:spacing w:after="0"/>
              <w:rPr>
                <w:sz w:val="20"/>
                <w:szCs w:val="20"/>
                <w:color w:val="auto"/>
              </w:rPr>
            </w:pPr>
            <w:r>
              <w:rPr>
                <w:rFonts w:ascii="Arial" w:cs="Arial" w:eastAsia="Arial" w:hAnsi="Arial"/>
                <w:sz w:val="18"/>
                <w:szCs w:val="18"/>
                <w:color w:val="auto"/>
              </w:rPr>
              <w:t>[The remainder of this page is intentionally left blank.]</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SCA HORUS HOLDINGS,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AP VIII (SCA Stock AIV),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sole shareholder</w:t>
      </w:r>
    </w:p>
    <w:p>
      <w:pPr>
        <w:spacing w:after="0" w:line="211" w:lineRule="exact"/>
        <w:rPr>
          <w:sz w:val="20"/>
          <w:szCs w:val="20"/>
          <w:color w:val="auto"/>
        </w:rPr>
      </w:pPr>
    </w:p>
    <w:tbl>
      <w:tblPr>
        <w:tblLayout w:type="fixed"/>
        <w:tblInd w:w="59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Elworth</w:t>
            </w:r>
          </w:p>
        </w:tc>
      </w:tr>
      <w:tr>
        <w:trPr>
          <w:trHeight w:val="195"/>
        </w:trPr>
        <w:tc>
          <w:tcPr>
            <w:tcW w:w="520" w:type="dxa"/>
            <w:vAlign w:val="bottom"/>
            <w:gridSpan w:val="2"/>
          </w:tcPr>
          <w:p>
            <w:pPr>
              <w:spacing w:after="0" w:line="195" w:lineRule="exact"/>
              <w:rPr>
                <w:sz w:val="20"/>
                <w:szCs w:val="20"/>
                <w:color w:val="auto"/>
              </w:rPr>
            </w:pPr>
            <w:r>
              <w:rPr>
                <w:rFonts w:ascii="Arial" w:cs="Arial" w:eastAsia="Arial" w:hAnsi="Arial"/>
                <w:sz w:val="18"/>
                <w:szCs w:val="18"/>
                <w:color w:val="auto"/>
                <w:w w:val="94"/>
              </w:rPr>
              <w:t>Name:</w:t>
            </w: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rPr>
              <w:t>James Elworth</w:t>
            </w:r>
          </w:p>
        </w:tc>
      </w:tr>
      <w:tr>
        <w:trPr>
          <w:trHeight w:val="230"/>
        </w:trPr>
        <w:tc>
          <w:tcPr>
            <w:tcW w:w="5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 VIII (SCA Stock AIV), LLC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Elworth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ANTOINE MUNFAKH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PATRICK KEARNEY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2023-02-14T15:34:52Z</dcterms:created>
  <dcterms:modified xsi:type="dcterms:W3CDTF">2023-02-14T15:34:52Z</dcterms:modified>
</cp:coreProperties>
</file>