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August 1, 2024</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40" w:right="359" w:bottom="1440" w:gutter="0" w:footer="0" w:header="0"/>
        </w:sectPr>
      </w:pPr>
    </w:p>
    <w:p>
      <w:pPr>
        <w:spacing w:after="0" w:line="25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001-40217</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67" w:lineRule="exact"/>
        <w:rPr>
          <w:sz w:val="24"/>
          <w:szCs w:val="24"/>
          <w:color w:val="auto"/>
        </w:rPr>
      </w:pPr>
    </w:p>
    <w:p>
      <w:pPr>
        <w:sectPr>
          <w:pgSz w:w="11900" w:h="16838" w:orient="portrait"/>
          <w:cols w:equalWidth="0" w:num="3">
            <w:col w:w="4500" w:space="720"/>
            <w:col w:w="2980" w:space="720"/>
            <w:col w:w="2300"/>
          </w:cols>
          <w:pgMar w:left="320" w:top="1440" w:right="359" w:bottom="1440" w:gutter="0" w:footer="0" w:header="0"/>
          <w:type w:val="continuous"/>
        </w:sectPr>
      </w:pPr>
    </w:p>
    <w:p>
      <w:pPr>
        <w:jc w:val="center"/>
        <w:ind w:right="640"/>
        <w:spacing w:after="0"/>
        <w:rPr>
          <w:sz w:val="20"/>
          <w:szCs w:val="20"/>
          <w:color w:val="auto"/>
        </w:rPr>
      </w:pPr>
      <w:r>
        <w:rPr>
          <w:rFonts w:ascii="Times New Roman" w:cs="Times New Roman" w:eastAsia="Times New Roman" w:hAnsi="Times New Roman"/>
          <w:sz w:val="18"/>
          <w:szCs w:val="18"/>
          <w:color w:val="auto"/>
        </w:rPr>
        <w:t>(State of</w:t>
      </w:r>
    </w:p>
    <w:p>
      <w:pPr>
        <w:spacing w:after="0" w:line="2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20"/>
          </w:cols>
          <w:pgMar w:left="320" w:top="1440" w:right="359" w:bottom="1440" w:gutter="0" w:footer="0" w:header="0"/>
          <w:type w:val="continuous"/>
        </w:sectPr>
      </w:pPr>
    </w:p>
    <w:p>
      <w:pPr>
        <w:spacing w:after="0" w:line="151"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2005 Cargo Road</w:t>
      </w:r>
    </w:p>
    <w:p>
      <w:pPr>
        <w:sectPr>
          <w:pgSz w:w="11900" w:h="16838" w:orient="portrait"/>
          <w:cols w:equalWidth="0" w:num="1">
            <w:col w:w="11220"/>
          </w:cols>
          <w:pgMar w:left="320" w:top="1440" w:right="359" w:bottom="1440" w:gutter="0" w:footer="0" w:header="0"/>
          <w:type w:val="continuous"/>
        </w:sectPr>
      </w:pPr>
    </w:p>
    <w:p>
      <w:pPr>
        <w:spacing w:after="0" w:line="29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Minneapolis, Minnesota</w:t>
      </w:r>
    </w:p>
    <w:p>
      <w:pPr>
        <w:spacing w:after="0" w:line="20" w:lineRule="exact"/>
        <w:rPr>
          <w:sz w:val="24"/>
          <w:szCs w:val="24"/>
          <w:color w:val="auto"/>
        </w:rPr>
      </w:pPr>
      <w:r>
        <w:rPr>
          <w:sz w:val="24"/>
          <w:szCs w:val="24"/>
          <w:color w:val="auto"/>
        </w:rPr>
        <w:br w:type="column"/>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67" w:lineRule="exact"/>
        <w:rPr>
          <w:sz w:val="24"/>
          <w:szCs w:val="24"/>
          <w:color w:val="auto"/>
        </w:rPr>
      </w:pPr>
    </w:p>
    <w:p>
      <w:pPr>
        <w:sectPr>
          <w:pgSz w:w="11900" w:h="16838" w:orient="portrait"/>
          <w:cols w:equalWidth="0" w:num="2">
            <w:col w:w="7480" w:space="720"/>
            <w:col w:w="3020"/>
          </w:cols>
          <w:pgMar w:left="320" w:top="1440" w:right="3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180"/>
          </w:cols>
          <w:pgMar w:left="320" w:top="1440" w:right="359" w:bottom="1440" w:gutter="0" w:footer="0" w:header="0"/>
          <w:type w:val="continuous"/>
        </w:sectPr>
      </w:pP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9"/>
              </w:rPr>
              <w:t>SNCY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August 1, 2024, Sun Country Airlines Holdings, Inc. issued a press release announcing its financial results for the fiscal quarter ended June 30, 2024. A copy of the press release is attached hereto as Exhibit 99.1 and incorporated by reference herein.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of 1934, as amended, regardless of any general incorporation language in such filings, unless expressly incorporated by specific reference in such filing.</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3"/>
                <w:szCs w:val="23"/>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r>
      <w:tr>
        <w:trPr>
          <w:trHeight w:val="196"/>
        </w:trPr>
        <w:tc>
          <w:tcPr>
            <w:tcW w:w="158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August 1, 2024</w:t>
            </w:r>
          </w:p>
        </w:tc>
        <w:tc>
          <w:tcPr>
            <w:tcW w:w="6980" w:type="dxa"/>
            <w:vAlign w:val="bottom"/>
          </w:tcPr>
          <w:p>
            <w:pPr>
              <w:spacing w:after="0"/>
              <w:rPr>
                <w:sz w:val="17"/>
                <w:szCs w:val="17"/>
                <w:color w:val="auto"/>
              </w:rPr>
            </w:pPr>
          </w:p>
        </w:tc>
      </w:tr>
      <w:tr>
        <w:trPr>
          <w:trHeight w:val="29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796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r>
      <w:tr>
        <w:trPr>
          <w:trHeight w:val="513"/>
        </w:trPr>
        <w:tc>
          <w:tcPr>
            <w:tcW w:w="3260" w:type="dxa"/>
            <w:vAlign w:val="bottom"/>
          </w:tcPr>
          <w:p>
            <w:pPr>
              <w:spacing w:after="0"/>
              <w:rPr>
                <w:sz w:val="24"/>
                <w:szCs w:val="24"/>
                <w:color w:val="auto"/>
              </w:rPr>
            </w:pPr>
          </w:p>
        </w:tc>
        <w:tc>
          <w:tcPr>
            <w:tcW w:w="79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By:  /s/ Erin Rose Neale</w:t>
            </w:r>
          </w:p>
        </w:tc>
      </w:tr>
      <w:tr>
        <w:trPr>
          <w:trHeight w:val="218"/>
        </w:trPr>
        <w:tc>
          <w:tcPr>
            <w:tcW w:w="3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Erin Rose Neale</w:t>
            </w:r>
          </w:p>
        </w:tc>
      </w:tr>
      <w:tr>
        <w:trPr>
          <w:trHeight w:val="234"/>
        </w:trPr>
        <w:tc>
          <w:tcPr>
            <w:tcW w:w="32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1143" w:right="339" w:bottom="1440" w:gutter="0" w:footer="0" w:header="0"/>
        </w:sectPr>
      </w:pPr>
    </w:p>
    <w:bookmarkStart w:id="3" w:name="page4"/>
    <w:bookmarkEnd w:id="3"/>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4768850</wp:posOffset>
            </wp:positionH>
            <wp:positionV relativeFrom="page">
              <wp:posOffset>243205</wp:posOffset>
            </wp:positionV>
            <wp:extent cx="257175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1435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 Country Airlines Reports Second Quarter 2024 Results</w:t>
      </w:r>
    </w:p>
    <w:p>
      <w:pPr>
        <w:jc w:val="center"/>
        <w:spacing w:after="0"/>
        <w:rPr>
          <w:sz w:val="20"/>
          <w:szCs w:val="20"/>
          <w:color w:val="auto"/>
        </w:rPr>
      </w:pPr>
      <w:r>
        <w:rPr>
          <w:rFonts w:ascii="Arial" w:cs="Arial" w:eastAsia="Arial" w:hAnsi="Arial"/>
          <w:sz w:val="18"/>
          <w:szCs w:val="18"/>
          <w:color w:val="auto"/>
        </w:rPr>
        <w:t>Revenue of $254 million, impacted by late-June cancellations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GAAP diluted EPS of $0.03, operating income of $12 million and margin of 4.9%</w:t>
      </w:r>
    </w:p>
    <w:p>
      <w:pPr>
        <w:jc w:val="center"/>
        <w:spacing w:after="0"/>
        <w:rPr>
          <w:sz w:val="20"/>
          <w:szCs w:val="20"/>
          <w:color w:val="auto"/>
        </w:rPr>
      </w:pPr>
      <w:r>
        <w:rPr>
          <w:rFonts w:ascii="Arial" w:cs="Arial" w:eastAsia="Arial" w:hAnsi="Arial"/>
          <w:sz w:val="18"/>
          <w:szCs w:val="18"/>
          <w:color w:val="auto"/>
        </w:rPr>
        <w:t>Adj. diluted EPS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$0.06, adjusted operating income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of $14 million and margin of 5.5%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MINNEAPOLIS. August 1, 2024. Sun Country Airlines Holdings, Inc. (“Sun Country Airlines,” “Sun Country,” the “Company”) (</w:t>
      </w:r>
      <w:r>
        <w:rPr>
          <w:rFonts w:ascii="Arial" w:cs="Arial" w:eastAsia="Arial" w:hAnsi="Arial"/>
          <w:sz w:val="18"/>
          <w:szCs w:val="18"/>
          <w:color w:val="0563C1"/>
        </w:rPr>
        <w:t>NASDAQ: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0563C1"/>
        </w:rPr>
        <w:t>SNCY</w:t>
      </w:r>
      <w:r>
        <w:rPr>
          <w:rFonts w:ascii="Arial" w:cs="Arial" w:eastAsia="Arial" w:hAnsi="Arial"/>
          <w:sz w:val="18"/>
          <w:szCs w:val="18"/>
          <w:color w:val="000000"/>
        </w:rPr>
        <w:t>) today reported financial results for its second quarter ended June 30, 2024.</w:t>
      </w:r>
    </w:p>
    <w:p>
      <w:pPr>
        <w:spacing w:after="0" w:line="218" w:lineRule="exact"/>
        <w:rPr>
          <w:sz w:val="20"/>
          <w:szCs w:val="20"/>
          <w:color w:val="auto"/>
        </w:rPr>
      </w:pPr>
    </w:p>
    <w:p>
      <w:pPr>
        <w:ind w:right="40"/>
        <w:spacing w:after="0" w:line="222" w:lineRule="auto"/>
        <w:rPr>
          <w:sz w:val="20"/>
          <w:szCs w:val="20"/>
          <w:color w:val="auto"/>
        </w:rPr>
      </w:pPr>
      <w:r>
        <w:rPr>
          <w:rFonts w:ascii="Arial" w:cs="Arial" w:eastAsia="Arial" w:hAnsi="Arial"/>
          <w:sz w:val="17"/>
          <w:szCs w:val="17"/>
          <w:color w:val="0A0A0A"/>
        </w:rPr>
        <w:t xml:space="preserve">“Sun Country is pleased to report our eighth consecutive profitable quarter with GAAP EPS of </w:t>
      </w:r>
      <w:r>
        <w:rPr>
          <w:rFonts w:ascii="Arial" w:cs="Arial" w:eastAsia="Arial" w:hAnsi="Arial"/>
          <w:sz w:val="17"/>
          <w:szCs w:val="17"/>
          <w:color w:val="000000"/>
        </w:rPr>
        <w:t>$0.03</w:t>
      </w:r>
      <w:r>
        <w:rPr>
          <w:rFonts w:ascii="Arial" w:cs="Arial" w:eastAsia="Arial" w:hAnsi="Arial"/>
          <w:sz w:val="17"/>
          <w:szCs w:val="17"/>
          <w:color w:val="0A0A0A"/>
        </w:rPr>
        <w:t xml:space="preserve"> and adjusted EPS of </w:t>
      </w:r>
      <w:r>
        <w:rPr>
          <w:rFonts w:ascii="Arial" w:cs="Arial" w:eastAsia="Arial" w:hAnsi="Arial"/>
          <w:sz w:val="17"/>
          <w:szCs w:val="17"/>
          <w:color w:val="000000"/>
        </w:rPr>
        <w:t>$0.06</w:t>
      </w:r>
      <w:r>
        <w:rPr>
          <w:rFonts w:ascii="Arial" w:cs="Arial" w:eastAsia="Arial" w:hAnsi="Arial"/>
          <w:sz w:val="22"/>
          <w:szCs w:val="22"/>
          <w:color w:val="0A0A0A"/>
          <w:vertAlign w:val="superscript"/>
        </w:rPr>
        <w:t>(1)</w:t>
      </w:r>
      <w:r>
        <w:rPr>
          <w:rFonts w:ascii="Arial" w:cs="Arial" w:eastAsia="Arial" w:hAnsi="Arial"/>
          <w:sz w:val="17"/>
          <w:szCs w:val="17"/>
          <w:color w:val="0A0A0A"/>
        </w:rPr>
        <w:t xml:space="preserve">,” said Jude Bricker, Chief Executive Officer of Sun Country. “Despite a soft domestic revenue environment and some late-June operational challenges, we delivered a GAAP operating margin of </w:t>
      </w:r>
      <w:r>
        <w:rPr>
          <w:rFonts w:ascii="Arial" w:cs="Arial" w:eastAsia="Arial" w:hAnsi="Arial"/>
          <w:sz w:val="17"/>
          <w:szCs w:val="17"/>
          <w:color w:val="000000"/>
        </w:rPr>
        <w:t>4.9%</w:t>
      </w:r>
      <w:r>
        <w:rPr>
          <w:rFonts w:ascii="Arial" w:cs="Arial" w:eastAsia="Arial" w:hAnsi="Arial"/>
          <w:sz w:val="17"/>
          <w:szCs w:val="17"/>
          <w:color w:val="0A0A0A"/>
        </w:rPr>
        <w:t xml:space="preserve"> and an adjusted operating margin of </w:t>
      </w:r>
      <w:r>
        <w:rPr>
          <w:rFonts w:ascii="Arial" w:cs="Arial" w:eastAsia="Arial" w:hAnsi="Arial"/>
          <w:sz w:val="17"/>
          <w:szCs w:val="17"/>
          <w:color w:val="000000"/>
        </w:rPr>
        <w:t>5.5%</w:t>
      </w:r>
      <w:r>
        <w:rPr>
          <w:rFonts w:ascii="Arial" w:cs="Arial" w:eastAsia="Arial" w:hAnsi="Arial"/>
          <w:sz w:val="22"/>
          <w:szCs w:val="22"/>
          <w:color w:val="0A0A0A"/>
          <w:vertAlign w:val="superscript"/>
        </w:rPr>
        <w:t>(1)</w:t>
      </w:r>
      <w:r>
        <w:rPr>
          <w:rFonts w:ascii="Arial" w:cs="Arial" w:eastAsia="Arial" w:hAnsi="Arial"/>
          <w:sz w:val="17"/>
          <w:szCs w:val="17"/>
          <w:color w:val="0A0A0A"/>
        </w:rPr>
        <w:t xml:space="preserve">. </w:t>
      </w:r>
      <w:r>
        <w:rPr>
          <w:rFonts w:ascii="Arial" w:cs="Arial" w:eastAsia="Arial" w:hAnsi="Arial"/>
          <w:sz w:val="17"/>
          <w:szCs w:val="17"/>
          <w:color w:val="000000"/>
        </w:rPr>
        <w:t>Sun County’s financial results continue to be</w:t>
      </w:r>
      <w:r>
        <w:rPr>
          <w:rFonts w:ascii="Arial" w:cs="Arial" w:eastAsia="Arial" w:hAnsi="Arial"/>
          <w:sz w:val="17"/>
          <w:szCs w:val="17"/>
          <w:color w:val="0A0A0A"/>
        </w:rPr>
        <w:t xml:space="preserve"> </w:t>
      </w:r>
      <w:r>
        <w:rPr>
          <w:rFonts w:ascii="Arial" w:cs="Arial" w:eastAsia="Arial" w:hAnsi="Arial"/>
          <w:sz w:val="17"/>
          <w:szCs w:val="17"/>
          <w:color w:val="000000"/>
        </w:rPr>
        <w:t>among the industry leaders at a particularly challenging time for low-cost airlines. This is the direct result of the unique, diversified model that</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 xml:space="preserve">we have built over the last 6 years. The revised agreement with Amazon that we announced in June will further strengthen the diversification of our revenue base and </w:t>
      </w:r>
      <w:r>
        <w:rPr>
          <w:rFonts w:ascii="Arial" w:cs="Arial" w:eastAsia="Arial" w:hAnsi="Arial"/>
          <w:sz w:val="17"/>
          <w:szCs w:val="17"/>
          <w:color w:val="0A0A0A"/>
        </w:rPr>
        <w:t>should significantly add to our earnings. We want to thank our employees for their hard work and dedication during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A0A0A"/>
        </w:rPr>
        <w:t>a challenging operating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Second Quarter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00" w:type="dxa"/>
            <w:vAlign w:val="bottom"/>
            <w:gridSpan w:val="3"/>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500" w:type="dxa"/>
            <w:vAlign w:val="bottom"/>
          </w:tcPr>
          <w:p>
            <w:pPr>
              <w:spacing w:after="0"/>
              <w:rPr>
                <w:sz w:val="17"/>
                <w:szCs w:val="17"/>
                <w:color w:val="auto"/>
              </w:rPr>
            </w:pPr>
          </w:p>
        </w:tc>
      </w:tr>
      <w:tr>
        <w:trPr>
          <w:trHeight w:val="204"/>
        </w:trPr>
        <w:tc>
          <w:tcPr>
            <w:tcW w:w="4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0A0A0A"/>
              </w:rPr>
              <w:t>2024</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0A0A0A"/>
              </w:rPr>
              <w:t>2023</w:t>
            </w:r>
          </w:p>
        </w:tc>
        <w:tc>
          <w:tcPr>
            <w:tcW w:w="15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254.4</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261.1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6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12.4</w:t>
            </w:r>
          </w:p>
        </w:tc>
        <w:tc>
          <w:tcPr>
            <w:tcW w:w="440" w:type="dxa"/>
            <w:vAlign w:val="bottom"/>
          </w:tcPr>
          <w:p>
            <w:pPr>
              <w:spacing w:after="0"/>
              <w:rPr>
                <w:sz w:val="19"/>
                <w:szCs w:val="19"/>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0A0A0A"/>
              </w:rPr>
              <w:t>35.6</w:t>
            </w:r>
          </w:p>
        </w:tc>
        <w:tc>
          <w:tcPr>
            <w:tcW w:w="1500" w:type="dxa"/>
            <w:vAlign w:val="bottom"/>
          </w:tcPr>
          <w:p>
            <w:pPr>
              <w:jc w:val="right"/>
              <w:spacing w:after="0"/>
              <w:rPr>
                <w:sz w:val="20"/>
                <w:szCs w:val="20"/>
                <w:color w:val="auto"/>
              </w:rPr>
            </w:pPr>
            <w:r>
              <w:rPr>
                <w:rFonts w:ascii="Arial" w:cs="Arial" w:eastAsia="Arial" w:hAnsi="Arial"/>
                <w:sz w:val="18"/>
                <w:szCs w:val="18"/>
                <w:color w:val="0A0A0A"/>
              </w:rPr>
              <w:t>(65.3)</w:t>
            </w:r>
          </w:p>
        </w:tc>
      </w:tr>
      <w:tr>
        <w:trPr>
          <w:trHeight w:val="229"/>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6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3.1</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26.8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(88.5)</w:t>
            </w:r>
          </w:p>
        </w:tc>
      </w:tr>
      <w:tr>
        <w:trPr>
          <w:trHeight w:val="230"/>
        </w:trPr>
        <w:tc>
          <w:tcPr>
            <w:tcW w:w="480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6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1.8</w:t>
            </w:r>
          </w:p>
        </w:tc>
        <w:tc>
          <w:tcPr>
            <w:tcW w:w="440" w:type="dxa"/>
            <w:vAlign w:val="bottom"/>
          </w:tcPr>
          <w:p>
            <w:pPr>
              <w:spacing w:after="0"/>
              <w:rPr>
                <w:sz w:val="19"/>
                <w:szCs w:val="19"/>
                <w:color w:val="auto"/>
              </w:rPr>
            </w:pPr>
          </w:p>
        </w:tc>
        <w:tc>
          <w:tcPr>
            <w:tcW w:w="1540" w:type="dxa"/>
            <w:vAlign w:val="bottom"/>
          </w:tcPr>
          <w:p>
            <w:pPr>
              <w:jc w:val="right"/>
              <w:ind w:right="215"/>
              <w:spacing w:after="0"/>
              <w:rPr>
                <w:sz w:val="20"/>
                <w:szCs w:val="20"/>
                <w:color w:val="auto"/>
              </w:rPr>
            </w:pPr>
            <w:r>
              <w:rPr>
                <w:rFonts w:ascii="Arial" w:cs="Arial" w:eastAsia="Arial" w:hAnsi="Arial"/>
                <w:sz w:val="18"/>
                <w:szCs w:val="18"/>
                <w:color w:val="0A0A0A"/>
              </w:rPr>
              <w:t>20.6</w:t>
            </w:r>
          </w:p>
        </w:tc>
        <w:tc>
          <w:tcPr>
            <w:tcW w:w="1500" w:type="dxa"/>
            <w:vAlign w:val="bottom"/>
          </w:tcPr>
          <w:p>
            <w:pPr>
              <w:jc w:val="right"/>
              <w:spacing w:after="0"/>
              <w:rPr>
                <w:sz w:val="20"/>
                <w:szCs w:val="20"/>
                <w:color w:val="auto"/>
              </w:rPr>
            </w:pPr>
            <w:r>
              <w:rPr>
                <w:rFonts w:ascii="Arial" w:cs="Arial" w:eastAsia="Arial" w:hAnsi="Arial"/>
                <w:sz w:val="18"/>
                <w:szCs w:val="18"/>
                <w:color w:val="0A0A0A"/>
              </w:rPr>
              <w:t>(91.2)</w:t>
            </w:r>
          </w:p>
        </w:tc>
      </w:tr>
      <w:tr>
        <w:trPr>
          <w:trHeight w:val="230"/>
        </w:trPr>
        <w:tc>
          <w:tcPr>
            <w:tcW w:w="480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6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0.03</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0A0A0A"/>
              </w:rPr>
              <w:t>0.35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(91.4)</w:t>
            </w:r>
          </w:p>
        </w:tc>
      </w:tr>
      <w:tr>
        <w:trPr>
          <w:trHeight w:val="430"/>
        </w:trPr>
        <w:tc>
          <w:tcPr>
            <w:tcW w:w="4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00" w:type="dxa"/>
            <w:vAlign w:val="bottom"/>
            <w:gridSpan w:val="3"/>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500" w:type="dxa"/>
            <w:vAlign w:val="bottom"/>
          </w:tcPr>
          <w:p>
            <w:pPr>
              <w:spacing w:after="0"/>
              <w:rPr>
                <w:sz w:val="24"/>
                <w:szCs w:val="24"/>
                <w:color w:val="auto"/>
              </w:rPr>
            </w:pPr>
          </w:p>
        </w:tc>
      </w:tr>
      <w:tr>
        <w:trPr>
          <w:trHeight w:val="203"/>
        </w:trPr>
        <w:tc>
          <w:tcPr>
            <w:tcW w:w="4800" w:type="dxa"/>
            <w:vAlign w:val="bottom"/>
          </w:tcPr>
          <w:p>
            <w:pPr>
              <w:ind w:left="2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2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Arial" w:cs="Arial" w:eastAsia="Arial" w:hAnsi="Arial"/>
                <w:sz w:val="14"/>
                <w:szCs w:val="14"/>
                <w:b w:val="1"/>
                <w:bCs w:val="1"/>
                <w:color w:val="0A0A0A"/>
              </w:rPr>
              <w:t>2024</w:t>
            </w:r>
          </w:p>
        </w:tc>
        <w:tc>
          <w:tcPr>
            <w:tcW w:w="440" w:type="dxa"/>
            <w:vAlign w:val="bottom"/>
          </w:tcPr>
          <w:p>
            <w:pPr>
              <w:spacing w:after="0"/>
              <w:rPr>
                <w:sz w:val="17"/>
                <w:szCs w:val="17"/>
                <w:color w:val="auto"/>
              </w:rPr>
            </w:pPr>
          </w:p>
        </w:tc>
        <w:tc>
          <w:tcPr>
            <w:tcW w:w="1540" w:type="dxa"/>
            <w:vAlign w:val="bottom"/>
          </w:tcPr>
          <w:p>
            <w:pPr>
              <w:jc w:val="right"/>
              <w:ind w:right="855"/>
              <w:spacing w:after="0"/>
              <w:rPr>
                <w:sz w:val="20"/>
                <w:szCs w:val="20"/>
                <w:color w:val="auto"/>
              </w:rPr>
            </w:pPr>
            <w:r>
              <w:rPr>
                <w:rFonts w:ascii="Arial" w:cs="Arial" w:eastAsia="Arial" w:hAnsi="Arial"/>
                <w:sz w:val="14"/>
                <w:szCs w:val="14"/>
                <w:b w:val="1"/>
                <w:bCs w:val="1"/>
                <w:color w:val="0A0A0A"/>
              </w:rPr>
              <w:t>2023</w:t>
            </w:r>
          </w:p>
        </w:tc>
        <w:tc>
          <w:tcPr>
            <w:tcW w:w="1500" w:type="dxa"/>
            <w:vAlign w:val="bottom"/>
          </w:tcPr>
          <w:p>
            <w:pPr>
              <w:jc w:val="right"/>
              <w:ind w:right="415"/>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2343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797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1"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(1)</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(1)</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(1)</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(1)</w:t>
      </w: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0A0A0A"/>
        </w:rPr>
        <w:t>(unaudited) (in millions, except per share amounts)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80" w:type="dxa"/>
            <w:vAlign w:val="bottom"/>
          </w:tcPr>
          <w:p>
            <w:pPr>
              <w:jc w:val="right"/>
              <w:ind w:right="190"/>
              <w:spacing w:after="0"/>
              <w:rPr>
                <w:sz w:val="20"/>
                <w:szCs w:val="20"/>
                <w:color w:val="auto"/>
              </w:rPr>
            </w:pPr>
            <w:r>
              <w:rPr>
                <w:rFonts w:ascii="Arial" w:cs="Arial" w:eastAsia="Arial" w:hAnsi="Arial"/>
                <w:sz w:val="18"/>
                <w:szCs w:val="18"/>
                <w:color w:val="0A0A0A"/>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0A0A0A"/>
              </w:rPr>
              <w:t>13.9</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40.0</w:t>
            </w:r>
          </w:p>
        </w:tc>
        <w:tc>
          <w:tcPr>
            <w:tcW w:w="1440" w:type="dxa"/>
            <w:vAlign w:val="bottom"/>
          </w:tcPr>
          <w:p>
            <w:pPr>
              <w:jc w:val="right"/>
              <w:spacing w:after="0"/>
              <w:rPr>
                <w:sz w:val="20"/>
                <w:szCs w:val="20"/>
                <w:color w:val="auto"/>
              </w:rPr>
            </w:pPr>
            <w:r>
              <w:rPr>
                <w:rFonts w:ascii="Arial" w:cs="Arial" w:eastAsia="Arial" w:hAnsi="Arial"/>
                <w:sz w:val="18"/>
                <w:szCs w:val="18"/>
                <w:color w:val="0A0A0A"/>
              </w:rPr>
              <w:t>(65.2)</w:t>
            </w:r>
          </w:p>
        </w:tc>
      </w:tr>
      <w:tr>
        <w:trPr>
          <w:trHeight w:val="270"/>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4.7</w:t>
            </w:r>
          </w:p>
        </w:tc>
        <w:tc>
          <w:tcPr>
            <w:tcW w:w="44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31.3</w:t>
            </w:r>
          </w:p>
        </w:tc>
        <w:tc>
          <w:tcPr>
            <w:tcW w:w="1440" w:type="dxa"/>
            <w:vAlign w:val="bottom"/>
          </w:tcPr>
          <w:p>
            <w:pPr>
              <w:jc w:val="right"/>
              <w:spacing w:after="0"/>
              <w:rPr>
                <w:sz w:val="20"/>
                <w:szCs w:val="20"/>
                <w:color w:val="auto"/>
              </w:rPr>
            </w:pPr>
            <w:r>
              <w:rPr>
                <w:rFonts w:ascii="Arial" w:cs="Arial" w:eastAsia="Arial" w:hAnsi="Arial"/>
                <w:sz w:val="18"/>
                <w:szCs w:val="18"/>
                <w:color w:val="0A0A0A"/>
              </w:rPr>
              <w:t>(85.1)</w:t>
            </w:r>
          </w:p>
        </w:tc>
      </w:tr>
      <w:tr>
        <w:trPr>
          <w:trHeight w:val="270"/>
        </w:trPr>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3.0</w:t>
            </w:r>
          </w:p>
        </w:tc>
        <w:tc>
          <w:tcPr>
            <w:tcW w:w="440" w:type="dxa"/>
            <w:vAlign w:val="bottom"/>
          </w:tcPr>
          <w:p>
            <w:pPr>
              <w:spacing w:after="0"/>
              <w:rPr>
                <w:sz w:val="23"/>
                <w:szCs w:val="23"/>
                <w:color w:val="auto"/>
              </w:rPr>
            </w:pP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24.1</w:t>
            </w:r>
          </w:p>
        </w:tc>
        <w:tc>
          <w:tcPr>
            <w:tcW w:w="1440" w:type="dxa"/>
            <w:vAlign w:val="bottom"/>
          </w:tcPr>
          <w:p>
            <w:pPr>
              <w:jc w:val="right"/>
              <w:spacing w:after="0"/>
              <w:rPr>
                <w:sz w:val="20"/>
                <w:szCs w:val="20"/>
                <w:color w:val="auto"/>
              </w:rPr>
            </w:pPr>
            <w:r>
              <w:rPr>
                <w:rFonts w:ascii="Arial" w:cs="Arial" w:eastAsia="Arial" w:hAnsi="Arial"/>
                <w:sz w:val="18"/>
                <w:szCs w:val="18"/>
                <w:color w:val="0A0A0A"/>
              </w:rPr>
              <w:t>(87.5)</w:t>
            </w:r>
          </w:p>
        </w:tc>
      </w:tr>
      <w:tr>
        <w:trPr>
          <w:trHeight w:val="27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4"/>
              <w:spacing w:after="0"/>
              <w:rPr>
                <w:sz w:val="20"/>
                <w:szCs w:val="20"/>
                <w:color w:val="auto"/>
              </w:rPr>
            </w:pPr>
            <w:r>
              <w:rPr>
                <w:rFonts w:ascii="Arial" w:cs="Arial" w:eastAsia="Arial" w:hAnsi="Arial"/>
                <w:sz w:val="18"/>
                <w:szCs w:val="18"/>
                <w:color w:val="0A0A0A"/>
              </w:rPr>
              <w:t>0.40</w:t>
            </w:r>
          </w:p>
        </w:tc>
        <w:tc>
          <w:tcPr>
            <w:tcW w:w="1440" w:type="dxa"/>
            <w:vAlign w:val="bottom"/>
          </w:tcPr>
          <w:p>
            <w:pPr>
              <w:jc w:val="right"/>
              <w:spacing w:after="0"/>
              <w:rPr>
                <w:sz w:val="20"/>
                <w:szCs w:val="20"/>
                <w:color w:val="auto"/>
              </w:rPr>
            </w:pPr>
            <w:r>
              <w:rPr>
                <w:rFonts w:ascii="Arial" w:cs="Arial" w:eastAsia="Arial" w:hAnsi="Arial"/>
                <w:sz w:val="18"/>
                <w:szCs w:val="18"/>
                <w:color w:val="0A0A0A"/>
              </w:rPr>
              <w:t>(85.0)</w:t>
            </w:r>
          </w:p>
        </w:tc>
      </w:tr>
      <w:tr>
        <w:trPr>
          <w:trHeight w:val="453"/>
        </w:trPr>
        <w:tc>
          <w:tcPr>
            <w:tcW w:w="380" w:type="dxa"/>
            <w:vAlign w:val="bottom"/>
          </w:tcPr>
          <w:p>
            <w:pPr>
              <w:spacing w:after="0"/>
              <w:rPr>
                <w:sz w:val="24"/>
                <w:szCs w:val="24"/>
                <w:color w:val="auto"/>
              </w:rPr>
            </w:pPr>
          </w:p>
        </w:tc>
        <w:tc>
          <w:tcPr>
            <w:tcW w:w="3300" w:type="dxa"/>
            <w:vAlign w:val="bottom"/>
            <w:gridSpan w:val="3"/>
          </w:tcPr>
          <w:p>
            <w:pPr>
              <w:jc w:val="right"/>
              <w:ind w:right="954"/>
              <w:spacing w:after="0"/>
              <w:rPr>
                <w:sz w:val="20"/>
                <w:szCs w:val="20"/>
                <w:color w:val="auto"/>
              </w:rPr>
            </w:pPr>
            <w:r>
              <w:rPr>
                <w:rFonts w:ascii="Arial" w:cs="Arial" w:eastAsia="Arial" w:hAnsi="Arial"/>
                <w:sz w:val="14"/>
                <w:szCs w:val="14"/>
                <w:b w:val="1"/>
                <w:bCs w:val="1"/>
                <w:color w:val="auto"/>
              </w:rPr>
              <w:t>Six Months Ended June 30,</w:t>
            </w:r>
          </w:p>
        </w:tc>
        <w:tc>
          <w:tcPr>
            <w:tcW w:w="144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1320" w:type="dxa"/>
            <w:vAlign w:val="bottom"/>
          </w:tcPr>
          <w:p>
            <w:pPr>
              <w:jc w:val="right"/>
              <w:ind w:right="616"/>
              <w:spacing w:after="0"/>
              <w:rPr>
                <w:sz w:val="20"/>
                <w:szCs w:val="20"/>
                <w:color w:val="auto"/>
              </w:rPr>
            </w:pPr>
            <w:r>
              <w:rPr>
                <w:rFonts w:ascii="Arial" w:cs="Arial" w:eastAsia="Arial" w:hAnsi="Arial"/>
                <w:sz w:val="14"/>
                <w:szCs w:val="14"/>
                <w:b w:val="1"/>
                <w:bCs w:val="1"/>
                <w:color w:val="0A0A0A"/>
              </w:rPr>
              <w:t>2024</w:t>
            </w:r>
          </w:p>
        </w:tc>
        <w:tc>
          <w:tcPr>
            <w:tcW w:w="440" w:type="dxa"/>
            <w:vAlign w:val="bottom"/>
          </w:tcPr>
          <w:p>
            <w:pPr>
              <w:spacing w:after="0"/>
              <w:rPr>
                <w:sz w:val="17"/>
                <w:szCs w:val="17"/>
                <w:color w:val="auto"/>
              </w:rPr>
            </w:pPr>
          </w:p>
        </w:tc>
        <w:tc>
          <w:tcPr>
            <w:tcW w:w="1540" w:type="dxa"/>
            <w:vAlign w:val="bottom"/>
          </w:tcPr>
          <w:p>
            <w:pPr>
              <w:jc w:val="right"/>
              <w:ind w:right="854"/>
              <w:spacing w:after="0"/>
              <w:rPr>
                <w:sz w:val="20"/>
                <w:szCs w:val="20"/>
                <w:color w:val="auto"/>
              </w:rPr>
            </w:pPr>
            <w:r>
              <w:rPr>
                <w:rFonts w:ascii="Arial" w:cs="Arial" w:eastAsia="Arial" w:hAnsi="Arial"/>
                <w:sz w:val="14"/>
                <w:szCs w:val="14"/>
                <w:b w:val="1"/>
                <w:bCs w:val="1"/>
                <w:color w:val="0A0A0A"/>
              </w:rPr>
              <w:t>2023</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0A0A0A"/>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-735330</wp:posOffset>
            </wp:positionV>
            <wp:extent cx="71234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0" w:space="720"/>
            <w:col w:w="52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7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0A0A0A"/>
              </w:rPr>
              <w:t>Total Operating Revenue</w:t>
            </w:r>
          </w:p>
        </w:tc>
        <w:tc>
          <w:tcPr>
            <w:tcW w:w="16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565.9</w:t>
            </w:r>
          </w:p>
        </w:tc>
        <w:tc>
          <w:tcPr>
            <w:tcW w:w="4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0A0A0A"/>
              </w:rPr>
              <w:t>555.2</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1.9</w:t>
            </w:r>
          </w:p>
        </w:tc>
      </w:tr>
      <w:tr>
        <w:trPr>
          <w:trHeight w:val="230"/>
        </w:trPr>
        <w:tc>
          <w:tcPr>
            <w:tcW w:w="4780" w:type="dxa"/>
            <w:vAlign w:val="bottom"/>
          </w:tcPr>
          <w:p>
            <w:pPr>
              <w:ind w:left="80"/>
              <w:spacing w:after="0"/>
              <w:rPr>
                <w:sz w:val="20"/>
                <w:szCs w:val="20"/>
                <w:color w:val="auto"/>
              </w:rPr>
            </w:pPr>
            <w:r>
              <w:rPr>
                <w:rFonts w:ascii="Arial" w:cs="Arial" w:eastAsia="Arial" w:hAnsi="Arial"/>
                <w:sz w:val="18"/>
                <w:szCs w:val="18"/>
                <w:color w:val="0A0A0A"/>
              </w:rPr>
              <w:t>Operating Income</w:t>
            </w:r>
          </w:p>
        </w:tc>
        <w:tc>
          <w:tcPr>
            <w:tcW w:w="1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67.5</w:t>
            </w:r>
          </w:p>
        </w:tc>
        <w:tc>
          <w:tcPr>
            <w:tcW w:w="440" w:type="dxa"/>
            <w:vAlign w:val="bottom"/>
          </w:tcPr>
          <w:p>
            <w:pPr>
              <w:spacing w:after="0"/>
              <w:rPr>
                <w:sz w:val="19"/>
                <w:szCs w:val="19"/>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color w:val="0A0A0A"/>
              </w:rPr>
              <w:t>91.4</w:t>
            </w:r>
          </w:p>
        </w:tc>
        <w:tc>
          <w:tcPr>
            <w:tcW w:w="1500" w:type="dxa"/>
            <w:vAlign w:val="bottom"/>
          </w:tcPr>
          <w:p>
            <w:pPr>
              <w:jc w:val="right"/>
              <w:spacing w:after="0"/>
              <w:rPr>
                <w:sz w:val="20"/>
                <w:szCs w:val="20"/>
                <w:color w:val="auto"/>
              </w:rPr>
            </w:pPr>
            <w:r>
              <w:rPr>
                <w:rFonts w:ascii="Arial" w:cs="Arial" w:eastAsia="Arial" w:hAnsi="Arial"/>
                <w:sz w:val="18"/>
                <w:szCs w:val="18"/>
                <w:color w:val="0A0A0A"/>
              </w:rPr>
              <w:t>(26.1)</w:t>
            </w:r>
          </w:p>
        </w:tc>
      </w:tr>
      <w:tr>
        <w:trPr>
          <w:trHeight w:val="230"/>
        </w:trPr>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1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49.6</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76.4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(35.1)</w:t>
            </w:r>
          </w:p>
        </w:tc>
      </w:tr>
      <w:tr>
        <w:trPr>
          <w:trHeight w:val="229"/>
        </w:trPr>
        <w:tc>
          <w:tcPr>
            <w:tcW w:w="4780" w:type="dxa"/>
            <w:vAlign w:val="bottom"/>
          </w:tcPr>
          <w:p>
            <w:pPr>
              <w:ind w:left="80"/>
              <w:spacing w:after="0"/>
              <w:rPr>
                <w:sz w:val="20"/>
                <w:szCs w:val="20"/>
                <w:color w:val="auto"/>
              </w:rPr>
            </w:pPr>
            <w:r>
              <w:rPr>
                <w:rFonts w:ascii="Arial" w:cs="Arial" w:eastAsia="Arial" w:hAnsi="Arial"/>
                <w:sz w:val="18"/>
                <w:szCs w:val="18"/>
                <w:color w:val="0A0A0A"/>
              </w:rPr>
              <w:t>Net Income</w:t>
            </w:r>
          </w:p>
        </w:tc>
        <w:tc>
          <w:tcPr>
            <w:tcW w:w="1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37.1</w:t>
            </w:r>
          </w:p>
        </w:tc>
        <w:tc>
          <w:tcPr>
            <w:tcW w:w="440" w:type="dxa"/>
            <w:vAlign w:val="bottom"/>
          </w:tcPr>
          <w:p>
            <w:pPr>
              <w:spacing w:after="0"/>
              <w:rPr>
                <w:sz w:val="19"/>
                <w:szCs w:val="19"/>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color w:val="0A0A0A"/>
              </w:rPr>
              <w:t>58.9</w:t>
            </w:r>
          </w:p>
        </w:tc>
        <w:tc>
          <w:tcPr>
            <w:tcW w:w="1500" w:type="dxa"/>
            <w:vAlign w:val="bottom"/>
          </w:tcPr>
          <w:p>
            <w:pPr>
              <w:jc w:val="right"/>
              <w:spacing w:after="0"/>
              <w:rPr>
                <w:sz w:val="20"/>
                <w:szCs w:val="20"/>
                <w:color w:val="auto"/>
              </w:rPr>
            </w:pPr>
            <w:r>
              <w:rPr>
                <w:rFonts w:ascii="Arial" w:cs="Arial" w:eastAsia="Arial" w:hAnsi="Arial"/>
                <w:sz w:val="18"/>
                <w:szCs w:val="18"/>
                <w:color w:val="0A0A0A"/>
              </w:rPr>
              <w:t>(37.0)</w:t>
            </w:r>
          </w:p>
        </w:tc>
      </w:tr>
      <w:tr>
        <w:trPr>
          <w:trHeight w:val="230"/>
        </w:trPr>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Diluted earnings per share</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0.67</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0.99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(32.3)</w:t>
            </w:r>
          </w:p>
        </w:tc>
      </w:tr>
      <w:tr>
        <w:trPr>
          <w:trHeight w:val="430"/>
        </w:trPr>
        <w:tc>
          <w:tcPr>
            <w:tcW w:w="4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00" w:type="dxa"/>
            <w:vAlign w:val="bottom"/>
            <w:gridSpan w:val="3"/>
          </w:tcPr>
          <w:p>
            <w:pPr>
              <w:jc w:val="right"/>
              <w:ind w:right="952"/>
              <w:spacing w:after="0"/>
              <w:rPr>
                <w:sz w:val="20"/>
                <w:szCs w:val="20"/>
                <w:color w:val="auto"/>
              </w:rPr>
            </w:pPr>
            <w:r>
              <w:rPr>
                <w:rFonts w:ascii="Arial" w:cs="Arial" w:eastAsia="Arial" w:hAnsi="Arial"/>
                <w:sz w:val="14"/>
                <w:szCs w:val="14"/>
                <w:b w:val="1"/>
                <w:bCs w:val="1"/>
                <w:color w:val="auto"/>
              </w:rPr>
              <w:t>Six Months Ended June 30,</w:t>
            </w:r>
          </w:p>
        </w:tc>
        <w:tc>
          <w:tcPr>
            <w:tcW w:w="1500" w:type="dxa"/>
            <w:vAlign w:val="bottom"/>
          </w:tcPr>
          <w:p>
            <w:pPr>
              <w:spacing w:after="0"/>
              <w:rPr>
                <w:sz w:val="24"/>
                <w:szCs w:val="24"/>
                <w:color w:val="auto"/>
              </w:rPr>
            </w:pPr>
          </w:p>
        </w:tc>
      </w:tr>
      <w:tr>
        <w:trPr>
          <w:trHeight w:val="204"/>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A0A0A"/>
              </w:rPr>
              <w:t>(unaudited) (in millions, except per share amounts)</w:t>
            </w:r>
          </w:p>
        </w:tc>
        <w:tc>
          <w:tcPr>
            <w:tcW w:w="16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0A0A0A"/>
              </w:rPr>
              <w:t>2024</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52"/>
              <w:spacing w:after="0"/>
              <w:rPr>
                <w:sz w:val="20"/>
                <w:szCs w:val="20"/>
                <w:color w:val="auto"/>
              </w:rPr>
            </w:pPr>
            <w:r>
              <w:rPr>
                <w:rFonts w:ascii="Arial" w:cs="Arial" w:eastAsia="Arial" w:hAnsi="Arial"/>
                <w:sz w:val="14"/>
                <w:szCs w:val="14"/>
                <w:b w:val="1"/>
                <w:bCs w:val="1"/>
                <w:color w:val="0A0A0A"/>
              </w:rPr>
              <w:t>2023</w:t>
            </w: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0A0A0A"/>
              </w:rPr>
              <w:t>% Change</w:t>
            </w:r>
          </w:p>
        </w:tc>
      </w:tr>
      <w:tr>
        <w:trPr>
          <w:trHeight w:val="264"/>
        </w:trPr>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Operating Income </w:t>
            </w:r>
            <w:r>
              <w:rPr>
                <w:rFonts w:ascii="Arial" w:cs="Arial" w:eastAsia="Arial" w:hAnsi="Arial"/>
                <w:sz w:val="23"/>
                <w:szCs w:val="23"/>
                <w:color w:val="0A0A0A"/>
                <w:vertAlign w:val="superscript"/>
              </w:rPr>
              <w:t>(1)</w:t>
            </w:r>
          </w:p>
        </w:tc>
        <w:tc>
          <w:tcPr>
            <w:tcW w:w="16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A0A0A"/>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70.6</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98.5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(28.3)</w:t>
            </w:r>
          </w:p>
        </w:tc>
      </w:tr>
      <w:tr>
        <w:trPr>
          <w:trHeight w:val="270"/>
        </w:trPr>
        <w:tc>
          <w:tcPr>
            <w:tcW w:w="4780" w:type="dxa"/>
            <w:vAlign w:val="bottom"/>
          </w:tcPr>
          <w:p>
            <w:pPr>
              <w:ind w:left="80"/>
              <w:spacing w:after="0"/>
              <w:rPr>
                <w:sz w:val="20"/>
                <w:szCs w:val="20"/>
                <w:color w:val="auto"/>
              </w:rPr>
            </w:pPr>
            <w:r>
              <w:rPr>
                <w:rFonts w:ascii="Arial" w:cs="Arial" w:eastAsia="Arial" w:hAnsi="Arial"/>
                <w:sz w:val="18"/>
                <w:szCs w:val="18"/>
                <w:color w:val="0A0A0A"/>
              </w:rPr>
              <w:t xml:space="preserve">Adjusted Income Before Income Tax </w:t>
            </w:r>
            <w:r>
              <w:rPr>
                <w:rFonts w:ascii="Arial" w:cs="Arial" w:eastAsia="Arial" w:hAnsi="Arial"/>
                <w:sz w:val="23"/>
                <w:szCs w:val="23"/>
                <w:color w:val="0A0A0A"/>
                <w:vertAlign w:val="superscript"/>
              </w:rPr>
              <w:t>(1)</w:t>
            </w:r>
          </w:p>
        </w:tc>
        <w:tc>
          <w:tcPr>
            <w:tcW w:w="16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0A0A0A"/>
              </w:rPr>
              <w:t>52.7</w:t>
            </w:r>
          </w:p>
        </w:tc>
        <w:tc>
          <w:tcPr>
            <w:tcW w:w="440" w:type="dxa"/>
            <w:vAlign w:val="bottom"/>
          </w:tcPr>
          <w:p>
            <w:pPr>
              <w:spacing w:after="0"/>
              <w:rPr>
                <w:sz w:val="23"/>
                <w:szCs w:val="23"/>
                <w:color w:val="auto"/>
              </w:rPr>
            </w:pPr>
          </w:p>
        </w:tc>
        <w:tc>
          <w:tcPr>
            <w:tcW w:w="1540" w:type="dxa"/>
            <w:vAlign w:val="bottom"/>
          </w:tcPr>
          <w:p>
            <w:pPr>
              <w:jc w:val="right"/>
              <w:ind w:right="212"/>
              <w:spacing w:after="0"/>
              <w:rPr>
                <w:sz w:val="20"/>
                <w:szCs w:val="20"/>
                <w:color w:val="auto"/>
              </w:rPr>
            </w:pPr>
            <w:r>
              <w:rPr>
                <w:rFonts w:ascii="Arial" w:cs="Arial" w:eastAsia="Arial" w:hAnsi="Arial"/>
                <w:sz w:val="18"/>
                <w:szCs w:val="18"/>
                <w:color w:val="0A0A0A"/>
              </w:rPr>
              <w:t>83.8</w:t>
            </w:r>
          </w:p>
        </w:tc>
        <w:tc>
          <w:tcPr>
            <w:tcW w:w="1500" w:type="dxa"/>
            <w:vAlign w:val="bottom"/>
          </w:tcPr>
          <w:p>
            <w:pPr>
              <w:jc w:val="right"/>
              <w:spacing w:after="0"/>
              <w:rPr>
                <w:sz w:val="20"/>
                <w:szCs w:val="20"/>
                <w:color w:val="auto"/>
              </w:rPr>
            </w:pPr>
            <w:r>
              <w:rPr>
                <w:rFonts w:ascii="Arial" w:cs="Arial" w:eastAsia="Arial" w:hAnsi="Arial"/>
                <w:sz w:val="18"/>
                <w:szCs w:val="18"/>
                <w:color w:val="0A0A0A"/>
              </w:rPr>
              <w:t>(37.1)</w:t>
            </w:r>
          </w:p>
        </w:tc>
      </w:tr>
      <w:tr>
        <w:trPr>
          <w:trHeight w:val="270"/>
        </w:trPr>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 xml:space="preserve">Adjusted Net Income </w:t>
            </w:r>
            <w:r>
              <w:rPr>
                <w:rFonts w:ascii="Arial" w:cs="Arial" w:eastAsia="Arial" w:hAnsi="Arial"/>
                <w:sz w:val="23"/>
                <w:szCs w:val="23"/>
                <w:color w:val="0A0A0A"/>
                <w:vertAlign w:val="superscript"/>
              </w:rPr>
              <w:t>(1)</w:t>
            </w:r>
          </w:p>
        </w:tc>
        <w:tc>
          <w:tcPr>
            <w:tcW w:w="16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39.5</w:t>
            </w:r>
          </w:p>
        </w:tc>
        <w:tc>
          <w:tcPr>
            <w:tcW w:w="4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0A0A0A"/>
              </w:rPr>
              <w:t>64.5</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(38.8)</w:t>
            </w:r>
          </w:p>
        </w:tc>
      </w:tr>
      <w:tr>
        <w:trPr>
          <w:trHeight w:val="316"/>
        </w:trPr>
        <w:tc>
          <w:tcPr>
            <w:tcW w:w="4780" w:type="dxa"/>
            <w:vAlign w:val="bottom"/>
          </w:tcPr>
          <w:p>
            <w:pPr>
              <w:ind w:left="80"/>
              <w:spacing w:after="0"/>
              <w:rPr>
                <w:sz w:val="20"/>
                <w:szCs w:val="20"/>
                <w:color w:val="auto"/>
              </w:rPr>
            </w:pPr>
            <w:r>
              <w:rPr>
                <w:rFonts w:ascii="Arial" w:cs="Arial" w:eastAsia="Arial" w:hAnsi="Arial"/>
                <w:sz w:val="18"/>
                <w:szCs w:val="18"/>
                <w:color w:val="0A0A0A"/>
              </w:rPr>
              <w:t xml:space="preserve">Adjusted diluted earnings per share </w:t>
            </w:r>
            <w:r>
              <w:rPr>
                <w:rFonts w:ascii="Arial" w:cs="Arial" w:eastAsia="Arial" w:hAnsi="Arial"/>
                <w:sz w:val="23"/>
                <w:szCs w:val="23"/>
                <w:color w:val="0A0A0A"/>
                <w:vertAlign w:val="superscript"/>
              </w:rPr>
              <w:t>(1)</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0.72</w:t>
            </w:r>
          </w:p>
        </w:tc>
        <w:tc>
          <w:tcPr>
            <w:tcW w:w="440" w:type="dxa"/>
            <w:vAlign w:val="bottom"/>
          </w:tcPr>
          <w:p>
            <w:pPr>
              <w:jc w:val="right"/>
              <w:ind w:right="210"/>
              <w:spacing w:after="0"/>
              <w:rPr>
                <w:sz w:val="20"/>
                <w:szCs w:val="20"/>
                <w:color w:val="auto"/>
              </w:rPr>
            </w:pPr>
            <w:r>
              <w:rPr>
                <w:rFonts w:ascii="Arial" w:cs="Arial" w:eastAsia="Arial" w:hAnsi="Arial"/>
                <w:sz w:val="18"/>
                <w:szCs w:val="18"/>
                <w:color w:val="0A0A0A"/>
              </w:rPr>
              <w:t>$</w:t>
            </w:r>
          </w:p>
        </w:tc>
        <w:tc>
          <w:tcPr>
            <w:tcW w:w="1540" w:type="dxa"/>
            <w:vAlign w:val="bottom"/>
          </w:tcPr>
          <w:p>
            <w:pPr>
              <w:jc w:val="right"/>
              <w:ind w:right="212"/>
              <w:spacing w:after="0"/>
              <w:rPr>
                <w:sz w:val="20"/>
                <w:szCs w:val="20"/>
                <w:color w:val="auto"/>
              </w:rPr>
            </w:pPr>
            <w:r>
              <w:rPr>
                <w:rFonts w:ascii="Arial" w:cs="Arial" w:eastAsia="Arial" w:hAnsi="Arial"/>
                <w:sz w:val="18"/>
                <w:szCs w:val="18"/>
                <w:color w:val="0A0A0A"/>
              </w:rPr>
              <w:t>1.08</w:t>
            </w:r>
          </w:p>
        </w:tc>
        <w:tc>
          <w:tcPr>
            <w:tcW w:w="1500" w:type="dxa"/>
            <w:vAlign w:val="bottom"/>
          </w:tcPr>
          <w:p>
            <w:pPr>
              <w:jc w:val="right"/>
              <w:spacing w:after="0"/>
              <w:rPr>
                <w:sz w:val="20"/>
                <w:szCs w:val="20"/>
                <w:color w:val="auto"/>
              </w:rPr>
            </w:pPr>
            <w:r>
              <w:rPr>
                <w:rFonts w:ascii="Arial" w:cs="Arial" w:eastAsia="Arial" w:hAnsi="Arial"/>
                <w:sz w:val="18"/>
                <w:szCs w:val="18"/>
                <w:color w:val="0A0A0A"/>
              </w:rPr>
              <w:t>(33.3)</w:t>
            </w:r>
          </w:p>
        </w:tc>
      </w:tr>
    </w:tbl>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Amounts presented in the tables above may not recalculate due to rounding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both"/>
        <w:ind w:right="440"/>
        <w:spacing w:after="0" w:line="232" w:lineRule="auto"/>
        <w:rPr>
          <w:sz w:val="20"/>
          <w:szCs w:val="20"/>
          <w:color w:val="auto"/>
        </w:rPr>
      </w:pPr>
      <w:r>
        <w:rPr>
          <w:rFonts w:ascii="Arial" w:cs="Arial" w:eastAsia="Arial" w:hAnsi="Arial"/>
          <w:sz w:val="18"/>
          <w:szCs w:val="18"/>
          <w:color w:val="0A0A0A"/>
        </w:rPr>
        <w:t>For the quarter ended June 30, 2024, Sun Country reported net income of approximately $2 million and income before income tax of $3 million, on $254 million of revenue. Adjusted income before income tax</w:t>
      </w:r>
      <w:r>
        <w:rPr>
          <w:rFonts w:ascii="Arial" w:cs="Arial" w:eastAsia="Arial" w:hAnsi="Arial"/>
          <w:sz w:val="23"/>
          <w:szCs w:val="23"/>
          <w:color w:val="0A0A0A"/>
          <w:vertAlign w:val="superscript"/>
        </w:rPr>
        <w:t>(1)</w:t>
      </w:r>
      <w:r>
        <w:rPr>
          <w:rFonts w:ascii="Arial" w:cs="Arial" w:eastAsia="Arial" w:hAnsi="Arial"/>
          <w:sz w:val="18"/>
          <w:szCs w:val="18"/>
          <w:color w:val="0A0A0A"/>
        </w:rPr>
        <w:t xml:space="preserve"> for the quarter was approximately $5 million. GAAP operating income during the quarter was $12 million, while adjusted operating income</w:t>
      </w:r>
      <w:r>
        <w:rPr>
          <w:rFonts w:ascii="Arial" w:cs="Arial" w:eastAsia="Arial" w:hAnsi="Arial"/>
          <w:sz w:val="23"/>
          <w:szCs w:val="23"/>
          <w:color w:val="0A0A0A"/>
          <w:vertAlign w:val="superscript"/>
        </w:rPr>
        <w:t>(1)</w:t>
      </w:r>
      <w:r>
        <w:rPr>
          <w:rFonts w:ascii="Arial" w:cs="Arial" w:eastAsia="Arial" w:hAnsi="Arial"/>
          <w:sz w:val="18"/>
          <w:szCs w:val="18"/>
          <w:color w:val="0A0A0A"/>
        </w:rPr>
        <w:t xml:space="preserve"> was $14 million, operating margin was 4.9% and adjusted operating margin</w:t>
      </w:r>
      <w:r>
        <w:rPr>
          <w:rFonts w:ascii="Arial" w:cs="Arial" w:eastAsia="Arial" w:hAnsi="Arial"/>
          <w:sz w:val="23"/>
          <w:szCs w:val="23"/>
          <w:color w:val="0A0A0A"/>
          <w:vertAlign w:val="superscript"/>
        </w:rPr>
        <w:t>(1)</w:t>
      </w:r>
      <w:r>
        <w:rPr>
          <w:rFonts w:ascii="Arial" w:cs="Arial" w:eastAsia="Arial" w:hAnsi="Arial"/>
          <w:sz w:val="18"/>
          <w:szCs w:val="18"/>
          <w:color w:val="0A0A0A"/>
        </w:rPr>
        <w:t xml:space="preserve"> was 5.5%</w:t>
      </w:r>
      <w:r>
        <w:rPr>
          <w:rFonts w:ascii="Arial" w:cs="Arial" w:eastAsia="Arial" w:hAnsi="Arial"/>
          <w:sz w:val="23"/>
          <w:szCs w:val="23"/>
          <w:color w:val="0A0A0A"/>
          <w:vertAlign w:val="subscript"/>
        </w:rPr>
        <w:t>.</w:t>
      </w:r>
    </w:p>
    <w:p>
      <w:pPr>
        <w:spacing w:after="0" w:line="126"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0A0A0A"/>
        </w:rPr>
        <w:t>“Despite the challenging domestic revenue environment, and the fact that second quarter is a seasonally weaker quarter for Sun Country, we continued our two-year run of profitable quarters,” said Dave Davis, President and Chief Financial Officer. “Our results were driven by continued cost control, as total operating expense grew less than total block hours and adjusted CASM</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decreased by </w:t>
      </w:r>
      <w:r>
        <w:rPr>
          <w:rFonts w:ascii="Arial" w:cs="Arial" w:eastAsia="Arial" w:hAnsi="Arial"/>
          <w:sz w:val="18"/>
          <w:szCs w:val="18"/>
          <w:color w:val="000000"/>
        </w:rPr>
        <w:t>4.9% year over year.</w:t>
      </w:r>
      <w:r>
        <w:rPr>
          <w:rFonts w:ascii="Arial" w:cs="Arial" w:eastAsia="Arial" w:hAnsi="Arial"/>
          <w:sz w:val="18"/>
          <w:szCs w:val="18"/>
          <w:color w:val="0A0A0A"/>
        </w:rPr>
        <w:t xml:space="preserve"> </w:t>
      </w:r>
      <w:r>
        <w:rPr>
          <w:rFonts w:ascii="Arial" w:cs="Arial" w:eastAsia="Arial" w:hAnsi="Arial"/>
          <w:sz w:val="18"/>
          <w:szCs w:val="18"/>
          <w:color w:val="000000"/>
        </w:rPr>
        <w:t xml:space="preserve">This is the third consecutive quarter where Sun Country’s unit costs declined on a year-over-year basis. The strength of the Sun Country model is driven by our diversified revenue streams, which other carriers cannot readily duplicate. We move capacity to the lines of business that will maximize profitability. Our revised agreement with Amazon is a great example of the power of this diversification. </w:t>
      </w:r>
      <w:r>
        <w:rPr>
          <w:rFonts w:ascii="Arial" w:cs="Arial" w:eastAsia="Arial" w:hAnsi="Arial"/>
          <w:sz w:val="18"/>
          <w:szCs w:val="18"/>
          <w:color w:val="0A0A0A"/>
        </w:rPr>
        <w:t>As new Amazon</w:t>
      </w:r>
      <w:r>
        <w:rPr>
          <w:rFonts w:ascii="Arial" w:cs="Arial" w:eastAsia="Arial" w:hAnsi="Arial"/>
          <w:sz w:val="18"/>
          <w:szCs w:val="18"/>
          <w:color w:val="000000"/>
        </w:rPr>
        <w:t xml:space="preserve"> </w:t>
      </w:r>
      <w:r>
        <w:rPr>
          <w:rFonts w:ascii="Arial" w:cs="Arial" w:eastAsia="Arial" w:hAnsi="Arial"/>
          <w:sz w:val="18"/>
          <w:szCs w:val="18"/>
          <w:color w:val="0A0A0A"/>
        </w:rPr>
        <w:t>aircraft come into service starting in late-first quarter 2025, we intend to moderately shrink our scheduled service business to accommodate the Amazon growth. Our intent is to begin growing the scheduled service business again in 2026.”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Notable Highlights</w:t>
      </w:r>
    </w:p>
    <w:p>
      <w:pPr>
        <w:spacing w:after="0" w:line="252" w:lineRule="exact"/>
        <w:rPr>
          <w:sz w:val="20"/>
          <w:szCs w:val="20"/>
          <w:color w:val="auto"/>
        </w:rPr>
      </w:pPr>
    </w:p>
    <w:p>
      <w:pPr>
        <w:ind w:left="660" w:right="240" w:hanging="328"/>
        <w:spacing w:after="0" w:line="25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Entered into a revised Air Transport Services Agreement with Amazon that includes an extension of the agreement through 2030 with options to further extend through 2037, the addition of eight new freighter aircraft to our fleet and revised economics reflecting the realities of the post-pandemic cost environment.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Launched a new mobile app to enhance the travel experience for Sun Country customers.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Extended the existing leases on two 737-800 aircraft Sun Country has on lease to another carrier. These aircraft are now expected to redeliver to Sun Country in May 2025 and November 2025, respectively. Upon expiry of these subleases, the aircraft are expected to be inducted into the Sun Country passenger fleet.</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Extended the selling schedule through April 29, 2025 which includes more than 55 nonstop destinations from Minneapolis-St Paul next winter.</w:t>
      </w:r>
    </w:p>
    <w:p>
      <w:pPr>
        <w:ind w:left="660" w:right="80" w:hanging="328"/>
        <w:spacing w:after="0" w:line="266"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Announced new international service from Milwaukee, WI to the Dominican Republic and Jamaica. Sun Country now offers the most international destinations from Milwaukee.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Capacity</w:t>
      </w:r>
    </w:p>
    <w:p>
      <w:pPr>
        <w:spacing w:after="0" w:line="22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0A0A0A"/>
        </w:rPr>
        <w:t xml:space="preserve">System block hours flown during the second quarter of 2024 grew by 8.9% year-over-year. All of this growth was allocated to the scheduled service business, resulting in an </w:t>
      </w:r>
      <w:r>
        <w:rPr>
          <w:rFonts w:ascii="Arial" w:cs="Arial" w:eastAsia="Arial" w:hAnsi="Arial"/>
          <w:sz w:val="18"/>
          <w:szCs w:val="18"/>
          <w:color w:val="000000"/>
        </w:rPr>
        <w:t>18.2%</w:t>
      </w:r>
      <w:r>
        <w:rPr>
          <w:rFonts w:ascii="Arial" w:cs="Arial" w:eastAsia="Arial" w:hAnsi="Arial"/>
          <w:sz w:val="18"/>
          <w:szCs w:val="18"/>
          <w:color w:val="0A0A0A"/>
        </w:rPr>
        <w:t xml:space="preserve"> increase in scheduled service ASMs. Scheduled service ASM growth will slow substantially in the third quarter of 2024 to an expected 7 to 8% increase over third quarter 2023. Cargo block hours declined in the second quarter by 2.4% year-over-year due to scheduled maintenance during the quarter.</w:t>
      </w:r>
    </w:p>
    <w:p>
      <w:pPr>
        <w:spacing w:after="0" w:line="17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0A0A0A"/>
        </w:rPr>
        <w:t xml:space="preserve">Charter block hours under long-term contracts comprised over 77% of the total charter flying performed in the second quarter of 2024. Second quarter ad-hoc charter block hours grew 57% versus a year ago. Charter flying was also optimized to minimize non-productive ferry flights, resulting in improved performance on an overall block hours decline of </w:t>
      </w:r>
      <w:r>
        <w:rPr>
          <w:rFonts w:ascii="Arial" w:cs="Arial" w:eastAsia="Arial" w:hAnsi="Arial"/>
          <w:sz w:val="18"/>
          <w:szCs w:val="18"/>
          <w:color w:val="000000"/>
        </w:rPr>
        <w:t>10.2% year-over-year.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Revenue</w:t>
      </w:r>
    </w:p>
    <w:p>
      <w:pPr>
        <w:spacing w:after="0" w:line="22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0A0A0A"/>
        </w:rPr>
        <w:t xml:space="preserve">The domestic market continued to be impacted by overcapacity in the second quarter which pressured unit revenue. The Company reported total revenue of $254 million for the second quarter, which was 2.6% less than the second quarter of 2023. </w:t>
      </w:r>
      <w:r>
        <w:rPr>
          <w:rFonts w:ascii="Arial" w:cs="Arial" w:eastAsia="Arial" w:hAnsi="Arial"/>
          <w:sz w:val="18"/>
          <w:szCs w:val="18"/>
          <w:color w:val="000000"/>
        </w:rPr>
        <w:t>Scheduled service TRASM</w:t>
      </w:r>
      <w:r>
        <w:rPr>
          <w:rFonts w:ascii="Arial" w:cs="Arial" w:eastAsia="Arial" w:hAnsi="Arial"/>
          <w:sz w:val="23"/>
          <w:szCs w:val="23"/>
          <w:color w:val="000000"/>
          <w:vertAlign w:val="superscript"/>
        </w:rPr>
        <w:t>(3)</w:t>
      </w:r>
      <w:r>
        <w:rPr>
          <w:rFonts w:ascii="Arial" w:cs="Arial" w:eastAsia="Arial" w:hAnsi="Arial"/>
          <w:sz w:val="18"/>
          <w:szCs w:val="18"/>
          <w:color w:val="0A0A0A"/>
        </w:rPr>
        <w:t xml:space="preserve"> </w:t>
      </w:r>
      <w:r>
        <w:rPr>
          <w:rFonts w:ascii="Arial" w:cs="Arial" w:eastAsia="Arial" w:hAnsi="Arial"/>
          <w:sz w:val="18"/>
          <w:szCs w:val="18"/>
          <w:color w:val="000000"/>
        </w:rPr>
        <w:t>of</w:t>
      </w:r>
      <w:r>
        <w:rPr>
          <w:rFonts w:ascii="Arial" w:cs="Arial" w:eastAsia="Arial" w:hAnsi="Arial"/>
          <w:sz w:val="18"/>
          <w:szCs w:val="18"/>
          <w:color w:val="0A0A0A"/>
        </w:rPr>
        <w:t xml:space="preserve"> </w:t>
      </w:r>
      <w:r>
        <w:rPr>
          <w:rFonts w:ascii="Arial" w:cs="Arial" w:eastAsia="Arial" w:hAnsi="Arial"/>
          <w:sz w:val="18"/>
          <w:szCs w:val="18"/>
          <w:color w:val="000000"/>
        </w:rPr>
        <w:t xml:space="preserve">10.03 cents decreased 21.3% year-over-year, while scheduled service ASMs increased 18.2%. The second quarter 2024 total fare per scheduled passenger of $142 was lower than </w:t>
      </w:r>
      <w:r>
        <w:rPr>
          <w:rFonts w:ascii="Arial" w:cs="Arial" w:eastAsia="Arial" w:hAnsi="Arial"/>
          <w:sz w:val="18"/>
          <w:szCs w:val="18"/>
          <w:color w:val="0A0A0A"/>
        </w:rPr>
        <w:t>second</w:t>
      </w:r>
      <w:r>
        <w:rPr>
          <w:rFonts w:ascii="Arial" w:cs="Arial" w:eastAsia="Arial" w:hAnsi="Arial"/>
          <w:sz w:val="18"/>
          <w:szCs w:val="18"/>
          <w:color w:val="000000"/>
        </w:rPr>
        <w:t xml:space="preserve"> quarter 2023 by 20.1% as scheduled service revenue passengers grew 16.1%. The Company’s second quarter charter service revenue was $51 million, an increase of 2.8% year-over-year.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1240"/>
          </w:cols>
          <w:pgMar w:left="320" w:top="1174" w:right="339" w:bottom="1440" w:gutter="0" w:footer="0" w:header="0"/>
        </w:sectPr>
      </w:pPr>
    </w:p>
    <w:bookmarkStart w:id="5" w:name="page6"/>
    <w:bookmarkEnd w:id="5"/>
    <w:p>
      <w:pPr>
        <w:ind w:right="20"/>
        <w:spacing w:after="0" w:line="287" w:lineRule="auto"/>
        <w:rPr>
          <w:sz w:val="20"/>
          <w:szCs w:val="20"/>
          <w:color w:val="auto"/>
        </w:rPr>
      </w:pPr>
      <w:r>
        <w:rPr>
          <w:rFonts w:ascii="Arial" w:cs="Arial" w:eastAsia="Arial" w:hAnsi="Arial"/>
          <w:sz w:val="18"/>
          <w:szCs w:val="18"/>
          <w:color w:val="auto"/>
        </w:rPr>
        <w:t xml:space="preserve">On a rate basis, </w:t>
      </w:r>
      <w:r>
        <w:rPr>
          <w:rFonts w:ascii="Arial" w:cs="Arial" w:eastAsia="Arial" w:hAnsi="Arial"/>
          <w:sz w:val="18"/>
          <w:szCs w:val="18"/>
          <w:color w:val="0A0A0A"/>
        </w:rPr>
        <w:t>second</w:t>
      </w:r>
      <w:r>
        <w:rPr>
          <w:rFonts w:ascii="Arial" w:cs="Arial" w:eastAsia="Arial" w:hAnsi="Arial"/>
          <w:sz w:val="18"/>
          <w:szCs w:val="18"/>
          <w:color w:val="auto"/>
        </w:rPr>
        <w:t xml:space="preserve"> quarter 2024 charter revenue per block hour was 14.4% higher than the rate in the </w:t>
      </w:r>
      <w:r>
        <w:rPr>
          <w:rFonts w:ascii="Arial" w:cs="Arial" w:eastAsia="Arial" w:hAnsi="Arial"/>
          <w:sz w:val="18"/>
          <w:szCs w:val="18"/>
          <w:color w:val="0A0A0A"/>
        </w:rPr>
        <w:t>second</w:t>
      </w:r>
      <w:r>
        <w:rPr>
          <w:rFonts w:ascii="Arial" w:cs="Arial" w:eastAsia="Arial" w:hAnsi="Arial"/>
          <w:sz w:val="18"/>
          <w:szCs w:val="18"/>
          <w:color w:val="auto"/>
        </w:rPr>
        <w:t xml:space="preserve"> quarter of 2023. This rate increase includes the impact of higher fuel prices.</w:t>
      </w:r>
    </w:p>
    <w:p>
      <w:pPr>
        <w:spacing w:after="0" w:line="15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In the second quarter of 2024, cargo revenue was $ 25 million, a 1.7% increase versus the second quarter of 2023. The variance was primarily driven by the annual rate escalation which went into effect in mid-December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Cost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0A0A0A"/>
        </w:rPr>
        <w:t xml:space="preserve">Sun Country continues to demonstrate excellent cost management, with second quarter CASM falling </w:t>
      </w:r>
      <w:r>
        <w:rPr>
          <w:rFonts w:ascii="Arial" w:cs="Arial" w:eastAsia="Arial" w:hAnsi="Arial"/>
          <w:sz w:val="18"/>
          <w:szCs w:val="18"/>
          <w:color w:val="000000"/>
        </w:rPr>
        <w:t>5.1%</w:t>
      </w:r>
      <w:r>
        <w:rPr>
          <w:rFonts w:ascii="Arial" w:cs="Arial" w:eastAsia="Arial" w:hAnsi="Arial"/>
          <w:sz w:val="18"/>
          <w:szCs w:val="18"/>
          <w:color w:val="0A0A0A"/>
        </w:rPr>
        <w:t xml:space="preserve"> and adjusted CASM</w:t>
      </w:r>
      <w:r>
        <w:rPr>
          <w:rFonts w:ascii="Arial" w:cs="Arial" w:eastAsia="Arial" w:hAnsi="Arial"/>
          <w:sz w:val="23"/>
          <w:szCs w:val="23"/>
          <w:color w:val="0A0A0A"/>
          <w:vertAlign w:val="superscript"/>
        </w:rPr>
        <w:t>(2)</w:t>
      </w:r>
      <w:r>
        <w:rPr>
          <w:rFonts w:ascii="Arial" w:cs="Arial" w:eastAsia="Arial" w:hAnsi="Arial"/>
          <w:sz w:val="18"/>
          <w:szCs w:val="18"/>
          <w:color w:val="0A0A0A"/>
        </w:rPr>
        <w:t xml:space="preserve"> falling</w:t>
      </w:r>
    </w:p>
    <w:p>
      <w:pPr>
        <w:ind w:right="40"/>
        <w:spacing w:after="0" w:line="254" w:lineRule="auto"/>
        <w:rPr>
          <w:sz w:val="20"/>
          <w:szCs w:val="20"/>
          <w:color w:val="auto"/>
        </w:rPr>
      </w:pPr>
      <w:r>
        <w:rPr>
          <w:rFonts w:ascii="Arial" w:cs="Arial" w:eastAsia="Arial" w:hAnsi="Arial"/>
          <w:sz w:val="18"/>
          <w:szCs w:val="18"/>
          <w:color w:val="auto"/>
        </w:rPr>
        <w:t>4.9% year-over-year. T</w:t>
      </w:r>
      <w:r>
        <w:rPr>
          <w:rFonts w:ascii="Arial" w:cs="Arial" w:eastAsia="Arial" w:hAnsi="Arial"/>
          <w:sz w:val="18"/>
          <w:szCs w:val="18"/>
          <w:color w:val="0A0A0A"/>
        </w:rPr>
        <w:t>otal GAAP operating expenses increased 7.3% year-over-year, primarily due to an 18.8% increase in fuel expense</w:t>
      </w:r>
      <w:r>
        <w:rPr>
          <w:rFonts w:ascii="Arial" w:cs="Arial" w:eastAsia="Arial" w:hAnsi="Arial"/>
          <w:sz w:val="18"/>
          <w:szCs w:val="18"/>
          <w:color w:val="auto"/>
        </w:rPr>
        <w:t xml:space="preserve"> </w:t>
      </w:r>
      <w:r>
        <w:rPr>
          <w:rFonts w:ascii="Arial" w:cs="Arial" w:eastAsia="Arial" w:hAnsi="Arial"/>
          <w:sz w:val="18"/>
          <w:szCs w:val="18"/>
          <w:color w:val="0A0A0A"/>
        </w:rPr>
        <w:t xml:space="preserve">resulting from a 5.5% increase in fuel price and a 19.6% </w:t>
      </w:r>
      <w:r>
        <w:rPr>
          <w:rFonts w:ascii="Arial" w:cs="Arial" w:eastAsia="Arial" w:hAnsi="Arial"/>
          <w:sz w:val="18"/>
          <w:szCs w:val="18"/>
          <w:color w:val="000000"/>
        </w:rPr>
        <w:t>increase i</w:t>
      </w:r>
      <w:r>
        <w:rPr>
          <w:rFonts w:ascii="Arial" w:cs="Arial" w:eastAsia="Arial" w:hAnsi="Arial"/>
          <w:sz w:val="18"/>
          <w:szCs w:val="18"/>
          <w:color w:val="0A0A0A"/>
        </w:rPr>
        <w:t>n scheduled service block hours. Non fuel expenses that exceeded block hour growth included ground handling expenses, which increased 16.6% driven by a 12% increase in passenger segment departures as well as an increase in rate, and landing fees and airport rent which increased 14.9% due to the expiration of COVID assistance that airports have used to limit rate increases. The remaining expenses grew less than total block hour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Balance Sheet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A0A0A"/>
        </w:rPr>
        <w:t>Total liquidity</w:t>
      </w:r>
      <w:r>
        <w:rPr>
          <w:rFonts w:ascii="Arial" w:cs="Arial" w:eastAsia="Arial" w:hAnsi="Arial"/>
          <w:sz w:val="23"/>
          <w:szCs w:val="23"/>
          <w:color w:val="0A0A0A"/>
          <w:vertAlign w:val="superscript"/>
        </w:rPr>
        <w:t>(4)</w:t>
      </w:r>
      <w:r>
        <w:rPr>
          <w:rFonts w:ascii="Arial" w:cs="Arial" w:eastAsia="Arial" w:hAnsi="Arial"/>
          <w:sz w:val="18"/>
          <w:szCs w:val="18"/>
          <w:color w:val="0A0A0A"/>
        </w:rPr>
        <w:t xml:space="preserve"> was $153 million on June 30, 2024, while the Company’s net debt</w:t>
      </w:r>
      <w:r>
        <w:rPr>
          <w:rFonts w:ascii="Arial" w:cs="Arial" w:eastAsia="Arial" w:hAnsi="Arial"/>
          <w:sz w:val="23"/>
          <w:szCs w:val="23"/>
          <w:color w:val="0A0A0A"/>
          <w:vertAlign w:val="superscript"/>
        </w:rPr>
        <w:t>(5)</w:t>
      </w:r>
      <w:r>
        <w:rPr>
          <w:rFonts w:ascii="Arial" w:cs="Arial" w:eastAsia="Arial" w:hAnsi="Arial"/>
          <w:sz w:val="18"/>
          <w:szCs w:val="18"/>
          <w:color w:val="0A0A0A"/>
        </w:rPr>
        <w:t xml:space="preserve"> was $552 million.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3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2023</w:t>
            </w:r>
          </w:p>
        </w:tc>
      </w:tr>
      <w:tr>
        <w:trPr>
          <w:trHeight w:val="222"/>
        </w:trPr>
        <w:tc>
          <w:tcPr>
            <w:tcW w:w="6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3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63"/>
        </w:trPr>
        <w:tc>
          <w:tcPr>
            <w:tcW w:w="662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83"/>
        </w:trPr>
        <w:tc>
          <w:tcPr>
            <w:tcW w:w="6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 amounts may not recalculate due to rounding)</w:t>
            </w: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December 31, 2023</w:t>
            </w:r>
          </w:p>
        </w:tc>
      </w:tr>
      <w:tr>
        <w:trPr>
          <w:trHeight w:val="222"/>
        </w:trPr>
        <w:tc>
          <w:tcPr>
            <w:tcW w:w="6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5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0"/>
        </w:trPr>
        <w:tc>
          <w:tcPr>
            <w:tcW w:w="6620" w:type="dxa"/>
            <w:vAlign w:val="bottom"/>
          </w:tcPr>
          <w:p>
            <w:pPr>
              <w:ind w:left="180"/>
              <w:spacing w:after="0"/>
              <w:rPr>
                <w:sz w:val="20"/>
                <w:szCs w:val="20"/>
                <w:color w:val="auto"/>
              </w:rPr>
            </w:pPr>
            <w:r>
              <w:rPr>
                <w:rFonts w:ascii="Arial" w:cs="Arial" w:eastAsia="Arial" w:hAnsi="Arial"/>
                <w:sz w:val="18"/>
                <w:szCs w:val="18"/>
                <w:color w:val="auto"/>
              </w:rPr>
              <w:t>Total Debt, net, and Lease Obligations</w:t>
            </w:r>
          </w:p>
        </w:tc>
        <w:tc>
          <w:tcPr>
            <w:tcW w:w="38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w:t>
            </w:r>
          </w:p>
        </w:tc>
      </w:tr>
      <w:tr>
        <w:trPr>
          <w:trHeight w:val="23"/>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47"/>
        </w:trPr>
        <w:tc>
          <w:tcPr>
            <w:tcW w:w="66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3"/>
        </w:trPr>
        <w:tc>
          <w:tcPr>
            <w:tcW w:w="6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Fleet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June 30, 2024, the Company had 44 aircraft in its passenger service fleet, operated 12 freighter aircraft in its cargo operation and had seven aircraft that are currently on lease to unaffiliated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Guidance for Third Quarter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8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jc w:val="center"/>
              <w:ind w:left="1333"/>
              <w:spacing w:after="0"/>
              <w:rPr>
                <w:sz w:val="20"/>
                <w:szCs w:val="20"/>
                <w:color w:val="auto"/>
              </w:rPr>
            </w:pPr>
            <w:r>
              <w:rPr>
                <w:rFonts w:ascii="Arial" w:cs="Arial" w:eastAsia="Arial" w:hAnsi="Arial"/>
                <w:sz w:val="14"/>
                <w:szCs w:val="14"/>
                <w:b w:val="1"/>
                <w:bCs w:val="1"/>
                <w:color w:val="0A0A0A"/>
              </w:rPr>
              <w:t>Q3 2024</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A0A0A"/>
              </w:rPr>
              <w:t>H/(L) vs Q3 2023</w:t>
            </w:r>
          </w:p>
        </w:tc>
      </w:tr>
      <w:tr>
        <w:trPr>
          <w:trHeight w:val="224"/>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revenue - millions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$245 to $255</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(2%) to 2%</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Economic fuel cost per gallon</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7"/>
              </w:rPr>
              <w:t>$2.82</w:t>
            </w:r>
          </w:p>
        </w:tc>
        <w:tc>
          <w:tcPr>
            <w:tcW w:w="2340" w:type="dxa"/>
            <w:vAlign w:val="bottom"/>
          </w:tcPr>
          <w:p>
            <w:pPr>
              <w:jc w:val="center"/>
              <w:spacing w:after="0"/>
              <w:rPr>
                <w:sz w:val="20"/>
                <w:szCs w:val="20"/>
                <w:color w:val="auto"/>
              </w:rPr>
            </w:pPr>
            <w:r>
              <w:rPr>
                <w:rFonts w:ascii="Arial" w:cs="Arial" w:eastAsia="Arial" w:hAnsi="Arial"/>
                <w:sz w:val="18"/>
                <w:szCs w:val="18"/>
                <w:color w:val="0A0A0A"/>
                <w:w w:val="95"/>
              </w:rPr>
              <w:t>(11)%</w:t>
            </w: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 margin - percentage</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w w:val="98"/>
              </w:rPr>
              <w:t>3% to 5%</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(5pp) to (3pp)</w:t>
            </w:r>
          </w:p>
        </w:tc>
      </w:tr>
      <w:tr>
        <w:trPr>
          <w:trHeight w:val="230"/>
        </w:trPr>
        <w:tc>
          <w:tcPr>
            <w:tcW w:w="5180" w:type="dxa"/>
            <w:vAlign w:val="bottom"/>
          </w:tcPr>
          <w:p>
            <w:pPr>
              <w:ind w:left="80"/>
              <w:spacing w:after="0"/>
              <w:rPr>
                <w:sz w:val="20"/>
                <w:szCs w:val="20"/>
                <w:color w:val="auto"/>
              </w:rPr>
            </w:pPr>
            <w:r>
              <w:rPr>
                <w:rFonts w:ascii="Arial" w:cs="Arial" w:eastAsia="Arial" w:hAnsi="Arial"/>
                <w:sz w:val="18"/>
                <w:szCs w:val="18"/>
                <w:color w:val="0A0A0A"/>
              </w:rPr>
              <w:t>Effective tax rate</w:t>
            </w:r>
          </w:p>
        </w:tc>
        <w:tc>
          <w:tcPr>
            <w:tcW w:w="3700" w:type="dxa"/>
            <w:vAlign w:val="bottom"/>
          </w:tcPr>
          <w:p>
            <w:pPr>
              <w:jc w:val="center"/>
              <w:ind w:left="1333"/>
              <w:spacing w:after="0"/>
              <w:rPr>
                <w:sz w:val="20"/>
                <w:szCs w:val="20"/>
                <w:color w:val="auto"/>
              </w:rPr>
            </w:pPr>
            <w:r>
              <w:rPr>
                <w:rFonts w:ascii="Arial" w:cs="Arial" w:eastAsia="Arial" w:hAnsi="Arial"/>
                <w:sz w:val="18"/>
                <w:szCs w:val="18"/>
                <w:color w:val="0A0A0A"/>
                <w:w w:val="99"/>
              </w:rPr>
              <w:t>23%</w:t>
            </w:r>
          </w:p>
        </w:tc>
        <w:tc>
          <w:tcPr>
            <w:tcW w:w="2340" w:type="dxa"/>
            <w:vAlign w:val="bottom"/>
          </w:tcPr>
          <w:p>
            <w:pPr>
              <w:spacing w:after="0"/>
              <w:rPr>
                <w:sz w:val="19"/>
                <w:szCs w:val="19"/>
                <w:color w:val="auto"/>
              </w:rPr>
            </w:pPr>
          </w:p>
        </w:tc>
      </w:tr>
      <w:tr>
        <w:trPr>
          <w:trHeight w:val="229"/>
        </w:trPr>
        <w:tc>
          <w:tcPr>
            <w:tcW w:w="518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system block hours - thousands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8"/>
                <w:szCs w:val="18"/>
                <w:color w:val="0A0A0A"/>
              </w:rPr>
              <w:t>36.5 to 37.5</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0A0A0A"/>
              </w:rPr>
              <w:t>5% to 8%</w:t>
            </w:r>
          </w:p>
        </w:tc>
      </w:tr>
    </w:tbl>
    <w:p>
      <w:pPr>
        <w:spacing w:after="0" w:line="200" w:lineRule="exact"/>
        <w:rPr>
          <w:sz w:val="20"/>
          <w:szCs w:val="20"/>
          <w:color w:val="auto"/>
        </w:rPr>
      </w:pP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1240"/>
          </w:cols>
          <w:pgMar w:left="320" w:top="1282" w:right="339" w:bottom="1440" w:gutter="0" w:footer="0" w:header="0"/>
          <w:type w:val="continuous"/>
        </w:sectPr>
      </w:pPr>
    </w:p>
    <w:bookmarkStart w:id="6" w:name="page7"/>
    <w:bookmarkEnd w:id="6"/>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&amp; Webcast Details</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0A0A0A"/>
        </w:rPr>
        <w:t xml:space="preserve">Sun Country Airlines will host a conference call to discuss its second quarter 2024 results at 8:30 a.m. Eastern Time on Friday, August 2, 2024. A live broadcast of the conference call will be available via the investor relations section of Sun Country Airlines’ website at </w:t>
      </w:r>
      <w:r>
        <w:rPr>
          <w:rFonts w:ascii="Arial" w:cs="Arial" w:eastAsia="Arial" w:hAnsi="Arial"/>
          <w:sz w:val="18"/>
          <w:szCs w:val="18"/>
          <w:u w:val="single" w:color="auto"/>
          <w:color w:val="026DCE"/>
        </w:rPr>
        <w:t>https://ir.suncountry.com/news-events/events-and-presentations</w:t>
      </w:r>
      <w:r>
        <w:rPr>
          <w:rFonts w:ascii="Arial" w:cs="Arial" w:eastAsia="Arial" w:hAnsi="Arial"/>
          <w:sz w:val="18"/>
          <w:szCs w:val="18"/>
          <w:color w:val="0A0A0A"/>
          <w:highlight w:val="white"/>
        </w:rPr>
        <w:t>.</w:t>
      </w:r>
      <w:r>
        <w:rPr>
          <w:rFonts w:ascii="Arial" w:cs="Arial" w:eastAsia="Arial" w:hAnsi="Arial"/>
          <w:sz w:val="18"/>
          <w:szCs w:val="18"/>
          <w:color w:val="026DCE"/>
        </w:rPr>
        <w:t xml:space="preserve"> </w:t>
      </w:r>
      <w:r>
        <w:rPr>
          <w:rFonts w:ascii="Arial" w:cs="Arial" w:eastAsia="Arial" w:hAnsi="Arial"/>
          <w:sz w:val="18"/>
          <w:szCs w:val="18"/>
          <w:color w:val="000000"/>
          <w:highlight w:val="white"/>
        </w:rPr>
        <w:t>The online replay will be available on the same website approximately one</w:t>
      </w:r>
      <w:r>
        <w:rPr>
          <w:rFonts w:ascii="Arial" w:cs="Arial" w:eastAsia="Arial" w:hAnsi="Arial"/>
          <w:sz w:val="18"/>
          <w:szCs w:val="18"/>
          <w:color w:val="026DCE"/>
        </w:rPr>
        <w:t xml:space="preserve"> </w:t>
      </w:r>
      <w:r>
        <w:rPr>
          <w:rFonts w:ascii="Arial" w:cs="Arial" w:eastAsia="Arial" w:hAnsi="Arial"/>
          <w:sz w:val="18"/>
          <w:szCs w:val="18"/>
          <w:color w:val="000000"/>
        </w:rPr>
        <w:t>hour after the call.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26DCE"/>
        </w:rPr>
        <w:t>https://www.stories.suncountry.com/multimedia</w:t>
      </w:r>
      <w:r>
        <w:rPr>
          <w:rFonts w:ascii="Arial" w:cs="Arial" w:eastAsia="Arial" w:hAnsi="Arial"/>
          <w:sz w:val="18"/>
          <w:szCs w:val="18"/>
          <w:color w:val="000000"/>
          <w:highlight w:val="white"/>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End Notes</w:t>
      </w:r>
    </w:p>
    <w:p>
      <w:pPr>
        <w:spacing w:after="0" w:line="50" w:lineRule="exact"/>
        <w:rPr>
          <w:sz w:val="20"/>
          <w:szCs w:val="20"/>
          <w:color w:val="auto"/>
        </w:rPr>
      </w:pPr>
    </w:p>
    <w:p>
      <w:pPr>
        <w:jc w:val="both"/>
        <w:ind w:left="480" w:right="40" w:hanging="458"/>
        <w:spacing w:after="0" w:line="266" w:lineRule="auto"/>
        <w:tabs>
          <w:tab w:leader="none" w:pos="460" w:val="left"/>
        </w:tabs>
        <w:rPr>
          <w:sz w:val="20"/>
          <w:szCs w:val="20"/>
          <w:color w:val="auto"/>
        </w:rPr>
      </w:pPr>
      <w:r>
        <w:rPr>
          <w:rFonts w:ascii="Arial" w:cs="Arial" w:eastAsia="Arial" w:hAnsi="Arial"/>
          <w:sz w:val="18"/>
          <w:szCs w:val="18"/>
          <w:color w:val="auto"/>
        </w:rPr>
        <w:t>1 -</w:t>
      </w:r>
      <w:r>
        <w:rPr>
          <w:rFonts w:ascii="Arial" w:cs="Arial" w:eastAsia="Arial" w:hAnsi="Arial"/>
          <w:sz w:val="18"/>
          <w:szCs w:val="18"/>
          <w:color w:val="0A0A0A"/>
        </w:rPr>
        <w:tab/>
        <w:t>See additional details, including reconciliations to the most comparable GAAP measures, in the section titled “</w:t>
      </w:r>
      <w:r>
        <w:rPr>
          <w:rFonts w:ascii="Arial" w:cs="Arial" w:eastAsia="Arial" w:hAnsi="Arial"/>
          <w:sz w:val="18"/>
          <w:szCs w:val="18"/>
          <w:color w:val="000000"/>
        </w:rPr>
        <w:t>Non-GAAP financial</w:t>
      </w:r>
      <w:r>
        <w:rPr>
          <w:rFonts w:ascii="Arial" w:cs="Arial" w:eastAsia="Arial" w:hAnsi="Arial"/>
          <w:sz w:val="18"/>
          <w:szCs w:val="18"/>
          <w:color w:val="0A0A0A"/>
        </w:rPr>
        <w:t xml:space="preserve"> </w:t>
      </w:r>
      <w:r>
        <w:rPr>
          <w:rFonts w:ascii="Arial" w:cs="Arial" w:eastAsia="Arial" w:hAnsi="Arial"/>
          <w:sz w:val="18"/>
          <w:szCs w:val="18"/>
          <w:color w:val="000000"/>
        </w:rPr>
        <w:t>measures”</w:t>
      </w:r>
    </w:p>
    <w:p>
      <w:pPr>
        <w:jc w:val="both"/>
        <w:ind w:left="480" w:right="40" w:hanging="458"/>
        <w:spacing w:after="0" w:line="247" w:lineRule="auto"/>
        <w:tabs>
          <w:tab w:leader="none" w:pos="460" w:val="left"/>
        </w:tabs>
        <w:rPr>
          <w:sz w:val="20"/>
          <w:szCs w:val="20"/>
          <w:color w:val="auto"/>
        </w:rPr>
      </w:pPr>
      <w:r>
        <w:rPr>
          <w:rFonts w:ascii="Arial" w:cs="Arial" w:eastAsia="Arial" w:hAnsi="Arial"/>
          <w:sz w:val="18"/>
          <w:szCs w:val="18"/>
          <w:color w:val="auto"/>
        </w:rPr>
        <w:t>2 -</w:t>
        <w:tab/>
        <w:t>Adjusted CASM is a non-GAAP measure derived from CASM by excluding fuel costs, non-cash management stock compensation expense, costs arising from its cargo operations, depreciation and amortization recognized on certain assets that generate lease income, certain commissions, and other costs of selling its vacations product from this measure. See table titled “Reconciliation of CASM to Adjusted CASM”</w:t>
      </w:r>
    </w:p>
    <w:p>
      <w:pPr>
        <w:sectPr>
          <w:pgSz w:w="11900" w:h="16838" w:orient="portrait"/>
          <w:cols w:equalWidth="0" w:num="1">
            <w:col w:w="11160"/>
          </w:cols>
          <w:pgMar w:left="320" w:top="1440" w:right="41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br w:type="column"/>
      </w:r>
    </w:p>
    <w:p>
      <w:pPr>
        <w:jc w:val="both"/>
        <w:ind w:right="40"/>
        <w:spacing w:after="0" w:line="247" w:lineRule="auto"/>
        <w:rPr>
          <w:sz w:val="20"/>
          <w:szCs w:val="20"/>
          <w:color w:val="auto"/>
        </w:rPr>
      </w:pPr>
      <w:r>
        <w:rPr>
          <w:rFonts w:ascii="Arial" w:cs="Arial" w:eastAsia="Arial" w:hAnsi="Arial"/>
          <w:sz w:val="18"/>
          <w:szCs w:val="18"/>
          <w:color w:val="auto"/>
        </w:rPr>
        <w:t>Scheduled Service TRASM includes Schedule Service revenue, Ancillary revenue, and ASM generating revenue classified within Other Revenue on the Condensed Consolidated Statement of Operations / Scheduled Service ASMs. Other Revenue includes rental revenue associated with certain assets that generate lease income of approximately $9.9 and $5.9 million in the three months ended June 30, 2024 and 2023 and $19.1 and $5.9 in the six months ended June 30, 2024 and 2023, respectively, which is not included.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Total liquidity = cash and cash equivalents + available-for-sale securities + amount available under revolver</w:t>
      </w:r>
    </w:p>
    <w:p>
      <w:pPr>
        <w:spacing w:after="0" w:line="50"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Net debt = current portion of long-term debt + long-term debt + finance lease obligations + operating lease obligations – cash and cash equivalents - available-for-sale securities</w:t>
      </w:r>
    </w:p>
    <w:p>
      <w:pPr>
        <w:spacing w:after="0" w:line="200" w:lineRule="exact"/>
        <w:rPr>
          <w:sz w:val="20"/>
          <w:szCs w:val="20"/>
          <w:color w:val="auto"/>
        </w:rPr>
      </w:pPr>
    </w:p>
    <w:p>
      <w:pPr>
        <w:sectPr>
          <w:pgSz w:w="11900" w:h="16838" w:orient="portrait"/>
          <w:cols w:equalWidth="0" w:num="2">
            <w:col w:w="240" w:space="240"/>
            <w:col w:w="10680"/>
          </w:cols>
          <w:pgMar w:left="320" w:top="1440" w:right="41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0A0A0A"/>
        </w:rPr>
        <w:t>I</w:t>
      </w:r>
      <w:r>
        <w:rPr>
          <w:rFonts w:ascii="Arial" w:cs="Arial" w:eastAsia="Arial" w:hAnsi="Arial"/>
          <w:sz w:val="17"/>
          <w:szCs w:val="17"/>
          <w:b w:val="1"/>
          <w:bCs w:val="1"/>
          <w:color w:val="0A0A0A"/>
        </w:rPr>
        <w:t>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Page 4</w:t>
      </w:r>
    </w:p>
    <w:p>
      <w:pPr>
        <w:sectPr>
          <w:pgSz w:w="11900" w:h="16838" w:orient="portrait"/>
          <w:cols w:equalWidth="0" w:num="1">
            <w:col w:w="11160"/>
          </w:cols>
          <w:pgMar w:left="320" w:top="1440" w:right="4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0A0A0A"/>
        </w:rPr>
        <w:t>Forward 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0A0A0A"/>
        </w:rPr>
        <w:t>This press release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press release, including statements regarding our strategy, future operations, future financial position, future revenue, projected costs, prospects, plans, objectives of management, and expected market growth are forward-looking statements. The forward-looking statements are relating to:</w:t>
      </w:r>
    </w:p>
    <w:p>
      <w:pPr>
        <w:spacing w:after="0" w:line="182"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strategy, outlook and growth prospects;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our operational and financial targets and dividend policy;</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general economic trends and trends in the industry and markets;</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potential repurchases of our common stock; and</w:t>
      </w:r>
    </w:p>
    <w:p>
      <w:pPr>
        <w:spacing w:after="0" w:line="225" w:lineRule="exact"/>
        <w:rPr>
          <w:rFonts w:ascii="Arial" w:cs="Arial" w:eastAsia="Arial" w:hAnsi="Arial"/>
          <w:sz w:val="18"/>
          <w:szCs w:val="18"/>
          <w:color w:val="0A0A0A"/>
        </w:rPr>
      </w:pPr>
    </w:p>
    <w:p>
      <w:pPr>
        <w:ind w:left="120" w:hanging="112"/>
        <w:spacing w:after="0"/>
        <w:tabs>
          <w:tab w:leader="none" w:pos="12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the competitive environment in which we operate.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0A0A0A"/>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A0A0A"/>
        </w:rPr>
        <w:t>These forward-looking statements reflect our views with respect to future events as of the date of this press release and are based on assumptions and subject to risks and uncertainties. Given these uncertainties, you should not place undue reliance on these forward-looking statements. These forward-looking statements represent our estimates and assumptions only as of the date of this press release and, except as required by law, we undertake no obligation to update or review publicly any forward-looking statements, whether as a result of new information, future events or otherwise after the date of this press release. We anticipate that subsequent events and developments will cause our views to change. You should read this press release completely and with the understanding that our actual future results may be materially different from what we expect. Our forward-looking statements do not reflect the potential impact of any future acquisitions, mergers, dispositions, joint ventures, or investments we may undertake. We qualify all of our forward-looking statements by these cautionary statements. Additional information concerning certain factors is contained in the Company’s Securities and Exchange Commission filings, including but not limited to the Company’s Annual Reports on Form 10-K, Quarterly Reports on Form 10-Q, and Current Reports on Form 8-K.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Non-GAAP Financial Measures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document to the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w:t>
      </w:r>
    </w:p>
    <w:p>
      <w:pPr>
        <w:sectPr>
          <w:pgSz w:w="11900" w:h="16838" w:orient="portrait"/>
          <w:cols w:equalWidth="0" w:num="1">
            <w:col w:w="11240"/>
          </w:cols>
          <w:pgMar w:left="320" w:top="1066"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(Unaudited-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gridSpan w:val="5"/>
          </w:tcPr>
          <w:p>
            <w:pPr>
              <w:ind w:left="480"/>
              <w:spacing w:after="0"/>
              <w:rPr>
                <w:sz w:val="20"/>
                <w:szCs w:val="20"/>
                <w:color w:val="auto"/>
              </w:rPr>
            </w:pPr>
            <w:r>
              <w:rPr>
                <w:rFonts w:ascii="Arial" w:cs="Arial" w:eastAsia="Arial" w:hAnsi="Arial"/>
                <w:sz w:val="14"/>
                <w:szCs w:val="14"/>
                <w:b w:val="1"/>
                <w:bCs w:val="1"/>
                <w:color w:val="0A0A0A"/>
              </w:rPr>
              <w:t>Three Months Ended June 30,</w:t>
            </w:r>
          </w:p>
        </w:tc>
        <w:tc>
          <w:tcPr>
            <w:tcW w:w="1880" w:type="dxa"/>
            <w:vAlign w:val="bottom"/>
          </w:tcPr>
          <w:p>
            <w:pPr>
              <w:spacing w:after="0"/>
              <w:rPr>
                <w:sz w:val="17"/>
                <w:szCs w:val="17"/>
                <w:color w:val="auto"/>
              </w:rPr>
            </w:pPr>
          </w:p>
        </w:tc>
      </w:tr>
      <w:tr>
        <w:trPr>
          <w:trHeight w:val="204"/>
        </w:trPr>
        <w:tc>
          <w:tcPr>
            <w:tcW w:w="5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2023</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88,078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111,467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(21.0)</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49,626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2.8</w:t>
            </w:r>
          </w:p>
        </w:tc>
      </w:tr>
      <w:tr>
        <w:trPr>
          <w:trHeight w:val="229"/>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66,773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15.8</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227,866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25,447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25,017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1.7</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12,539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8,203</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52.9</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254,381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261,086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(2.6)</w:t>
            </w:r>
          </w:p>
        </w:tc>
      </w:tr>
      <w:tr>
        <w:trPr>
          <w:trHeight w:val="250"/>
        </w:trPr>
        <w:tc>
          <w:tcPr>
            <w:tcW w:w="5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52,360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18.8</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79,359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75,919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779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15,942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8,507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22,355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5.7</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9,747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11,944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27,946</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225,499</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7.3</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35,587</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(65.3)</w:t>
            </w:r>
          </w:p>
        </w:tc>
      </w:t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2,545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(11,239)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(143)</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(8,837)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3"/>
        </w:trPr>
        <w:tc>
          <w:tcPr>
            <w:tcW w:w="53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26,750</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6,132</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20,618</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0.37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0.35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52,689,408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56,084,759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54,792,848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59,712,048</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1220"/>
          </w:cols>
          <w:pgMar w:left="320" w:top="1336"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20" w:type="dxa"/>
            <w:vAlign w:val="bottom"/>
            <w:gridSpan w:val="5"/>
          </w:tcPr>
          <w:p>
            <w:pPr>
              <w:ind w:left="560"/>
              <w:spacing w:after="0"/>
              <w:rPr>
                <w:sz w:val="20"/>
                <w:szCs w:val="20"/>
                <w:color w:val="auto"/>
              </w:rPr>
            </w:pPr>
            <w:r>
              <w:rPr>
                <w:rFonts w:ascii="Arial" w:cs="Arial" w:eastAsia="Arial" w:hAnsi="Arial"/>
                <w:sz w:val="14"/>
                <w:szCs w:val="14"/>
                <w:b w:val="1"/>
                <w:bCs w:val="1"/>
                <w:color w:val="0A0A0A"/>
              </w:rPr>
              <w:t>Six Months Ended June 30,</w:t>
            </w:r>
          </w:p>
        </w:tc>
        <w:tc>
          <w:tcPr>
            <w:tcW w:w="1880" w:type="dxa"/>
            <w:vAlign w:val="bottom"/>
          </w:tcPr>
          <w:p>
            <w:pPr>
              <w:spacing w:after="0"/>
              <w:rPr>
                <w:sz w:val="17"/>
                <w:szCs w:val="17"/>
                <w:color w:val="auto"/>
              </w:rPr>
            </w:pPr>
          </w:p>
        </w:tc>
      </w:tr>
      <w:tr>
        <w:trPr>
          <w:trHeight w:val="204"/>
        </w:trPr>
        <w:tc>
          <w:tcPr>
            <w:tcW w:w="5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0A0A0A"/>
              </w:rPr>
              <w:t>2024</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0A0A0A"/>
              </w:rPr>
              <w:t>2023</w:t>
            </w:r>
          </w:p>
        </w:tc>
        <w:tc>
          <w:tcPr>
            <w:tcW w:w="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0A0A0A"/>
              </w:rPr>
              <w:t>% Change</w:t>
            </w:r>
          </w:p>
        </w:tc>
      </w:tr>
      <w:tr>
        <w:trPr>
          <w:trHeight w:val="224"/>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Operating Revenues: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Scheduled Service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229,272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264,124</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(13.2)</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Charter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95,813</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2.6</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Ancillary</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163,466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135,198</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20.9</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Passenger</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495,135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(0.8)</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Cargo</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A0A0A"/>
              </w:rPr>
              <w:t>49,395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48,378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2.1</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25,410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11,688</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117.4</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Revenue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555,201</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1.9</w:t>
            </w:r>
          </w:p>
        </w:tc>
      </w:tr>
      <w:tr>
        <w:trPr>
          <w:trHeight w:val="250"/>
        </w:trPr>
        <w:tc>
          <w:tcPr>
            <w:tcW w:w="53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Operating Expenses: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Fuel</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124,650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6.3</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Salaries, Wages, and Benefits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161,597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151,349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Aircraft Rent</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2,259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Maintenance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34,156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28,981</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Sales and Marketing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18,436</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Depreciation and Amortization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47,440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41,815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A0A0A"/>
              </w:rPr>
              <w:t>13.5</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Ground Handling</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18,917</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5360" w:type="dxa"/>
            <w:vAlign w:val="bottom"/>
          </w:tcPr>
          <w:p>
            <w:pPr>
              <w:ind w:left="180"/>
              <w:spacing w:after="0"/>
              <w:rPr>
                <w:sz w:val="20"/>
                <w:szCs w:val="20"/>
                <w:color w:val="auto"/>
              </w:rPr>
            </w:pPr>
            <w:r>
              <w:rPr>
                <w:rFonts w:ascii="Arial" w:cs="Arial" w:eastAsia="Arial" w:hAnsi="Arial"/>
                <w:sz w:val="18"/>
                <w:szCs w:val="18"/>
                <w:color w:val="0A0A0A"/>
              </w:rPr>
              <w:t>Landing Fees and Airport Rent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28,452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22,889</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29"/>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Other Operating, net</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54,535</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0A0A0A"/>
              </w:rPr>
              <w:t>Total Operating Expenses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463,831</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7.4</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Operating Income</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91,370</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A0A0A"/>
              </w:rPr>
              <w:t>(26.1)</w:t>
            </w:r>
          </w:p>
        </w:tc>
      </w:tr>
      <w:tr>
        <w:trPr>
          <w:trHeight w:val="196"/>
        </w:trPr>
        <w:tc>
          <w:tcPr>
            <w:tcW w:w="5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0A0A0A"/>
              </w:rPr>
              <w:t>Non-operating Income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Interest Income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0A0A0A"/>
              </w:rPr>
              <w:t>5,286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Interest Expense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(19,869)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Other, net</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(355)</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r>
      <w:tr>
        <w:trPr>
          <w:trHeight w:val="223"/>
        </w:trPr>
        <w:tc>
          <w:tcPr>
            <w:tcW w:w="5360" w:type="dxa"/>
            <w:vAlign w:val="bottom"/>
            <w:shd w:val="clear" w:color="auto" w:fill="CCEEFF"/>
          </w:tcPr>
          <w:p>
            <w:pPr>
              <w:ind w:left="300"/>
              <w:spacing w:after="0"/>
              <w:rPr>
                <w:sz w:val="20"/>
                <w:szCs w:val="20"/>
                <w:color w:val="auto"/>
              </w:rPr>
            </w:pPr>
            <w:r>
              <w:rPr>
                <w:rFonts w:ascii="Arial" w:cs="Arial" w:eastAsia="Arial" w:hAnsi="Arial"/>
                <w:sz w:val="18"/>
                <w:szCs w:val="18"/>
                <w:color w:val="0A0A0A"/>
              </w:rPr>
              <w:t>Total Non-operating Expense, net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(14,938)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03"/>
        </w:trPr>
        <w:tc>
          <w:tcPr>
            <w:tcW w:w="53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Income before Income Tax</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3"/>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A0A0A"/>
              </w:rPr>
              <w:t>Income Tax Expense</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A0A0A"/>
              </w:rPr>
              <w:t>17,486</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48"/>
        </w:trPr>
        <w:tc>
          <w:tcPr>
            <w:tcW w:w="5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0A0A0A"/>
              </w:rPr>
              <w:t>Net Income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58,946</w:t>
            </w:r>
          </w:p>
        </w:tc>
        <w:tc>
          <w:tcPr>
            <w:tcW w:w="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Net Income per share to common stockholders: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A0A0A"/>
              </w:rPr>
              <w:t>1.05</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0A0A0A"/>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0A0A0A"/>
              </w:rPr>
              <w:t>0.99</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Shares used for computation:</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0A0A0A"/>
              </w:rPr>
              <w:t>Basic</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52,861,973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56,364,170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0A0A0A"/>
              </w:rPr>
              <w:t>Diluted</w:t>
            </w:r>
          </w:p>
        </w:tc>
        <w:tc>
          <w:tcPr>
            <w:tcW w:w="4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55,095,265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59,630,008</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1220"/>
          </w:cols>
          <w:pgMar w:left="320" w:top="1332"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KEY OPERATING STATISTICS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29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presents key operating statistics and metrics for the three and six months ended June 30,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20" w:type="dxa"/>
            <w:vAlign w:val="bottom"/>
            <w:gridSpan w:val="3"/>
          </w:tcPr>
          <w:p>
            <w:pPr>
              <w:jc w:val="right"/>
              <w:ind w:right="1031"/>
              <w:spacing w:after="0"/>
              <w:rPr>
                <w:sz w:val="20"/>
                <w:szCs w:val="20"/>
                <w:color w:val="auto"/>
              </w:rPr>
            </w:pPr>
            <w:r>
              <w:rPr>
                <w:rFonts w:ascii="Arial" w:cs="Arial" w:eastAsia="Arial" w:hAnsi="Arial"/>
                <w:sz w:val="14"/>
                <w:szCs w:val="14"/>
                <w:b w:val="1"/>
                <w:bCs w:val="1"/>
                <w:color w:val="0A0A0A"/>
              </w:rPr>
              <w:t>Three Months Ended June 30,</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4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911"/>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CEEFF"/>
            </w:tcBorders>
          </w:tcPr>
          <w:p>
            <w:pPr>
              <w:spacing w:after="0"/>
              <w:rPr>
                <w:sz w:val="17"/>
                <w:szCs w:val="17"/>
                <w:color w:val="auto"/>
              </w:rPr>
            </w:pPr>
          </w:p>
        </w:tc>
      </w:tr>
      <w:tr>
        <w:trPr>
          <w:trHeight w:val="224"/>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1,392,312</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1,216,261</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1,675,927</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1,417,778</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83.1%</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85.8%</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28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1,167,039</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1,005,126</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7,681</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6,401</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23,400</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19,561</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10.03</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12.74</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75.47</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110.90</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66.24</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66.43</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fare per passenger</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141.71</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177.33</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18,019</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15,128</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9"/>
                <w:szCs w:val="19"/>
                <w:color w:val="auto"/>
              </w:rPr>
            </w:pPr>
          </w:p>
        </w:tc>
      </w:tr>
      <w:tr>
        <w:trPr>
          <w:trHeight w:val="270"/>
        </w:trPr>
        <w:tc>
          <w:tcPr>
            <w:tcW w:w="45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2,537</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2,759</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5,089</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5,666</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309,857</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337,319</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3,599</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4,023</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9"/>
                <w:szCs w:val="19"/>
                <w:color w:val="auto"/>
              </w:rPr>
            </w:pPr>
          </w:p>
        </w:tc>
      </w:tr>
      <w:tr>
        <w:trPr>
          <w:trHeight w:val="270"/>
        </w:trPr>
        <w:tc>
          <w:tcPr>
            <w:tcW w:w="45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3,246</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3,184</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8,363</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8,570</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r>
      <w:tr>
        <w:trPr>
          <w:trHeight w:val="270"/>
        </w:trPr>
        <w:tc>
          <w:tcPr>
            <w:tcW w:w="45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42.2</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42.0</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43</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aircraft – end of period</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Leased aircraft – end of period</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5</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2,011,921</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1,780,340</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13,610</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12,495</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37,281</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34,230</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6.7</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r>
      <w:tr>
        <w:trPr>
          <w:trHeight w:val="229"/>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1,046</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9"/>
                <w:szCs w:val="19"/>
                <w:color w:val="auto"/>
              </w:rPr>
            </w:pPr>
          </w:p>
        </w:tc>
      </w:tr>
      <w:tr>
        <w:trPr>
          <w:trHeight w:val="247"/>
        </w:trPr>
        <w:tc>
          <w:tcPr>
            <w:tcW w:w="454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14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10.89</w:t>
            </w:r>
          </w:p>
        </w:tc>
        <w:tc>
          <w:tcPr>
            <w:tcW w:w="560" w:type="dxa"/>
            <w:vAlign w:val="bottom"/>
          </w:tcPr>
          <w:p>
            <w:pPr>
              <w:spacing w:after="0"/>
              <w:rPr>
                <w:sz w:val="21"/>
                <w:szCs w:val="21"/>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12.93</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21"/>
                <w:szCs w:val="21"/>
                <w:color w:val="auto"/>
              </w:rPr>
            </w:pPr>
          </w:p>
        </w:tc>
      </w:tr>
      <w:tr>
        <w:trPr>
          <w:trHeight w:val="23"/>
        </w:trPr>
        <w:tc>
          <w:tcPr>
            <w:tcW w:w="4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12.03</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12.67</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9"/>
                <w:szCs w:val="19"/>
                <w:color w:val="auto"/>
              </w:rPr>
            </w:pPr>
          </w:p>
        </w:tc>
      </w:tr>
      <w:tr>
        <w:trPr>
          <w:trHeight w:val="230"/>
        </w:trPr>
        <w:tc>
          <w:tcPr>
            <w:tcW w:w="454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14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7.49</w:t>
            </w:r>
          </w:p>
        </w:tc>
        <w:tc>
          <w:tcPr>
            <w:tcW w:w="560" w:type="dxa"/>
            <w:vAlign w:val="bottom"/>
          </w:tcPr>
          <w:p>
            <w:pPr>
              <w:spacing w:after="0"/>
              <w:rPr>
                <w:sz w:val="19"/>
                <w:szCs w:val="19"/>
                <w:color w:val="auto"/>
              </w:rPr>
            </w:pP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7.88</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21,864</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19,399</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9"/>
                <w:szCs w:val="19"/>
                <w:color w:val="auto"/>
              </w:rPr>
            </w:pPr>
          </w:p>
        </w:tc>
      </w:tr>
      <w:tr>
        <w:trPr>
          <w:trHeight w:val="229"/>
        </w:trPr>
        <w:tc>
          <w:tcPr>
            <w:tcW w:w="4540" w:type="dxa"/>
            <w:vAlign w:val="bottom"/>
          </w:tcPr>
          <w:p>
            <w:pPr>
              <w:ind w:left="80"/>
              <w:spacing w:after="0"/>
              <w:rPr>
                <w:sz w:val="20"/>
                <w:szCs w:val="20"/>
                <w:color w:val="auto"/>
              </w:rPr>
            </w:pPr>
            <w:r>
              <w:rPr>
                <w:rFonts w:ascii="Arial" w:cs="Arial" w:eastAsia="Arial" w:hAnsi="Arial"/>
                <w:sz w:val="18"/>
                <w:szCs w:val="18"/>
                <w:color w:val="auto"/>
              </w:rPr>
              <w:t>Fuel cost per gallon</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51"/>
              <w:spacing w:after="0"/>
              <w:rPr>
                <w:sz w:val="20"/>
                <w:szCs w:val="20"/>
                <w:color w:val="auto"/>
              </w:rPr>
            </w:pPr>
            <w:r>
              <w:rPr>
                <w:rFonts w:ascii="Arial" w:cs="Arial" w:eastAsia="Arial" w:hAnsi="Arial"/>
                <w:sz w:val="18"/>
                <w:szCs w:val="18"/>
                <w:color w:val="auto"/>
              </w:rPr>
              <w:t>2.71</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9"/>
                <w:szCs w:val="19"/>
                <w:color w:val="auto"/>
              </w:rPr>
            </w:pPr>
          </w:p>
        </w:tc>
      </w:tr>
      <w:tr>
        <w:trPr>
          <w:trHeight w:val="230"/>
        </w:trPr>
        <w:tc>
          <w:tcPr>
            <w:tcW w:w="4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3,079</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2,749</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9"/>
                <w:szCs w:val="19"/>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1 – See note 3 in end notes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2 – See note 4 in end notes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3- Percentage point difference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Page 8</w:t>
      </w:r>
    </w:p>
    <w:p>
      <w:pPr>
        <w:sectPr>
          <w:pgSz w:w="11900" w:h="16838" w:orient="portrait"/>
          <w:cols w:equalWidth="0" w:num="1">
            <w:col w:w="11020"/>
          </w:cols>
          <w:pgMar w:left="320" w:top="1322" w:right="559" w:bottom="1440" w:gutter="0" w:footer="0" w:header="0"/>
        </w:sectPr>
      </w:pPr>
    </w:p>
    <w:bookmarkStart w:id="11" w:name="page12"/>
    <w:bookmarkEnd w:id="11"/>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60" w:type="dxa"/>
            <w:vAlign w:val="bottom"/>
            <w:gridSpan w:val="3"/>
          </w:tcPr>
          <w:p>
            <w:pPr>
              <w:jc w:val="right"/>
              <w:ind w:right="1171"/>
              <w:spacing w:after="0"/>
              <w:rPr>
                <w:sz w:val="20"/>
                <w:szCs w:val="20"/>
                <w:color w:val="auto"/>
              </w:rPr>
            </w:pPr>
            <w:r>
              <w:rPr>
                <w:rFonts w:ascii="Arial" w:cs="Arial" w:eastAsia="Arial" w:hAnsi="Arial"/>
                <w:sz w:val="14"/>
                <w:szCs w:val="14"/>
                <w:b w:val="1"/>
                <w:bCs w:val="1"/>
                <w:color w:val="0A0A0A"/>
              </w:rPr>
              <w:t>Six Months Ended June 30,</w:t>
            </w: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4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951"/>
              <w:spacing w:after="0"/>
              <w:rPr>
                <w:sz w:val="20"/>
                <w:szCs w:val="20"/>
                <w:color w:val="auto"/>
              </w:rPr>
            </w:pPr>
            <w:r>
              <w:rPr>
                <w:rFonts w:ascii="Arial" w:cs="Arial" w:eastAsia="Arial" w:hAnsi="Arial"/>
                <w:sz w:val="14"/>
                <w:szCs w:val="14"/>
                <w:b w:val="1"/>
                <w:bCs w:val="1"/>
                <w:color w:val="auto"/>
              </w:rPr>
              <w:t>2023</w:t>
            </w:r>
          </w:p>
        </w:tc>
        <w:tc>
          <w:tcPr>
            <w:tcW w:w="16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 Change</w:t>
            </w:r>
          </w:p>
        </w:tc>
        <w:tc>
          <w:tcPr>
            <w:tcW w:w="320" w:type="dxa"/>
            <w:vAlign w:val="bottom"/>
            <w:tcBorders>
              <w:bottom w:val="single" w:sz="8" w:color="CCEEFF"/>
            </w:tcBorders>
          </w:tcPr>
          <w:p>
            <w:pPr>
              <w:spacing w:after="0"/>
              <w:rPr>
                <w:sz w:val="17"/>
                <w:szCs w:val="17"/>
                <w:color w:val="auto"/>
              </w:rPr>
            </w:pPr>
          </w:p>
        </w:tc>
      </w:tr>
      <w:tr>
        <w:trPr>
          <w:trHeight w:val="224"/>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Scheduled Service Statistics:</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Revenue passenger miles (RPMs) – thousands</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3,047,163</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2,648,392</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3,568,818</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3,043,506</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Load factor</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85.4%</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87.0%</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320" w:type="dxa"/>
            <w:vAlign w:val="bottom"/>
          </w:tcPr>
          <w:p>
            <w:pPr>
              <w:jc w:val="right"/>
              <w:ind w:right="106"/>
              <w:spacing w:after="0"/>
              <w:rPr>
                <w:sz w:val="20"/>
                <w:szCs w:val="20"/>
                <w:color w:val="auto"/>
              </w:rPr>
            </w:pPr>
            <w:r>
              <w:rPr>
                <w:rFonts w:ascii="Arial" w:cs="Arial" w:eastAsia="Arial" w:hAnsi="Arial"/>
                <w:sz w:val="11"/>
                <w:szCs w:val="11"/>
                <w:color w:val="auto"/>
              </w:rPr>
              <w:t>(3)</w:t>
            </w: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passengers carried</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2,324,550</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2,003,364</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14,850</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12,578</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48,896</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41,503</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line="230" w:lineRule="exact"/>
              <w:rPr>
                <w:sz w:val="20"/>
                <w:szCs w:val="20"/>
                <w:color w:val="auto"/>
              </w:rPr>
            </w:pPr>
            <w:r>
              <w:rPr>
                <w:rFonts w:ascii="Arial" w:cs="Arial" w:eastAsia="Arial" w:hAnsi="Arial"/>
                <w:sz w:val="18"/>
                <w:szCs w:val="18"/>
                <w:color w:val="auto"/>
              </w:rPr>
              <w:t>Scheduled service TRASM</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cents</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11.18</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13.31</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base fare per passenger</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98.63</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131.84</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Ancillary revenue per passenger</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70.32</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67.49</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fare per passenger</w:t>
            </w:r>
          </w:p>
        </w:tc>
        <w:tc>
          <w:tcPr>
            <w:tcW w:w="10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168.95</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199.33</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38,069</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32,511</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9"/>
                <w:szCs w:val="19"/>
                <w:color w:val="auto"/>
              </w:rPr>
            </w:pPr>
          </w:p>
        </w:tc>
      </w:tr>
      <w:tr>
        <w:trPr>
          <w:trHeight w:val="270"/>
        </w:trPr>
        <w:tc>
          <w:tcPr>
            <w:tcW w:w="45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b w:val="1"/>
                <w:bCs w:val="1"/>
                <w:color w:val="auto"/>
              </w:rPr>
              <w:t>Charter Statistics:</w:t>
            </w: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4,829</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5,128</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9,989</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10,720</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seats miles (ASMs) - thousands</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608,915</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639,231</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Fuel gallons - thousands</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7,032</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7,550</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r>
      <w:tr>
        <w:trPr>
          <w:trHeight w:val="270"/>
        </w:trPr>
        <w:tc>
          <w:tcPr>
            <w:tcW w:w="45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b w:val="1"/>
                <w:bCs w:val="1"/>
                <w:color w:val="auto"/>
              </w:rPr>
              <w:t>Cargo Statistics:</w:t>
            </w: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Departures</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6,207</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6,211</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Block hours</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16,052</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16,346</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r>
      <w:tr>
        <w:trPr>
          <w:trHeight w:val="270"/>
        </w:trPr>
        <w:tc>
          <w:tcPr>
            <w:tcW w:w="45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b w:val="1"/>
                <w:bCs w:val="1"/>
                <w:color w:val="auto"/>
              </w:rPr>
              <w:t>Total System Statistics:</w:t>
            </w: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passenger aircraft</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42.1</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41.7</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Passenger aircraft – end of period</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43</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 aircraft – end of period</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12</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Leased aircraft – end of period</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5</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Available seat miles (ASMs) – thousands</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4,223,807</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3,725,341</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Departures</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26,149</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24,167</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Block hours</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75,717</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69,313</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9"/>
                <w:szCs w:val="19"/>
                <w:color w:val="auto"/>
              </w:rPr>
            </w:pPr>
          </w:p>
        </w:tc>
      </w:tr>
      <w:tr>
        <w:trPr>
          <w:trHeight w:val="229"/>
        </w:trPr>
        <w:tc>
          <w:tcPr>
            <w:tcW w:w="4520" w:type="dxa"/>
            <w:vAlign w:val="bottom"/>
          </w:tcPr>
          <w:p>
            <w:pPr>
              <w:ind w:left="80"/>
              <w:spacing w:after="0"/>
              <w:rPr>
                <w:sz w:val="20"/>
                <w:szCs w:val="20"/>
                <w:color w:val="auto"/>
              </w:rPr>
            </w:pPr>
            <w:r>
              <w:rPr>
                <w:rFonts w:ascii="Arial" w:cs="Arial" w:eastAsia="Arial" w:hAnsi="Arial"/>
                <w:sz w:val="18"/>
                <w:szCs w:val="18"/>
                <w:color w:val="auto"/>
              </w:rPr>
              <w:t>Daily utilization – hours</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7.0</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stage length – miles</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1,150</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1,132</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9"/>
                <w:szCs w:val="19"/>
                <w:color w:val="auto"/>
              </w:rPr>
            </w:pPr>
          </w:p>
        </w:tc>
      </w:tr>
      <w:tr>
        <w:trPr>
          <w:trHeight w:val="247"/>
        </w:trPr>
        <w:tc>
          <w:tcPr>
            <w:tcW w:w="4520" w:type="dxa"/>
            <w:vAlign w:val="bottom"/>
          </w:tcPr>
          <w:p>
            <w:pPr>
              <w:ind w:left="80"/>
              <w:spacing w:after="0"/>
              <w:rPr>
                <w:sz w:val="20"/>
                <w:szCs w:val="20"/>
                <w:color w:val="auto"/>
              </w:rPr>
            </w:pPr>
            <w:r>
              <w:rPr>
                <w:rFonts w:ascii="Arial" w:cs="Arial" w:eastAsia="Arial" w:hAnsi="Arial"/>
                <w:sz w:val="18"/>
                <w:szCs w:val="18"/>
                <w:color w:val="auto"/>
              </w:rPr>
              <w:t>Total revenue per ASM (TRASM) - cents</w:t>
            </w:r>
          </w:p>
        </w:tc>
        <w:tc>
          <w:tcPr>
            <w:tcW w:w="10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11.77</w:t>
            </w:r>
          </w:p>
        </w:tc>
        <w:tc>
          <w:tcPr>
            <w:tcW w:w="540" w:type="dxa"/>
            <w:vAlign w:val="bottom"/>
          </w:tcPr>
          <w:p>
            <w:pPr>
              <w:spacing w:after="0"/>
              <w:rPr>
                <w:sz w:val="21"/>
                <w:szCs w:val="21"/>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13.45</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21"/>
                <w:szCs w:val="21"/>
                <w:color w:val="auto"/>
              </w:rPr>
            </w:pPr>
          </w:p>
        </w:tc>
      </w:tr>
      <w:tr>
        <w:trPr>
          <w:trHeight w:val="23"/>
        </w:trPr>
        <w:tc>
          <w:tcPr>
            <w:tcW w:w="4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per ASM (CASM) - cents</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11.80</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12.45</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line="230" w:lineRule="exact"/>
              <w:rPr>
                <w:sz w:val="20"/>
                <w:szCs w:val="20"/>
                <w:color w:val="auto"/>
              </w:rPr>
            </w:pPr>
            <w:r>
              <w:rPr>
                <w:rFonts w:ascii="Arial" w:cs="Arial" w:eastAsia="Arial" w:hAnsi="Arial"/>
                <w:sz w:val="18"/>
                <w:szCs w:val="18"/>
                <w:color w:val="auto"/>
              </w:rPr>
              <w:t>Adjusted CASM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 cents</w:t>
            </w:r>
          </w:p>
        </w:tc>
        <w:tc>
          <w:tcPr>
            <w:tcW w:w="1080" w:type="dxa"/>
            <w:vAlign w:val="bottom"/>
          </w:tcPr>
          <w:p>
            <w:pPr>
              <w:spacing w:after="0"/>
              <w:rPr>
                <w:sz w:val="19"/>
                <w:szCs w:val="19"/>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7.28</w:t>
            </w:r>
          </w:p>
        </w:tc>
        <w:tc>
          <w:tcPr>
            <w:tcW w:w="540" w:type="dxa"/>
            <w:vAlign w:val="bottom"/>
          </w:tcPr>
          <w:p>
            <w:pPr>
              <w:spacing w:after="0"/>
              <w:rPr>
                <w:sz w:val="19"/>
                <w:szCs w:val="19"/>
                <w:color w:val="auto"/>
              </w:rPr>
            </w:pP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7.47</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r>
      <w:tr>
        <w:trPr>
          <w:trHeight w:val="229"/>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Fuel gallons - thousands</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45,540</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40,472</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80"/>
              <w:spacing w:after="0"/>
              <w:rPr>
                <w:sz w:val="20"/>
                <w:szCs w:val="20"/>
                <w:color w:val="auto"/>
              </w:rPr>
            </w:pPr>
            <w:r>
              <w:rPr>
                <w:rFonts w:ascii="Arial" w:cs="Arial" w:eastAsia="Arial" w:hAnsi="Arial"/>
                <w:sz w:val="18"/>
                <w:szCs w:val="18"/>
                <w:color w:val="auto"/>
              </w:rPr>
              <w:t>Fuel cost per gallon</w:t>
            </w: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1"/>
              <w:spacing w:after="0"/>
              <w:rPr>
                <w:sz w:val="20"/>
                <w:szCs w:val="20"/>
                <w:color w:val="auto"/>
              </w:rPr>
            </w:pPr>
            <w:r>
              <w:rPr>
                <w:rFonts w:ascii="Arial" w:cs="Arial" w:eastAsia="Arial" w:hAnsi="Arial"/>
                <w:sz w:val="18"/>
                <w:szCs w:val="18"/>
                <w:color w:val="auto"/>
              </w:rPr>
              <w:t>3.10</w:t>
            </w:r>
          </w:p>
        </w:tc>
        <w:tc>
          <w:tcPr>
            <w:tcW w:w="166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Employees at end of period</w:t>
            </w:r>
          </w:p>
        </w:tc>
        <w:tc>
          <w:tcPr>
            <w:tcW w:w="10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3,079</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2,749</w:t>
            </w:r>
          </w:p>
        </w:tc>
        <w:tc>
          <w:tcPr>
            <w:tcW w:w="1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9"/>
                <w:szCs w:val="19"/>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1 – See note 3 in end notes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2 – See note 4 in end notes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3- Percentage point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w:t>
      </w:r>
    </w:p>
    <w:p>
      <w:pPr>
        <w:sectPr>
          <w:pgSz w:w="11900" w:h="16838" w:orient="portrait"/>
          <w:cols w:equalWidth="0" w:num="1">
            <w:col w:w="11240"/>
          </w:cols>
          <w:pgMar w:left="320" w:top="1440" w:right="339" w:bottom="1440" w:gutter="0" w:footer="0" w:header="0"/>
        </w:sectPr>
      </w:pPr>
    </w:p>
    <w:bookmarkStart w:id="12" w:name="page13"/>
    <w:bookmarkEnd w:id="12"/>
    <w:p>
      <w:pPr>
        <w:ind w:left="80"/>
        <w:spacing w:after="0"/>
        <w:rPr>
          <w:sz w:val="20"/>
          <w:szCs w:val="20"/>
          <w:color w:val="auto"/>
        </w:rPr>
      </w:pPr>
      <w:r>
        <w:rPr>
          <w:rFonts w:ascii="Arial" w:cs="Arial" w:eastAsia="Arial" w:hAnsi="Arial"/>
          <w:sz w:val="18"/>
          <w:szCs w:val="18"/>
          <w:b w:val="1"/>
          <w:bCs w:val="1"/>
          <w:color w:val="auto"/>
        </w:rPr>
        <w:t>SUMMARY BALANCE SHEET</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(Dollars in millions)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234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2023</w:t>
            </w:r>
          </w:p>
        </w:tc>
        <w:tc>
          <w:tcPr>
            <w:tcW w:w="1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 Change</w:t>
            </w:r>
          </w:p>
        </w:tc>
      </w:tr>
      <w:tr>
        <w:trPr>
          <w:trHeight w:val="222"/>
        </w:trPr>
        <w:tc>
          <w:tcPr>
            <w:tcW w:w="5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7"/>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Cash &amp;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53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0A0A0A"/>
              </w:rPr>
              <w:t>Other Current Assets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Total Current Assets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Total Property &amp; Equipment, net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969.0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360" w:type="dxa"/>
            <w:vAlign w:val="bottom"/>
          </w:tcPr>
          <w:p>
            <w:pPr>
              <w:ind w:left="160"/>
              <w:spacing w:after="0"/>
              <w:rPr>
                <w:sz w:val="20"/>
                <w:szCs w:val="20"/>
                <w:color w:val="auto"/>
              </w:rPr>
            </w:pPr>
            <w:r>
              <w:rPr>
                <w:rFonts w:ascii="Arial" w:cs="Arial" w:eastAsia="Arial" w:hAnsi="Arial"/>
                <w:sz w:val="18"/>
                <w:szCs w:val="18"/>
                <w:b w:val="1"/>
                <w:bCs w:val="1"/>
                <w:color w:val="0A0A0A"/>
              </w:rPr>
              <w:t>Total Assets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1,603.9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1,623.6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5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Air Traffic Liabilities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Finance Lease Obligations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Current Operating Lease Obligations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Current Maturities of Long-Term Debt, net</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36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142.4</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5360" w:type="dxa"/>
            <w:vAlign w:val="bottom"/>
          </w:tcPr>
          <w:p>
            <w:pPr>
              <w:ind w:left="160"/>
              <w:spacing w:after="0"/>
              <w:rPr>
                <w:sz w:val="20"/>
                <w:szCs w:val="20"/>
                <w:color w:val="auto"/>
              </w:rPr>
            </w:pPr>
            <w:r>
              <w:rPr>
                <w:rFonts w:ascii="Arial" w:cs="Arial" w:eastAsia="Arial" w:hAnsi="Arial"/>
                <w:sz w:val="18"/>
                <w:szCs w:val="18"/>
                <w:color w:val="0A0A0A"/>
              </w:rPr>
              <w:t>Total Current Liabilities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418.6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Finance Lease Obligations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Operating Lease Obligations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Long-Term Debt, net</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360" w:type="dxa"/>
            <w:vAlign w:val="bottom"/>
          </w:tcPr>
          <w:p>
            <w:pPr>
              <w:ind w:left="80"/>
              <w:spacing w:after="0"/>
              <w:rPr>
                <w:sz w:val="20"/>
                <w:szCs w:val="20"/>
                <w:color w:val="auto"/>
              </w:rPr>
            </w:pPr>
            <w:r>
              <w:rPr>
                <w:rFonts w:ascii="Arial" w:cs="Arial" w:eastAsia="Arial" w:hAnsi="Arial"/>
                <w:sz w:val="18"/>
                <w:szCs w:val="18"/>
                <w:color w:val="0A0A0A"/>
              </w:rPr>
              <w:t>Income Tax Receivable Agreement Liability</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97.8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5360" w:type="dxa"/>
            <w:vAlign w:val="bottom"/>
            <w:shd w:val="clear" w:color="auto" w:fill="CCEEFF"/>
          </w:tcPr>
          <w:p>
            <w:pPr>
              <w:ind w:left="80"/>
              <w:spacing w:after="0"/>
              <w:rPr>
                <w:sz w:val="20"/>
                <w:szCs w:val="20"/>
                <w:color w:val="auto"/>
              </w:rPr>
            </w:pPr>
            <w:r>
              <w:rPr>
                <w:rFonts w:ascii="Arial" w:cs="Arial" w:eastAsia="Arial" w:hAnsi="Arial"/>
                <w:sz w:val="18"/>
                <w:szCs w:val="18"/>
                <w:color w:val="0A0A0A"/>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23"/>
        </w:trPr>
        <w:tc>
          <w:tcPr>
            <w:tcW w:w="5360" w:type="dxa"/>
            <w:vAlign w:val="bottom"/>
          </w:tcPr>
          <w:p>
            <w:pPr>
              <w:ind w:left="160"/>
              <w:spacing w:after="0"/>
              <w:rPr>
                <w:sz w:val="20"/>
                <w:szCs w:val="20"/>
                <w:color w:val="auto"/>
              </w:rPr>
            </w:pPr>
            <w:r>
              <w:rPr>
                <w:rFonts w:ascii="Arial" w:cs="Arial" w:eastAsia="Arial" w:hAnsi="Arial"/>
                <w:sz w:val="18"/>
                <w:szCs w:val="18"/>
                <w:b w:val="1"/>
                <w:bCs w:val="1"/>
                <w:color w:val="0A0A0A"/>
              </w:rPr>
              <w:t>Total Liabilities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1,057.0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1,109.2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5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47"/>
        </w:trPr>
        <w:tc>
          <w:tcPr>
            <w:tcW w:w="5360" w:type="dxa"/>
            <w:vAlign w:val="bottom"/>
          </w:tcPr>
          <w:p>
            <w:pPr>
              <w:ind w:left="80"/>
              <w:spacing w:after="0"/>
              <w:rPr>
                <w:sz w:val="20"/>
                <w:szCs w:val="20"/>
                <w:color w:val="auto"/>
              </w:rPr>
            </w:pPr>
            <w:r>
              <w:rPr>
                <w:rFonts w:ascii="Arial" w:cs="Arial" w:eastAsia="Arial" w:hAnsi="Arial"/>
                <w:sz w:val="18"/>
                <w:szCs w:val="18"/>
                <w:b w:val="1"/>
                <w:bCs w:val="1"/>
                <w:color w:val="0A0A0A"/>
              </w:rPr>
              <w:t>Total 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546.9</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514.4</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10</w:t>
      </w:r>
    </w:p>
    <w:p>
      <w:pPr>
        <w:sectPr>
          <w:pgSz w:w="11900" w:h="16838" w:orient="portrait"/>
          <w:cols w:equalWidth="0" w:num="1">
            <w:col w:w="11220"/>
          </w:cols>
          <w:pgMar w:left="320" w:top="1120" w:right="35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SUMMARY CASH FLOW</w:t>
      </w:r>
    </w:p>
    <w:p>
      <w:pPr>
        <w:ind w:left="20"/>
        <w:spacing w:after="0"/>
        <w:rPr>
          <w:sz w:val="20"/>
          <w:szCs w:val="20"/>
          <w:color w:val="auto"/>
        </w:rPr>
      </w:pPr>
      <w:r>
        <w:rPr>
          <w:rFonts w:ascii="Arial" w:cs="Arial" w:eastAsia="Arial" w:hAnsi="Arial"/>
          <w:sz w:val="18"/>
          <w:szCs w:val="18"/>
          <w:b w:val="1"/>
          <w:bCs w:val="1"/>
          <w:color w:val="auto"/>
        </w:rPr>
        <w:t>(Dollars in millions)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23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46"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Six Months Ended June 30,</w:t>
      </w:r>
    </w:p>
    <w:p>
      <w:pPr>
        <w:spacing w:after="0" w:line="42" w:lineRule="exact"/>
        <w:rPr>
          <w:sz w:val="20"/>
          <w:szCs w:val="20"/>
          <w:color w:val="auto"/>
        </w:rPr>
      </w:pPr>
    </w:p>
    <w:p>
      <w:pPr>
        <w:jc w:val="both"/>
        <w:ind w:left="6160"/>
        <w:spacing w:after="0"/>
        <w:tabs>
          <w:tab w:leader="none" w:pos="8140" w:val="left"/>
          <w:tab w:leader="none" w:pos="99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ectPr>
          <w:pgSz w:w="11900" w:h="16838" w:orient="portrait"/>
          <w:cols w:equalWidth="0" w:num="1">
            <w:col w:w="11220"/>
          </w:cols>
          <w:pgMar w:left="320" w:top="1376" w:right="359" w:bottom="1440" w:gutter="0" w:footer="0" w:header="0"/>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300" w:type="dxa"/>
            <w:vAlign w:val="bottom"/>
          </w:tcPr>
          <w:p>
            <w:pPr>
              <w:ind w:left="80"/>
              <w:spacing w:after="0"/>
              <w:rPr>
                <w:sz w:val="20"/>
                <w:szCs w:val="20"/>
                <w:color w:val="auto"/>
              </w:rPr>
            </w:pPr>
            <w:r>
              <w:rPr>
                <w:rFonts w:ascii="Arial" w:cs="Arial" w:eastAsia="Arial" w:hAnsi="Arial"/>
                <w:sz w:val="18"/>
                <w:szCs w:val="18"/>
                <w:b w:val="1"/>
                <w:bCs w:val="1"/>
                <w:color w:val="0A0A0A"/>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2"/>
        </w:trPr>
        <w:tc>
          <w:tcPr>
            <w:tcW w:w="5300" w:type="dxa"/>
            <w:vAlign w:val="bottom"/>
          </w:tcPr>
          <w:p>
            <w:pPr>
              <w:ind w:left="80"/>
              <w:spacing w:after="0"/>
              <w:rPr>
                <w:sz w:val="20"/>
                <w:szCs w:val="20"/>
                <w:color w:val="auto"/>
              </w:rPr>
            </w:pPr>
            <w:r>
              <w:rPr>
                <w:rFonts w:ascii="Arial" w:cs="Arial" w:eastAsia="Arial" w:hAnsi="Arial"/>
                <w:sz w:val="18"/>
                <w:szCs w:val="18"/>
                <w:color w:val="0A0A0A"/>
              </w:rPr>
              <w:t>Purchases of Property &amp; Equipment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Other, net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00" w:type="dxa"/>
            <w:vAlign w:val="bottom"/>
          </w:tcPr>
          <w:p>
            <w:pPr>
              <w:ind w:left="20"/>
              <w:spacing w:after="0"/>
              <w:rPr>
                <w:sz w:val="20"/>
                <w:szCs w:val="20"/>
                <w:color w:val="auto"/>
              </w:rPr>
            </w:pPr>
            <w:r>
              <w:rPr>
                <w:rFonts w:ascii="Arial" w:cs="Arial" w:eastAsia="Arial" w:hAnsi="Arial"/>
                <w:sz w:val="18"/>
                <w:szCs w:val="18"/>
                <w:b w:val="1"/>
                <w:bCs w:val="1"/>
                <w:color w:val="0A0A0A"/>
              </w:rPr>
              <w:t>Net Cash Provided by (Used in) Investing Activities</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300" w:type="dxa"/>
            <w:vAlign w:val="bottom"/>
          </w:tcPr>
          <w:p>
            <w:pPr>
              <w:ind w:left="80"/>
              <w:spacing w:after="0"/>
              <w:rPr>
                <w:sz w:val="20"/>
                <w:szCs w:val="20"/>
                <w:color w:val="auto"/>
              </w:rPr>
            </w:pPr>
            <w:r>
              <w:rPr>
                <w:rFonts w:ascii="Arial" w:cs="Arial" w:eastAsia="Arial" w:hAnsi="Arial"/>
                <w:sz w:val="18"/>
                <w:szCs w:val="18"/>
                <w:color w:val="0A0A0A"/>
              </w:rPr>
              <w:t>Common Stock Repurchases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Proceeds from Borrowing</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0"/>
              <w:spacing w:after="0"/>
              <w:rPr>
                <w:sz w:val="20"/>
                <w:szCs w:val="20"/>
                <w:color w:val="auto"/>
              </w:rPr>
            </w:pPr>
            <w:r>
              <w:rPr>
                <w:rFonts w:ascii="Arial" w:cs="Arial" w:eastAsia="Arial" w:hAnsi="Arial"/>
                <w:sz w:val="18"/>
                <w:szCs w:val="18"/>
                <w:color w:val="0A0A0A"/>
              </w:rPr>
              <w:t>Repayment of Finance Lease Obligations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Repayment of Borrowings</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80"/>
              <w:spacing w:after="0"/>
              <w:rPr>
                <w:sz w:val="20"/>
                <w:szCs w:val="20"/>
                <w:color w:val="auto"/>
              </w:rPr>
            </w:pPr>
            <w:r>
              <w:rPr>
                <w:rFonts w:ascii="Arial" w:cs="Arial" w:eastAsia="Arial" w:hAnsi="Arial"/>
                <w:sz w:val="18"/>
                <w:szCs w:val="18"/>
                <w:color w:val="0A0A0A"/>
              </w:rPr>
              <w:t>Other, net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00" w:type="dxa"/>
            <w:vAlign w:val="bottom"/>
          </w:tcPr>
          <w:p>
            <w:pPr>
              <w:ind w:left="20"/>
              <w:spacing w:after="0"/>
              <w:rPr>
                <w:sz w:val="20"/>
                <w:szCs w:val="20"/>
                <w:color w:val="auto"/>
              </w:rPr>
            </w:pPr>
            <w:r>
              <w:rPr>
                <w:rFonts w:ascii="Arial" w:cs="Arial" w:eastAsia="Arial" w:hAnsi="Arial"/>
                <w:sz w:val="18"/>
                <w:szCs w:val="18"/>
                <w:b w:val="1"/>
                <w:bCs w:val="1"/>
                <w:color w:val="0A0A0A"/>
              </w:rPr>
              <w:t>Net Cash Provided by (Used in) Financing Activities</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5300" w:type="dxa"/>
            <w:vAlign w:val="bottom"/>
          </w:tcPr>
          <w:p>
            <w:pPr>
              <w:ind w:left="100"/>
              <w:spacing w:after="0"/>
              <w:rPr>
                <w:sz w:val="20"/>
                <w:szCs w:val="20"/>
                <w:color w:val="auto"/>
              </w:rPr>
            </w:pPr>
            <w:r>
              <w:rPr>
                <w:rFonts w:ascii="Arial" w:cs="Arial" w:eastAsia="Arial" w:hAnsi="Arial"/>
                <w:sz w:val="18"/>
                <w:szCs w:val="18"/>
                <w:color w:val="0A0A0A"/>
              </w:rPr>
              <w:t>Net Decrease in Cash, Cash Equivalents and Restricted Cash</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100"/>
              <w:spacing w:after="0" w:line="181" w:lineRule="exact"/>
              <w:rPr>
                <w:sz w:val="20"/>
                <w:szCs w:val="20"/>
                <w:color w:val="auto"/>
              </w:rPr>
            </w:pPr>
            <w:r>
              <w:rPr>
                <w:rFonts w:ascii="Arial" w:cs="Arial" w:eastAsia="Arial" w:hAnsi="Arial"/>
                <w:sz w:val="18"/>
                <w:szCs w:val="18"/>
                <w:color w:val="0A0A0A"/>
              </w:rPr>
              <w:t>Cash, Cash Equivalents and Restricted Cash – Beginning of the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180"/>
              <w:spacing w:after="0"/>
              <w:rPr>
                <w:sz w:val="20"/>
                <w:szCs w:val="20"/>
                <w:color w:val="auto"/>
              </w:rPr>
            </w:pPr>
            <w:r>
              <w:rPr>
                <w:rFonts w:ascii="Arial" w:cs="Arial" w:eastAsia="Arial" w:hAnsi="Arial"/>
                <w:sz w:val="18"/>
                <w:szCs w:val="18"/>
                <w:color w:val="0A0A0A"/>
              </w:rPr>
              <w:t>Period</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100"/>
              <w:spacing w:after="0" w:line="181" w:lineRule="exact"/>
              <w:rPr>
                <w:sz w:val="20"/>
                <w:szCs w:val="20"/>
                <w:color w:val="auto"/>
              </w:rPr>
            </w:pPr>
            <w:r>
              <w:rPr>
                <w:rFonts w:ascii="Arial" w:cs="Arial" w:eastAsia="Arial" w:hAnsi="Arial"/>
                <w:sz w:val="18"/>
                <w:szCs w:val="18"/>
                <w:color w:val="0A0A0A"/>
              </w:rPr>
              <w:t>Cash, Cash Equivalents and Restricted Cash –</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5300" w:type="dxa"/>
            <w:vAlign w:val="bottom"/>
            <w:vMerge w:val="restart"/>
          </w:tcPr>
          <w:p>
            <w:pPr>
              <w:ind w:left="180"/>
              <w:spacing w:after="0"/>
              <w:rPr>
                <w:sz w:val="20"/>
                <w:szCs w:val="20"/>
                <w:color w:val="auto"/>
              </w:rPr>
            </w:pPr>
            <w:r>
              <w:rPr>
                <w:rFonts w:ascii="Arial" w:cs="Arial" w:eastAsia="Arial" w:hAnsi="Arial"/>
                <w:sz w:val="18"/>
                <w:szCs w:val="18"/>
                <w:color w:val="0A0A0A"/>
              </w:rPr>
              <w:t>End of the Period</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3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1"/>
        </w:trPr>
        <w:tc>
          <w:tcPr>
            <w:tcW w:w="5300" w:type="dxa"/>
            <w:vAlign w:val="bottom"/>
          </w:tcPr>
          <w:p>
            <w:pPr>
              <w:spacing w:after="0"/>
              <w:rPr>
                <w:sz w:val="20"/>
                <w:szCs w:val="20"/>
                <w:color w:val="auto"/>
              </w:rPr>
            </w:pPr>
            <w:r>
              <w:rPr>
                <w:rFonts w:ascii="Arial" w:cs="Arial" w:eastAsia="Arial" w:hAnsi="Arial"/>
                <w:sz w:val="14"/>
                <w:szCs w:val="14"/>
                <w:color w:val="0A0A0A"/>
              </w:rPr>
              <w:t>NM - not meaningful</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-2574290</wp:posOffset>
            </wp:positionV>
            <wp:extent cx="712343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-1957070</wp:posOffset>
            </wp:positionV>
            <wp:extent cx="712343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-1665605</wp:posOffset>
            </wp:positionV>
            <wp:extent cx="712343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-1374140</wp:posOffset>
            </wp:positionV>
            <wp:extent cx="712343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-756920</wp:posOffset>
            </wp:positionV>
            <wp:extent cx="712343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-1074420</wp:posOffset>
            </wp:positionV>
            <wp:extent cx="71234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-2282825</wp:posOffset>
            </wp:positionV>
            <wp:extent cx="712343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38.9</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r>
      <w:tr>
        <w:trPr>
          <w:trHeight w:val="474"/>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(38.2)</w:t>
            </w: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(192.4)</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35"/>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41.8</w:t>
            </w: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23"/>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474"/>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(11.5)</w:t>
            </w: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29"/>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(20.9)</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140.2</w:t>
            </w:r>
          </w:p>
        </w:tc>
      </w:tr>
      <w:tr>
        <w:trPr>
          <w:trHeight w:val="229"/>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(46.8)</w:t>
            </w: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114.7</w:t>
            </w:r>
          </w:p>
        </w:tc>
      </w:tr>
      <w:tr>
        <w:trPr>
          <w:trHeight w:val="235"/>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(72.0)</w:t>
            </w: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483"/>
        </w:trPr>
        <w:tc>
          <w:tcPr>
            <w:tcW w:w="620" w:type="dxa"/>
            <w:vAlign w:val="bottom"/>
          </w:tcPr>
          <w:p>
            <w:pPr>
              <w:jc w:val="right"/>
              <w:ind w:right="70"/>
              <w:spacing w:after="0"/>
              <w:rPr>
                <w:sz w:val="20"/>
                <w:szCs w:val="20"/>
                <w:color w:val="auto"/>
              </w:rPr>
            </w:pPr>
            <w:r>
              <w:rPr>
                <w:rFonts w:ascii="Arial" w:cs="Arial" w:eastAsia="Arial" w:hAnsi="Arial"/>
                <w:sz w:val="18"/>
                <w:szCs w:val="18"/>
                <w:color w:val="auto"/>
                <w:w w:val="93"/>
              </w:rPr>
              <w:t>(29.6)</w:t>
            </w: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240.2</w:t>
            </w:r>
          </w:p>
        </w:tc>
      </w:tr>
      <w:tr>
        <w:trPr>
          <w:trHeight w:val="324"/>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63.7</w:t>
            </w:r>
          </w:p>
        </w:tc>
        <w:tc>
          <w:tcPr>
            <w:tcW w:w="7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90"/>
        </w:trPr>
        <w:tc>
          <w:tcPr>
            <w:tcW w:w="6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r>
      <w:tr>
        <w:trPr>
          <w:trHeight w:val="295"/>
        </w:trPr>
        <w:tc>
          <w:tcPr>
            <w:tcW w:w="620" w:type="dxa"/>
            <w:vAlign w:val="bottom"/>
          </w:tcPr>
          <w:p>
            <w:pPr>
              <w:jc w:val="right"/>
              <w:ind w:right="70"/>
              <w:spacing w:after="0"/>
              <w:rPr>
                <w:sz w:val="20"/>
                <w:szCs w:val="20"/>
                <w:color w:val="auto"/>
              </w:rPr>
            </w:pPr>
            <w:r>
              <w:rPr>
                <w:rFonts w:ascii="Arial" w:cs="Arial" w:eastAsia="Arial" w:hAnsi="Arial"/>
                <w:sz w:val="18"/>
                <w:szCs w:val="18"/>
                <w:color w:val="auto"/>
              </w:rPr>
              <w:t>34.0</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77"/>
        </w:trPr>
        <w:tc>
          <w:tcPr>
            <w:tcW w:w="620" w:type="dxa"/>
            <w:vAlign w:val="bottom"/>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r>
      <w:tr>
        <w:trPr>
          <w:trHeight w:val="20"/>
        </w:trPr>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-33655</wp:posOffset>
            </wp:positionV>
            <wp:extent cx="1200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-8255</wp:posOffset>
            </wp:positionV>
            <wp:extent cx="1200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-282575</wp:posOffset>
            </wp:positionV>
            <wp:extent cx="1200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-1019810</wp:posOffset>
            </wp:positionV>
            <wp:extent cx="1200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-1919605</wp:posOffset>
            </wp:positionV>
            <wp:extent cx="1200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-2536825</wp:posOffset>
            </wp:positionV>
            <wp:extent cx="1200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529" w:lineRule="exact"/>
        <w:rPr>
          <w:sz w:val="20"/>
          <w:szCs w:val="20"/>
          <w:color w:val="auto"/>
        </w:rPr>
      </w:pPr>
    </w:p>
    <w:p>
      <w:pPr>
        <w:sectPr>
          <w:pgSz w:w="11900" w:h="16838" w:orient="portrait"/>
          <w:cols w:equalWidth="0" w:num="2">
            <w:col w:w="6020" w:space="720"/>
            <w:col w:w="4480"/>
          </w:cols>
          <w:pgMar w:left="320" w:top="1376" w:right="35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Page 11</w:t>
      </w:r>
    </w:p>
    <w:p>
      <w:pPr>
        <w:sectPr>
          <w:pgSz w:w="11900" w:h="16838" w:orient="portrait"/>
          <w:cols w:equalWidth="0" w:num="1">
            <w:col w:w="11220"/>
          </w:cols>
          <w:pgMar w:left="320" w:top="1376"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Adjusted Operating Income, Adjusted Operating Income Margin, Adjusted Income Before Income Tax, Adjusted Pre-tax Margin, Adjusted Net Income, Adjusted Net Income per Share, Adjusted EBITDA and Adjusted EBITDA Margin</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Operating Income, Adjusted Operating Income Margin, Adjusted Income Before Income Tax, Adjusted Pre-tax Margin, Adjusted Net Income, Adjusted Net Income per share, Adjusted EBITDA and Adjusted EBITDA Margin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aforementioned reasons, Adjusted Operating Income, Adjusted Operating Income Margin, Adjusted Income Before Income Tax, Adjusted Pre-tax Margin, Adjusted Net Income, Adjusted Net Income per Share, Adjusted EBITDA and Adjusted EBITDA Margin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357" w:lineRule="exact"/>
        <w:rPr>
          <w:sz w:val="20"/>
          <w:szCs w:val="20"/>
          <w:color w:val="auto"/>
        </w:rPr>
      </w:pPr>
    </w:p>
    <w:p>
      <w:pPr>
        <w:ind w:left="20" w:right="4520"/>
        <w:spacing w:after="0" w:line="343" w:lineRule="auto"/>
        <w:rPr>
          <w:sz w:val="20"/>
          <w:szCs w:val="20"/>
          <w:color w:val="auto"/>
        </w:rPr>
      </w:pPr>
      <w:r>
        <w:rPr>
          <w:rFonts w:ascii="Arial" w:cs="Arial" w:eastAsia="Arial" w:hAnsi="Arial"/>
          <w:sz w:val="18"/>
          <w:szCs w:val="18"/>
          <w:b w:val="1"/>
          <w:bCs w:val="1"/>
          <w:color w:val="auto"/>
        </w:rPr>
        <w:t>Reconciliation of GAAP Operating Income to Adjusted Operating Income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operating income to adjusted operating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304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4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261.1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565.9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555.2</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91.4</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98.5</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13.6 %</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11.9 %</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w:t>
      </w:r>
    </w:p>
    <w:p>
      <w:pPr>
        <w:sectPr>
          <w:pgSz w:w="11900" w:h="16838" w:orient="portrait"/>
          <w:cols w:equalWidth="0" w:num="1">
            <w:col w:w="11240"/>
          </w:cols>
          <w:pgMar w:left="320" w:top="1282" w:right="339" w:bottom="1440" w:gutter="0" w:footer="0" w:header="0"/>
        </w:sectPr>
      </w:pPr>
    </w:p>
    <w:bookmarkStart w:id="15" w:name="page16"/>
    <w:bookmarkEnd w:id="15"/>
    <w:p>
      <w:pPr>
        <w:ind w:left="20" w:right="3480"/>
        <w:spacing w:after="0" w:line="343" w:lineRule="auto"/>
        <w:rPr>
          <w:sz w:val="20"/>
          <w:szCs w:val="20"/>
          <w:color w:val="auto"/>
        </w:rPr>
      </w:pPr>
      <w:r>
        <w:rPr>
          <w:rFonts w:ascii="Arial" w:cs="Arial" w:eastAsia="Arial" w:hAnsi="Arial"/>
          <w:sz w:val="18"/>
          <w:szCs w:val="18"/>
          <w:b w:val="1"/>
          <w:bCs w:val="1"/>
          <w:color w:val="auto"/>
        </w:rPr>
        <w:t>Reconciliation of GAAP Income Before Income Tax to Adjusted Income Before Income Tax 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234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GAAP income before income tax to adjusted income before income tax.</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27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 June 30,</w:t>
            </w:r>
          </w:p>
        </w:tc>
      </w:tr>
      <w:tr>
        <w:trPr>
          <w:trHeight w:val="204"/>
        </w:trPr>
        <w:tc>
          <w:tcPr>
            <w:tcW w:w="4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37.1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58.9</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Provision for Income Tax Expense</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17.5</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as reported</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76.4</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Pre-tax margin</w:t>
            </w: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13.8 %</w:t>
            </w:r>
          </w:p>
        </w:tc>
      </w:tr>
      <w:tr>
        <w:trPr>
          <w:trHeight w:val="270"/>
        </w:trPr>
        <w:tc>
          <w:tcPr>
            <w:tcW w:w="4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1080" w:type="dxa"/>
            <w:vAlign w:val="bottom"/>
          </w:tcPr>
          <w:p>
            <w:pPr>
              <w:spacing w:after="0"/>
              <w:rPr>
                <w:sz w:val="19"/>
                <w:szCs w:val="19"/>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7.1</w:t>
            </w: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108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0.6</w:t>
            </w: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Income Before Income Tax</w:t>
            </w: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52.7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83.8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Pre-tax margin</w:t>
            </w:r>
          </w:p>
        </w:tc>
        <w:tc>
          <w:tcPr>
            <w:tcW w:w="10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r>
    </w:tbl>
    <w:p>
      <w:pPr>
        <w:spacing w:after="0" w:line="91" w:lineRule="exact"/>
        <w:rPr>
          <w:sz w:val="20"/>
          <w:szCs w:val="20"/>
          <w:color w:val="auto"/>
        </w:rPr>
      </w:pPr>
    </w:p>
    <w:p>
      <w:pPr>
        <w:ind w:left="440" w:hanging="414"/>
        <w:spacing w:after="0"/>
        <w:tabs>
          <w:tab w:leader="none" w:pos="440" w:val="left"/>
        </w:tabs>
        <w:numPr>
          <w:ilvl w:val="0"/>
          <w:numId w:val="5"/>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38" w:lineRule="exact"/>
        <w:rPr>
          <w:rFonts w:ascii="Arial" w:cs="Arial" w:eastAsia="Arial" w:hAnsi="Arial"/>
          <w:sz w:val="29"/>
          <w:szCs w:val="29"/>
          <w:color w:val="auto"/>
          <w:vertAlign w:val="superscript"/>
        </w:rPr>
      </w:pPr>
    </w:p>
    <w:p>
      <w:pPr>
        <w:ind w:left="5360"/>
        <w:spacing w:after="0"/>
        <w:rPr>
          <w:rFonts w:ascii="Arial" w:cs="Arial" w:eastAsia="Arial" w:hAnsi="Arial"/>
          <w:sz w:val="29"/>
          <w:szCs w:val="29"/>
          <w:color w:val="auto"/>
          <w:vertAlign w:val="superscript"/>
        </w:rPr>
      </w:pPr>
      <w:r>
        <w:rPr>
          <w:rFonts w:ascii="Arial" w:cs="Arial" w:eastAsia="Arial" w:hAnsi="Arial"/>
          <w:sz w:val="14"/>
          <w:szCs w:val="14"/>
          <w:color w:val="auto"/>
        </w:rPr>
        <w:t>Page 13</w:t>
      </w:r>
    </w:p>
    <w:p>
      <w:pPr>
        <w:sectPr>
          <w:pgSz w:w="11900" w:h="16838" w:orient="portrait"/>
          <w:cols w:equalWidth="0" w:num="1">
            <w:col w:w="11220"/>
          </w:cols>
          <w:pgMar w:left="320" w:top="1417" w:right="359" w:bottom="1440" w:gutter="0" w:footer="0" w:header="0"/>
        </w:sectPr>
      </w:pPr>
    </w:p>
    <w:bookmarkStart w:id="16" w:name="page17"/>
    <w:bookmarkEnd w:id="16"/>
    <w:p>
      <w:pPr>
        <w:spacing w:after="0" w:line="200" w:lineRule="exact"/>
        <w:rPr>
          <w:sz w:val="20"/>
          <w:szCs w:val="20"/>
          <w:color w:val="auto"/>
        </w:rPr>
      </w:pPr>
    </w:p>
    <w:p>
      <w:pPr>
        <w:spacing w:after="0" w:line="263" w:lineRule="exact"/>
        <w:rPr>
          <w:sz w:val="20"/>
          <w:szCs w:val="20"/>
          <w:color w:val="auto"/>
        </w:rPr>
      </w:pPr>
    </w:p>
    <w:p>
      <w:pPr>
        <w:ind w:left="20" w:right="1140"/>
        <w:spacing w:after="0" w:line="378" w:lineRule="auto"/>
        <w:rPr>
          <w:sz w:val="20"/>
          <w:szCs w:val="20"/>
          <w:color w:val="auto"/>
        </w:rPr>
      </w:pPr>
      <w:r>
        <w:rPr>
          <w:rFonts w:ascii="Arial" w:cs="Arial" w:eastAsia="Arial" w:hAnsi="Arial"/>
          <w:sz w:val="17"/>
          <w:szCs w:val="17"/>
          <w:b w:val="1"/>
          <w:bCs w:val="1"/>
          <w:color w:val="auto"/>
        </w:rPr>
        <w:t>Reconciliation of GAAP Net Income and Earnings per Share to Adjusted Net Income and Adjusted Earnings per Share Dollars and shares in millions, except for per share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23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93" w:lineRule="exact"/>
        <w:rPr>
          <w:sz w:val="20"/>
          <w:szCs w:val="20"/>
          <w:color w:val="auto"/>
        </w:rPr>
      </w:pPr>
    </w:p>
    <w:p>
      <w:pPr>
        <w:ind w:left="20" w:right="20"/>
        <w:spacing w:after="0" w:line="287" w:lineRule="auto"/>
        <w:rPr>
          <w:sz w:val="20"/>
          <w:szCs w:val="20"/>
          <w:color w:val="auto"/>
        </w:rPr>
      </w:pPr>
      <w:r>
        <w:rPr>
          <w:rFonts w:ascii="Arial" w:cs="Arial" w:eastAsia="Arial" w:hAnsi="Arial"/>
          <w:sz w:val="18"/>
          <w:szCs w:val="18"/>
          <w:color w:val="auto"/>
        </w:rPr>
        <w:t>The following table presents the reconciliation of GAAP net income and earnings per share to adjusted net income and adjusted earnings per share.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5"/>
          </w:tcPr>
          <w:p>
            <w:pPr>
              <w:jc w:val="right"/>
              <w:ind w:right="62"/>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46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2024</w:t>
            </w:r>
          </w:p>
        </w:tc>
        <w:tc>
          <w:tcPr>
            <w:tcW w:w="1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spacing w:after="0"/>
              <w:rPr>
                <w:sz w:val="17"/>
                <w:szCs w:val="17"/>
                <w:color w:val="auto"/>
              </w:rPr>
            </w:pPr>
          </w:p>
        </w:tc>
      </w:tr>
      <w:tr>
        <w:trPr>
          <w:trHeight w:val="196"/>
        </w:trPr>
        <w:tc>
          <w:tcPr>
            <w:tcW w:w="4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Per Share - diluted</w:t>
            </w:r>
          </w:p>
        </w:tc>
        <w:tc>
          <w:tcPr>
            <w:tcW w:w="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Dollars</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Per Share - diluted</w:t>
            </w: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100" w:type="dxa"/>
            <w:vAlign w:val="bottom"/>
            <w:tcBorders>
              <w:bottom w:val="single" w:sz="8" w:color="auto"/>
            </w:tcBorders>
            <w:gridSpan w:val="2"/>
          </w:tcPr>
          <w:p>
            <w:pPr>
              <w:jc w:val="right"/>
              <w:ind w:right="90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92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4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9"/>
        </w:trPr>
        <w:tc>
          <w:tcPr>
            <w:tcW w:w="460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0A0A0A"/>
              </w:rPr>
              <w:t>54.8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0A0A0A"/>
              </w:rPr>
              <w:t>59.7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15"/>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jc w:val="right"/>
              <w:ind w:right="122"/>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4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2024</w:t>
            </w:r>
          </w:p>
        </w:tc>
        <w:tc>
          <w:tcPr>
            <w:tcW w:w="1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2023</w:t>
            </w:r>
          </w:p>
        </w:tc>
        <w:tc>
          <w:tcPr>
            <w:tcW w:w="1440" w:type="dxa"/>
            <w:vAlign w:val="bottom"/>
            <w:tcBorders>
              <w:bottom w:val="single" w:sz="8" w:color="auto"/>
            </w:tcBorders>
          </w:tcPr>
          <w:p>
            <w:pPr>
              <w:spacing w:after="0"/>
              <w:rPr>
                <w:sz w:val="17"/>
                <w:szCs w:val="17"/>
                <w:color w:val="auto"/>
              </w:rPr>
            </w:pPr>
          </w:p>
        </w:tc>
      </w:tr>
      <w:tr>
        <w:trPr>
          <w:trHeight w:val="196"/>
        </w:trPr>
        <w:tc>
          <w:tcPr>
            <w:tcW w:w="4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Per Share - diluted</w:t>
            </w:r>
          </w:p>
        </w:tc>
        <w:tc>
          <w:tcPr>
            <w:tcW w:w="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Per Share - diluted</w:t>
            </w:r>
          </w:p>
        </w:tc>
      </w:tr>
      <w:tr>
        <w:trPr>
          <w:trHeight w:val="22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88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8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Stock Compensation Expense</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Secondary offering costs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0" w:type="dxa"/>
            <w:vAlign w:val="bottom"/>
          </w:tcPr>
          <w:p>
            <w:pPr>
              <w:spacing w:after="0"/>
              <w:rPr>
                <w:sz w:val="19"/>
                <w:szCs w:val="19"/>
                <w:color w:val="auto"/>
              </w:rPr>
            </w:pPr>
          </w:p>
        </w:tc>
        <w:tc>
          <w:tcPr>
            <w:tcW w:w="1080" w:type="dxa"/>
            <w:vAlign w:val="bottom"/>
            <w:tcBorders>
              <w:bottom w:val="single" w:sz="8" w:color="auto"/>
            </w:tcBorders>
          </w:tcPr>
          <w:p>
            <w:pPr>
              <w:jc w:val="right"/>
              <w:ind w:right="88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bottom w:val="single" w:sz="8" w:color="auto"/>
            </w:tcBorders>
          </w:tcPr>
          <w:p>
            <w:pPr>
              <w:jc w:val="right"/>
              <w:ind w:right="88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4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9"/>
        </w:trPr>
        <w:tc>
          <w:tcPr>
            <w:tcW w:w="4600" w:type="dxa"/>
            <w:vAlign w:val="bottom"/>
          </w:tcPr>
          <w:p>
            <w:pPr>
              <w:ind w:left="20"/>
              <w:spacing w:after="0"/>
              <w:rPr>
                <w:sz w:val="20"/>
                <w:szCs w:val="20"/>
                <w:color w:val="auto"/>
              </w:rPr>
            </w:pPr>
            <w:r>
              <w:rPr>
                <w:rFonts w:ascii="Arial" w:cs="Arial" w:eastAsia="Arial" w:hAnsi="Arial"/>
                <w:sz w:val="18"/>
                <w:szCs w:val="18"/>
                <w:color w:val="auto"/>
              </w:rPr>
              <w:t>Diluted share count</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0A0A0A"/>
              </w:rPr>
              <w:t>55.1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0A0A0A"/>
              </w:rPr>
              <w:t>59.6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43" w:lineRule="exact"/>
        <w:rPr>
          <w:sz w:val="20"/>
          <w:szCs w:val="20"/>
          <w:color w:val="auto"/>
        </w:rPr>
      </w:pPr>
    </w:p>
    <w:p>
      <w:pPr>
        <w:ind w:left="440" w:hanging="414"/>
        <w:spacing w:after="0"/>
        <w:tabs>
          <w:tab w:leader="none" w:pos="440" w:val="left"/>
        </w:tabs>
        <w:numPr>
          <w:ilvl w:val="0"/>
          <w:numId w:val="6"/>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93" w:lineRule="exact"/>
        <w:rPr>
          <w:rFonts w:ascii="Arial" w:cs="Arial" w:eastAsia="Arial" w:hAnsi="Arial"/>
          <w:sz w:val="29"/>
          <w:szCs w:val="29"/>
          <w:color w:val="auto"/>
          <w:vertAlign w:val="superscript"/>
        </w:rPr>
      </w:pPr>
    </w:p>
    <w:p>
      <w:pPr>
        <w:ind w:left="440" w:hanging="414"/>
        <w:spacing w:after="0" w:line="183" w:lineRule="auto"/>
        <w:tabs>
          <w:tab w:leader="none" w:pos="440" w:val="left"/>
        </w:tabs>
        <w:numPr>
          <w:ilvl w:val="0"/>
          <w:numId w:val="6"/>
        </w:numPr>
        <w:rPr>
          <w:rFonts w:ascii="Arial" w:cs="Arial" w:eastAsia="Arial" w:hAnsi="Arial"/>
          <w:sz w:val="20"/>
          <w:szCs w:val="20"/>
          <w:color w:val="auto"/>
          <w:vertAlign w:val="superscript"/>
        </w:rPr>
      </w:pPr>
      <w:r>
        <w:rPr>
          <w:rFonts w:ascii="Arial" w:cs="Arial" w:eastAsia="Arial" w:hAnsi="Arial"/>
          <w:sz w:val="12"/>
          <w:szCs w:val="12"/>
          <w:color w:val="auto"/>
        </w:rPr>
        <w:t>The tax effect of adjusting items, net is calculated at the Company’s statutory rate for the application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14</w:t>
      </w:r>
    </w:p>
    <w:p>
      <w:pPr>
        <w:sectPr>
          <w:pgSz w:w="11900" w:h="16838" w:orient="portrait"/>
          <w:cols w:equalWidth="0" w:num="1">
            <w:col w:w="11220"/>
          </w:cols>
          <w:pgMar w:left="320" w:top="1440" w:right="359" w:bottom="1440" w:gutter="0" w:footer="0" w:header="0"/>
        </w:sectPr>
      </w:pPr>
    </w:p>
    <w:bookmarkStart w:id="17" w:name="page18"/>
    <w:bookmarkEnd w:id="17"/>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GAAP Net Income to Adjusted EBITDA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millions – Unaudited -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tables present the reconciliation of net income to adjusted EBITDA for the periods presented below.</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27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4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r>
      <w:tr>
        <w:trPr>
          <w:trHeight w:val="224"/>
        </w:trPr>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58.9</w:t>
            </w:r>
          </w:p>
        </w:tc>
      </w:tr>
      <w:tr>
        <w:trPr>
          <w:trHeight w:val="229"/>
        </w:trPr>
        <w:tc>
          <w:tcPr>
            <w:tcW w:w="432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(5.3)</w:t>
            </w:r>
          </w:p>
        </w:tc>
      </w:tr>
      <w:tr>
        <w:trPr>
          <w:trHeight w:val="230"/>
        </w:trPr>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19.9</w:t>
            </w:r>
          </w:p>
        </w:tc>
      </w:tr>
      <w:tr>
        <w:trPr>
          <w:trHeight w:val="229"/>
        </w:trPr>
        <w:tc>
          <w:tcPr>
            <w:tcW w:w="4320" w:type="dxa"/>
            <w:vAlign w:val="bottom"/>
          </w:tcPr>
          <w:p>
            <w:pPr>
              <w:ind w:left="80"/>
              <w:spacing w:after="0"/>
              <w:rPr>
                <w:sz w:val="20"/>
                <w:szCs w:val="20"/>
                <w:color w:val="auto"/>
              </w:rPr>
            </w:pPr>
            <w:r>
              <w:rPr>
                <w:rFonts w:ascii="Arial" w:cs="Arial" w:eastAsia="Arial" w:hAnsi="Arial"/>
                <w:sz w:val="18"/>
                <w:szCs w:val="18"/>
                <w:color w:val="auto"/>
              </w:rPr>
              <w:t>Stock Compensation Expense</w:t>
            </w:r>
          </w:p>
        </w:tc>
        <w:tc>
          <w:tcPr>
            <w:tcW w:w="1020" w:type="dxa"/>
            <w:vAlign w:val="bottom"/>
          </w:tcPr>
          <w:p>
            <w:pPr>
              <w:spacing w:after="0"/>
              <w:rPr>
                <w:sz w:val="19"/>
                <w:szCs w:val="19"/>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7.1</w:t>
            </w:r>
          </w:p>
        </w:tc>
      </w:tr>
      <w:tr>
        <w:trPr>
          <w:trHeight w:val="270"/>
        </w:trPr>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 xml:space="preserve">Tax Receivable Agreement adjustment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30"/>
        </w:trPr>
        <w:tc>
          <w:tcPr>
            <w:tcW w:w="4320" w:type="dxa"/>
            <w:vAlign w:val="bottom"/>
          </w:tcPr>
          <w:p>
            <w:pPr>
              <w:ind w:left="80"/>
              <w:spacing w:after="0"/>
              <w:rPr>
                <w:sz w:val="20"/>
                <w:szCs w:val="20"/>
                <w:color w:val="auto"/>
              </w:rPr>
            </w:pPr>
            <w:r>
              <w:rPr>
                <w:rFonts w:ascii="Arial" w:cs="Arial" w:eastAsia="Arial" w:hAnsi="Arial"/>
                <w:sz w:val="18"/>
                <w:szCs w:val="18"/>
                <w:color w:val="auto"/>
              </w:rPr>
              <w:t>Secondary offering costs</w:t>
            </w:r>
          </w:p>
        </w:tc>
        <w:tc>
          <w:tcPr>
            <w:tcW w:w="102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0.6</w:t>
            </w:r>
          </w:p>
        </w:tc>
      </w:tr>
      <w:tr>
        <w:trPr>
          <w:trHeight w:val="229"/>
        </w:trPr>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17.5</w:t>
            </w:r>
          </w:p>
        </w:tc>
      </w:tr>
      <w:tr>
        <w:trPr>
          <w:trHeight w:val="229"/>
        </w:trPr>
        <w:tc>
          <w:tcPr>
            <w:tcW w:w="4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23.6</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47.4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41.8</w:t>
            </w:r>
          </w:p>
        </w:tc>
      </w:tr>
      <w:tr>
        <w:trPr>
          <w:trHeight w:val="248"/>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37.6</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118.1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140.2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 margin</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r>
    </w:tbl>
    <w:p>
      <w:pPr>
        <w:spacing w:after="0" w:line="77" w:lineRule="exact"/>
        <w:rPr>
          <w:sz w:val="20"/>
          <w:szCs w:val="20"/>
          <w:color w:val="auto"/>
        </w:rPr>
      </w:pPr>
    </w:p>
    <w:p>
      <w:pPr>
        <w:ind w:left="440" w:hanging="414"/>
        <w:spacing w:after="0"/>
        <w:tabs>
          <w:tab w:leader="none" w:pos="440" w:val="left"/>
        </w:tabs>
        <w:numPr>
          <w:ilvl w:val="0"/>
          <w:numId w:val="7"/>
        </w:numPr>
        <w:rPr>
          <w:rFonts w:ascii="Arial" w:cs="Arial" w:eastAsia="Arial" w:hAnsi="Arial"/>
          <w:sz w:val="29"/>
          <w:szCs w:val="29"/>
          <w:color w:val="auto"/>
          <w:vertAlign w:val="superscript"/>
        </w:rPr>
      </w:pPr>
      <w:r>
        <w:rPr>
          <w:rFonts w:ascii="Arial" w:cs="Arial" w:eastAsia="Arial" w:hAnsi="Arial"/>
          <w:sz w:val="14"/>
          <w:szCs w:val="14"/>
          <w:color w:val="auto"/>
        </w:rPr>
        <w:t>This represents the adjustment to the TRA for the period, which is recorded in Non-Operating Income (Expense)</w:t>
      </w: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341" w:lineRule="exact"/>
        <w:rPr>
          <w:rFonts w:ascii="Arial" w:cs="Arial" w:eastAsia="Arial" w:hAnsi="Arial"/>
          <w:sz w:val="29"/>
          <w:szCs w:val="29"/>
          <w:color w:val="auto"/>
          <w:vertAlign w:val="superscript"/>
        </w:rPr>
      </w:pPr>
    </w:p>
    <w:p>
      <w:pPr>
        <w:ind w:left="5360"/>
        <w:spacing w:after="0"/>
        <w:rPr>
          <w:rFonts w:ascii="Arial" w:cs="Arial" w:eastAsia="Arial" w:hAnsi="Arial"/>
          <w:sz w:val="29"/>
          <w:szCs w:val="29"/>
          <w:color w:val="auto"/>
          <w:vertAlign w:val="superscript"/>
        </w:rPr>
      </w:pPr>
      <w:r>
        <w:rPr>
          <w:rFonts w:ascii="Arial" w:cs="Arial" w:eastAsia="Arial" w:hAnsi="Arial"/>
          <w:sz w:val="14"/>
          <w:szCs w:val="14"/>
          <w:color w:val="auto"/>
        </w:rPr>
        <w:t>Page 15</w:t>
      </w:r>
    </w:p>
    <w:p>
      <w:pPr>
        <w:sectPr>
          <w:pgSz w:w="11900" w:h="16838" w:orient="portrait"/>
          <w:cols w:equalWidth="0" w:num="1">
            <w:col w:w="11220"/>
          </w:cols>
          <w:pgMar w:left="320" w:top="1440"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Adjusted CASM</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CASM is a non-GAAP measure derived from CASM by excluding fuel costs, costs related to our cargo operations, stock based compensation, depreciation and amortization recognized on certain assets that generate lease income,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costs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and maintenance costs, and productivity, which are more controllable by management.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excluded costs related to the cargo operations and depreciation recognized on our aircraft and flight equipment held for operating lease as these operations do not create ASMs. We have entered into a series of transactions where we act as an aircraft lessor. As of June 30, 2024, we leased or subleased seven aircraft. Depreciation expense on these aircraft materially began during the three months ended June 30, 2023. Adjusted CASM further excludes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16</w:t>
      </w:r>
    </w:p>
    <w:p>
      <w:pPr>
        <w:sectPr>
          <w:pgSz w:w="11900" w:h="16838" w:orient="portrait"/>
          <w:cols w:equalWidth="0" w:num="1">
            <w:col w:w="11240"/>
          </w:cols>
          <w:pgMar w:left="320" w:top="1282"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8"/>
          <w:szCs w:val="18"/>
          <w:b w:val="1"/>
          <w:bCs w:val="1"/>
          <w:color w:val="auto"/>
        </w:rPr>
        <w:t>Reconciliation of CASM to Adjusted CASM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may not recalculate due to rounding, 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23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5"/>
          </w:tcPr>
          <w:p>
            <w:pPr>
              <w:jc w:val="center"/>
              <w:ind w:right="240"/>
              <w:spacing w:after="0" w:line="147"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gridSpan w:val="4"/>
          </w:tcPr>
          <w:p>
            <w:pPr>
              <w:jc w:val="center"/>
              <w:ind w:right="240"/>
              <w:spacing w:after="0" w:line="147" w:lineRule="exact"/>
              <w:rPr>
                <w:sz w:val="20"/>
                <w:szCs w:val="20"/>
                <w:color w:val="auto"/>
              </w:rPr>
            </w:pPr>
            <w:r>
              <w:rPr>
                <w:rFonts w:ascii="Arial" w:cs="Arial" w:eastAsia="Arial" w:hAnsi="Arial"/>
                <w:sz w:val="14"/>
                <w:szCs w:val="14"/>
                <w:b w:val="1"/>
                <w:bCs w:val="1"/>
                <w:color w:val="auto"/>
              </w:rPr>
              <w:t>Operating Expenses</w:t>
            </w:r>
          </w:p>
        </w:tc>
        <w:tc>
          <w:tcPr>
            <w:tcW w:w="13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5"/>
        </w:trPr>
        <w:tc>
          <w:tcPr>
            <w:tcW w:w="4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30"/>
        </w:trPr>
        <w:tc>
          <w:tcPr>
            <w:tcW w:w="4760" w:type="dxa"/>
            <w:vAlign w:val="bottom"/>
            <w:gridSpan w:val="2"/>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9"/>
        </w:trPr>
        <w:tc>
          <w:tcPr>
            <w:tcW w:w="4760" w:type="dxa"/>
            <w:vAlign w:val="bottom"/>
            <w:gridSpan w:val="2"/>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4760" w:type="dxa"/>
            <w:vAlign w:val="bottom"/>
            <w:gridSpan w:val="2"/>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76"/>
        </w:trPr>
        <w:tc>
          <w:tcPr>
            <w:tcW w:w="476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Leased Aircraft, Depreciation and Amortization Expense</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175"/>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80"/>
              <w:spacing w:after="0"/>
              <w:rPr>
                <w:sz w:val="20"/>
                <w:szCs w:val="20"/>
                <w:color w:val="auto"/>
              </w:rPr>
            </w:pPr>
            <w:r>
              <w:rPr>
                <w:rFonts w:ascii="Arial" w:cs="Arial" w:eastAsia="Arial" w:hAnsi="Arial"/>
                <w:sz w:val="18"/>
                <w:szCs w:val="18"/>
                <w:color w:val="auto"/>
              </w:rPr>
              <w:t>Adjusted CASM</w:t>
            </w: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gridSpan w:val="2"/>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Six Months Ended June 30,</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0" w:type="dxa"/>
            <w:vAlign w:val="bottom"/>
            <w:gridSpan w:val="5"/>
          </w:tcPr>
          <w:p>
            <w:pPr>
              <w:jc w:val="center"/>
              <w:ind w:right="280"/>
              <w:spacing w:after="0" w:line="143"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Per ASM (cents)</w:t>
            </w:r>
          </w:p>
        </w:tc>
        <w:tc>
          <w:tcPr>
            <w:tcW w:w="1800" w:type="dxa"/>
            <w:vAlign w:val="bottom"/>
            <w:gridSpan w:val="4"/>
          </w:tcPr>
          <w:p>
            <w:pPr>
              <w:jc w:val="center"/>
              <w:ind w:right="240"/>
              <w:spacing w:after="0" w:line="143" w:lineRule="exact"/>
              <w:rPr>
                <w:sz w:val="20"/>
                <w:szCs w:val="20"/>
                <w:color w:val="auto"/>
              </w:rPr>
            </w:pPr>
            <w:r>
              <w:rPr>
                <w:rFonts w:ascii="Arial" w:cs="Arial" w:eastAsia="Arial" w:hAnsi="Arial"/>
                <w:sz w:val="14"/>
                <w:szCs w:val="14"/>
                <w:b w:val="1"/>
                <w:bCs w:val="1"/>
                <w:color w:val="auto"/>
              </w:rPr>
              <w:t>Operating Expenses</w:t>
            </w:r>
          </w:p>
        </w:tc>
        <w:tc>
          <w:tcPr>
            <w:tcW w:w="13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ASM (cents)</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48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rPr>
              <w:t>- mm</w:t>
            </w: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CASM</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30"/>
        </w:trPr>
        <w:tc>
          <w:tcPr>
            <w:tcW w:w="4760" w:type="dxa"/>
            <w:vAlign w:val="bottom"/>
            <w:gridSpan w:val="2"/>
          </w:tcPr>
          <w:p>
            <w:pPr>
              <w:ind w:left="8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Aircraft Fuel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4760" w:type="dxa"/>
            <w:vAlign w:val="bottom"/>
            <w:gridSpan w:val="2"/>
          </w:tcPr>
          <w:p>
            <w:pPr>
              <w:ind w:left="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Cargo expenses, not already adjusted above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760" w:type="dxa"/>
            <w:vAlign w:val="bottom"/>
            <w:gridSpan w:val="2"/>
          </w:tcPr>
          <w:p>
            <w:pPr>
              <w:ind w:left="80"/>
              <w:spacing w:after="0"/>
              <w:rPr>
                <w:sz w:val="20"/>
                <w:szCs w:val="20"/>
                <w:color w:val="auto"/>
              </w:rPr>
            </w:pPr>
            <w:r>
              <w:rPr>
                <w:rFonts w:ascii="Arial" w:cs="Arial" w:eastAsia="Arial" w:hAnsi="Arial"/>
                <w:sz w:val="18"/>
                <w:szCs w:val="18"/>
                <w:color w:val="auto"/>
              </w:rPr>
              <w:t>Sun Country Vacations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75"/>
        </w:trPr>
        <w:tc>
          <w:tcPr>
            <w:tcW w:w="476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Leased Aircraft, Depreciation and Amortization Expense</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75"/>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80"/>
              <w:spacing w:after="0"/>
              <w:rPr>
                <w:sz w:val="20"/>
                <w:szCs w:val="20"/>
                <w:color w:val="auto"/>
              </w:rPr>
            </w:pPr>
            <w:r>
              <w:rPr>
                <w:rFonts w:ascii="Arial" w:cs="Arial" w:eastAsia="Arial" w:hAnsi="Arial"/>
                <w:sz w:val="18"/>
                <w:szCs w:val="18"/>
                <w:color w:val="auto"/>
              </w:rPr>
              <w:t>Adjusted CASM</w:t>
            </w: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60" w:type="dxa"/>
            <w:vAlign w:val="bottom"/>
            <w:gridSpan w:val="2"/>
          </w:tcPr>
          <w:p>
            <w:pPr>
              <w:ind w:left="80"/>
              <w:spacing w:after="0"/>
              <w:rPr>
                <w:sz w:val="20"/>
                <w:szCs w:val="20"/>
                <w:color w:val="auto"/>
              </w:rPr>
            </w:pPr>
            <w:r>
              <w:rPr>
                <w:rFonts w:ascii="Arial" w:cs="Arial" w:eastAsia="Arial" w:hAnsi="Arial"/>
                <w:sz w:val="18"/>
                <w:szCs w:val="18"/>
                <w:color w:val="auto"/>
              </w:rPr>
              <w:t>Available seat miles (ASMs) - mm</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3,725.3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80" w:hanging="554"/>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 These aircraft are leased to unaffiliated third parties.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6" w:lineRule="exact"/>
        <w:rPr>
          <w:rFonts w:ascii="Arial" w:cs="Arial" w:eastAsia="Arial" w:hAnsi="Arial"/>
          <w:sz w:val="14"/>
          <w:szCs w:val="14"/>
          <w:color w:val="auto"/>
        </w:rPr>
      </w:pPr>
    </w:p>
    <w:p>
      <w:pPr>
        <w:ind w:left="5360"/>
        <w:spacing w:after="0"/>
        <w:rPr>
          <w:rFonts w:ascii="Arial" w:cs="Arial" w:eastAsia="Arial" w:hAnsi="Arial"/>
          <w:sz w:val="14"/>
          <w:szCs w:val="14"/>
          <w:color w:val="auto"/>
        </w:rPr>
      </w:pPr>
      <w:r>
        <w:rPr>
          <w:rFonts w:ascii="Arial" w:cs="Arial" w:eastAsia="Arial" w:hAnsi="Arial"/>
          <w:sz w:val="14"/>
          <w:szCs w:val="14"/>
          <w:color w:val="auto"/>
        </w:rPr>
        <w:t>Page 17</w:t>
      </w: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2024-08-01T15:14:59Z</dcterms:created>
  <dcterms:modified xsi:type="dcterms:W3CDTF">2024-08-01T15:14:59Z</dcterms:modified>
</cp:coreProperties>
</file>