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Sun Country Airlines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866683105</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866683105</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Macquarie Group Limited</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2,549,308.00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4.87 %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866683105</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Macquarie Management Holdings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2,549,028.00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2,549,028.00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2,549,028.00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866683105</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Macquarie Investment Management Business Trust</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2,549,028.00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2,549,028.00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2,549,028.00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866683105</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Macquarie Group (US) Holdings No.1 Pty Ltd</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280.00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866683105</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Macquarie Capital (USA)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Sun Country Airlines Holdings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2005 Cargo Road, Minneapolis, MN 55450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jointly filed by Macquarie Group Limited, Macquarie Management Holdings Inc, and Macquarie Investment Management Business Trust.</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Macquarie Group Limited is Level 1, 1 Elizabeth Street, Sydney, New South Wales, Australia. The principal business address of Macquarie Management Holdings Inc. and Macquarie Investment Management Business Trust is 610 Market Street, Philadelphia, PA 19106.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Macquarie Group Limited - Sydney, New South Wales, Australia Corporation. Macquarie Management Holdings Inc., Macquarie Investment Management Business Trust- incorporated or formed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jc w:val="left"/>
              <w:rPr/>
            </w:pPr>
            <w:r>
              <w:rPr/>
              <w:t xml:space="preserve">CUSIP No.: </w:t>
            </w:r>
          </w:p>
          <w:p>
            <w:pPr>
              <w:pStyle w:val="TableContents"/>
              <w:bidi w:val="0"/>
              <w:spacing w:before="0" w:after="0"/>
              <w:jc w:val="left"/>
              <w:rPr/>
            </w:pPr>
            <w:r>
              <w:rPr/>
              <w:t>866683105</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on the cover page hereto</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on the cover page hereto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on the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on the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Macquarie Group Limited</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Philip Alexander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Philip Alexander / Associate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Charles Glorioso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Charles Glorioso / Division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Macquarie Management Holdings Inc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Marty Wolin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Marty Wolin / Chief Compliance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1"/>
        <w:gridCol w:w="5094"/>
      </w:tblGrid>
      <w:tr>
        <w:trPr/>
        <w:tc>
          <w:tcPr>
            <w:tcW w:w="5111" w:type="dxa"/>
            <w:tcBorders/>
            <w:vAlign w:val="center"/>
          </w:tcPr>
          <w:p>
            <w:pPr>
              <w:pStyle w:val="TableContents"/>
              <w:bidi w:val="0"/>
              <w:spacing w:before="0" w:after="0"/>
              <w:jc w:val="left"/>
              <w:rPr/>
            </w:pPr>
            <w:r>
              <w:rPr/>
              <w:t> </w:t>
            </w:r>
          </w:p>
          <w:tbl>
            <w:tblPr>
              <w:tblW w:w="5011" w:type="dxa"/>
              <w:jc w:val="left"/>
              <w:tblInd w:w="0" w:type="dxa"/>
              <w:tblLayout w:type="fixed"/>
              <w:tblCellMar>
                <w:top w:w="28" w:type="dxa"/>
                <w:left w:w="28" w:type="dxa"/>
                <w:bottom w:w="28" w:type="dxa"/>
                <w:right w:w="28" w:type="dxa"/>
              </w:tblCellMar>
            </w:tblPr>
            <w:tblGrid>
              <w:gridCol w:w="5011"/>
            </w:tblGrid>
            <w:tr>
              <w:trPr/>
              <w:tc>
                <w:tcPr>
                  <w:tcW w:w="5011" w:type="dxa"/>
                  <w:tcBorders/>
                  <w:vAlign w:val="center"/>
                </w:tcPr>
                <w:p>
                  <w:pPr>
                    <w:pStyle w:val="TableContents"/>
                    <w:bidi w:val="0"/>
                    <w:spacing w:before="0" w:after="0"/>
                    <w:jc w:val="left"/>
                    <w:rPr/>
                  </w:pPr>
                  <w:r>
                    <w:rPr/>
                    <w:t>Macquarie Investment Management Business Trust</w:t>
                  </w:r>
                </w:p>
              </w:tc>
            </w:tr>
          </w:tbl>
          <w:p>
            <w:pPr>
              <w:pStyle w:val="TableContents"/>
              <w:bidi w:val="0"/>
              <w:spacing w:before="0" w:after="283"/>
              <w:jc w:val="left"/>
              <w:rPr/>
            </w:pPr>
            <w:r>
              <w:rPr/>
            </w:r>
          </w:p>
        </w:tc>
        <w:tc>
          <w:tcPr>
            <w:tcW w:w="50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Marty Wolin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Marty Wolin / Chief Compliance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9530" w:type="dxa"/>
        <w:jc w:val="left"/>
        <w:tblInd w:w="0" w:type="dxa"/>
        <w:tblLayout w:type="fixed"/>
        <w:tblCellMar>
          <w:top w:w="28" w:type="dxa"/>
          <w:left w:w="28" w:type="dxa"/>
          <w:bottom w:w="28" w:type="dxa"/>
          <w:right w:w="28" w:type="dxa"/>
        </w:tblCellMar>
      </w:tblPr>
      <w:tblGrid>
        <w:gridCol w:w="4765"/>
        <w:gridCol w:w="4765"/>
      </w:tblGrid>
      <w:tr>
        <w:trPr/>
        <w:tc>
          <w:tcPr>
            <w:tcW w:w="4765" w:type="dxa"/>
            <w:tcBorders/>
            <w:vAlign w:val="center"/>
          </w:tcPr>
          <w:p>
            <w:pPr>
              <w:pStyle w:val="TableContents"/>
              <w:bidi w:val="0"/>
              <w:spacing w:before="0" w:after="0"/>
              <w:jc w:val="left"/>
              <w:rPr/>
            </w:pPr>
            <w:r>
              <w:rPr/>
              <w:t> </w:t>
            </w:r>
          </w:p>
          <w:tbl>
            <w:tblPr>
              <w:tblW w:w="4606" w:type="dxa"/>
              <w:jc w:val="left"/>
              <w:tblInd w:w="0" w:type="dxa"/>
              <w:tblLayout w:type="fixed"/>
              <w:tblCellMar>
                <w:top w:w="28" w:type="dxa"/>
                <w:left w:w="28" w:type="dxa"/>
                <w:bottom w:w="28" w:type="dxa"/>
                <w:right w:w="28" w:type="dxa"/>
              </w:tblCellMar>
            </w:tblPr>
            <w:tblGrid>
              <w:gridCol w:w="4606"/>
            </w:tblGrid>
            <w:tr>
              <w:trPr/>
              <w:tc>
                <w:tcPr>
                  <w:tcW w:w="4606" w:type="dxa"/>
                  <w:tcBorders/>
                  <w:vAlign w:val="center"/>
                </w:tcPr>
                <w:p>
                  <w:pPr>
                    <w:pStyle w:val="TableContents"/>
                    <w:bidi w:val="0"/>
                    <w:spacing w:before="0" w:after="0"/>
                    <w:jc w:val="left"/>
                    <w:rPr/>
                  </w:pPr>
                  <w:r>
                    <w:rPr/>
                    <w:t>Macquarie Group (US) Holdings No.1 Pty Ltd</w:t>
                  </w:r>
                </w:p>
              </w:tc>
            </w:tr>
          </w:tbl>
          <w:p>
            <w:pPr>
              <w:pStyle w:val="TableContents"/>
              <w:bidi w:val="0"/>
              <w:spacing w:before="0" w:after="283"/>
              <w:jc w:val="left"/>
              <w:rPr/>
            </w:pPr>
            <w:r>
              <w:rPr/>
            </w:r>
          </w:p>
        </w:tc>
        <w:tc>
          <w:tcPr>
            <w:tcW w:w="4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Rohan Gilchrist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Rohan Gilchrist, Director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Macquarie Capital (USA)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7"/>
        <w:gridCol w:w="4398"/>
      </w:tblGrid>
      <w:tr>
        <w:trPr/>
        <w:tc>
          <w:tcPr>
            <w:tcW w:w="58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Paulina Chan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Paulina Chan Division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1440</Words>
  <Characters>7601</Characters>
  <CharactersWithSpaces>8943</CharactersWithSpaces>
  <Paragraphs>360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