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August 3, 2023</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6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001-40217</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82-4092570</w:t>
      </w:r>
    </w:p>
    <w:p>
      <w:pPr>
        <w:spacing w:after="0" w:line="90" w:lineRule="exact"/>
        <w:rPr>
          <w:sz w:val="24"/>
          <w:szCs w:val="24"/>
          <w:color w:val="auto"/>
        </w:rPr>
      </w:pPr>
    </w:p>
    <w:p>
      <w:pPr>
        <w:sectPr>
          <w:pgSz w:w="11900" w:h="16838" w:orient="portrait"/>
          <w:cols w:equalWidth="0" w:num="3">
            <w:col w:w="4520" w:space="720"/>
            <w:col w:w="2980" w:space="720"/>
            <w:col w:w="2280"/>
          </w:cols>
          <w:pgMar w:left="320" w:top="1440" w:right="359" w:bottom="1440" w:gutter="0" w:footer="0" w:header="0"/>
          <w:type w:val="continuous"/>
        </w:sectPr>
      </w:pPr>
    </w:p>
    <w:p>
      <w:pPr>
        <w:jc w:val="center"/>
        <w:ind w:right="660"/>
        <w:spacing w:after="0"/>
        <w:rPr>
          <w:sz w:val="20"/>
          <w:szCs w:val="20"/>
          <w:color w:val="auto"/>
        </w:rPr>
      </w:pPr>
      <w:r>
        <w:rPr>
          <w:rFonts w:ascii="Arial" w:cs="Arial" w:eastAsia="Arial" w:hAnsi="Arial"/>
          <w:sz w:val="18"/>
          <w:szCs w:val="18"/>
          <w:color w:val="auto"/>
        </w:rPr>
        <w:t>(State of</w:t>
      </w:r>
    </w:p>
    <w:p>
      <w:pPr>
        <w:spacing w:after="0" w:line="2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20" w:space="720"/>
            <w:col w:w="2840" w:space="720"/>
            <w:col w:w="2520"/>
          </w:cols>
          <w:pgMar w:left="320" w:top="1440" w:right="359" w:bottom="1440" w:gutter="0" w:footer="0" w:header="0"/>
          <w:type w:val="continuous"/>
        </w:sectPr>
      </w:pPr>
    </w:p>
    <w:p>
      <w:pPr>
        <w:spacing w:after="0" w:line="167"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316"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55450</w:t>
      </w:r>
    </w:p>
    <w:p>
      <w:pPr>
        <w:spacing w:after="0" w:line="200"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68"/>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jc w:val="center"/>
              <w:ind w:right="810"/>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6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7"/>
              </w:rPr>
              <w:t>Title of each class</w:t>
            </w:r>
          </w:p>
        </w:tc>
        <w:tc>
          <w:tcPr>
            <w:tcW w:w="276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Arial" w:cs="Arial" w:eastAsia="Arial" w:hAnsi="Arial"/>
                <w:sz w:val="18"/>
                <w:szCs w:val="18"/>
                <w:color w:val="auto"/>
                <w:w w:val="89"/>
              </w:rPr>
              <w:t>Common Stock, par value $0.01 per share</w:t>
            </w:r>
          </w:p>
        </w:tc>
        <w:tc>
          <w:tcPr>
            <w:tcW w:w="2760" w:type="dxa"/>
            <w:vAlign w:val="bottom"/>
          </w:tcPr>
          <w:p>
            <w:pPr>
              <w:jc w:val="center"/>
              <w:ind w:right="79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8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August 3, 2023, Sun Country Airlines Holdings, Inc. issued a press release announcing its financial results for the fiscal quarter ended June 30, 2023. A copy of the press release is attached hereto as Exhibit 99.1 and incorporated by reference herein.</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 2023, the Company’s Board of Directors authorized the addition of $30.0 million to the Company’s existing stock repurchase program. As of the date of this filing, the Company has approximately $32.8 million of Board authorization remaining to repurchase additional shares of Common Stock, $0.01 par value per share (“Common Stock”). The Company may purchase shares of its Common Stock on a discretionary basis from time-to-time through open market repurchases, privately negotiated transactions, accelerated share repurchase, or other means, including through Rule 10b5-1 trading plans. Whether any repurchases are made, and the timing and actual number of any shares repurchased, will be determined by management depending on a variety of factors, including stock price, trading volume, market conditions and other general business considerations. The stock repurchase program has no expiration date and may be modified, suspended, or terminated at any time. Any repurchases made under this program will be funded from the Company’s existing cash flows, or future cash flows.</w:t>
      </w:r>
    </w:p>
    <w:p>
      <w:pPr>
        <w:spacing w:after="0" w:line="2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3"/>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2"/>
          </w:tcPr>
          <w:p>
            <w:pPr>
              <w:spacing w:after="0" w:line="196" w:lineRule="exact"/>
              <w:rPr>
                <w:sz w:val="20"/>
                <w:szCs w:val="20"/>
                <w:color w:val="auto"/>
              </w:rPr>
            </w:pPr>
            <w:r>
              <w:rPr>
                <w:rFonts w:ascii="Arial" w:cs="Arial" w:eastAsia="Arial" w:hAnsi="Arial"/>
                <w:sz w:val="18"/>
                <w:szCs w:val="18"/>
                <w:color w:val="0000FF"/>
              </w:rPr>
              <w:t>Press release, dated August 3, 2023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4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color w:val="auto"/>
              </w:rPr>
              <w:t>Date: August 3, 2023</w:t>
            </w:r>
          </w:p>
        </w:tc>
        <w:tc>
          <w:tcPr>
            <w:tcW w:w="7960" w:type="dxa"/>
            <w:vAlign w:val="bottom"/>
            <w:gridSpan w:val="3"/>
          </w:tcPr>
          <w:p>
            <w:pPr>
              <w:ind w:left="1720"/>
              <w:spacing w:after="0"/>
              <w:rPr>
                <w:sz w:val="20"/>
                <w:szCs w:val="20"/>
                <w:color w:val="auto"/>
              </w:rPr>
            </w:pPr>
            <w:r>
              <w:rPr>
                <w:rFonts w:ascii="Arial" w:cs="Arial" w:eastAsia="Arial" w:hAnsi="Arial"/>
                <w:sz w:val="18"/>
                <w:szCs w:val="18"/>
                <w:b w:val="1"/>
                <w:bCs w:val="1"/>
                <w:color w:val="auto"/>
              </w:rPr>
              <w:t>Sun Country Airlines Holdings, Inc.</w:t>
            </w:r>
          </w:p>
        </w:tc>
      </w:tr>
      <w:tr>
        <w:trPr>
          <w:trHeight w:val="513"/>
        </w:trPr>
        <w:tc>
          <w:tcPr>
            <w:tcW w:w="3260" w:type="dxa"/>
            <w:vAlign w:val="bottom"/>
          </w:tcPr>
          <w:p>
            <w:pPr>
              <w:spacing w:after="0"/>
              <w:rPr>
                <w:sz w:val="24"/>
                <w:szCs w:val="24"/>
                <w:color w:val="auto"/>
              </w:rPr>
            </w:pPr>
          </w:p>
        </w:tc>
        <w:tc>
          <w:tcPr>
            <w:tcW w:w="7960" w:type="dxa"/>
            <w:vAlign w:val="bottom"/>
            <w:gridSpan w:val="3"/>
          </w:tcPr>
          <w:p>
            <w:pPr>
              <w:ind w:left="1720"/>
              <w:spacing w:after="0"/>
              <w:rPr>
                <w:sz w:val="20"/>
                <w:szCs w:val="20"/>
                <w:color w:val="auto"/>
              </w:rPr>
            </w:pPr>
            <w:r>
              <w:rPr>
                <w:rFonts w:ascii="Arial" w:cs="Arial" w:eastAsia="Arial" w:hAnsi="Arial"/>
                <w:sz w:val="18"/>
                <w:szCs w:val="18"/>
                <w:color w:val="auto"/>
              </w:rPr>
              <w:t>By:   /s/ Erin Rose Neale</w:t>
            </w:r>
          </w:p>
        </w:tc>
      </w:tr>
      <w:tr>
        <w:trPr>
          <w:trHeight w:val="222"/>
        </w:trPr>
        <w:tc>
          <w:tcPr>
            <w:tcW w:w="3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51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Erin Rose Neale</w:t>
            </w:r>
          </w:p>
        </w:tc>
      </w:tr>
      <w:tr>
        <w:trPr>
          <w:trHeight w:val="230"/>
        </w:trPr>
        <w:tc>
          <w:tcPr>
            <w:tcW w:w="3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516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1147" w:right="33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 Country Airlines Reports Second Quarter 2023 Results</w:t>
      </w:r>
    </w:p>
    <w:p>
      <w:pPr>
        <w:jc w:val="center"/>
        <w:spacing w:after="0" w:line="205" w:lineRule="auto"/>
        <w:rPr>
          <w:sz w:val="20"/>
          <w:szCs w:val="20"/>
          <w:color w:val="auto"/>
        </w:rPr>
      </w:pPr>
      <w:r>
        <w:rPr>
          <w:rFonts w:ascii="Arial" w:cs="Arial" w:eastAsia="Arial" w:hAnsi="Arial"/>
          <w:sz w:val="18"/>
          <w:szCs w:val="18"/>
          <w:color w:val="auto"/>
        </w:rPr>
        <w:t>Revenue of $261 million, highest second quarter on record</w:t>
      </w:r>
      <w:r>
        <w:rPr>
          <w:rFonts w:ascii="Arial" w:cs="Arial" w:eastAsia="Arial" w:hAnsi="Arial"/>
          <w:sz w:val="23"/>
          <w:szCs w:val="23"/>
          <w:color w:val="auto"/>
          <w:vertAlign w:val="superscript"/>
        </w:rPr>
        <w:t>(1)</w:t>
      </w:r>
    </w:p>
    <w:p>
      <w:pPr>
        <w:jc w:val="center"/>
        <w:spacing w:after="0"/>
        <w:rPr>
          <w:sz w:val="20"/>
          <w:szCs w:val="20"/>
          <w:color w:val="auto"/>
        </w:rPr>
      </w:pPr>
      <w:r>
        <w:rPr>
          <w:rFonts w:ascii="Arial" w:cs="Arial" w:eastAsia="Arial" w:hAnsi="Arial"/>
          <w:sz w:val="18"/>
          <w:szCs w:val="18"/>
          <w:color w:val="auto"/>
        </w:rPr>
        <w:t>GAAP diluted EPS of $0.35 and operating income of $36 million</w:t>
      </w:r>
    </w:p>
    <w:p>
      <w:pPr>
        <w:jc w:val="center"/>
        <w:spacing w:after="0"/>
        <w:rPr>
          <w:sz w:val="20"/>
          <w:szCs w:val="20"/>
          <w:color w:val="auto"/>
        </w:rPr>
      </w:pPr>
      <w:r>
        <w:rPr>
          <w:rFonts w:ascii="Arial" w:cs="Arial" w:eastAsia="Arial" w:hAnsi="Arial"/>
          <w:sz w:val="18"/>
          <w:szCs w:val="18"/>
          <w:color w:val="auto"/>
        </w:rPr>
        <w:t>Adj. diluted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$0.40 and adjusted operating income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$40 million</w:t>
      </w:r>
      <w:r>
        <w:rPr>
          <w:rFonts w:ascii="Arial" w:cs="Arial" w:eastAsia="Arial" w:hAnsi="Arial"/>
          <w:sz w:val="23"/>
          <w:szCs w:val="23"/>
          <w:color w:val="auto"/>
          <w:vertAlign w:val="subscript"/>
        </w:rPr>
        <w:t>,</w:t>
      </w:r>
      <w:r>
        <w:rPr>
          <w:rFonts w:ascii="Arial" w:cs="Arial" w:eastAsia="Arial" w:hAnsi="Arial"/>
          <w:sz w:val="18"/>
          <w:szCs w:val="18"/>
          <w:color w:val="auto"/>
        </w:rPr>
        <w:t xml:space="preserve"> highest second quarter on record</w:t>
      </w:r>
      <w:r>
        <w:rPr>
          <w:rFonts w:ascii="Arial" w:cs="Arial" w:eastAsia="Arial" w:hAnsi="Arial"/>
          <w:sz w:val="23"/>
          <w:szCs w:val="23"/>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MINNEAPOLIS. August 3, 2023. Sun Country Airlines Holdings, Inc. (“Sun Country Airlines,” “Sun Country,” the “Company”) (</w:t>
      </w:r>
      <w:r>
        <w:rPr>
          <w:rFonts w:ascii="Arial" w:cs="Arial" w:eastAsia="Arial" w:hAnsi="Arial"/>
          <w:sz w:val="18"/>
          <w:szCs w:val="18"/>
          <w:color w:val="0563C1"/>
        </w:rPr>
        <w:t>NASDAQ: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second quarter ended June 30, 2023.</w:t>
      </w:r>
    </w:p>
    <w:p>
      <w:pPr>
        <w:spacing w:after="0" w:line="240"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0A0A0A"/>
        </w:rPr>
        <w:t>“Sun Country had an historically strong second quarter, in what is typically a seasonally weaker quarter for us,” said Jude Bricker, Chief Executive Officer of Sun Country. “Total revenue was up by 19.2% versus the second quarter 2022 and we produced a GAAP operating margin of 13.6% and an adjusted operating margin</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of 15.3%. The revenue environment continued to be robust as total average fare increased 2.7% and load factor was up by 2 percentage points versus the second quarter of 2022. This helped to drive a GAAP diluted EPS of $0.35 and an Adjusted diluted EPS</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of $0.40 in the second quarter. In addition to our excellent performance, our board of directors has authorized an additional $30 million for repurchases of Sun Country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Second Quarter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300" w:type="dxa"/>
            <w:vAlign w:val="bottom"/>
            <w:gridSpan w:val="3"/>
          </w:tcPr>
          <w:p>
            <w:pPr>
              <w:jc w:val="right"/>
              <w:ind w:right="875"/>
              <w:spacing w:after="0"/>
              <w:rPr>
                <w:sz w:val="20"/>
                <w:szCs w:val="20"/>
                <w:color w:val="auto"/>
              </w:rPr>
            </w:pPr>
            <w:r>
              <w:rPr>
                <w:rFonts w:ascii="Arial" w:cs="Arial" w:eastAsia="Arial" w:hAnsi="Arial"/>
                <w:sz w:val="14"/>
                <w:szCs w:val="14"/>
                <w:b w:val="1"/>
                <w:bCs w:val="1"/>
                <w:color w:val="auto"/>
              </w:rPr>
              <w:t>Three Months Ended June 30,</w:t>
            </w:r>
          </w:p>
        </w:tc>
        <w:tc>
          <w:tcPr>
            <w:tcW w:w="1480" w:type="dxa"/>
            <w:vAlign w:val="bottom"/>
          </w:tcPr>
          <w:p>
            <w:pPr>
              <w:spacing w:after="0"/>
              <w:rPr>
                <w:sz w:val="16"/>
                <w:szCs w:val="16"/>
                <w:color w:val="auto"/>
              </w:rPr>
            </w:pPr>
          </w:p>
        </w:tc>
      </w:tr>
      <w:tr>
        <w:trPr>
          <w:trHeight w:val="201"/>
        </w:trPr>
        <w:tc>
          <w:tcPr>
            <w:tcW w:w="4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0A0A0A"/>
              </w:rPr>
              <w:t>2023</w:t>
            </w: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0A0A0A"/>
              </w:rPr>
              <w:t>2022</w:t>
            </w: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261.1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0A0A0A"/>
              </w:rPr>
              <w:t>219.1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19.2</w:t>
            </w:r>
          </w:p>
        </w:tc>
      </w:tr>
      <w:tr>
        <w:trPr>
          <w:trHeight w:val="229"/>
        </w:trPr>
        <w:tc>
          <w:tcPr>
            <w:tcW w:w="482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35.6</w:t>
            </w:r>
          </w:p>
        </w:tc>
        <w:tc>
          <w:tcPr>
            <w:tcW w:w="440" w:type="dxa"/>
            <w:vAlign w:val="bottom"/>
          </w:tcPr>
          <w:p>
            <w:pPr>
              <w:spacing w:after="0"/>
              <w:rPr>
                <w:sz w:val="19"/>
                <w:szCs w:val="19"/>
                <w:color w:val="auto"/>
              </w:rPr>
            </w:pPr>
          </w:p>
        </w:tc>
        <w:tc>
          <w:tcPr>
            <w:tcW w:w="1560" w:type="dxa"/>
            <w:vAlign w:val="bottom"/>
          </w:tcPr>
          <w:p>
            <w:pPr>
              <w:jc w:val="right"/>
              <w:ind w:right="235"/>
              <w:spacing w:after="0"/>
              <w:rPr>
                <w:sz w:val="20"/>
                <w:szCs w:val="20"/>
                <w:color w:val="auto"/>
              </w:rPr>
            </w:pPr>
            <w:r>
              <w:rPr>
                <w:rFonts w:ascii="Arial" w:cs="Arial" w:eastAsia="Arial" w:hAnsi="Arial"/>
                <w:sz w:val="18"/>
                <w:szCs w:val="18"/>
                <w:color w:val="0A0A0A"/>
              </w:rPr>
              <w:t>3.4</w:t>
            </w:r>
          </w:p>
        </w:tc>
        <w:tc>
          <w:tcPr>
            <w:tcW w:w="1480" w:type="dxa"/>
            <w:vAlign w:val="bottom"/>
          </w:tcPr>
          <w:p>
            <w:pPr>
              <w:jc w:val="right"/>
              <w:spacing w:after="0"/>
              <w:rPr>
                <w:sz w:val="20"/>
                <w:szCs w:val="20"/>
                <w:color w:val="auto"/>
              </w:rPr>
            </w:pPr>
            <w:r>
              <w:rPr>
                <w:rFonts w:ascii="Arial" w:cs="Arial" w:eastAsia="Arial" w:hAnsi="Arial"/>
                <w:sz w:val="18"/>
                <w:szCs w:val="18"/>
                <w:color w:val="0A0A0A"/>
              </w:rPr>
              <w:t>956.3</w:t>
            </w:r>
          </w:p>
        </w:tc>
      </w:tr>
      <w:tr>
        <w:trPr>
          <w:trHeight w:val="243"/>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(Loss) Before Income Tax</w:t>
            </w:r>
          </w:p>
        </w:tc>
        <w:tc>
          <w:tcPr>
            <w:tcW w:w="16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26.8</w:t>
            </w:r>
          </w:p>
        </w:tc>
        <w:tc>
          <w:tcPr>
            <w:tcW w:w="4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0A0A0A"/>
              </w:rPr>
              <w:t>(4.8)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NM</w:t>
            </w:r>
          </w:p>
        </w:tc>
      </w:tr>
      <w:tr>
        <w:trPr>
          <w:trHeight w:val="230"/>
        </w:trPr>
        <w:tc>
          <w:tcPr>
            <w:tcW w:w="4820" w:type="dxa"/>
            <w:vAlign w:val="bottom"/>
          </w:tcPr>
          <w:p>
            <w:pPr>
              <w:ind w:left="80"/>
              <w:spacing w:after="0"/>
              <w:rPr>
                <w:sz w:val="20"/>
                <w:szCs w:val="20"/>
                <w:color w:val="auto"/>
              </w:rPr>
            </w:pPr>
            <w:r>
              <w:rPr>
                <w:rFonts w:ascii="Arial" w:cs="Arial" w:eastAsia="Arial" w:hAnsi="Arial"/>
                <w:sz w:val="18"/>
                <w:szCs w:val="18"/>
                <w:color w:val="0A0A0A"/>
              </w:rPr>
              <w:t>Net Income (Loss)</w:t>
            </w: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20.6</w:t>
            </w:r>
          </w:p>
        </w:tc>
        <w:tc>
          <w:tcPr>
            <w:tcW w:w="440" w:type="dxa"/>
            <w:vAlign w:val="bottom"/>
          </w:tcPr>
          <w:p>
            <w:pPr>
              <w:spacing w:after="0"/>
              <w:rPr>
                <w:sz w:val="19"/>
                <w:szCs w:val="19"/>
                <w:color w:val="auto"/>
              </w:rPr>
            </w:pPr>
          </w:p>
        </w:tc>
        <w:tc>
          <w:tcPr>
            <w:tcW w:w="1560" w:type="dxa"/>
            <w:vAlign w:val="bottom"/>
          </w:tcPr>
          <w:p>
            <w:pPr>
              <w:jc w:val="right"/>
              <w:ind w:right="195"/>
              <w:spacing w:after="0"/>
              <w:rPr>
                <w:sz w:val="20"/>
                <w:szCs w:val="20"/>
                <w:color w:val="auto"/>
              </w:rPr>
            </w:pPr>
            <w:r>
              <w:rPr>
                <w:rFonts w:ascii="Arial" w:cs="Arial" w:eastAsia="Arial" w:hAnsi="Arial"/>
                <w:sz w:val="18"/>
                <w:szCs w:val="18"/>
                <w:color w:val="0A0A0A"/>
              </w:rPr>
              <w:t>(3.9)</w:t>
            </w:r>
          </w:p>
        </w:tc>
        <w:tc>
          <w:tcPr>
            <w:tcW w:w="1480" w:type="dxa"/>
            <w:vAlign w:val="bottom"/>
          </w:tcPr>
          <w:p>
            <w:pPr>
              <w:jc w:val="right"/>
              <w:spacing w:after="0"/>
              <w:rPr>
                <w:sz w:val="20"/>
                <w:szCs w:val="20"/>
                <w:color w:val="auto"/>
              </w:rPr>
            </w:pPr>
            <w:r>
              <w:rPr>
                <w:rFonts w:ascii="Arial" w:cs="Arial" w:eastAsia="Arial" w:hAnsi="Arial"/>
                <w:sz w:val="18"/>
                <w:szCs w:val="18"/>
                <w:color w:val="0A0A0A"/>
              </w:rPr>
              <w:t>NM</w:t>
            </w:r>
          </w:p>
        </w:tc>
      </w:tr>
      <w:tr>
        <w:trPr>
          <w:trHeight w:val="229"/>
        </w:trPr>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(Loss) per share</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0.35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0A0A0A"/>
              </w:rPr>
              <w:t>(0.07)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NM</w:t>
            </w:r>
          </w:p>
        </w:tc>
      </w:tr>
      <w:tr>
        <w:trPr>
          <w:trHeight w:val="430"/>
        </w:trPr>
        <w:tc>
          <w:tcPr>
            <w:tcW w:w="4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00" w:type="dxa"/>
            <w:vAlign w:val="bottom"/>
            <w:gridSpan w:val="3"/>
          </w:tcPr>
          <w:p>
            <w:pPr>
              <w:jc w:val="right"/>
              <w:ind w:right="875"/>
              <w:spacing w:after="0"/>
              <w:rPr>
                <w:sz w:val="20"/>
                <w:szCs w:val="20"/>
                <w:color w:val="auto"/>
              </w:rPr>
            </w:pPr>
            <w:r>
              <w:rPr>
                <w:rFonts w:ascii="Arial" w:cs="Arial" w:eastAsia="Arial" w:hAnsi="Arial"/>
                <w:sz w:val="14"/>
                <w:szCs w:val="14"/>
                <w:b w:val="1"/>
                <w:bCs w:val="1"/>
                <w:color w:val="auto"/>
              </w:rPr>
              <w:t>Three Months Ended June 30,</w:t>
            </w:r>
          </w:p>
        </w:tc>
        <w:tc>
          <w:tcPr>
            <w:tcW w:w="1480" w:type="dxa"/>
            <w:vAlign w:val="bottom"/>
          </w:tcPr>
          <w:p>
            <w:pPr>
              <w:spacing w:after="0"/>
              <w:rPr>
                <w:sz w:val="24"/>
                <w:szCs w:val="24"/>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40" w:type="dxa"/>
            <w:vAlign w:val="bottom"/>
          </w:tcPr>
          <w:p>
            <w:pPr>
              <w:spacing w:after="0"/>
              <w:rPr>
                <w:sz w:val="17"/>
                <w:szCs w:val="17"/>
                <w:color w:val="auto"/>
              </w:rPr>
            </w:pPr>
          </w:p>
        </w:tc>
        <w:tc>
          <w:tcPr>
            <w:tcW w:w="1300" w:type="dxa"/>
            <w:vAlign w:val="bottom"/>
          </w:tcPr>
          <w:p>
            <w:pPr>
              <w:jc w:val="right"/>
              <w:ind w:right="598"/>
              <w:spacing w:after="0"/>
              <w:rPr>
                <w:sz w:val="20"/>
                <w:szCs w:val="20"/>
                <w:color w:val="auto"/>
              </w:rPr>
            </w:pPr>
            <w:r>
              <w:rPr>
                <w:rFonts w:ascii="Arial" w:cs="Arial" w:eastAsia="Arial" w:hAnsi="Arial"/>
                <w:sz w:val="14"/>
                <w:szCs w:val="14"/>
                <w:b w:val="1"/>
                <w:bCs w:val="1"/>
                <w:color w:val="0A0A0A"/>
              </w:rPr>
              <w:t>2023</w:t>
            </w:r>
          </w:p>
        </w:tc>
        <w:tc>
          <w:tcPr>
            <w:tcW w:w="440" w:type="dxa"/>
            <w:vAlign w:val="bottom"/>
          </w:tcPr>
          <w:p>
            <w:pPr>
              <w:spacing w:after="0"/>
              <w:rPr>
                <w:sz w:val="17"/>
                <w:szCs w:val="17"/>
                <w:color w:val="auto"/>
              </w:rPr>
            </w:pPr>
          </w:p>
        </w:tc>
        <w:tc>
          <w:tcPr>
            <w:tcW w:w="1560" w:type="dxa"/>
            <w:vAlign w:val="bottom"/>
          </w:tcPr>
          <w:p>
            <w:pPr>
              <w:jc w:val="right"/>
              <w:ind w:right="875"/>
              <w:spacing w:after="0"/>
              <w:rPr>
                <w:sz w:val="20"/>
                <w:szCs w:val="20"/>
                <w:color w:val="auto"/>
              </w:rPr>
            </w:pPr>
            <w:r>
              <w:rPr>
                <w:rFonts w:ascii="Arial" w:cs="Arial" w:eastAsia="Arial" w:hAnsi="Arial"/>
                <w:sz w:val="14"/>
                <w:szCs w:val="14"/>
                <w:b w:val="1"/>
                <w:bCs w:val="1"/>
                <w:color w:val="0A0A0A"/>
              </w:rPr>
              <w:t>2022</w:t>
            </w:r>
          </w:p>
        </w:tc>
        <w:tc>
          <w:tcPr>
            <w:tcW w:w="1480" w:type="dxa"/>
            <w:vAlign w:val="bottom"/>
          </w:tcPr>
          <w:p>
            <w:pPr>
              <w:jc w:val="right"/>
              <w:ind w:right="435"/>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2"/>
          <w:szCs w:val="22"/>
          <w:color w:val="0A0A0A"/>
          <w:vertAlign w:val="superscript"/>
        </w:rPr>
        <w:t>(2)</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(Loss)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3"/>
          <w:szCs w:val="23"/>
          <w:color w:val="0A0A0A"/>
          <w:vertAlign w:val="superscript"/>
        </w:rPr>
        <w:t>(2)</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190"/>
              <w:spacing w:after="0"/>
              <w:rPr>
                <w:sz w:val="20"/>
                <w:szCs w:val="20"/>
                <w:color w:val="auto"/>
              </w:rPr>
            </w:pPr>
            <w:r>
              <w:rPr>
                <w:rFonts w:ascii="Arial" w:cs="Arial" w:eastAsia="Arial" w:hAnsi="Arial"/>
                <w:sz w:val="18"/>
                <w:szCs w:val="18"/>
                <w:color w:val="0A0A0A"/>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0A0A0A"/>
              </w:rPr>
              <w:t>40.0</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tcPr>
          <w:p>
            <w:pPr>
              <w:jc w:val="right"/>
              <w:ind w:right="234"/>
              <w:spacing w:after="0"/>
              <w:rPr>
                <w:sz w:val="20"/>
                <w:szCs w:val="20"/>
                <w:color w:val="auto"/>
              </w:rPr>
            </w:pPr>
            <w:r>
              <w:rPr>
                <w:rFonts w:ascii="Arial" w:cs="Arial" w:eastAsia="Arial" w:hAnsi="Arial"/>
                <w:sz w:val="18"/>
                <w:szCs w:val="18"/>
                <w:color w:val="0A0A0A"/>
              </w:rPr>
              <w:t>3.9</w:t>
            </w:r>
          </w:p>
        </w:tc>
        <w:tc>
          <w:tcPr>
            <w:tcW w:w="1460" w:type="dxa"/>
            <w:vAlign w:val="bottom"/>
          </w:tcPr>
          <w:p>
            <w:pPr>
              <w:ind w:left="960"/>
              <w:spacing w:after="0"/>
              <w:rPr>
                <w:sz w:val="20"/>
                <w:szCs w:val="20"/>
                <w:color w:val="auto"/>
              </w:rPr>
            </w:pPr>
            <w:r>
              <w:rPr>
                <w:rFonts w:ascii="Arial" w:cs="Arial" w:eastAsia="Arial" w:hAnsi="Arial"/>
                <w:sz w:val="18"/>
                <w:szCs w:val="18"/>
                <w:color w:val="0A0A0A"/>
              </w:rPr>
              <w:t>914.2</w:t>
            </w:r>
          </w:p>
        </w:tc>
      </w:tr>
      <w:tr>
        <w:trPr>
          <w:trHeight w:val="270"/>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31.3</w:t>
            </w:r>
          </w:p>
        </w:tc>
        <w:tc>
          <w:tcPr>
            <w:tcW w:w="440" w:type="dxa"/>
            <w:vAlign w:val="bottom"/>
          </w:tcPr>
          <w:p>
            <w:pPr>
              <w:spacing w:after="0"/>
              <w:rPr>
                <w:sz w:val="23"/>
                <w:szCs w:val="23"/>
                <w:color w:val="auto"/>
              </w:rPr>
            </w:pPr>
          </w:p>
        </w:tc>
        <w:tc>
          <w:tcPr>
            <w:tcW w:w="1560" w:type="dxa"/>
            <w:vAlign w:val="bottom"/>
          </w:tcPr>
          <w:p>
            <w:pPr>
              <w:jc w:val="right"/>
              <w:ind w:right="194"/>
              <w:spacing w:after="0"/>
              <w:rPr>
                <w:sz w:val="20"/>
                <w:szCs w:val="20"/>
                <w:color w:val="auto"/>
              </w:rPr>
            </w:pPr>
            <w:r>
              <w:rPr>
                <w:rFonts w:ascii="Arial" w:cs="Arial" w:eastAsia="Arial" w:hAnsi="Arial"/>
                <w:sz w:val="18"/>
                <w:szCs w:val="18"/>
                <w:color w:val="0A0A0A"/>
              </w:rPr>
              <w:t>(2.6)</w:t>
            </w:r>
          </w:p>
        </w:tc>
        <w:tc>
          <w:tcPr>
            <w:tcW w:w="1460" w:type="dxa"/>
            <w:vAlign w:val="bottom"/>
          </w:tcPr>
          <w:p>
            <w:pPr>
              <w:ind w:left="1180"/>
              <w:spacing w:after="0"/>
              <w:rPr>
                <w:sz w:val="20"/>
                <w:szCs w:val="20"/>
                <w:color w:val="auto"/>
              </w:rPr>
            </w:pPr>
            <w:r>
              <w:rPr>
                <w:rFonts w:ascii="Arial" w:cs="Arial" w:eastAsia="Arial" w:hAnsi="Arial"/>
                <w:sz w:val="18"/>
                <w:szCs w:val="18"/>
                <w:color w:val="0A0A0A"/>
                <w:w w:val="92"/>
              </w:rPr>
              <w:t>NM</w:t>
            </w:r>
          </w:p>
        </w:tc>
      </w:tr>
      <w:tr>
        <w:trPr>
          <w:trHeight w:val="270"/>
        </w:trPr>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24.1</w:t>
            </w:r>
          </w:p>
        </w:tc>
        <w:tc>
          <w:tcPr>
            <w:tcW w:w="440" w:type="dxa"/>
            <w:vAlign w:val="bottom"/>
          </w:tcPr>
          <w:p>
            <w:pPr>
              <w:spacing w:after="0"/>
              <w:rPr>
                <w:sz w:val="23"/>
                <w:szCs w:val="23"/>
                <w:color w:val="auto"/>
              </w:rPr>
            </w:pPr>
          </w:p>
        </w:tc>
        <w:tc>
          <w:tcPr>
            <w:tcW w:w="1560" w:type="dxa"/>
            <w:vAlign w:val="bottom"/>
          </w:tcPr>
          <w:p>
            <w:pPr>
              <w:jc w:val="right"/>
              <w:ind w:right="194"/>
              <w:spacing w:after="0"/>
              <w:rPr>
                <w:sz w:val="20"/>
                <w:szCs w:val="20"/>
                <w:color w:val="auto"/>
              </w:rPr>
            </w:pPr>
            <w:r>
              <w:rPr>
                <w:rFonts w:ascii="Arial" w:cs="Arial" w:eastAsia="Arial" w:hAnsi="Arial"/>
                <w:sz w:val="18"/>
                <w:szCs w:val="18"/>
                <w:color w:val="0A0A0A"/>
              </w:rPr>
              <w:t>(1.8)</w:t>
            </w:r>
          </w:p>
        </w:tc>
        <w:tc>
          <w:tcPr>
            <w:tcW w:w="1460" w:type="dxa"/>
            <w:vAlign w:val="bottom"/>
          </w:tcPr>
          <w:p>
            <w:pPr>
              <w:ind w:left="1180"/>
              <w:spacing w:after="0"/>
              <w:rPr>
                <w:sz w:val="20"/>
                <w:szCs w:val="20"/>
                <w:color w:val="auto"/>
              </w:rPr>
            </w:pPr>
            <w:r>
              <w:rPr>
                <w:rFonts w:ascii="Arial" w:cs="Arial" w:eastAsia="Arial" w:hAnsi="Arial"/>
                <w:sz w:val="18"/>
                <w:szCs w:val="18"/>
                <w:color w:val="0A0A0A"/>
                <w:w w:val="92"/>
              </w:rPr>
              <w:t>NM</w:t>
            </w:r>
          </w:p>
        </w:tc>
      </w:tr>
      <w:tr>
        <w:trPr>
          <w:trHeight w:val="27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0.40</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tcPr>
          <w:p>
            <w:pPr>
              <w:jc w:val="right"/>
              <w:ind w:right="194"/>
              <w:spacing w:after="0"/>
              <w:rPr>
                <w:sz w:val="20"/>
                <w:szCs w:val="20"/>
                <w:color w:val="auto"/>
              </w:rPr>
            </w:pPr>
            <w:r>
              <w:rPr>
                <w:rFonts w:ascii="Arial" w:cs="Arial" w:eastAsia="Arial" w:hAnsi="Arial"/>
                <w:sz w:val="18"/>
                <w:szCs w:val="18"/>
                <w:color w:val="0A0A0A"/>
              </w:rPr>
              <w:t>(0.03)</w:t>
            </w:r>
          </w:p>
        </w:tc>
        <w:tc>
          <w:tcPr>
            <w:tcW w:w="1460" w:type="dxa"/>
            <w:vAlign w:val="bottom"/>
          </w:tcPr>
          <w:p>
            <w:pPr>
              <w:ind w:left="1180"/>
              <w:spacing w:after="0"/>
              <w:rPr>
                <w:sz w:val="20"/>
                <w:szCs w:val="20"/>
                <w:color w:val="auto"/>
              </w:rPr>
            </w:pPr>
            <w:r>
              <w:rPr>
                <w:rFonts w:ascii="Arial" w:cs="Arial" w:eastAsia="Arial" w:hAnsi="Arial"/>
                <w:sz w:val="18"/>
                <w:szCs w:val="18"/>
                <w:color w:val="0A0A0A"/>
                <w:w w:val="92"/>
              </w:rPr>
              <w:t>NM</w:t>
            </w:r>
          </w:p>
        </w:tc>
      </w:tr>
      <w:tr>
        <w:trPr>
          <w:trHeight w:val="470"/>
        </w:trPr>
        <w:tc>
          <w:tcPr>
            <w:tcW w:w="380" w:type="dxa"/>
            <w:vAlign w:val="bottom"/>
          </w:tcPr>
          <w:p>
            <w:pPr>
              <w:spacing w:after="0"/>
              <w:rPr>
                <w:sz w:val="24"/>
                <w:szCs w:val="24"/>
                <w:color w:val="auto"/>
              </w:rPr>
            </w:pPr>
          </w:p>
        </w:tc>
        <w:tc>
          <w:tcPr>
            <w:tcW w:w="3300" w:type="dxa"/>
            <w:vAlign w:val="bottom"/>
            <w:gridSpan w:val="3"/>
          </w:tcPr>
          <w:p>
            <w:pPr>
              <w:jc w:val="right"/>
              <w:ind w:right="954"/>
              <w:spacing w:after="0"/>
              <w:rPr>
                <w:sz w:val="20"/>
                <w:szCs w:val="20"/>
                <w:color w:val="auto"/>
              </w:rPr>
            </w:pPr>
            <w:r>
              <w:rPr>
                <w:rFonts w:ascii="Arial" w:cs="Arial" w:eastAsia="Arial" w:hAnsi="Arial"/>
                <w:sz w:val="14"/>
                <w:szCs w:val="14"/>
                <w:b w:val="1"/>
                <w:bCs w:val="1"/>
                <w:color w:val="auto"/>
              </w:rPr>
              <w:t>Six Months Ended June 30,</w:t>
            </w:r>
          </w:p>
        </w:tc>
        <w:tc>
          <w:tcPr>
            <w:tcW w:w="1460" w:type="dxa"/>
            <w:vAlign w:val="bottom"/>
          </w:tcPr>
          <w:p>
            <w:pPr>
              <w:spacing w:after="0"/>
              <w:rPr>
                <w:sz w:val="24"/>
                <w:szCs w:val="24"/>
                <w:color w:val="auto"/>
              </w:rPr>
            </w:pPr>
          </w:p>
        </w:tc>
      </w:tr>
      <w:tr>
        <w:trPr>
          <w:trHeight w:val="191"/>
        </w:trPr>
        <w:tc>
          <w:tcPr>
            <w:tcW w:w="380" w:type="dxa"/>
            <w:vAlign w:val="bottom"/>
          </w:tcPr>
          <w:p>
            <w:pPr>
              <w:spacing w:after="0"/>
              <w:rPr>
                <w:sz w:val="16"/>
                <w:szCs w:val="16"/>
                <w:color w:val="auto"/>
              </w:rPr>
            </w:pPr>
          </w:p>
        </w:tc>
        <w:tc>
          <w:tcPr>
            <w:tcW w:w="1300" w:type="dxa"/>
            <w:vAlign w:val="bottom"/>
          </w:tcPr>
          <w:p>
            <w:pPr>
              <w:jc w:val="right"/>
              <w:ind w:right="596"/>
              <w:spacing w:after="0"/>
              <w:rPr>
                <w:sz w:val="20"/>
                <w:szCs w:val="20"/>
                <w:color w:val="auto"/>
              </w:rPr>
            </w:pPr>
            <w:r>
              <w:rPr>
                <w:rFonts w:ascii="Arial" w:cs="Arial" w:eastAsia="Arial" w:hAnsi="Arial"/>
                <w:sz w:val="14"/>
                <w:szCs w:val="14"/>
                <w:b w:val="1"/>
                <w:bCs w:val="1"/>
                <w:color w:val="0A0A0A"/>
              </w:rPr>
              <w:t>2023</w:t>
            </w:r>
          </w:p>
        </w:tc>
        <w:tc>
          <w:tcPr>
            <w:tcW w:w="440" w:type="dxa"/>
            <w:vAlign w:val="bottom"/>
          </w:tcPr>
          <w:p>
            <w:pPr>
              <w:spacing w:after="0"/>
              <w:rPr>
                <w:sz w:val="16"/>
                <w:szCs w:val="16"/>
                <w:color w:val="auto"/>
              </w:rPr>
            </w:pPr>
          </w:p>
        </w:tc>
        <w:tc>
          <w:tcPr>
            <w:tcW w:w="1560" w:type="dxa"/>
            <w:vAlign w:val="bottom"/>
          </w:tcPr>
          <w:p>
            <w:pPr>
              <w:jc w:val="right"/>
              <w:ind w:right="874"/>
              <w:spacing w:after="0"/>
              <w:rPr>
                <w:sz w:val="20"/>
                <w:szCs w:val="20"/>
                <w:color w:val="auto"/>
              </w:rPr>
            </w:pPr>
            <w:r>
              <w:rPr>
                <w:rFonts w:ascii="Arial" w:cs="Arial" w:eastAsia="Arial" w:hAnsi="Arial"/>
                <w:sz w:val="14"/>
                <w:szCs w:val="14"/>
                <w:b w:val="1"/>
                <w:bCs w:val="1"/>
                <w:color w:val="0A0A0A"/>
              </w:rPr>
              <w:t>2022</w:t>
            </w:r>
          </w:p>
        </w:tc>
        <w:tc>
          <w:tcPr>
            <w:tcW w:w="1460" w:type="dxa"/>
            <w:vAlign w:val="bottom"/>
          </w:tcPr>
          <w:p>
            <w:pPr>
              <w:ind w:left="260"/>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-736600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60" w:space="720"/>
            <w:col w:w="51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555.2</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0A0A0A"/>
              </w:rPr>
              <w:t>445.6</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24.6</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91.4</w:t>
            </w:r>
          </w:p>
        </w:tc>
        <w:tc>
          <w:tcPr>
            <w:tcW w:w="440" w:type="dxa"/>
            <w:vAlign w:val="bottom"/>
          </w:tcPr>
          <w:p>
            <w:pPr>
              <w:spacing w:after="0"/>
              <w:rPr>
                <w:sz w:val="19"/>
                <w:szCs w:val="19"/>
                <w:color w:val="auto"/>
              </w:rPr>
            </w:pPr>
          </w:p>
        </w:tc>
        <w:tc>
          <w:tcPr>
            <w:tcW w:w="1560" w:type="dxa"/>
            <w:vAlign w:val="bottom"/>
          </w:tcPr>
          <w:p>
            <w:pPr>
              <w:jc w:val="right"/>
              <w:ind w:right="232"/>
              <w:spacing w:after="0"/>
              <w:rPr>
                <w:sz w:val="20"/>
                <w:szCs w:val="20"/>
                <w:color w:val="auto"/>
              </w:rPr>
            </w:pPr>
            <w:r>
              <w:rPr>
                <w:rFonts w:ascii="Arial" w:cs="Arial" w:eastAsia="Arial" w:hAnsi="Arial"/>
                <w:sz w:val="18"/>
                <w:szCs w:val="18"/>
                <w:color w:val="0A0A0A"/>
              </w:rPr>
              <w:t>25.2</w:t>
            </w:r>
          </w:p>
        </w:tc>
        <w:tc>
          <w:tcPr>
            <w:tcW w:w="1480" w:type="dxa"/>
            <w:vAlign w:val="bottom"/>
          </w:tcPr>
          <w:p>
            <w:pPr>
              <w:jc w:val="right"/>
              <w:spacing w:after="0"/>
              <w:rPr>
                <w:sz w:val="20"/>
                <w:szCs w:val="20"/>
                <w:color w:val="auto"/>
              </w:rPr>
            </w:pPr>
            <w:r>
              <w:rPr>
                <w:rFonts w:ascii="Arial" w:cs="Arial" w:eastAsia="Arial" w:hAnsi="Arial"/>
                <w:sz w:val="18"/>
                <w:szCs w:val="18"/>
                <w:color w:val="0A0A0A"/>
              </w:rPr>
              <w:t>262.6</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76.4</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0A0A0A"/>
              </w:rPr>
              <w:t>1.6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NM</w:t>
            </w:r>
          </w:p>
        </w:tc>
      </w:tr>
      <w:tr>
        <w:trPr>
          <w:trHeight w:val="236"/>
        </w:trPr>
        <w:tc>
          <w:tcPr>
            <w:tcW w:w="4800" w:type="dxa"/>
            <w:vAlign w:val="bottom"/>
          </w:tcPr>
          <w:p>
            <w:pPr>
              <w:ind w:left="80"/>
              <w:spacing w:after="0"/>
              <w:rPr>
                <w:sz w:val="20"/>
                <w:szCs w:val="20"/>
                <w:color w:val="auto"/>
              </w:rPr>
            </w:pPr>
            <w:r>
              <w:rPr>
                <w:rFonts w:ascii="Arial" w:cs="Arial" w:eastAsia="Arial" w:hAnsi="Arial"/>
                <w:sz w:val="18"/>
                <w:szCs w:val="18"/>
                <w:color w:val="0A0A0A"/>
              </w:rPr>
              <w:t>Net Income (Loss)</w:t>
            </w:r>
          </w:p>
        </w:tc>
        <w:tc>
          <w:tcPr>
            <w:tcW w:w="16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58.9</w:t>
            </w:r>
          </w:p>
        </w:tc>
        <w:tc>
          <w:tcPr>
            <w:tcW w:w="440" w:type="dxa"/>
            <w:vAlign w:val="bottom"/>
          </w:tcPr>
          <w:p>
            <w:pPr>
              <w:spacing w:after="0"/>
              <w:rPr>
                <w:sz w:val="20"/>
                <w:szCs w:val="20"/>
                <w:color w:val="auto"/>
              </w:rPr>
            </w:pPr>
          </w:p>
        </w:tc>
        <w:tc>
          <w:tcPr>
            <w:tcW w:w="1560" w:type="dxa"/>
            <w:vAlign w:val="bottom"/>
          </w:tcPr>
          <w:p>
            <w:pPr>
              <w:jc w:val="right"/>
              <w:ind w:right="192"/>
              <w:spacing w:after="0"/>
              <w:rPr>
                <w:sz w:val="20"/>
                <w:szCs w:val="20"/>
                <w:color w:val="auto"/>
              </w:rPr>
            </w:pPr>
            <w:r>
              <w:rPr>
                <w:rFonts w:ascii="Arial" w:cs="Arial" w:eastAsia="Arial" w:hAnsi="Arial"/>
                <w:sz w:val="18"/>
                <w:szCs w:val="18"/>
                <w:color w:val="0A0A0A"/>
              </w:rPr>
              <w:t>(0.3)</w:t>
            </w:r>
          </w:p>
        </w:tc>
        <w:tc>
          <w:tcPr>
            <w:tcW w:w="1480" w:type="dxa"/>
            <w:vAlign w:val="bottom"/>
          </w:tcPr>
          <w:p>
            <w:pPr>
              <w:jc w:val="right"/>
              <w:spacing w:after="0"/>
              <w:rPr>
                <w:sz w:val="20"/>
                <w:szCs w:val="20"/>
                <w:color w:val="auto"/>
              </w:rPr>
            </w:pPr>
            <w:r>
              <w:rPr>
                <w:rFonts w:ascii="Arial" w:cs="Arial" w:eastAsia="Arial" w:hAnsi="Arial"/>
                <w:sz w:val="18"/>
                <w:szCs w:val="18"/>
                <w:color w:val="0A0A0A"/>
              </w:rPr>
              <w:t>NM</w:t>
            </w:r>
          </w:p>
        </w:tc>
      </w:tr>
      <w:tr>
        <w:trPr>
          <w:trHeight w:val="236"/>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0.99</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0A0A0A"/>
              </w:rPr>
              <w:t>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NM</w:t>
            </w:r>
          </w:p>
        </w:tc>
      </w:tr>
      <w:tr>
        <w:trPr>
          <w:trHeight w:val="419"/>
        </w:trPr>
        <w:tc>
          <w:tcPr>
            <w:tcW w:w="4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00" w:type="dxa"/>
            <w:vAlign w:val="bottom"/>
            <w:gridSpan w:val="3"/>
          </w:tcPr>
          <w:p>
            <w:pPr>
              <w:jc w:val="right"/>
              <w:ind w:right="952"/>
              <w:spacing w:after="0"/>
              <w:rPr>
                <w:sz w:val="20"/>
                <w:szCs w:val="20"/>
                <w:color w:val="auto"/>
              </w:rPr>
            </w:pPr>
            <w:r>
              <w:rPr>
                <w:rFonts w:ascii="Arial" w:cs="Arial" w:eastAsia="Arial" w:hAnsi="Arial"/>
                <w:sz w:val="14"/>
                <w:szCs w:val="14"/>
                <w:b w:val="1"/>
                <w:bCs w:val="1"/>
                <w:color w:val="auto"/>
              </w:rPr>
              <w:t>Six Months Ended June 30,</w:t>
            </w:r>
          </w:p>
        </w:tc>
        <w:tc>
          <w:tcPr>
            <w:tcW w:w="1480" w:type="dxa"/>
            <w:vAlign w:val="bottom"/>
          </w:tcPr>
          <w:p>
            <w:pPr>
              <w:spacing w:after="0"/>
              <w:rPr>
                <w:sz w:val="24"/>
                <w:szCs w:val="24"/>
                <w:color w:val="auto"/>
              </w:rPr>
            </w:pPr>
          </w:p>
        </w:tc>
      </w:tr>
      <w:tr>
        <w:trPr>
          <w:trHeight w:val="201"/>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0A0A0A"/>
              </w:rPr>
              <w:t>2023</w:t>
            </w: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0A0A0A"/>
              </w:rPr>
              <w:t>2022</w:t>
            </w: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0A0A0A"/>
              </w:rPr>
              <w:t>% Change</w:t>
            </w:r>
          </w:p>
        </w:tc>
      </w:tr>
      <w:tr>
        <w:trPr>
          <w:trHeight w:val="26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98.5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0A0A0A"/>
              </w:rPr>
              <w:t>26.7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268.8</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tc>
        <w:tc>
          <w:tcPr>
            <w:tcW w:w="16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A0A0A"/>
              </w:rPr>
              <w:t>83.8</w:t>
            </w:r>
          </w:p>
        </w:tc>
        <w:tc>
          <w:tcPr>
            <w:tcW w:w="440" w:type="dxa"/>
            <w:vAlign w:val="bottom"/>
          </w:tcPr>
          <w:p>
            <w:pPr>
              <w:spacing w:after="0"/>
              <w:rPr>
                <w:sz w:val="23"/>
                <w:szCs w:val="23"/>
                <w:color w:val="auto"/>
              </w:rPr>
            </w:pPr>
          </w:p>
        </w:tc>
        <w:tc>
          <w:tcPr>
            <w:tcW w:w="1560" w:type="dxa"/>
            <w:vAlign w:val="bottom"/>
          </w:tcPr>
          <w:p>
            <w:pPr>
              <w:jc w:val="right"/>
              <w:ind w:right="232"/>
              <w:spacing w:after="0"/>
              <w:rPr>
                <w:sz w:val="20"/>
                <w:szCs w:val="20"/>
                <w:color w:val="auto"/>
              </w:rPr>
            </w:pPr>
            <w:r>
              <w:rPr>
                <w:rFonts w:ascii="Arial" w:cs="Arial" w:eastAsia="Arial" w:hAnsi="Arial"/>
                <w:sz w:val="18"/>
                <w:szCs w:val="18"/>
                <w:color w:val="0A0A0A"/>
              </w:rPr>
              <w:t>13.0</w:t>
            </w:r>
          </w:p>
        </w:tc>
        <w:tc>
          <w:tcPr>
            <w:tcW w:w="1480" w:type="dxa"/>
            <w:vAlign w:val="bottom"/>
          </w:tcPr>
          <w:p>
            <w:pPr>
              <w:jc w:val="right"/>
              <w:spacing w:after="0"/>
              <w:rPr>
                <w:sz w:val="20"/>
                <w:szCs w:val="20"/>
                <w:color w:val="auto"/>
              </w:rPr>
            </w:pPr>
            <w:r>
              <w:rPr>
                <w:rFonts w:ascii="Arial" w:cs="Arial" w:eastAsia="Arial" w:hAnsi="Arial"/>
                <w:sz w:val="18"/>
                <w:szCs w:val="18"/>
                <w:color w:val="0A0A0A"/>
              </w:rPr>
              <w:t>542.3</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tc>
        <w:tc>
          <w:tcPr>
            <w:tcW w:w="16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64.5</w:t>
            </w:r>
          </w:p>
        </w:tc>
        <w:tc>
          <w:tcPr>
            <w:tcW w:w="4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0A0A0A"/>
              </w:rPr>
              <w:t>10.5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514.5</w:t>
            </w:r>
          </w:p>
        </w:tc>
      </w:tr>
      <w:tr>
        <w:trPr>
          <w:trHeight w:val="314"/>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60" w:type="dxa"/>
            <w:vAlign w:val="bottom"/>
          </w:tcPr>
          <w:p>
            <w:pPr>
              <w:jc w:val="right"/>
              <w:ind w:right="232"/>
              <w:spacing w:after="0"/>
              <w:rPr>
                <w:sz w:val="20"/>
                <w:szCs w:val="20"/>
                <w:color w:val="auto"/>
              </w:rPr>
            </w:pPr>
            <w:r>
              <w:rPr>
                <w:rFonts w:ascii="Arial" w:cs="Arial" w:eastAsia="Arial" w:hAnsi="Arial"/>
                <w:sz w:val="18"/>
                <w:szCs w:val="18"/>
                <w:color w:val="0A0A0A"/>
              </w:rPr>
              <w:t>0.18</w:t>
            </w:r>
          </w:p>
        </w:tc>
        <w:tc>
          <w:tcPr>
            <w:tcW w:w="1480" w:type="dxa"/>
            <w:vAlign w:val="bottom"/>
          </w:tcPr>
          <w:p>
            <w:pPr>
              <w:jc w:val="right"/>
              <w:spacing w:after="0"/>
              <w:rPr>
                <w:sz w:val="20"/>
                <w:szCs w:val="20"/>
                <w:color w:val="auto"/>
              </w:rPr>
            </w:pPr>
            <w:r>
              <w:rPr>
                <w:rFonts w:ascii="Arial" w:cs="Arial" w:eastAsia="Arial" w:hAnsi="Arial"/>
                <w:sz w:val="18"/>
                <w:szCs w:val="18"/>
                <w:color w:val="0A0A0A"/>
              </w:rPr>
              <w:t>500.0</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"NM" stands for not meaningful</w:t>
      </w:r>
    </w:p>
    <w:p>
      <w:pPr>
        <w:spacing w:after="0" w:line="101" w:lineRule="exact"/>
        <w:rPr>
          <w:sz w:val="20"/>
          <w:szCs w:val="20"/>
          <w:color w:val="auto"/>
        </w:rPr>
      </w:pPr>
    </w:p>
    <w:p>
      <w:pPr>
        <w:jc w:val="both"/>
        <w:ind w:right="100"/>
        <w:spacing w:after="0" w:line="244" w:lineRule="auto"/>
        <w:rPr>
          <w:sz w:val="20"/>
          <w:szCs w:val="20"/>
          <w:color w:val="auto"/>
        </w:rPr>
      </w:pPr>
      <w:r>
        <w:rPr>
          <w:rFonts w:ascii="Arial" w:cs="Arial" w:eastAsia="Arial" w:hAnsi="Arial"/>
          <w:sz w:val="18"/>
          <w:szCs w:val="18"/>
          <w:color w:val="0A0A0A"/>
        </w:rPr>
        <w:t>For the quarter ended June 30, 2023, Sun Country reported net income of $ 21 million and income before income tax of $27 million, on $ 261 million of revenue. Adjusted income before income tax</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for the quarter was $31 million. GAAP operating income during the quarter was $36 million, while adjusted operating income</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was $40 million</w:t>
      </w:r>
      <w:r>
        <w:rPr>
          <w:rFonts w:ascii="Arial" w:cs="Arial" w:eastAsia="Arial" w:hAnsi="Arial"/>
          <w:sz w:val="23"/>
          <w:szCs w:val="23"/>
          <w:color w:val="0A0A0A"/>
          <w:vertAlign w:val="subscript"/>
        </w:rPr>
        <w: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p>
      <w:pPr>
        <w:ind w:right="20"/>
        <w:spacing w:after="0" w:line="216" w:lineRule="auto"/>
        <w:rPr>
          <w:sz w:val="20"/>
          <w:szCs w:val="20"/>
          <w:color w:val="auto"/>
        </w:rPr>
      </w:pPr>
      <w:r>
        <w:rPr>
          <w:rFonts w:ascii="Arial" w:cs="Arial" w:eastAsia="Arial" w:hAnsi="Arial"/>
          <w:sz w:val="18"/>
          <w:szCs w:val="18"/>
          <w:color w:val="0A0A0A"/>
        </w:rPr>
        <w:t>“During the quarter, revenue growth continued across our scheduled service, charter and cargo businesses, and the second quarter was our eighth consecutive quarter where year-over-year total revenue growth has exceeded total block hour growth,” said Dave Davis, President and Chief Financial Officer. “Scheduled service TRASM</w:t>
      </w:r>
      <w:r>
        <w:rPr>
          <w:rFonts w:ascii="Arial" w:cs="Arial" w:eastAsia="Arial" w:hAnsi="Arial"/>
          <w:sz w:val="23"/>
          <w:szCs w:val="23"/>
          <w:color w:val="0A0A0A"/>
          <w:vertAlign w:val="superscript"/>
        </w:rPr>
        <w:t>(3)</w:t>
      </w:r>
      <w:r>
        <w:rPr>
          <w:rFonts w:ascii="Arial" w:cs="Arial" w:eastAsia="Arial" w:hAnsi="Arial"/>
          <w:sz w:val="18"/>
          <w:szCs w:val="18"/>
          <w:color w:val="0A0A0A"/>
        </w:rPr>
        <w:t xml:space="preserve"> increased 10.3% while scheduled service ASMs increased 5.6% versus second quarter 2022. This contributed to net income of $21 million and an adjusted EBITDA margin</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of 23.9% for the quarter, and net income of $59 million and an adjusted EBITDA margin of 25.3% year to date. Total flown block hours during the second quarter across all business lines grew by 11.3% year over year. Adjusted CASM</w:t>
      </w:r>
      <w:r>
        <w:rPr>
          <w:rFonts w:ascii="Arial" w:cs="Arial" w:eastAsia="Arial" w:hAnsi="Arial"/>
          <w:sz w:val="23"/>
          <w:szCs w:val="23"/>
          <w:color w:val="0A0A0A"/>
          <w:vertAlign w:val="superscript"/>
        </w:rPr>
        <w:t>(4)</w:t>
      </w:r>
      <w:r>
        <w:rPr>
          <w:rFonts w:ascii="Arial" w:cs="Arial" w:eastAsia="Arial" w:hAnsi="Arial"/>
          <w:sz w:val="18"/>
          <w:szCs w:val="18"/>
          <w:color w:val="0A0A0A"/>
        </w:rPr>
        <w:t xml:space="preserve"> was 10.4% higher than second quarter 2022, which reflects declining year-over-year CASM growth versus the first quarter. We expect year-over-year Adjusted CASM</w:t>
      </w:r>
      <w:r>
        <w:rPr>
          <w:rFonts w:ascii="Arial" w:cs="Arial" w:eastAsia="Arial" w:hAnsi="Arial"/>
          <w:sz w:val="23"/>
          <w:szCs w:val="23"/>
          <w:color w:val="0A0A0A"/>
          <w:vertAlign w:val="superscript"/>
        </w:rPr>
        <w:t>(4)</w:t>
      </w:r>
      <w:r>
        <w:rPr>
          <w:rFonts w:ascii="Arial" w:cs="Arial" w:eastAsia="Arial" w:hAnsi="Arial"/>
          <w:sz w:val="18"/>
          <w:szCs w:val="18"/>
          <w:color w:val="0A0A0A"/>
        </w:rPr>
        <w:t xml:space="preserve"> trends to continue to improve in the quarters ahead.”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4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0A0A0A"/>
        </w:rPr>
      </w:pPr>
      <w:r>
        <w:rPr>
          <w:rFonts w:ascii="Arial" w:cs="Arial" w:eastAsia="Arial" w:hAnsi="Arial"/>
          <w:sz w:val="18"/>
          <w:szCs w:val="18"/>
          <w:color w:val="auto"/>
        </w:rPr>
        <w:t>Named the Best Low-Cost Airline in North America by Skytrax at the 2023 World Airline Awards.</w:t>
      </w:r>
    </w:p>
    <w:p>
      <w:pPr>
        <w:spacing w:after="0" w:line="21" w:lineRule="exact"/>
        <w:rPr>
          <w:rFonts w:ascii="Arial" w:cs="Arial" w:eastAsia="Arial" w:hAnsi="Arial"/>
          <w:sz w:val="18"/>
          <w:szCs w:val="18"/>
          <w:i w:val="1"/>
          <w:iCs w:val="1"/>
          <w:color w:val="0A0A0A"/>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0A0A0A"/>
        </w:rPr>
        <w:t>Added nonstop flying from Milwaukee to both Orlando and Phoenix, and increased flying between Milwaukee and Cancun over the busy winter travel period.</w:t>
      </w:r>
    </w:p>
    <w:p>
      <w:pPr>
        <w:ind w:left="660" w:right="780" w:hanging="328"/>
        <w:spacing w:after="0" w:line="291" w:lineRule="auto"/>
        <w:tabs>
          <w:tab w:leader="none" w:pos="660" w:val="left"/>
        </w:tabs>
        <w:numPr>
          <w:ilvl w:val="0"/>
          <w:numId w:val="2"/>
        </w:numPr>
        <w:rPr>
          <w:rFonts w:ascii="Arial" w:cs="Arial" w:eastAsia="Arial" w:hAnsi="Arial"/>
          <w:sz w:val="17"/>
          <w:szCs w:val="17"/>
          <w:i w:val="1"/>
          <w:iCs w:val="1"/>
          <w:color w:val="auto"/>
        </w:rPr>
      </w:pPr>
      <w:r>
        <w:rPr>
          <w:rFonts w:ascii="Arial" w:cs="Arial" w:eastAsia="Arial" w:hAnsi="Arial"/>
          <w:sz w:val="17"/>
          <w:szCs w:val="17"/>
          <w:color w:val="0A0A0A"/>
        </w:rPr>
        <w:t xml:space="preserve">The Company repurchased 416,751 shares at an average price of $17.82 </w:t>
      </w:r>
      <w:r>
        <w:rPr>
          <w:rFonts w:ascii="Arial" w:cs="Arial" w:eastAsia="Arial" w:hAnsi="Arial"/>
          <w:sz w:val="17"/>
          <w:szCs w:val="17"/>
          <w:color w:val="000000"/>
        </w:rPr>
        <w:t>during the second quarter</w:t>
      </w:r>
      <w:r>
        <w:rPr>
          <w:rFonts w:ascii="Arial" w:cs="Arial" w:eastAsia="Arial" w:hAnsi="Arial"/>
          <w:sz w:val="17"/>
          <w:szCs w:val="17"/>
          <w:color w:val="0A0A0A"/>
        </w:rPr>
        <w:t>. The board of directors approved an additional $30 million of buyback authority which brings the current repurchase authorization to $32.8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0A0A0A"/>
        </w:rPr>
        <w:t>System block hours flown during the second quarter of 2023 grew by 11.3% year-over-year. Cargo block hours grew in the second quarter by 10.4% year-over-year as Amazon flying was constrained last year due to scheduled maintenance events. Scheduled service block hours and charter block hours increased by 7.4% and 23.9%, respectively year-over-year on a 21.7% increase in average passenger aircraft.</w:t>
      </w:r>
    </w:p>
    <w:p>
      <w:pPr>
        <w:spacing w:after="0" w:line="18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0A0A0A"/>
        </w:rPr>
        <w:t>Charter block hours under long-term contracts comprised 87.2% of the total charter flying performed in the second quarter of 2023. As the Company continues to normalize its aircraft utilization, it intends to pursue more ad-hoc charter flying.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3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0A0A0A"/>
        </w:rPr>
        <w:t xml:space="preserve">For the second quarter of 2023, the Company reported total revenue of $261 million, which was 19.2% more than the second quarter of 2022. </w:t>
      </w:r>
      <w:r>
        <w:rPr>
          <w:rFonts w:ascii="Arial" w:cs="Arial" w:eastAsia="Arial" w:hAnsi="Arial"/>
          <w:sz w:val="18"/>
          <w:szCs w:val="18"/>
          <w:color w:val="000000"/>
        </w:rPr>
        <w:t>The Company’s scheduled service TRASM</w:t>
      </w:r>
      <w:r>
        <w:rPr>
          <w:rFonts w:ascii="Arial" w:cs="Arial" w:eastAsia="Arial" w:hAnsi="Arial"/>
          <w:sz w:val="23"/>
          <w:szCs w:val="23"/>
          <w:color w:val="000000"/>
          <w:vertAlign w:val="superscript"/>
        </w:rPr>
        <w:t>(3)</w:t>
      </w:r>
      <w:r>
        <w:rPr>
          <w:rFonts w:ascii="Arial" w:cs="Arial" w:eastAsia="Arial" w:hAnsi="Arial"/>
          <w:sz w:val="18"/>
          <w:szCs w:val="18"/>
          <w:color w:val="0A0A0A"/>
        </w:rPr>
        <w:t xml:space="preserve"> </w:t>
      </w:r>
      <w:r>
        <w:rPr>
          <w:rFonts w:ascii="Arial" w:cs="Arial" w:eastAsia="Arial" w:hAnsi="Arial"/>
          <w:sz w:val="18"/>
          <w:szCs w:val="18"/>
          <w:color w:val="000000"/>
        </w:rPr>
        <w:t>of 12.74 cents in the</w:t>
      </w:r>
      <w:r>
        <w:rPr>
          <w:rFonts w:ascii="Arial" w:cs="Arial" w:eastAsia="Arial" w:hAnsi="Arial"/>
          <w:sz w:val="18"/>
          <w:szCs w:val="18"/>
          <w:color w:val="0A0A0A"/>
        </w:rPr>
        <w:t xml:space="preserve"> second </w:t>
      </w:r>
      <w:r>
        <w:rPr>
          <w:rFonts w:ascii="Arial" w:cs="Arial" w:eastAsia="Arial" w:hAnsi="Arial"/>
          <w:sz w:val="18"/>
          <w:szCs w:val="18"/>
          <w:color w:val="000000"/>
        </w:rPr>
        <w:t>quarter of 2023 increased 10.3% year-over-year while</w:t>
      </w:r>
      <w:r>
        <w:rPr>
          <w:rFonts w:ascii="Arial" w:cs="Arial" w:eastAsia="Arial" w:hAnsi="Arial"/>
          <w:sz w:val="18"/>
          <w:szCs w:val="18"/>
          <w:color w:val="0A0A0A"/>
        </w:rPr>
        <w:t xml:space="preserve"> </w:t>
      </w:r>
      <w:r>
        <w:rPr>
          <w:rFonts w:ascii="Arial" w:cs="Arial" w:eastAsia="Arial" w:hAnsi="Arial"/>
          <w:sz w:val="18"/>
          <w:szCs w:val="18"/>
          <w:color w:val="000000"/>
        </w:rPr>
        <w:t xml:space="preserve">scheduled service ASMs also increased 5.6%. The second quarter 2023 average total fare of $177 exceeded </w:t>
      </w:r>
      <w:r>
        <w:rPr>
          <w:rFonts w:ascii="Arial" w:cs="Arial" w:eastAsia="Arial" w:hAnsi="Arial"/>
          <w:sz w:val="18"/>
          <w:szCs w:val="18"/>
          <w:color w:val="0A0A0A"/>
        </w:rPr>
        <w:t>second</w:t>
      </w:r>
      <w:r>
        <w:rPr>
          <w:rFonts w:ascii="Arial" w:cs="Arial" w:eastAsia="Arial" w:hAnsi="Arial"/>
          <w:sz w:val="18"/>
          <w:szCs w:val="18"/>
          <w:color w:val="000000"/>
        </w:rPr>
        <w:t xml:space="preserve"> quarter 2022 by 2.7% and included strong average ancillary revenue per passenger of $66. In the second quarter of 2023, the Company’s charter service revenue was $50 million, an increase of 16.1% year-over-year. On a rate basis, </w:t>
      </w:r>
      <w:r>
        <w:rPr>
          <w:rFonts w:ascii="Arial" w:cs="Arial" w:eastAsia="Arial" w:hAnsi="Arial"/>
          <w:sz w:val="18"/>
          <w:szCs w:val="18"/>
          <w:color w:val="0A0A0A"/>
        </w:rPr>
        <w:t>second</w:t>
      </w:r>
      <w:r>
        <w:rPr>
          <w:rFonts w:ascii="Arial" w:cs="Arial" w:eastAsia="Arial" w:hAnsi="Arial"/>
          <w:sz w:val="18"/>
          <w:szCs w:val="18"/>
          <w:color w:val="000000"/>
        </w:rPr>
        <w:t xml:space="preserve"> quarter 2023 charter revenue per block hour was 6.3% lower than the rate in the </w:t>
      </w:r>
      <w:r>
        <w:rPr>
          <w:rFonts w:ascii="Arial" w:cs="Arial" w:eastAsia="Arial" w:hAnsi="Arial"/>
          <w:sz w:val="18"/>
          <w:szCs w:val="18"/>
          <w:color w:val="0A0A0A"/>
        </w:rPr>
        <w:t>second</w:t>
      </w:r>
      <w:r>
        <w:rPr>
          <w:rFonts w:ascii="Arial" w:cs="Arial" w:eastAsia="Arial" w:hAnsi="Arial"/>
          <w:sz w:val="18"/>
          <w:szCs w:val="18"/>
          <w:color w:val="000000"/>
        </w:rPr>
        <w:t xml:space="preserve"> quarter of 2022 as lower fuel prices reduced the fuel reimbursement amount that we received from our charter customers.</w:t>
      </w:r>
    </w:p>
    <w:p>
      <w:pPr>
        <w:spacing w:after="0" w:line="20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In the second quarter of 2023, cargo revenue was $25 million, an 18.1% increase versus the second quarter of 2022. The variance was primarily driven by a 10.4% increase in block hours and the annual rate escalation which went into effect in mid-December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0A0A0A"/>
        </w:rPr>
        <w:t>For the second quarter of 2023, total GAAP operating expenses increased 4.5% year-over-year, primarily due to a 25.9% increase in</w:t>
      </w:r>
    </w:p>
    <w:p>
      <w:pPr>
        <w:spacing w:after="0" w:line="50"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0A0A0A"/>
        </w:rPr>
        <w:t xml:space="preserve">salaries, wages, and benefits. This increase was driven, in part, by a </w:t>
      </w:r>
      <w:r>
        <w:rPr>
          <w:rFonts w:ascii="Arial" w:cs="Arial" w:eastAsia="Arial" w:hAnsi="Arial"/>
          <w:sz w:val="18"/>
          <w:szCs w:val="18"/>
          <w:color w:val="000000"/>
        </w:rPr>
        <w:t>$3 million</w:t>
      </w:r>
      <w:r>
        <w:rPr>
          <w:rFonts w:ascii="Arial" w:cs="Arial" w:eastAsia="Arial" w:hAnsi="Arial"/>
          <w:sz w:val="18"/>
          <w:szCs w:val="18"/>
          <w:color w:val="0A0A0A"/>
        </w:rPr>
        <w:t xml:space="preserve"> one-time vesting of management stock options. Fuel expense decreased by 32.0% compared to second quarter 2022. Adjusted CASM</w:t>
      </w:r>
      <w:r>
        <w:rPr>
          <w:rFonts w:ascii="Arial" w:cs="Arial" w:eastAsia="Arial" w:hAnsi="Arial"/>
          <w:sz w:val="23"/>
          <w:szCs w:val="23"/>
          <w:color w:val="0A0A0A"/>
          <w:vertAlign w:val="superscript"/>
        </w:rPr>
        <w:t>(4)</w:t>
      </w:r>
      <w:r>
        <w:rPr>
          <w:rFonts w:ascii="Arial" w:cs="Arial" w:eastAsia="Arial" w:hAnsi="Arial"/>
          <w:sz w:val="18"/>
          <w:szCs w:val="18"/>
          <w:color w:val="0A0A0A"/>
        </w:rPr>
        <w:t xml:space="preserve"> in the second quarter increased 10.4% versus the second quarter 2022 due to a decrease in daily aircraft utilization of 9.5% for the same period.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05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$263 million on June 30, 2023, while the Company’s net debt</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$490 million.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December 31, 2022</w:t>
            </w:r>
          </w:p>
        </w:tc>
      </w:tr>
      <w:tr>
        <w:trPr>
          <w:trHeight w:val="222"/>
        </w:trPr>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center"/>
              <w:ind w:right="315"/>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7"/>
        </w:trPr>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4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4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December 31, 2022</w:t>
            </w:r>
          </w:p>
        </w:tc>
      </w:tr>
      <w:tr>
        <w:trPr>
          <w:trHeight w:val="222"/>
        </w:trPr>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center"/>
              <w:ind w:right="315"/>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7"/>
        </w:trPr>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4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4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629.7</w:t>
            </w:r>
          </w:p>
        </w:tc>
      </w:tr>
      <w:tr>
        <w:trPr>
          <w:trHeight w:val="27"/>
        </w:trPr>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7"/>
        </w:trPr>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3"/>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As of June 30, 2023, the Company had 43 aircraft in its passenger service fleet, operated 12 freighter aircraft in its cargo operation, and had five aircraft held for operating 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Third Quarter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Q3 2023</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Q3 2022</w:t>
            </w:r>
          </w:p>
        </w:tc>
      </w:tr>
      <w:tr>
        <w:trPr>
          <w:trHeight w:val="224"/>
        </w:trPr>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$240 to $250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8% to 13%</w:t>
            </w:r>
          </w:p>
        </w:tc>
      </w:tr>
      <w:tr>
        <w:trPr>
          <w:trHeight w:val="236"/>
        </w:trPr>
        <w:tc>
          <w:tcPr>
            <w:tcW w:w="520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$2.90</w:t>
            </w:r>
          </w:p>
        </w:tc>
        <w:tc>
          <w:tcPr>
            <w:tcW w:w="2340" w:type="dxa"/>
            <w:vAlign w:val="bottom"/>
          </w:tcPr>
          <w:p>
            <w:pPr>
              <w:jc w:val="center"/>
              <w:spacing w:after="0"/>
              <w:rPr>
                <w:sz w:val="20"/>
                <w:szCs w:val="20"/>
                <w:color w:val="auto"/>
              </w:rPr>
            </w:pPr>
            <w:r>
              <w:rPr>
                <w:rFonts w:ascii="Arial" w:cs="Arial" w:eastAsia="Arial" w:hAnsi="Arial"/>
                <w:sz w:val="18"/>
                <w:szCs w:val="18"/>
                <w:color w:val="0A0A0A"/>
                <w:w w:val="99"/>
              </w:rPr>
              <w:t>(26%)</w:t>
            </w:r>
          </w:p>
        </w:tc>
      </w:tr>
      <w:tr>
        <w:trPr>
          <w:trHeight w:val="236"/>
        </w:trPr>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8"/>
                <w:szCs w:val="18"/>
                <w:color w:val="0A0A0A"/>
                <w:w w:val="98"/>
              </w:rPr>
              <w:t>6% to 11%</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(1pp) to 4pp</w:t>
            </w:r>
          </w:p>
        </w:tc>
      </w:tr>
      <w:tr>
        <w:trPr>
          <w:trHeight w:val="230"/>
        </w:trPr>
        <w:tc>
          <w:tcPr>
            <w:tcW w:w="520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43"/>
        </w:trPr>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rPr>
              <w:t>34.5 to 35.5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8"/>
              </w:rPr>
              <w:t>13% to 16%</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3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0A0A0A"/>
        </w:rPr>
        <w:t xml:space="preserve">Sun Country Airlines will host a conference call to discuss its second quarter 2023 results at 8:30 a.m. Eastern Time on Friday, August 4, 2023.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rPr>
        <w:t>hour after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services, with flights throughout the United States and to destinations in Mexico, Central America, Canada, and the Caribbean.</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27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0A0A0A"/>
        </w:rPr>
        <w:t>End Notes</w:t>
      </w:r>
    </w:p>
    <w:p>
      <w:pPr>
        <w:spacing w:after="0" w:line="60"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1 -</w:t>
        <w:tab/>
        <w:t>Records begin in January 2017</w:t>
      </w:r>
    </w:p>
    <w:p>
      <w:pPr>
        <w:spacing w:after="0" w:line="63" w:lineRule="exact"/>
        <w:rPr>
          <w:sz w:val="20"/>
          <w:szCs w:val="20"/>
          <w:color w:val="auto"/>
        </w:rPr>
      </w:pPr>
    </w:p>
    <w:p>
      <w:pPr>
        <w:jc w:val="both"/>
        <w:ind w:left="500" w:hanging="474"/>
        <w:spacing w:after="0" w:line="244" w:lineRule="auto"/>
        <w:tabs>
          <w:tab w:leader="none" w:pos="480" w:val="left"/>
        </w:tabs>
        <w:rPr>
          <w:sz w:val="20"/>
          <w:szCs w:val="20"/>
          <w:color w:val="auto"/>
        </w:rPr>
      </w:pPr>
      <w:r>
        <w:rPr>
          <w:rFonts w:ascii="Arial" w:cs="Arial" w:eastAsia="Arial" w:hAnsi="Arial"/>
          <w:sz w:val="18"/>
          <w:szCs w:val="18"/>
          <w:color w:val="auto"/>
        </w:rPr>
        <w:t>2 -</w:t>
      </w:r>
      <w:r>
        <w:rPr>
          <w:rFonts w:ascii="Arial" w:cs="Arial" w:eastAsia="Arial" w:hAnsi="Arial"/>
          <w:sz w:val="18"/>
          <w:szCs w:val="18"/>
          <w:color w:val="0A0A0A"/>
        </w:rPr>
        <w:tab/>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spacing w:after="0" w:line="25" w:lineRule="exact"/>
        <w:rPr>
          <w:sz w:val="20"/>
          <w:szCs w:val="20"/>
          <w:color w:val="auto"/>
        </w:rPr>
      </w:pPr>
    </w:p>
    <w:p>
      <w:pPr>
        <w:jc w:val="both"/>
        <w:ind w:left="500" w:hanging="474"/>
        <w:spacing w:after="0" w:line="247" w:lineRule="auto"/>
        <w:tabs>
          <w:tab w:leader="none" w:pos="480" w:val="left"/>
        </w:tabs>
        <w:rPr>
          <w:sz w:val="20"/>
          <w:szCs w:val="20"/>
          <w:color w:val="auto"/>
        </w:rPr>
      </w:pPr>
      <w:r>
        <w:rPr>
          <w:rFonts w:ascii="Arial" w:cs="Arial" w:eastAsia="Arial" w:hAnsi="Arial"/>
          <w:sz w:val="18"/>
          <w:szCs w:val="18"/>
          <w:color w:val="auto"/>
        </w:rPr>
        <w:t>3 -</w:t>
        <w:tab/>
        <w:t>Scheduled Service TRASM includes Schedule Service revenue, Ancillary revenue, and ASM generating revenue classified within Other Revenue on the Condensed Consolidated Statement of Operations / Scheduled Service ASMs. Other Revenue includes rental revenue of approximately $6 million associated with five aircraft held for operating lease in the second quarter, which is not included</w:t>
      </w:r>
    </w:p>
    <w:p>
      <w:pPr>
        <w:sectPr>
          <w:pgSz w:w="11900" w:h="16838" w:orient="portrait"/>
          <w:cols w:equalWidth="0" w:num="1">
            <w:col w:w="11140"/>
          </w:cols>
          <w:pgMar w:left="320" w:top="1062" w:right="4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0A0A0A"/>
        </w:rPr>
        <w:t xml:space="preserve">Adjusted CASM is a non-GAAP measure derived from CASM by excluding fuel costs, non-cash management stock compensation expense, costs arising from its cargo operations, </w:t>
      </w:r>
      <w:r>
        <w:rPr>
          <w:rFonts w:ascii="Arial" w:cs="Arial" w:eastAsia="Arial" w:hAnsi="Arial"/>
          <w:sz w:val="18"/>
          <w:szCs w:val="18"/>
          <w:color w:val="000000"/>
        </w:rPr>
        <w:t>depreciation recognized on our aircraft and flight equipment held for operating lease,</w:t>
      </w:r>
      <w:r>
        <w:rPr>
          <w:rFonts w:ascii="Arial" w:cs="Arial" w:eastAsia="Arial" w:hAnsi="Arial"/>
          <w:sz w:val="18"/>
          <w:szCs w:val="18"/>
          <w:color w:val="0A0A0A"/>
        </w:rPr>
        <w:t xml:space="preserve"> certain commissions, and other costs of selling its vacations product from this measure. See table titled “</w:t>
      </w:r>
      <w:r>
        <w:rPr>
          <w:rFonts w:ascii="Arial" w:cs="Arial" w:eastAsia="Arial" w:hAnsi="Arial"/>
          <w:sz w:val="18"/>
          <w:szCs w:val="18"/>
          <w:color w:val="000000"/>
        </w:rPr>
        <w:t>Reconciliation of CASM to</w:t>
      </w:r>
      <w:r>
        <w:rPr>
          <w:rFonts w:ascii="Arial" w:cs="Arial" w:eastAsia="Arial" w:hAnsi="Arial"/>
          <w:sz w:val="18"/>
          <w:szCs w:val="18"/>
          <w:color w:val="0A0A0A"/>
        </w:rPr>
        <w:t xml:space="preserve"> </w:t>
      </w:r>
      <w:r>
        <w:rPr>
          <w:rFonts w:ascii="Arial" w:cs="Arial" w:eastAsia="Arial" w:hAnsi="Arial"/>
          <w:sz w:val="18"/>
          <w:szCs w:val="18"/>
          <w:color w:val="000000"/>
        </w:rPr>
        <w:t>Adjusted CASM”</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200" w:lineRule="exact"/>
        <w:rPr>
          <w:sz w:val="20"/>
          <w:szCs w:val="20"/>
          <w:color w:val="auto"/>
        </w:rPr>
      </w:pPr>
    </w:p>
    <w:p>
      <w:pPr>
        <w:sectPr>
          <w:pgSz w:w="11900" w:h="16838" w:orient="portrait"/>
          <w:cols w:equalWidth="0" w:num="2">
            <w:col w:w="240" w:space="260"/>
            <w:col w:w="10640"/>
          </w:cols>
          <w:pgMar w:left="320" w:top="1062" w:right="4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140"/>
          </w:cols>
          <w:pgMar w:left="320" w:top="1062"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9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062"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4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0A0A0A"/>
              </w:rPr>
              <w:t>Three Months Ended June 30,</w:t>
            </w: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1"/>
        </w:trPr>
        <w:tc>
          <w:tcPr>
            <w:tcW w:w="5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0A0A0A"/>
              </w:rPr>
              <w:t>% Change</w:t>
            </w:r>
          </w:p>
        </w:tc>
      </w:tr>
      <w:tr>
        <w:trPr>
          <w:trHeight w:val="236"/>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111,467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0A0A0A"/>
              </w:rPr>
              <w:t>$</w:t>
            </w:r>
          </w:p>
        </w:tc>
        <w:tc>
          <w:tcPr>
            <w:tcW w:w="1440" w:type="dxa"/>
            <w:vAlign w:val="bottom"/>
          </w:tcPr>
          <w:p>
            <w:pPr>
              <w:jc w:val="right"/>
              <w:spacing w:after="0"/>
              <w:rPr>
                <w:sz w:val="20"/>
                <w:szCs w:val="20"/>
                <w:color w:val="auto"/>
              </w:rPr>
            </w:pPr>
            <w:r>
              <w:rPr>
                <w:rFonts w:ascii="Arial" w:cs="Arial" w:eastAsia="Arial" w:hAnsi="Arial"/>
                <w:sz w:val="18"/>
                <w:szCs w:val="18"/>
                <w:color w:val="0A0A0A"/>
              </w:rPr>
              <w:t>108,412</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2.8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42,749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16.1</w:t>
            </w:r>
          </w:p>
        </w:tc>
      </w:tr>
      <w:tr>
        <w:trPr>
          <w:trHeight w:val="237"/>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66,773</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44,201</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51.1</w:t>
            </w:r>
          </w:p>
        </w:tc>
      </w:tr>
      <w:tr>
        <w:trPr>
          <w:trHeight w:val="229"/>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227,866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195,362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16.6</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0A0A0A"/>
              </w:rPr>
              <w:t>25,017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21,190</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18.1</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0A0A0A"/>
              </w:rPr>
              <w:t>8,203</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2,515</w:t>
            </w: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226.2</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261,086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219,067</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19.2</w:t>
            </w:r>
          </w:p>
        </w:tc>
      </w:tr>
      <w:tr>
        <w:trPr>
          <w:trHeight w:val="250"/>
        </w:trPr>
        <w:tc>
          <w:tcPr>
            <w:tcW w:w="53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80" w:type="dxa"/>
            <w:vAlign w:val="bottom"/>
            <w:tcBorders>
              <w:top w:val="single" w:sz="8" w:color="auto"/>
            </w:tcBorders>
            <w:shd w:val="clear" w:color="auto" w:fill="CCEEFF"/>
          </w:tcPr>
          <w:p>
            <w:pPr>
              <w:spacing w:after="0"/>
              <w:rPr>
                <w:sz w:val="21"/>
                <w:szCs w:val="21"/>
                <w:color w:val="auto"/>
              </w:rPr>
            </w:pPr>
          </w:p>
        </w:tc>
      </w:tr>
      <w:tr>
        <w:trPr>
          <w:trHeight w:val="243"/>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52,360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76,947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(32.0)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75,919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60,298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2,211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15,942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12,782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8,507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7,881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6"/>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22,355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16,854</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32.6</w:t>
            </w:r>
          </w:p>
        </w:tc>
      </w:tr>
      <w:tr>
        <w:trPr>
          <w:trHeight w:val="23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11,311</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8,212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12,962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9,496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36.5</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25,364</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21,017</w:t>
            </w: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225,499</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215,698</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4.5</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3,369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956.3</w:t>
            </w:r>
          </w:p>
        </w:tc>
      </w:tr>
      <w:tr>
        <w:trPr>
          <w:trHeight w:val="209"/>
        </w:trPr>
        <w:tc>
          <w:tcPr>
            <w:tcW w:w="53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6"/>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532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378.4</w:t>
            </w:r>
          </w:p>
        </w:tc>
      </w:tr>
      <w:tr>
        <w:trPr>
          <w:trHeight w:val="23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(7,042)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(1,702)</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36"/>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(8,212)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189"/>
        </w:trPr>
        <w:tc>
          <w:tcPr>
            <w:tcW w:w="5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(Loss)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26,750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6,132</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(921)</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5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(Loss)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20,618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(Loss) per share to common stockholders: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0A0A0A"/>
              </w:rPr>
              <w:t>$</w:t>
            </w:r>
          </w:p>
        </w:tc>
        <w:tc>
          <w:tcPr>
            <w:tcW w:w="1440" w:type="dxa"/>
            <w:vAlign w:val="bottom"/>
          </w:tcPr>
          <w:p>
            <w:pPr>
              <w:jc w:val="right"/>
              <w:spacing w:after="0"/>
              <w:rPr>
                <w:sz w:val="20"/>
                <w:szCs w:val="20"/>
                <w:color w:val="auto"/>
              </w:rPr>
            </w:pPr>
            <w:r>
              <w:rPr>
                <w:rFonts w:ascii="Arial" w:cs="Arial" w:eastAsia="Arial" w:hAnsi="Arial"/>
                <w:sz w:val="18"/>
                <w:szCs w:val="18"/>
                <w:color w:val="0A0A0A"/>
              </w:rPr>
              <w:t>(0.07)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0A0A0A"/>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(0.07)</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56,084,759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58,060,716</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59,712,048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58,060,716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332" w:right="339" w:bottom="1440"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40" w:type="dxa"/>
            <w:vAlign w:val="bottom"/>
            <w:gridSpan w:val="4"/>
          </w:tcPr>
          <w:p>
            <w:pPr>
              <w:jc w:val="right"/>
              <w:ind w:right="931"/>
              <w:spacing w:after="0"/>
              <w:rPr>
                <w:sz w:val="20"/>
                <w:szCs w:val="20"/>
                <w:color w:val="auto"/>
              </w:rPr>
            </w:pPr>
            <w:r>
              <w:rPr>
                <w:rFonts w:ascii="Arial" w:cs="Arial" w:eastAsia="Arial" w:hAnsi="Arial"/>
                <w:sz w:val="14"/>
                <w:szCs w:val="14"/>
                <w:b w:val="1"/>
                <w:bCs w:val="1"/>
                <w:color w:val="0A0A0A"/>
              </w:rPr>
              <w:t>Six Months Ended June 30,</w:t>
            </w: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1"/>
        </w:trPr>
        <w:tc>
          <w:tcPr>
            <w:tcW w:w="5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2022</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0A0A0A"/>
              </w:rPr>
              <w:t>% Change</w:t>
            </w:r>
          </w:p>
        </w:tc>
      </w:tr>
      <w:tr>
        <w:trPr>
          <w:trHeight w:val="236"/>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264,124</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0A0A0A"/>
              </w:rPr>
              <w:t>$</w:t>
            </w:r>
          </w:p>
        </w:tc>
        <w:tc>
          <w:tcPr>
            <w:tcW w:w="1440" w:type="dxa"/>
            <w:vAlign w:val="bottom"/>
          </w:tcPr>
          <w:p>
            <w:pPr>
              <w:jc w:val="right"/>
              <w:spacing w:after="0"/>
              <w:rPr>
                <w:sz w:val="20"/>
                <w:szCs w:val="20"/>
                <w:color w:val="auto"/>
              </w:rPr>
            </w:pPr>
            <w:r>
              <w:rPr>
                <w:rFonts w:ascii="Arial" w:cs="Arial" w:eastAsia="Arial" w:hAnsi="Arial"/>
                <w:sz w:val="18"/>
                <w:szCs w:val="18"/>
                <w:color w:val="0A0A0A"/>
              </w:rPr>
              <w:t>232,479</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13.6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 Service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75,628</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26.7</w:t>
            </w:r>
          </w:p>
        </w:tc>
      </w:tr>
      <w:tr>
        <w:trPr>
          <w:trHeight w:val="237"/>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135,198</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89,287</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51.4</w:t>
            </w:r>
          </w:p>
        </w:tc>
      </w:tr>
      <w:tr>
        <w:trPr>
          <w:trHeight w:val="229"/>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397,394</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24.6</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48,378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42,243</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14.5</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11,688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5,954</w:t>
            </w: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96.3</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555,201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445,591</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24.6</w:t>
            </w:r>
          </w:p>
        </w:tc>
      </w:tr>
      <w:tr>
        <w:trPr>
          <w:trHeight w:val="250"/>
        </w:trPr>
        <w:tc>
          <w:tcPr>
            <w:tcW w:w="53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80" w:type="dxa"/>
            <w:vAlign w:val="bottom"/>
            <w:tcBorders>
              <w:top w:val="single" w:sz="8" w:color="auto"/>
            </w:tcBorders>
            <w:shd w:val="clear" w:color="auto" w:fill="CCEEFF"/>
          </w:tcPr>
          <w:p>
            <w:pPr>
              <w:spacing w:after="0"/>
              <w:rPr>
                <w:sz w:val="21"/>
                <w:szCs w:val="21"/>
                <w:color w:val="auto"/>
              </w:rPr>
            </w:pPr>
          </w:p>
        </w:tc>
      </w:tr>
      <w:tr>
        <w:trPr>
          <w:trHeight w:val="243"/>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141,492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(11.9)</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151,349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119,915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5,397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24,777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16,509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6"/>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41,815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32,182</w:t>
            </w:r>
          </w:p>
        </w:tc>
        <w:tc>
          <w:tcPr>
            <w:tcW w:w="1980" w:type="dxa"/>
            <w:vAlign w:val="bottom"/>
            <w:gridSpan w:val="2"/>
          </w:tcPr>
          <w:p>
            <w:pPr>
              <w:jc w:val="right"/>
              <w:spacing w:after="0"/>
              <w:rPr>
                <w:sz w:val="20"/>
                <w:szCs w:val="20"/>
                <w:color w:val="auto"/>
              </w:rPr>
            </w:pPr>
            <w:r>
              <w:rPr>
                <w:rFonts w:ascii="Arial" w:cs="Arial" w:eastAsia="Arial" w:hAnsi="Arial"/>
                <w:sz w:val="18"/>
                <w:szCs w:val="18"/>
                <w:color w:val="0A0A0A"/>
              </w:rPr>
              <w:t>29.9</w:t>
            </w:r>
          </w:p>
        </w:tc>
      </w:tr>
      <w:tr>
        <w:trPr>
          <w:trHeight w:val="23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16,170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19,782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44,166</w:t>
            </w: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5360" w:type="dxa"/>
            <w:vAlign w:val="bottom"/>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463,831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420,390</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10.3</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25,201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A0A0A"/>
              </w:rPr>
              <w:t>262.6</w:t>
            </w:r>
          </w:p>
        </w:tc>
      </w:tr>
      <w:tr>
        <w:trPr>
          <w:trHeight w:val="209"/>
        </w:trPr>
        <w:tc>
          <w:tcPr>
            <w:tcW w:w="53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6"/>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556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850.7</w:t>
            </w:r>
          </w:p>
        </w:tc>
      </w:tr>
      <w:tr>
        <w:trPr>
          <w:trHeight w:val="23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(15,604)</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(8,577)</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r>
      <w:tr>
        <w:trPr>
          <w:trHeight w:val="236"/>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(23,625)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189"/>
        </w:trPr>
        <w:tc>
          <w:tcPr>
            <w:tcW w:w="5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1,861</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w:t>
            </w:r>
          </w:p>
        </w:tc>
      </w:tr>
      <w:tr>
        <w:trPr>
          <w:trHeight w:val="25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(Loss)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(Loss)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0A0A0A"/>
              </w:rPr>
              <w:t>$</w:t>
            </w:r>
          </w:p>
        </w:tc>
        <w:tc>
          <w:tcPr>
            <w:tcW w:w="1440" w:type="dxa"/>
            <w:vAlign w:val="bottom"/>
          </w:tcPr>
          <w:p>
            <w:pPr>
              <w:jc w:val="right"/>
              <w:spacing w:after="0"/>
              <w:rPr>
                <w:sz w:val="20"/>
                <w:szCs w:val="20"/>
                <w:color w:val="auto"/>
              </w:rPr>
            </w:pPr>
            <w:r>
              <w:rPr>
                <w:rFonts w:ascii="Arial" w:cs="Arial" w:eastAsia="Arial" w:hAnsi="Arial"/>
                <w:sz w:val="18"/>
                <w:szCs w:val="18"/>
                <w:color w:val="0A0A0A"/>
              </w:rPr>
              <w:t>0.00</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0A0A0A"/>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0.00</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57,984,608</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59,630,008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57,984,608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40"/>
          </w:cols>
          <w:pgMar w:left="320" w:top="1332"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KEY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29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key operating statistics and metrics for the three and six months ended June 30, 2023 and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0" w:type="dxa"/>
            <w:vAlign w:val="bottom"/>
            <w:gridSpan w:val="3"/>
          </w:tcPr>
          <w:p>
            <w:pPr>
              <w:jc w:val="right"/>
              <w:ind w:right="1031"/>
              <w:spacing w:after="0"/>
              <w:rPr>
                <w:sz w:val="20"/>
                <w:szCs w:val="20"/>
                <w:color w:val="auto"/>
              </w:rPr>
            </w:pPr>
            <w:r>
              <w:rPr>
                <w:rFonts w:ascii="Arial" w:cs="Arial" w:eastAsia="Arial" w:hAnsi="Arial"/>
                <w:sz w:val="14"/>
                <w:szCs w:val="14"/>
                <w:b w:val="1"/>
                <w:bCs w:val="1"/>
                <w:color w:val="0A0A0A"/>
              </w:rPr>
              <w:t>Three Months Ended June 30,</w:t>
            </w:r>
          </w:p>
        </w:tc>
        <w:tc>
          <w:tcPr>
            <w:tcW w:w="1660" w:type="dxa"/>
            <w:vAlign w:val="bottom"/>
          </w:tcPr>
          <w:p>
            <w:pPr>
              <w:spacing w:after="0"/>
              <w:rPr>
                <w:sz w:val="17"/>
                <w:szCs w:val="17"/>
                <w:color w:val="auto"/>
              </w:rPr>
            </w:pPr>
          </w:p>
        </w:tc>
      </w:tr>
      <w:tr>
        <w:trPr>
          <w:trHeight w:val="203"/>
        </w:trPr>
        <w:tc>
          <w:tcPr>
            <w:tcW w:w="4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31"/>
              <w:spacing w:after="0"/>
              <w:rPr>
                <w:sz w:val="20"/>
                <w:szCs w:val="20"/>
                <w:color w:val="auto"/>
              </w:rPr>
            </w:pPr>
            <w:r>
              <w:rPr>
                <w:rFonts w:ascii="Arial" w:cs="Arial" w:eastAsia="Arial" w:hAnsi="Arial"/>
                <w:sz w:val="14"/>
                <w:szCs w:val="14"/>
                <w:b w:val="1"/>
                <w:bCs w:val="1"/>
                <w:color w:val="auto"/>
              </w:rPr>
              <w:t>2022</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1,216,261</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1,126,030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8.0</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1,417,778</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1,343,116</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85.8%</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83.8%</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1,005,126</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884,088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6,401</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5,674</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12.8</w:t>
            </w:r>
          </w:p>
        </w:tc>
      </w:tr>
      <w:tr>
        <w:trPr>
          <w:trHeight w:val="23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18,205</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r>
      <w:tr>
        <w:trPr>
          <w:trHeight w:val="230"/>
        </w:trPr>
        <w:tc>
          <w:tcPr>
            <w:tcW w:w="470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12.74</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11.55</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10.3</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122.63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66.43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50.00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32.9</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172.63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15,128</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14,187</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6.6</w:t>
            </w:r>
          </w:p>
        </w:tc>
      </w:tr>
      <w:tr>
        <w:trPr>
          <w:trHeight w:val="277"/>
        </w:trPr>
        <w:tc>
          <w:tcPr>
            <w:tcW w:w="47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2,235</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5,666</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4,573</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23.9</w:t>
            </w:r>
          </w:p>
        </w:tc>
      </w:tr>
      <w:tr>
        <w:trPr>
          <w:trHeight w:val="23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337,319</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278,804</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4,023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3,271</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23.0</w:t>
            </w:r>
          </w:p>
        </w:tc>
      </w:tr>
      <w:tr>
        <w:trPr>
          <w:trHeight w:val="270"/>
        </w:trPr>
        <w:tc>
          <w:tcPr>
            <w:tcW w:w="4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2,693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8,570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7,762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10.4</w:t>
            </w:r>
          </w:p>
        </w:tc>
      </w:tr>
      <w:tr>
        <w:trPr>
          <w:trHeight w:val="270"/>
        </w:trPr>
        <w:tc>
          <w:tcPr>
            <w:tcW w:w="4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34.5</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41</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Aircraft held for operating lease – end of period</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NM</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1,780,340</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1,632,501</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12,495</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10,687</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16.9</w:t>
            </w:r>
          </w:p>
        </w:tc>
      </w:tr>
      <w:tr>
        <w:trPr>
          <w:trHeight w:val="23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34,230</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30,755</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7.4</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(9.5)</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1,120</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r>
      <w:tr>
        <w:trPr>
          <w:trHeight w:val="270"/>
        </w:trPr>
        <w:tc>
          <w:tcPr>
            <w:tcW w:w="4700" w:type="dxa"/>
            <w:vAlign w:val="bottom"/>
          </w:tcPr>
          <w:p>
            <w:pPr>
              <w:ind w:left="80"/>
              <w:spacing w:after="0"/>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12.93</w:t>
            </w:r>
          </w:p>
        </w:tc>
        <w:tc>
          <w:tcPr>
            <w:tcW w:w="520" w:type="dxa"/>
            <w:vAlign w:val="bottom"/>
          </w:tcPr>
          <w:p>
            <w:pPr>
              <w:spacing w:after="0"/>
              <w:rPr>
                <w:sz w:val="23"/>
                <w:szCs w:val="23"/>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12.12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6.7</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13.21</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7.88</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7.14</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10.4</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17,568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4.39</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(38.3)</w:t>
            </w:r>
          </w:p>
        </w:tc>
      </w:tr>
      <w:tr>
        <w:trPr>
          <w:trHeight w:val="23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2,282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40"/>
          </w:cols>
          <w:pgMar w:left="320" w:top="1318" w:right="339" w:bottom="1440" w:gutter="0" w:footer="0" w:header="0"/>
        </w:sectPr>
      </w:pPr>
    </w:p>
    <w:bookmarkStart w:id="11" w:name="page12"/>
    <w:bookmarkEnd w:id="11"/>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0" w:type="dxa"/>
            <w:vAlign w:val="bottom"/>
            <w:gridSpan w:val="3"/>
          </w:tcPr>
          <w:p>
            <w:pPr>
              <w:jc w:val="right"/>
              <w:ind w:right="1131"/>
              <w:spacing w:after="0"/>
              <w:rPr>
                <w:sz w:val="20"/>
                <w:szCs w:val="20"/>
                <w:color w:val="auto"/>
              </w:rPr>
            </w:pPr>
            <w:r>
              <w:rPr>
                <w:rFonts w:ascii="Arial" w:cs="Arial" w:eastAsia="Arial" w:hAnsi="Arial"/>
                <w:sz w:val="14"/>
                <w:szCs w:val="14"/>
                <w:b w:val="1"/>
                <w:bCs w:val="1"/>
                <w:color w:val="0A0A0A"/>
              </w:rPr>
              <w:t>Six Months Ended June 30,</w:t>
            </w:r>
          </w:p>
        </w:tc>
        <w:tc>
          <w:tcPr>
            <w:tcW w:w="1660" w:type="dxa"/>
            <w:vAlign w:val="bottom"/>
          </w:tcPr>
          <w:p>
            <w:pPr>
              <w:spacing w:after="0"/>
              <w:rPr>
                <w:sz w:val="17"/>
                <w:szCs w:val="17"/>
                <w:color w:val="auto"/>
              </w:rPr>
            </w:pPr>
          </w:p>
        </w:tc>
      </w:tr>
      <w:tr>
        <w:trPr>
          <w:trHeight w:val="203"/>
        </w:trPr>
        <w:tc>
          <w:tcPr>
            <w:tcW w:w="4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31"/>
              <w:spacing w:after="0"/>
              <w:rPr>
                <w:sz w:val="20"/>
                <w:szCs w:val="20"/>
                <w:color w:val="auto"/>
              </w:rPr>
            </w:pPr>
            <w:r>
              <w:rPr>
                <w:rFonts w:ascii="Arial" w:cs="Arial" w:eastAsia="Arial" w:hAnsi="Arial"/>
                <w:sz w:val="14"/>
                <w:szCs w:val="14"/>
                <w:b w:val="1"/>
                <w:bCs w:val="1"/>
                <w:color w:val="auto"/>
              </w:rPr>
              <w:t>2022</w:t>
            </w:r>
          </w:p>
        </w:tc>
        <w:tc>
          <w:tcPr>
            <w:tcW w:w="16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2,648,392</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2,464,490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7.5</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3,043,506</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3,027,648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81.4%</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5.6</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2,003,364</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1,806,740</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12,578</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11,901</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5.7</w:t>
            </w:r>
          </w:p>
        </w:tc>
      </w:tr>
      <w:tr>
        <w:trPr>
          <w:trHeight w:val="23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41,503</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40,638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r>
      <w:tr>
        <w:trPr>
          <w:trHeight w:val="230"/>
        </w:trPr>
        <w:tc>
          <w:tcPr>
            <w:tcW w:w="470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13.31</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10.82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23.0</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128.67</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67.49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49.42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36.6</w:t>
            </w: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178.09</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32,511</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31,587</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2.9</w:t>
            </w:r>
          </w:p>
        </w:tc>
      </w:tr>
      <w:tr>
        <w:trPr>
          <w:trHeight w:val="277"/>
        </w:trPr>
        <w:tc>
          <w:tcPr>
            <w:tcW w:w="47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3,855</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10,720</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8,377</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28.0</w:t>
            </w:r>
          </w:p>
        </w:tc>
      </w:tr>
      <w:tr>
        <w:trPr>
          <w:trHeight w:val="23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639,231</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514,509</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7,550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6,029</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25.2</w:t>
            </w:r>
          </w:p>
        </w:tc>
      </w:tr>
      <w:tr>
        <w:trPr>
          <w:trHeight w:val="270"/>
        </w:trPr>
        <w:tc>
          <w:tcPr>
            <w:tcW w:w="4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29"/>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5,267</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16,346</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15,152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7.9</w:t>
            </w:r>
          </w:p>
        </w:tc>
      </w:tr>
      <w:tr>
        <w:trPr>
          <w:trHeight w:val="270"/>
        </w:trPr>
        <w:tc>
          <w:tcPr>
            <w:tcW w:w="47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470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34.3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41</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Aircraft held for operating lease – end of period</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NM</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3,725,341</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3,560,651</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r>
      <w:tr>
        <w:trPr>
          <w:trHeight w:val="236"/>
        </w:trPr>
        <w:tc>
          <w:tcPr>
            <w:tcW w:w="470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24,167</w:t>
            </w:r>
          </w:p>
        </w:tc>
        <w:tc>
          <w:tcPr>
            <w:tcW w:w="520" w:type="dxa"/>
            <w:vAlign w:val="bottom"/>
          </w:tcPr>
          <w:p>
            <w:pPr>
              <w:spacing w:after="0"/>
              <w:rPr>
                <w:sz w:val="20"/>
                <w:szCs w:val="20"/>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21,174</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14.1</w:t>
            </w:r>
          </w:p>
        </w:tc>
      </w:tr>
      <w:tr>
        <w:trPr>
          <w:trHeight w:val="236"/>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69,313</w:t>
            </w: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64,560</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r>
      <w:tr>
        <w:trPr>
          <w:trHeight w:val="229"/>
        </w:trPr>
        <w:tc>
          <w:tcPr>
            <w:tcW w:w="470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8.0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(12.5)</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1,227</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r>
      <w:tr>
        <w:trPr>
          <w:trHeight w:val="270"/>
        </w:trPr>
        <w:tc>
          <w:tcPr>
            <w:tcW w:w="4700" w:type="dxa"/>
            <w:vAlign w:val="bottom"/>
          </w:tcPr>
          <w:p>
            <w:pPr>
              <w:ind w:left="80"/>
              <w:spacing w:after="0"/>
              <w:rPr>
                <w:sz w:val="20"/>
                <w:szCs w:val="20"/>
                <w:color w:val="auto"/>
              </w:rPr>
            </w:pPr>
            <w:r>
              <w:rPr>
                <w:rFonts w:ascii="Arial" w:cs="Arial" w:eastAsia="Arial" w:hAnsi="Arial"/>
                <w:sz w:val="18"/>
                <w:szCs w:val="18"/>
                <w:color w:val="auto"/>
              </w:rPr>
              <w:t>Total revenue per ASM (TRASM)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13.45</w:t>
            </w:r>
          </w:p>
        </w:tc>
        <w:tc>
          <w:tcPr>
            <w:tcW w:w="520" w:type="dxa"/>
            <w:vAlign w:val="bottom"/>
          </w:tcPr>
          <w:p>
            <w:pPr>
              <w:spacing w:after="0"/>
              <w:rPr>
                <w:sz w:val="23"/>
                <w:szCs w:val="23"/>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11.33</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18.7</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11.81</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Adjusted CASM - cents</w:t>
            </w:r>
          </w:p>
        </w:tc>
        <w:tc>
          <w:tcPr>
            <w:tcW w:w="1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7.47</w:t>
            </w:r>
          </w:p>
        </w:tc>
        <w:tc>
          <w:tcPr>
            <w:tcW w:w="520" w:type="dxa"/>
            <w:vAlign w:val="bottom"/>
          </w:tcPr>
          <w:p>
            <w:pPr>
              <w:spacing w:after="0"/>
              <w:rPr>
                <w:sz w:val="19"/>
                <w:szCs w:val="19"/>
                <w:color w:val="auto"/>
              </w:rPr>
            </w:pP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6.64</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12.5</w:t>
            </w:r>
          </w:p>
        </w:tc>
      </w:tr>
      <w:tr>
        <w:trPr>
          <w:trHeight w:val="243"/>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2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40,472</w:t>
            </w: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37,813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r>
      <w:tr>
        <w:trPr>
          <w:trHeight w:val="230"/>
        </w:trPr>
        <w:tc>
          <w:tcPr>
            <w:tcW w:w="470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1"/>
              <w:spacing w:after="0"/>
              <w:rPr>
                <w:sz w:val="20"/>
                <w:szCs w:val="20"/>
                <w:color w:val="auto"/>
              </w:rPr>
            </w:pPr>
            <w:r>
              <w:rPr>
                <w:rFonts w:ascii="Arial" w:cs="Arial" w:eastAsia="Arial" w:hAnsi="Arial"/>
                <w:sz w:val="18"/>
                <w:szCs w:val="18"/>
                <w:color w:val="auto"/>
              </w:rPr>
              <w:t>3.76</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(17.6)</w:t>
            </w:r>
          </w:p>
        </w:tc>
      </w:tr>
      <w:tr>
        <w:trPr>
          <w:trHeight w:val="230"/>
        </w:trPr>
        <w:tc>
          <w:tcPr>
            <w:tcW w:w="4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2,282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 See note 3 in end notes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2 – See note 4 in end notes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40"/>
          </w:cols>
          <w:pgMar w:left="320" w:top="1440"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47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0A0A0A"/>
              </w:rPr>
              <w:t>Other Current Assets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36"/>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785.7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5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524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1,524.4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5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158.0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36"/>
        </w:trPr>
        <w:tc>
          <w:tcPr>
            <w:tcW w:w="524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(28.8)</w:t>
            </w:r>
          </w:p>
        </w:tc>
      </w:tr>
      <w:tr>
        <w:trPr>
          <w:trHeight w:val="236"/>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 net</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254.0</w:t>
            </w:r>
          </w:p>
        </w:tc>
      </w:tr>
      <w:tr>
        <w:trPr>
          <w:trHeight w:val="243"/>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524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377.1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6"/>
        </w:trPr>
        <w:tc>
          <w:tcPr>
            <w:tcW w:w="524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36"/>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 net</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36"/>
        </w:trPr>
        <w:tc>
          <w:tcPr>
            <w:tcW w:w="524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1,031.7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5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51"/>
        </w:trPr>
        <w:tc>
          <w:tcPr>
            <w:tcW w:w="524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540.8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492.7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40"/>
          </w:cols>
          <w:pgMar w:left="320" w:top="133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SUMMARY CASH FLOW</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Net Cash Provided by Operating Activities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Purchases of Property &amp; Equipment</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Net Cash Used in Investing Activities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63"/>
        </w:trPr>
        <w:tc>
          <w:tcPr>
            <w:tcW w:w="5360" w:type="dxa"/>
            <w:vAlign w:val="bottom"/>
            <w:tcBorders>
              <w:top w:val="single" w:sz="8" w:color="CCEEFF"/>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Common Stock Repurchases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Proceeds from Borrowing</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Repayment of Finance Lease Obligations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Repayment of Borrowings</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0A0A0A"/>
              </w:rPr>
              <w:t>Net Cash Provided by Financing Activities</w:t>
            </w: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Net Decrease in Cash</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190"/>
        </w:trPr>
        <w:tc>
          <w:tcPr>
            <w:tcW w:w="53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0A0A0A"/>
              </w:rPr>
              <w:t>Cash, Cash Equivalents and Restricted Cash – Beginning of the</w:t>
            </w:r>
          </w:p>
        </w:tc>
        <w:tc>
          <w:tcPr>
            <w:tcW w:w="46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2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34"/>
        </w:trPr>
        <w:tc>
          <w:tcPr>
            <w:tcW w:w="53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0A0A0A"/>
              </w:rPr>
              <w:t>Period</w:t>
            </w:r>
          </w:p>
        </w:tc>
        <w:tc>
          <w:tcPr>
            <w:tcW w:w="46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20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360" w:type="dxa"/>
            <w:vAlign w:val="bottom"/>
            <w:vMerge w:val="continue"/>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00"/>
              <w:spacing w:after="0"/>
              <w:rPr>
                <w:sz w:val="20"/>
                <w:szCs w:val="20"/>
                <w:color w:val="auto"/>
              </w:rPr>
            </w:pPr>
            <w:r>
              <w:rPr>
                <w:rFonts w:ascii="Arial" w:cs="Arial" w:eastAsia="Arial" w:hAnsi="Arial"/>
                <w:sz w:val="18"/>
                <w:szCs w:val="18"/>
                <w:color w:val="0A0A0A"/>
              </w:rPr>
              <w:t>Cash, Cash Equivalents and Restricted Cash –</w:t>
            </w:r>
          </w:p>
        </w:tc>
        <w:tc>
          <w:tcPr>
            <w:tcW w:w="460" w:type="dxa"/>
            <w:vAlign w:val="bottom"/>
          </w:tcPr>
          <w:p>
            <w:pPr>
              <w:jc w:val="right"/>
              <w:ind w:right="250"/>
              <w:spacing w:after="0" w:line="175"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175" w:lineRule="exact"/>
              <w:rPr>
                <w:sz w:val="20"/>
                <w:szCs w:val="20"/>
                <w:color w:val="auto"/>
              </w:rPr>
            </w:pPr>
            <w:r>
              <w:rPr>
                <w:rFonts w:ascii="Arial" w:cs="Arial" w:eastAsia="Arial" w:hAnsi="Arial"/>
                <w:sz w:val="18"/>
                <w:szCs w:val="18"/>
                <w:color w:val="auto"/>
              </w:rPr>
              <w:t>94.2</w:t>
            </w:r>
          </w:p>
        </w:tc>
        <w:tc>
          <w:tcPr>
            <w:tcW w:w="560" w:type="dxa"/>
            <w:vAlign w:val="bottom"/>
            <w:gridSpan w:val="2"/>
          </w:tcPr>
          <w:p>
            <w:pPr>
              <w:jc w:val="right"/>
              <w:ind w:right="320"/>
              <w:spacing w:after="0" w:line="175"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75" w:lineRule="exact"/>
              <w:rPr>
                <w:sz w:val="20"/>
                <w:szCs w:val="20"/>
                <w:color w:val="auto"/>
              </w:rPr>
            </w:pPr>
            <w:r>
              <w:rPr>
                <w:rFonts w:ascii="Arial" w:cs="Arial" w:eastAsia="Arial" w:hAnsi="Arial"/>
                <w:sz w:val="18"/>
                <w:szCs w:val="18"/>
                <w:color w:val="auto"/>
              </w:rPr>
              <w:t>217.0</w:t>
            </w:r>
          </w:p>
        </w:tc>
        <w:tc>
          <w:tcPr>
            <w:tcW w:w="2000" w:type="dxa"/>
            <w:vAlign w:val="bottom"/>
            <w:gridSpan w:val="2"/>
          </w:tcPr>
          <w:p>
            <w:pPr>
              <w:jc w:val="right"/>
              <w:spacing w:after="0" w:line="175" w:lineRule="exact"/>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ind w:left="180"/>
        <w:spacing w:after="0" w:line="203" w:lineRule="auto"/>
        <w:rPr>
          <w:sz w:val="20"/>
          <w:szCs w:val="20"/>
          <w:color w:val="auto"/>
        </w:rPr>
      </w:pPr>
      <w:r>
        <w:rPr>
          <w:rFonts w:ascii="Arial" w:cs="Arial" w:eastAsia="Arial" w:hAnsi="Arial"/>
          <w:sz w:val="18"/>
          <w:szCs w:val="18"/>
          <w:color w:val="0A0A0A"/>
        </w:rPr>
        <w:t>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-7620</wp:posOffset>
            </wp:positionV>
            <wp:extent cx="372046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20465" cy="342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0A0A0A"/>
        </w:rPr>
        <w:t>“NM” stands for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20" w:top="137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color w:val="auto"/>
        </w:rPr>
        <w:t>Adjusted Operating Income, Adjusted Operating Income Margin, Adjusted Income (Loss) Before Income Tax, Adjusted Pre-tax Margin, Adjusted Net Income (Loss), Adjusted Net Income (Loss) per Share, Adjusted EBITDA and Adjusted EBITDA Margin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Operating Income, Adjusted Operating Income Margin, Adjusted Income (Loss) Before Income Tax, Adjusted Pre-tax Margin, Adjusted Net Income (Loss), Adjusted Net Income (Loss)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(Loss) Before Income Tax, Adjusted Pre-tax Margin, Adjusted Net Income (Loss), Adjusted Net Income (Loss) per Share, Adjusted EBITDA and Adjusted EBITDA Margin have significant limitations which affect their use as indicators of our profitability. Accordingly, readers are cautioned not to place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undue reliance on this information</w:t>
      </w:r>
      <w:r>
        <w:rPr>
          <w:rFonts w:ascii="Arial" w:cs="Arial" w:eastAsia="Arial" w:hAnsi="Arial"/>
          <w:sz w:val="21"/>
          <w:szCs w:val="21"/>
          <w:color w:val="auto"/>
        </w:rPr>
        <w:t>.</w:t>
      </w:r>
    </w:p>
    <w:p>
      <w:pPr>
        <w:spacing w:after="0" w:line="357" w:lineRule="exact"/>
        <w:rPr>
          <w:sz w:val="20"/>
          <w:szCs w:val="20"/>
          <w:color w:val="auto"/>
        </w:rPr>
      </w:pPr>
    </w:p>
    <w:p>
      <w:pPr>
        <w:ind w:left="20" w:right="4520"/>
        <w:spacing w:after="0" w:line="348"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201"/>
        </w:trPr>
        <w:tc>
          <w:tcPr>
            <w:tcW w:w="4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261.1</w:t>
            </w:r>
          </w:p>
        </w:tc>
        <w:tc>
          <w:tcPr>
            <w:tcW w:w="11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555.2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445.6</w:t>
            </w:r>
          </w:p>
        </w:tc>
      </w:tr>
      <w:tr>
        <w:trPr>
          <w:trHeight w:val="236"/>
        </w:trPr>
        <w:tc>
          <w:tcPr>
            <w:tcW w:w="4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center"/>
              <w:ind w:lef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25.2</w:t>
            </w:r>
          </w:p>
        </w:tc>
      </w:tr>
      <w:tr>
        <w:trPr>
          <w:trHeight w:val="23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40.0</w:t>
            </w: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10"/>
              <w:spacing w:after="0"/>
              <w:rPr>
                <w:sz w:val="20"/>
                <w:szCs w:val="20"/>
                <w:color w:val="auto"/>
              </w:rPr>
            </w:pPr>
            <w:r>
              <w:rPr>
                <w:rFonts w:ascii="Arial" w:cs="Arial" w:eastAsia="Arial" w:hAnsi="Arial"/>
                <w:sz w:val="18"/>
                <w:szCs w:val="18"/>
                <w:color w:val="auto"/>
              </w:rPr>
              <w:t>3.9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98.5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26.7</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center"/>
              <w:ind w:left="10"/>
              <w:spacing w:after="0"/>
              <w:rPr>
                <w:sz w:val="20"/>
                <w:szCs w:val="20"/>
                <w:color w:val="auto"/>
              </w:rPr>
            </w:pPr>
            <w:r>
              <w:rPr>
                <w:rFonts w:ascii="Arial" w:cs="Arial" w:eastAsia="Arial" w:hAnsi="Arial"/>
                <w:sz w:val="18"/>
                <w:szCs w:val="18"/>
                <w:color w:val="auto"/>
                <w:w w:val="99"/>
              </w:rPr>
              <w:t>1.5 %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1.8 %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1278" w:right="339" w:bottom="1440" w:gutter="0" w:footer="0" w:header="0"/>
        </w:sectPr>
      </w:pPr>
    </w:p>
    <w:bookmarkStart w:id="15" w:name="page16"/>
    <w:bookmarkEnd w:id="15"/>
    <w:p>
      <w:pPr>
        <w:ind w:left="20" w:right="2340"/>
        <w:spacing w:after="0" w:line="348" w:lineRule="auto"/>
        <w:rPr>
          <w:sz w:val="20"/>
          <w:szCs w:val="20"/>
          <w:color w:val="auto"/>
        </w:rPr>
      </w:pPr>
      <w:r>
        <w:rPr>
          <w:rFonts w:ascii="Arial" w:cs="Arial" w:eastAsia="Arial" w:hAnsi="Arial"/>
          <w:sz w:val="18"/>
          <w:szCs w:val="18"/>
          <w:b w:val="1"/>
          <w:bCs w:val="1"/>
          <w:color w:val="auto"/>
        </w:rPr>
        <w:t>Reconciliation of GAAP Income (Loss) Before Income Tax to Adjusted Income (Loss)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(loss) before income tax to adjusted income (loss) before income tax.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80" w:type="dxa"/>
            <w:vAlign w:val="bottom"/>
          </w:tcPr>
          <w:p>
            <w:pPr>
              <w:spacing w:after="0"/>
              <w:rPr>
                <w:sz w:val="17"/>
                <w:szCs w:val="17"/>
                <w:color w:val="auto"/>
              </w:rPr>
            </w:pPr>
          </w:p>
        </w:tc>
        <w:tc>
          <w:tcPr>
            <w:tcW w:w="2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24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20.6</w:t>
            </w:r>
          </w:p>
        </w:tc>
        <w:tc>
          <w:tcPr>
            <w:tcW w:w="112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2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 (Benefit)</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as reported</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r>
      <w:tr>
        <w:trPr>
          <w:trHeight w:val="236"/>
        </w:trPr>
        <w:tc>
          <w:tcPr>
            <w:tcW w:w="448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7"/>
        </w:trPr>
        <w:tc>
          <w:tcPr>
            <w:tcW w:w="4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0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1.5</w:t>
            </w: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8.5</w:t>
            </w:r>
          </w:p>
        </w:tc>
      </w:tr>
      <w:tr>
        <w:trPr>
          <w:trHeight w:val="270"/>
        </w:trPr>
        <w:tc>
          <w:tcPr>
            <w:tcW w:w="4480" w:type="dxa"/>
            <w:vAlign w:val="bottom"/>
          </w:tcPr>
          <w:p>
            <w:pPr>
              <w:ind w:left="20"/>
              <w:spacing w:after="0"/>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(2)</w:t>
            </w:r>
          </w:p>
        </w:tc>
        <w:tc>
          <w:tcPr>
            <w:tcW w:w="1000" w:type="dxa"/>
            <w:vAlign w:val="bottom"/>
          </w:tcPr>
          <w:p>
            <w:pPr>
              <w:spacing w:after="0"/>
              <w:rPr>
                <w:sz w:val="23"/>
                <w:szCs w:val="23"/>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r>
      <w:tr>
        <w:trPr>
          <w:trHeight w:val="23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Secondary offering costs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4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(Loss) Before Income Tax</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31.3</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83.8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87" w:lineRule="exact"/>
        <w:rPr>
          <w:sz w:val="20"/>
          <w:szCs w:val="20"/>
          <w:color w:val="auto"/>
        </w:rPr>
      </w:pPr>
    </w:p>
    <w:p>
      <w:pPr>
        <w:ind w:left="460" w:hanging="434"/>
        <w:spacing w:after="0"/>
        <w:tabs>
          <w:tab w:leader="none" w:pos="460" w:val="left"/>
        </w:tabs>
        <w:numPr>
          <w:ilvl w:val="0"/>
          <w:numId w:val="5"/>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43" w:lineRule="exact"/>
        <w:rPr>
          <w:rFonts w:ascii="Arial" w:cs="Arial" w:eastAsia="Arial" w:hAnsi="Arial"/>
          <w:sz w:val="29"/>
          <w:szCs w:val="29"/>
          <w:color w:val="auto"/>
          <w:vertAlign w:val="superscript"/>
        </w:rPr>
      </w:pPr>
    </w:p>
    <w:p>
      <w:pPr>
        <w:ind w:left="460" w:right="160" w:hanging="434"/>
        <w:spacing w:after="0" w:line="249"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413" w:right="339" w:bottom="1440" w:gutter="0" w:footer="0" w:header="0"/>
        </w:sectPr>
      </w:pPr>
    </w:p>
    <w:bookmarkStart w:id="16" w:name="page17"/>
    <w:bookmarkEnd w:id="16"/>
    <w:p>
      <w:pPr>
        <w:spacing w:after="0" w:line="200" w:lineRule="exact"/>
        <w:rPr>
          <w:sz w:val="20"/>
          <w:szCs w:val="20"/>
          <w:color w:val="auto"/>
        </w:rPr>
      </w:pPr>
    </w:p>
    <w:p>
      <w:pPr>
        <w:spacing w:after="0" w:line="259" w:lineRule="exact"/>
        <w:rPr>
          <w:sz w:val="20"/>
          <w:szCs w:val="20"/>
          <w:color w:val="auto"/>
        </w:rPr>
      </w:pPr>
    </w:p>
    <w:p>
      <w:pPr>
        <w:ind w:left="20"/>
        <w:spacing w:after="0" w:line="273" w:lineRule="auto"/>
        <w:rPr>
          <w:sz w:val="20"/>
          <w:szCs w:val="20"/>
          <w:color w:val="auto"/>
        </w:rPr>
      </w:pPr>
      <w:r>
        <w:rPr>
          <w:rFonts w:ascii="Arial" w:cs="Arial" w:eastAsia="Arial" w:hAnsi="Arial"/>
          <w:sz w:val="18"/>
          <w:szCs w:val="18"/>
          <w:b w:val="1"/>
          <w:bCs w:val="1"/>
          <w:color w:val="auto"/>
        </w:rPr>
        <w:t>Reconciliation of GAAP Net Income (Loss) and Earnings (Loss) per Share to Adjusted Net Income (Loss) and Adjusted Earnings (Loss) per Share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ind w:left="20"/>
        <w:spacing w:after="0" w:line="275" w:lineRule="auto"/>
        <w:rPr>
          <w:sz w:val="20"/>
          <w:szCs w:val="20"/>
          <w:color w:val="auto"/>
        </w:rPr>
      </w:pPr>
      <w:r>
        <w:rPr>
          <w:rFonts w:ascii="Arial" w:cs="Arial" w:eastAsia="Arial" w:hAnsi="Arial"/>
          <w:sz w:val="18"/>
          <w:szCs w:val="18"/>
          <w:color w:val="auto"/>
        </w:rPr>
        <w:t>The following table presents the reconciliation of GAAP net income (loss) and earnings (loss) per share to adjusted net income (loss) and adjusted earnings (loss) per share.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Per Share -</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4"/>
              <w:spacing w:after="0" w:line="143" w:lineRule="exact"/>
              <w:rPr>
                <w:sz w:val="20"/>
                <w:szCs w:val="20"/>
                <w:color w:val="auto"/>
              </w:rPr>
            </w:pPr>
            <w:r>
              <w:rPr>
                <w:rFonts w:ascii="Arial" w:cs="Arial" w:eastAsia="Arial" w:hAnsi="Arial"/>
                <w:sz w:val="14"/>
                <w:szCs w:val="14"/>
                <w:b w:val="1"/>
                <w:bCs w:val="1"/>
                <w:color w:val="auto"/>
              </w:rPr>
              <w:t>Per Share -</w:t>
            </w:r>
          </w:p>
        </w:tc>
        <w:tc>
          <w:tcPr>
            <w:tcW w:w="0" w:type="dxa"/>
            <w:vAlign w:val="bottom"/>
          </w:tcPr>
          <w:p>
            <w:pPr>
              <w:spacing w:after="0"/>
              <w:rPr>
                <w:sz w:val="1"/>
                <w:szCs w:val="1"/>
                <w:color w:val="auto"/>
              </w:rPr>
            </w:pPr>
          </w:p>
        </w:tc>
      </w:tr>
      <w:tr>
        <w:trPr>
          <w:trHeight w:val="201"/>
        </w:trPr>
        <w:tc>
          <w:tcPr>
            <w:tcW w:w="5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diluted</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(2)</w:t>
            </w:r>
          </w:p>
        </w:tc>
        <w:tc>
          <w:tcPr>
            <w:tcW w:w="8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Secondary offering costs</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(3)</w:t>
            </w:r>
          </w:p>
        </w:tc>
        <w:tc>
          <w:tcPr>
            <w:tcW w:w="8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5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280" w:type="dxa"/>
            <w:vAlign w:val="bottom"/>
            <w:gridSpan w:val="2"/>
            <w:vMerge w:val="restart"/>
          </w:tcPr>
          <w:p>
            <w:pPr>
              <w:jc w:val="right"/>
              <w:ind w:right="312"/>
              <w:spacing w:after="0"/>
              <w:rPr>
                <w:sz w:val="20"/>
                <w:szCs w:val="20"/>
                <w:color w:val="auto"/>
              </w:rPr>
            </w:pPr>
            <w:r>
              <w:rPr>
                <w:rFonts w:ascii="Arial" w:cs="Arial" w:eastAsia="Arial" w:hAnsi="Arial"/>
                <w:sz w:val="14"/>
                <w:szCs w:val="14"/>
                <w:b w:val="1"/>
                <w:bCs w:val="1"/>
                <w:color w:val="auto"/>
              </w:rPr>
              <w:t>Dollars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Per Share -</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4"/>
              <w:spacing w:after="0" w:line="143" w:lineRule="exact"/>
              <w:rPr>
                <w:sz w:val="20"/>
                <w:szCs w:val="20"/>
                <w:color w:val="auto"/>
              </w:rPr>
            </w:pPr>
            <w:r>
              <w:rPr>
                <w:rFonts w:ascii="Arial" w:cs="Arial" w:eastAsia="Arial" w:hAnsi="Arial"/>
                <w:sz w:val="14"/>
                <w:szCs w:val="14"/>
                <w:b w:val="1"/>
                <w:bCs w:val="1"/>
                <w:color w:val="auto"/>
              </w:rPr>
              <w:t>Per Share -</w:t>
            </w:r>
          </w:p>
        </w:tc>
        <w:tc>
          <w:tcPr>
            <w:tcW w:w="0" w:type="dxa"/>
            <w:vAlign w:val="bottom"/>
          </w:tcPr>
          <w:p>
            <w:pPr>
              <w:spacing w:after="0"/>
              <w:rPr>
                <w:sz w:val="1"/>
                <w:szCs w:val="1"/>
                <w:color w:val="auto"/>
              </w:rPr>
            </w:pPr>
          </w:p>
        </w:tc>
      </w:tr>
      <w:tr>
        <w:trPr>
          <w:trHeight w:val="201"/>
        </w:trPr>
        <w:tc>
          <w:tcPr>
            <w:tcW w:w="5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diluted</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8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(2)</w:t>
            </w:r>
          </w:p>
        </w:tc>
        <w:tc>
          <w:tcPr>
            <w:tcW w:w="8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refinancing credit facility</w:t>
            </w: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(3)</w:t>
            </w:r>
          </w:p>
        </w:tc>
        <w:tc>
          <w:tcPr>
            <w:tcW w:w="8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0A0A0A"/>
              </w:rPr>
              <w:t>59.6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A0A0A"/>
              </w:rPr>
              <w:t>58.0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60" w:hanging="434"/>
        <w:spacing w:after="0"/>
        <w:tabs>
          <w:tab w:leader="none" w:pos="46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43" w:lineRule="exact"/>
        <w:rPr>
          <w:rFonts w:ascii="Arial" w:cs="Arial" w:eastAsia="Arial" w:hAnsi="Arial"/>
          <w:sz w:val="29"/>
          <w:szCs w:val="29"/>
          <w:color w:val="auto"/>
          <w:vertAlign w:val="superscript"/>
        </w:rPr>
      </w:pPr>
    </w:p>
    <w:p>
      <w:pPr>
        <w:ind w:left="460" w:right="140" w:hanging="434"/>
        <w:spacing w:after="0" w:line="249"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p>
      <w:pPr>
        <w:ind w:left="460" w:hanging="434"/>
        <w:spacing w:after="0" w:line="194" w:lineRule="auto"/>
        <w:tabs>
          <w:tab w:leader="none" w:pos="46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The tax effect of adjusting items, net is calculated at the Company’s statutory rate for the application period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20"/>
          </w:cols>
          <w:pgMar w:left="320" w:top="1440" w:right="359" w:bottom="1440" w:gutter="0" w:footer="0" w:header="0"/>
          <w:type w:val="continuous"/>
        </w:sectPr>
      </w:pPr>
    </w:p>
    <w:bookmarkStart w:id="17" w:name="page18"/>
    <w:bookmarkEnd w:id="17"/>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Net Income (Loss)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(loss) to adjusted EBITDA for the periods presented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7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r>
      <w:tr>
        <w:trPr>
          <w:trHeight w:val="201"/>
        </w:trPr>
        <w:tc>
          <w:tcPr>
            <w:tcW w:w="4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24"/>
        </w:trPr>
        <w:tc>
          <w:tcPr>
            <w:tcW w:w="4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20.6</w:t>
            </w: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36"/>
        </w:trPr>
        <w:tc>
          <w:tcPr>
            <w:tcW w:w="448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(0.6)</w:t>
            </w:r>
          </w:p>
        </w:tc>
      </w:tr>
      <w:tr>
        <w:trPr>
          <w:trHeight w:val="236"/>
        </w:trPr>
        <w:tc>
          <w:tcPr>
            <w:tcW w:w="4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15.6</w:t>
            </w:r>
          </w:p>
        </w:tc>
      </w:tr>
      <w:tr>
        <w:trPr>
          <w:trHeight w:val="230"/>
        </w:trPr>
        <w:tc>
          <w:tcPr>
            <w:tcW w:w="448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100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1.5</w:t>
            </w:r>
          </w:p>
        </w:tc>
      </w:tr>
      <w:tr>
        <w:trPr>
          <w:trHeight w:val="270"/>
        </w:trPr>
        <w:tc>
          <w:tcPr>
            <w:tcW w:w="4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8.5</w:t>
            </w:r>
          </w:p>
        </w:tc>
      </w:tr>
      <w:tr>
        <w:trPr>
          <w:trHeight w:val="236"/>
        </w:trPr>
        <w:tc>
          <w:tcPr>
            <w:tcW w:w="4480" w:type="dxa"/>
            <w:vAlign w:val="bottom"/>
          </w:tcPr>
          <w:p>
            <w:pPr>
              <w:ind w:left="80"/>
              <w:spacing w:after="0"/>
              <w:rPr>
                <w:sz w:val="20"/>
                <w:szCs w:val="20"/>
                <w:color w:val="auto"/>
              </w:rPr>
            </w:pPr>
            <w:r>
              <w:rPr>
                <w:rFonts w:ascii="Arial" w:cs="Arial" w:eastAsia="Arial" w:hAnsi="Arial"/>
                <w:sz w:val="18"/>
                <w:szCs w:val="18"/>
                <w:color w:val="auto"/>
              </w:rPr>
              <w:t>Secondary offering costs</w:t>
            </w:r>
          </w:p>
        </w:tc>
        <w:tc>
          <w:tcPr>
            <w:tcW w:w="100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36"/>
        </w:trPr>
        <w:tc>
          <w:tcPr>
            <w:tcW w:w="4480" w:type="dxa"/>
            <w:vAlign w:val="bottom"/>
            <w:shd w:val="clear" w:color="auto" w:fill="CCEEFF"/>
          </w:tcPr>
          <w:p>
            <w:pPr>
              <w:ind w:left="80"/>
              <w:spacing w:after="0" w:line="236" w:lineRule="exact"/>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(2)</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29"/>
        </w:trPr>
        <w:tc>
          <w:tcPr>
            <w:tcW w:w="448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1.9</w:t>
            </w:r>
          </w:p>
        </w:tc>
      </w:tr>
      <w:tr>
        <w:trPr>
          <w:trHeight w:val="243"/>
        </w:trPr>
        <w:tc>
          <w:tcPr>
            <w:tcW w:w="4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32.2</w:t>
            </w:r>
          </w:p>
        </w:tc>
      </w:tr>
      <w:tr>
        <w:trPr>
          <w:trHeight w:val="223"/>
        </w:trPr>
        <w:tc>
          <w:tcPr>
            <w:tcW w:w="448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62.3</w:t>
            </w:r>
          </w:p>
        </w:tc>
        <w:tc>
          <w:tcPr>
            <w:tcW w:w="11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20.7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140.2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58.7</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4480" w:type="dxa"/>
            <w:vAlign w:val="bottom"/>
          </w:tcPr>
          <w:p>
            <w:pPr>
              <w:ind w:left="80"/>
              <w:spacing w:after="0"/>
              <w:rPr>
                <w:sz w:val="20"/>
                <w:szCs w:val="20"/>
                <w:color w:val="auto"/>
              </w:rPr>
            </w:pPr>
            <w:r>
              <w:rPr>
                <w:rFonts w:ascii="Arial" w:cs="Arial" w:eastAsia="Arial" w:hAnsi="Arial"/>
                <w:sz w:val="18"/>
                <w:szCs w:val="18"/>
                <w:color w:val="auto"/>
              </w:rPr>
              <w:t>Adjusted EBITDA margin</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13.2 %</w:t>
            </w:r>
          </w:p>
        </w:tc>
      </w:tr>
    </w:tbl>
    <w:p>
      <w:pPr>
        <w:spacing w:after="0" w:line="87" w:lineRule="exact"/>
        <w:rPr>
          <w:sz w:val="20"/>
          <w:szCs w:val="20"/>
          <w:color w:val="auto"/>
        </w:rPr>
      </w:pPr>
    </w:p>
    <w:p>
      <w:pPr>
        <w:ind w:left="460" w:hanging="434"/>
        <w:spacing w:after="0"/>
        <w:tabs>
          <w:tab w:leader="none" w:pos="46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43" w:lineRule="exact"/>
        <w:rPr>
          <w:rFonts w:ascii="Arial" w:cs="Arial" w:eastAsia="Arial" w:hAnsi="Arial"/>
          <w:sz w:val="29"/>
          <w:szCs w:val="29"/>
          <w:color w:val="auto"/>
          <w:vertAlign w:val="superscript"/>
        </w:rPr>
      </w:pPr>
    </w:p>
    <w:p>
      <w:pPr>
        <w:ind w:left="460" w:right="160" w:hanging="434"/>
        <w:spacing w:after="0" w:line="249"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Adjusted CASM</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stock based compensation, depreciation recognized on our aircraft and flight equipment held for operating lease,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excluded costs related to the cargo operations and depreciation recognized on our aircraft and flight equipment held for operating lease as these operations do not create ASMs. During the six months ended June 30, 2023, the Company acquired five 737-900ERs that are currently on lease to an unaffiliated airline. Depreciation expense on these aircraft materially began during the three months ended June 30, 2023. 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40"/>
          </w:cols>
          <w:pgMar w:left="320" w:top="127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2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Per ASM (cents)</w:t>
            </w:r>
          </w:p>
        </w:tc>
        <w:tc>
          <w:tcPr>
            <w:tcW w:w="100" w:type="dxa"/>
            <w:vAlign w:val="bottom"/>
          </w:tcPr>
          <w:p>
            <w:pPr>
              <w:spacing w:after="0"/>
              <w:rPr>
                <w:sz w:val="12"/>
                <w:szCs w:val="12"/>
                <w:color w:val="auto"/>
              </w:rPr>
            </w:pPr>
          </w:p>
        </w:tc>
        <w:tc>
          <w:tcPr>
            <w:tcW w:w="182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201"/>
        </w:trPr>
        <w:tc>
          <w:tcPr>
            <w:tcW w:w="4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6"/>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Aircraft and Flight Equipment Held for Operating Lease,</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60" w:type="dxa"/>
            <w:vAlign w:val="bottom"/>
            <w:gridSpan w:val="3"/>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740" w:type="dxa"/>
            <w:vAlign w:val="bottom"/>
            <w:vMerge w:val="continue"/>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7.88</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4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Six Months Ended June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2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Per ASM (cents)</w:t>
            </w:r>
          </w:p>
        </w:tc>
        <w:tc>
          <w:tcPr>
            <w:tcW w:w="100" w:type="dxa"/>
            <w:vAlign w:val="bottom"/>
          </w:tcPr>
          <w:p>
            <w:pPr>
              <w:spacing w:after="0"/>
              <w:rPr>
                <w:sz w:val="12"/>
                <w:szCs w:val="12"/>
                <w:color w:val="auto"/>
              </w:rPr>
            </w:pPr>
          </w:p>
        </w:tc>
        <w:tc>
          <w:tcPr>
            <w:tcW w:w="182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201"/>
        </w:trPr>
        <w:tc>
          <w:tcPr>
            <w:tcW w:w="4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6"/>
        </w:trPr>
        <w:tc>
          <w:tcPr>
            <w:tcW w:w="474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Aircraft and Flight Equipment Held for Operating Lease,</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38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60" w:type="dxa"/>
            <w:vAlign w:val="bottom"/>
            <w:gridSpan w:val="3"/>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740" w:type="dxa"/>
            <w:vAlign w:val="bottom"/>
            <w:vMerge w:val="continue"/>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7.47</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2023-08-03T15:32:09Z</dcterms:created>
  <dcterms:modified xsi:type="dcterms:W3CDTF">2023-08-03T15:32:09Z</dcterms:modified>
</cp:coreProperties>
</file>