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15, 2023</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1"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15, 2023, Sun Country Airlines Holdings, Inc. (the “Company”) and an affiliate of certain investment funds managed by affiliates of Apollo Global Management, Inc. (the “Selling Stockholder”) entered into an underwriting agreement (the “Underwriting Agreement”) with the underwriter named in the Underwriting Agreement (the “Underwriter”), relating to the secondary public offering (the “Offering”) of an aggregate of 5,250,000 shares of the common stock of the Company, par value $0.01 per share (the “Common Stock”), sold by the Selling Stockholder. The Offering was completed on February 21, 2023. Under the terms of the Underwriting Agreement, the Selling Stockholder has granted the Underwriter a 30-day option to purchase up to an additional 787,500 shares of Common Stock held by the Selling Stockholder. The Company did not receive any of the proceeds from the sale of shares of Common Stock by the Selling Stockholder in the Offering.</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Also pursuant to the Underwriting Agreement, the Company purchased from the Underwriter 750,000 shares of Common Stock sold by the Selling Stockholder in the Offering, at a purchase price equal to the price at which the Underwriter purchased the shares of Common Stock from the Selling Stockholder (the “Concurrent Share Repurchase”). The terms and conditions of the Concurrent Share Repurchase were reviewed and approved by the audit committee of the Company’s board of directors. The Concurrent Share Repurchase was made under the Company’s existing $50 million stock repurchase program and reduced remaining availability under the stock repurchase program. The Company used existing cash on hand to fund the Concurrent Share Repurchase.</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a shelf registration statement on Form S-3 (File No. 333-269023) filed with the Securities and Exchange Commission (the “SEC”) and which became effective on January 12, 2023 (the “Registration Statement”), a prospectus, dated January 12, 2023 included as part of the Registration Statement and a preliminary prospectus supplement, dated February 15, 2023 and filed with the SEC on February 15, 2023. The Underwriting Agreement is attached hereto as Exhibit 1.1 and is incorporated herein by reference. The foregoing description of the terms of the Underwriting Agreement is qualified in its entirety by reference to Exhibit 1.1 incorporated herein by reference.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4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0"/>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1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9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February 15, 2023, among Sun Country Airlines Holdings, Inc., SCA Horus Holdings, LLC as the</w:t>
            </w:r>
          </w:p>
        </w:tc>
        <w:tc>
          <w:tcPr>
            <w:tcW w:w="1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 and the underwriter named therein.</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45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2023</w:t>
            </w:r>
          </w:p>
        </w:tc>
        <w:tc>
          <w:tcPr>
            <w:tcW w:w="642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70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7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Erin Rose Neale</w:t>
            </w:r>
          </w:p>
        </w:tc>
        <w:tc>
          <w:tcPr>
            <w:tcW w:w="112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tc>
        <w:tc>
          <w:tcPr>
            <w:tcW w:w="112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Secretary</w:t>
            </w:r>
          </w:p>
        </w:tc>
        <w:tc>
          <w:tcPr>
            <w:tcW w:w="1120" w:type="dxa"/>
            <w:vAlign w:val="bottom"/>
          </w:tcPr>
          <w:p>
            <w:pPr>
              <w:spacing w:after="0"/>
              <w:rPr>
                <w:sz w:val="20"/>
                <w:szCs w:val="20"/>
                <w:color w:val="auto"/>
              </w:rPr>
            </w:pPr>
          </w:p>
        </w:tc>
      </w:tr>
      <w:tr>
        <w:trPr>
          <w:trHeight w:val="119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5,250,000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15, 2023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 attached hereto,</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stockholder named in Schedule II attached hereto as Selling Stockholder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of Sun Country Airlines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an aggregate of 5,250,000 shares (the “</w:t>
      </w:r>
      <w:r>
        <w:rPr>
          <w:rFonts w:ascii="Times New Roman" w:cs="Times New Roman" w:eastAsia="Times New Roman" w:hAnsi="Times New Roman"/>
          <w:sz w:val="18"/>
          <w:szCs w:val="18"/>
          <w:b w:val="1"/>
          <w:bCs w:val="1"/>
          <w:i w:val="1"/>
          <w:iCs w:val="1"/>
          <w:color w:val="auto"/>
        </w:rPr>
        <w:t>Firm Stock</w:t>
      </w:r>
      <w:r>
        <w:rPr>
          <w:rFonts w:ascii="Times New Roman" w:cs="Times New Roman" w:eastAsia="Times New Roman" w:hAnsi="Times New Roman"/>
          <w:sz w:val="18"/>
          <w:szCs w:val="18"/>
          <w:color w:val="auto"/>
        </w:rPr>
        <w:t>”) of the Company’s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 addition, the Selling Stockholder proposes to grant to the underwriters named in Schedule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attached to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 option to purchase up to an aggregate of 787,500 additional shares of the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on the terms set forth in Section 3 (the “</w:t>
      </w:r>
      <w:r>
        <w:rPr>
          <w:rFonts w:ascii="Times New Roman" w:cs="Times New Roman" w:eastAsia="Times New Roman" w:hAnsi="Times New Roman"/>
          <w:sz w:val="18"/>
          <w:szCs w:val="18"/>
          <w:b w:val="1"/>
          <w:bCs w:val="1"/>
          <w:i w:val="1"/>
          <w:iCs w:val="1"/>
          <w:color w:val="auto"/>
        </w:rPr>
        <w:t>Option Stock</w:t>
      </w:r>
      <w:r>
        <w:rPr>
          <w:rFonts w:ascii="Times New Roman" w:cs="Times New Roman" w:eastAsia="Times New Roman" w:hAnsi="Times New Roman"/>
          <w:sz w:val="18"/>
          <w:szCs w:val="18"/>
          <w:color w:val="auto"/>
        </w:rPr>
        <w:t>”). The Firm Stock and the Option Stock, if purchased, are hereinafter collectively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Subject to the sale of the Firm Stock by the Selling Stockholder to the Underwriters in compliance with the terms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have agreed to sell to the Company, and the Company has agreed to purchase from the Underwriters (the “</w:t>
      </w:r>
      <w:r>
        <w:rPr>
          <w:rFonts w:ascii="Times New Roman" w:cs="Times New Roman" w:eastAsia="Times New Roman" w:hAnsi="Times New Roman"/>
          <w:sz w:val="18"/>
          <w:szCs w:val="18"/>
          <w:b w:val="1"/>
          <w:bCs w:val="1"/>
          <w:i w:val="1"/>
          <w:iCs w:val="1"/>
          <w:color w:val="auto"/>
        </w:rPr>
        <w:t>Share Repurchase”</w:t>
      </w:r>
      <w:r>
        <w:rPr>
          <w:rFonts w:ascii="Times New Roman" w:cs="Times New Roman" w:eastAsia="Times New Roman" w:hAnsi="Times New Roman"/>
          <w:sz w:val="18"/>
          <w:szCs w:val="18"/>
          <w:color w:val="auto"/>
        </w:rPr>
        <w:t>) an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750,000 shares of Common Stock (such shares, the “</w:t>
      </w:r>
      <w:r>
        <w:rPr>
          <w:rFonts w:ascii="Times New Roman" w:cs="Times New Roman" w:eastAsia="Times New Roman" w:hAnsi="Times New Roman"/>
          <w:sz w:val="18"/>
          <w:szCs w:val="18"/>
          <w:b w:val="1"/>
          <w:bCs w:val="1"/>
          <w:i w:val="1"/>
          <w:iCs w:val="1"/>
          <w:color w:val="auto"/>
        </w:rPr>
        <w:t>Repurchase Shares</w:t>
      </w:r>
      <w:r>
        <w:rPr>
          <w:rFonts w:ascii="Times New Roman" w:cs="Times New Roman" w:eastAsia="Times New Roman" w:hAnsi="Times New Roman"/>
          <w:sz w:val="18"/>
          <w:szCs w:val="18"/>
          <w:color w:val="auto"/>
        </w:rPr>
        <w:t>”) pursuant to Section 3 of this Agreement. This Agreement is to confirm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concerning the purchase of the Stock from the Selling Stockholder by the Underwriters, and the purchase of the Repurchase Shares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by the Company. To the extent that only one Underwriter is listed on Schedule I hereto, all references to the Representative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shall refer to just you.</w:t>
      </w:r>
    </w:p>
    <w:p>
      <w:pPr>
        <w:spacing w:after="0" w:line="205" w:lineRule="exact"/>
        <w:rPr>
          <w:sz w:val="20"/>
          <w:szCs w:val="20"/>
          <w:color w:val="auto"/>
        </w:rPr>
      </w:pPr>
    </w:p>
    <w:p>
      <w:pPr>
        <w:ind w:left="1660" w:hanging="356"/>
        <w:spacing w:after="0"/>
        <w:tabs>
          <w:tab w:leader="none" w:pos="1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that:</w:t>
      </w:r>
    </w:p>
    <w:p>
      <w:pPr>
        <w:spacing w:after="0" w:line="227" w:lineRule="exact"/>
        <w:rPr>
          <w:rFonts w:ascii="Times New Roman" w:cs="Times New Roman" w:eastAsia="Times New Roman" w:hAnsi="Times New Roman"/>
          <w:sz w:val="18"/>
          <w:szCs w:val="18"/>
          <w:color w:val="auto"/>
        </w:rPr>
      </w:pPr>
    </w:p>
    <w:p>
      <w:pPr>
        <w:ind w:right="180" w:firstLine="656"/>
        <w:spacing w:after="0" w:line="282" w:lineRule="auto"/>
        <w:tabs>
          <w:tab w:leader="none" w:pos="1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S-3 (File No. 333-269023) relating to the Stock has (i) been prepared by the Company in conformity with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
        <w:spacing w:after="0" w:line="262" w:lineRule="auto"/>
        <w:rPr>
          <w:sz w:val="20"/>
          <w:szCs w:val="20"/>
          <w:color w:val="auto"/>
        </w:rPr>
      </w:pPr>
      <w:r>
        <w:rPr>
          <w:rFonts w:ascii="Times New Roman" w:cs="Times New Roman" w:eastAsia="Times New Roman" w:hAnsi="Times New Roman"/>
          <w:sz w:val="18"/>
          <w:szCs w:val="18"/>
          <w:color w:val="auto"/>
        </w:rPr>
        <w:t>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As used in this Agreement:</w:t>
      </w:r>
    </w:p>
    <w:p>
      <w:pPr>
        <w:spacing w:after="0" w:line="176" w:lineRule="exact"/>
        <w:rPr>
          <w:sz w:val="20"/>
          <w:szCs w:val="20"/>
          <w:color w:val="auto"/>
        </w:rPr>
      </w:pPr>
    </w:p>
    <w:p>
      <w:pPr>
        <w:ind w:left="2440" w:hanging="488"/>
        <w:spacing w:after="0"/>
        <w:tabs>
          <w:tab w:leader="none" w:pos="2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4:00 P.M. (New York City time) on February 15, 2023;</w:t>
      </w:r>
    </w:p>
    <w:p>
      <w:pPr>
        <w:spacing w:after="0" w:line="225" w:lineRule="exact"/>
        <w:rPr>
          <w:rFonts w:ascii="Times New Roman" w:cs="Times New Roman" w:eastAsia="Times New Roman" w:hAnsi="Times New Roman"/>
          <w:sz w:val="18"/>
          <w:szCs w:val="18"/>
          <w:color w:val="auto"/>
        </w:rPr>
      </w:pPr>
    </w:p>
    <w:p>
      <w:pPr>
        <w:ind w:left="1300" w:right="500" w:firstLine="652"/>
        <w:spacing w:after="0" w:line="286" w:lineRule="auto"/>
        <w:tabs>
          <w:tab w:leader="none" w:pos="24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and time as of which such registration statement, or the most recent post-effective amendment thereto, if any, was declared effective by the Commission;</w:t>
      </w:r>
    </w:p>
    <w:p>
      <w:pPr>
        <w:spacing w:after="0" w:line="154" w:lineRule="exact"/>
        <w:rPr>
          <w:rFonts w:ascii="Times New Roman" w:cs="Times New Roman" w:eastAsia="Times New Roman" w:hAnsi="Times New Roman"/>
          <w:sz w:val="18"/>
          <w:szCs w:val="18"/>
          <w:color w:val="auto"/>
        </w:rPr>
      </w:pPr>
    </w:p>
    <w:p>
      <w:pPr>
        <w:ind w:left="1300" w:right="580" w:firstLine="652"/>
        <w:spacing w:after="0" w:line="286" w:lineRule="auto"/>
        <w:tabs>
          <w:tab w:leader="none" w:pos="25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each “issuer free writing prospectus” (as defined in Rule 433 under the Securities Act) relating to the Stock;</w:t>
      </w:r>
    </w:p>
    <w:p>
      <w:pPr>
        <w:spacing w:after="0" w:line="154" w:lineRule="exact"/>
        <w:rPr>
          <w:rFonts w:ascii="Times New Roman" w:cs="Times New Roman" w:eastAsia="Times New Roman" w:hAnsi="Times New Roman"/>
          <w:sz w:val="18"/>
          <w:szCs w:val="18"/>
          <w:color w:val="auto"/>
        </w:rPr>
      </w:pPr>
    </w:p>
    <w:p>
      <w:pPr>
        <w:ind w:left="1300" w:right="720" w:firstLine="652"/>
        <w:spacing w:after="0" w:line="286" w:lineRule="auto"/>
        <w:tabs>
          <w:tab w:leader="none" w:pos="25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any preliminary prospectus relating to the Stock included in such registration statement or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ind w:left="1300" w:right="40" w:firstLine="652"/>
        <w:spacing w:after="0" w:line="262" w:lineRule="auto"/>
        <w:tabs>
          <w:tab w:leader="none" w:pos="24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means, as of the Applicable Time, the most recent Preliminary Prospectus, the Issuer Free Writing Prospectuses, if any, listed on Schedule VI hereto and each Issuer Free Writing Prospectus filed or used by the Company at or before the Applicable Time, other than a road show, that is an Issuer Free Writing Prospectus but is not required to be filed under Rule 433 under the Securities Act, together with the information set forth on Schedule IV;</w:t>
      </w:r>
    </w:p>
    <w:p>
      <w:pPr>
        <w:spacing w:after="0" w:line="176" w:lineRule="exact"/>
        <w:rPr>
          <w:rFonts w:ascii="Times New Roman" w:cs="Times New Roman" w:eastAsia="Times New Roman" w:hAnsi="Times New Roman"/>
          <w:sz w:val="18"/>
          <w:szCs w:val="18"/>
          <w:color w:val="auto"/>
        </w:rPr>
      </w:pPr>
    </w:p>
    <w:p>
      <w:pPr>
        <w:ind w:left="1300" w:right="260" w:firstLine="652"/>
        <w:spacing w:after="0" w:line="286" w:lineRule="auto"/>
        <w:tabs>
          <w:tab w:leader="none" w:pos="25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final prospectus relating to the Stock, including any prospectus supplement thereto related to the Stock, as filed with the Commission pursuant to Rule 424(b) under the Securities Act;</w:t>
      </w:r>
    </w:p>
    <w:p>
      <w:pPr>
        <w:spacing w:after="0" w:line="154" w:lineRule="exact"/>
        <w:rPr>
          <w:rFonts w:ascii="Times New Roman" w:cs="Times New Roman" w:eastAsia="Times New Roman" w:hAnsi="Times New Roman"/>
          <w:sz w:val="18"/>
          <w:szCs w:val="18"/>
          <w:color w:val="auto"/>
        </w:rPr>
      </w:pPr>
    </w:p>
    <w:p>
      <w:pPr>
        <w:jc w:val="both"/>
        <w:ind w:left="1300" w:right="240" w:firstLine="652"/>
        <w:spacing w:after="0" w:line="262" w:lineRule="auto"/>
        <w:tabs>
          <w:tab w:leader="none" w:pos="25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430B under the Securities Act to be part of such registration statement as of the Effective Date;</w:t>
      </w:r>
    </w:p>
    <w:p>
      <w:pPr>
        <w:spacing w:after="0" w:line="176" w:lineRule="exact"/>
        <w:rPr>
          <w:rFonts w:ascii="Times New Roman" w:cs="Times New Roman" w:eastAsia="Times New Roman" w:hAnsi="Times New Roman"/>
          <w:sz w:val="18"/>
          <w:szCs w:val="18"/>
          <w:color w:val="auto"/>
        </w:rPr>
      </w:pPr>
    </w:p>
    <w:p>
      <w:pPr>
        <w:ind w:left="1300" w:right="140" w:firstLine="652"/>
        <w:spacing w:after="0" w:line="286" w:lineRule="auto"/>
        <w:tabs>
          <w:tab w:leader="none" w:pos="2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or Rule 163B under the Securities Act; and</w:t>
      </w:r>
    </w:p>
    <w:p>
      <w:pPr>
        <w:spacing w:after="0" w:line="154" w:lineRule="exact"/>
        <w:rPr>
          <w:rFonts w:ascii="Times New Roman" w:cs="Times New Roman" w:eastAsia="Times New Roman" w:hAnsi="Times New Roman"/>
          <w:sz w:val="18"/>
          <w:szCs w:val="18"/>
          <w:color w:val="auto"/>
        </w:rPr>
      </w:pPr>
    </w:p>
    <w:p>
      <w:pPr>
        <w:ind w:left="1300" w:right="700" w:firstLine="652"/>
        <w:spacing w:after="0" w:line="286" w:lineRule="auto"/>
        <w:tabs>
          <w:tab w:leader="none" w:pos="25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left="660" w:right="40"/>
        <w:spacing w:after="0" w:line="253" w:lineRule="auto"/>
        <w:rPr>
          <w:sz w:val="20"/>
          <w:szCs w:val="20"/>
          <w:color w:val="auto"/>
        </w:rPr>
      </w:pPr>
      <w:r>
        <w:rPr>
          <w:rFonts w:ascii="Times New Roman" w:cs="Times New Roman" w:eastAsia="Times New Roman" w:hAnsi="Times New Roman"/>
          <w:sz w:val="18"/>
          <w:szCs w:val="18"/>
          <w:color w:val="auto"/>
        </w:rPr>
        <w:t>Any reference to any Preliminary Prospectus or the Prospectus shall be deemed to refer to and include any documents incorporated by reference therein pursuant to Form S-3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 The Commission has not notified the Company of any objection to the use of the form of the Registration Statement or any post-effective amendment thereto.</w:t>
      </w:r>
    </w:p>
    <w:p>
      <w:pPr>
        <w:spacing w:after="0" w:line="187" w:lineRule="exact"/>
        <w:rPr>
          <w:sz w:val="20"/>
          <w:szCs w:val="20"/>
          <w:color w:val="auto"/>
        </w:rPr>
      </w:pPr>
    </w:p>
    <w:p>
      <w:pPr>
        <w:ind w:right="280" w:firstLine="656"/>
        <w:spacing w:after="0" w:line="266" w:lineRule="auto"/>
        <w:tabs>
          <w:tab w:leader="none" w:pos="13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filing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40" w:firstLine="656"/>
        <w:spacing w:after="0" w:line="282" w:lineRule="auto"/>
        <w:tabs>
          <w:tab w:leader="none" w:pos="1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engaged in any Testing-the-Waters Communication and (ii) has not authorized anyone to engage in Testing-the-Waters Communications.</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3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not at the time of the initial filing of the Registration Statement and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Stock, is not on the date hereof and will not be on the applicable Delivery Date (as defined below), an “ineligible issuer” (as defined in Rule 405 under the Securities Act).</w:t>
      </w:r>
    </w:p>
    <w:p>
      <w:pPr>
        <w:spacing w:after="0" w:line="175" w:lineRule="exact"/>
        <w:rPr>
          <w:rFonts w:ascii="Times New Roman" w:cs="Times New Roman" w:eastAsia="Times New Roman" w:hAnsi="Times New Roman"/>
          <w:sz w:val="18"/>
          <w:szCs w:val="18"/>
          <w:color w:val="auto"/>
        </w:rPr>
      </w:pPr>
    </w:p>
    <w:p>
      <w:pPr>
        <w:ind w:right="20" w:firstLine="656"/>
        <w:spacing w:after="0" w:line="256" w:lineRule="auto"/>
        <w:tabs>
          <w:tab w:leader="none" w:pos="1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Commission, in all material respects to the requirements of the Exchange Act and the rules and regulations of the Commission thereunder.</w:t>
      </w:r>
    </w:p>
    <w:p>
      <w:pPr>
        <w:spacing w:after="0" w:line="225" w:lineRule="exact"/>
        <w:rPr>
          <w:sz w:val="20"/>
          <w:szCs w:val="20"/>
          <w:color w:val="auto"/>
        </w:rPr>
      </w:pPr>
    </w:p>
    <w:p>
      <w:pPr>
        <w:ind w:right="40" w:firstLine="656"/>
        <w:spacing w:after="0" w:line="261" w:lineRule="auto"/>
        <w:tabs>
          <w:tab w:leader="none" w:pos="14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 by or on behalf of any Underwriter specifically for inclusion therein, which information is specified in Section 9(f).</w:t>
      </w:r>
    </w:p>
    <w:p>
      <w:pPr>
        <w:spacing w:after="0" w:line="179" w:lineRule="exact"/>
        <w:rPr>
          <w:rFonts w:ascii="Times New Roman" w:cs="Times New Roman" w:eastAsia="Times New Roman" w:hAnsi="Times New Roman"/>
          <w:sz w:val="18"/>
          <w:szCs w:val="18"/>
          <w:color w:val="auto"/>
        </w:rPr>
      </w:pPr>
    </w:p>
    <w:p>
      <w:pPr>
        <w:ind w:right="140" w:firstLine="656"/>
        <w:spacing w:after="0" w:line="258" w:lineRule="auto"/>
        <w:tabs>
          <w:tab w:leader="none" w:pos="13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Prospectus will not, as of its date or as of the applicable Delivery Date,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representation or warranty is made as to information contained in or omitted from the Prospectus in reliance upon and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information furnished to the Company through the Representative by or on behalf of any Underwriter specifically for inclusion therein, which information is specified in Section 9(f).</w:t>
      </w:r>
    </w:p>
    <w:p>
      <w:pPr>
        <w:spacing w:after="0" w:line="183" w:lineRule="exact"/>
        <w:rPr>
          <w:rFonts w:ascii="Times New Roman" w:cs="Times New Roman" w:eastAsia="Times New Roman" w:hAnsi="Times New Roman"/>
          <w:sz w:val="18"/>
          <w:szCs w:val="18"/>
          <w:color w:val="auto"/>
        </w:rPr>
      </w:pPr>
    </w:p>
    <w:p>
      <w:pPr>
        <w:ind w:right="100" w:firstLine="656"/>
        <w:spacing w:after="0" w:line="266" w:lineRule="auto"/>
        <w:tabs>
          <w:tab w:leader="none" w:pos="13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75" w:lineRule="exact"/>
        <w:rPr>
          <w:rFonts w:ascii="Times New Roman" w:cs="Times New Roman" w:eastAsia="Times New Roman" w:hAnsi="Times New Roman"/>
          <w:sz w:val="18"/>
          <w:szCs w:val="18"/>
          <w:color w:val="auto"/>
        </w:rPr>
      </w:pPr>
    </w:p>
    <w:p>
      <w:pPr>
        <w:ind w:right="20" w:firstLine="656"/>
        <w:spacing w:after="0" w:line="258" w:lineRule="auto"/>
        <w:tabs>
          <w:tab w:leader="none" w:pos="14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 by or on behalf of any Underwriter specifically for inclusion therein, which information is specified in Section 9(f).</w:t>
      </w:r>
    </w:p>
    <w:p>
      <w:pPr>
        <w:spacing w:after="0" w:line="183" w:lineRule="exact"/>
        <w:rPr>
          <w:rFonts w:ascii="Times New Roman" w:cs="Times New Roman" w:eastAsia="Times New Roman" w:hAnsi="Times New Roman"/>
          <w:sz w:val="18"/>
          <w:szCs w:val="18"/>
          <w:color w:val="auto"/>
        </w:rPr>
      </w:pPr>
    </w:p>
    <w:p>
      <w:pPr>
        <w:ind w:right="140" w:firstLine="656"/>
        <w:spacing w:after="0" w:line="277" w:lineRule="auto"/>
        <w:tabs>
          <w:tab w:leader="none" w:pos="14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Representative by or on behalf of any Underwriter specifically for inclusion therein, which information is specified in Section 9(f).</w:t>
      </w:r>
    </w:p>
    <w:p>
      <w:pPr>
        <w:spacing w:after="0" w:line="167" w:lineRule="exact"/>
        <w:rPr>
          <w:rFonts w:ascii="Times New Roman" w:cs="Times New Roman" w:eastAsia="Times New Roman" w:hAnsi="Times New Roman"/>
          <w:sz w:val="17"/>
          <w:szCs w:val="17"/>
          <w:color w:val="auto"/>
        </w:rPr>
      </w:pPr>
    </w:p>
    <w:p>
      <w:pPr>
        <w:jc w:val="both"/>
        <w:ind w:right="20" w:firstLine="656"/>
        <w:spacing w:after="0" w:line="261" w:lineRule="auto"/>
        <w:tabs>
          <w:tab w:leader="none" w:pos="13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right="140"/>
        <w:spacing w:after="0" w:line="258" w:lineRule="auto"/>
        <w:rPr>
          <w:sz w:val="20"/>
          <w:szCs w:val="20"/>
          <w:color w:val="auto"/>
        </w:rPr>
      </w:pPr>
      <w:r>
        <w:rPr>
          <w:rFonts w:ascii="Times New Roman" w:cs="Times New Roman" w:eastAsia="Times New Roman" w:hAnsi="Times New Roman"/>
          <w:sz w:val="18"/>
          <w:szCs w:val="18"/>
          <w:color w:val="auto"/>
        </w:rPr>
        <w:t>would constitute an Issuer Free Writing Prospectus without the prior written consent of the Representative, except as set forth on Schedule VI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183" w:lineRule="exact"/>
        <w:rPr>
          <w:sz w:val="20"/>
          <w:szCs w:val="20"/>
          <w:color w:val="auto"/>
        </w:rPr>
      </w:pPr>
    </w:p>
    <w:p>
      <w:pPr>
        <w:ind w:firstLine="656"/>
        <w:spacing w:after="0" w:line="253" w:lineRule="auto"/>
        <w:tabs>
          <w:tab w:leader="none" w:pos="13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The Company and each of its subsidiaries has all power and authority necessary to own or hold its properties and to conduct the businesses in which it is engaged as described in the most recent Preliminary Prospectus. None of the subsidiaries of the Company (other than those subsidiaries listed in Exhibit 21 to the Company’s Annual Report on Form 10-K for the most recent fiscal year) is a “significant subsidiary” (as defined in Rule 405 under the Securities Act).</w:t>
      </w:r>
    </w:p>
    <w:p>
      <w:pPr>
        <w:spacing w:after="0" w:line="194" w:lineRule="exact"/>
        <w:rPr>
          <w:rFonts w:ascii="Times New Roman" w:cs="Times New Roman" w:eastAsia="Times New Roman" w:hAnsi="Times New Roman"/>
          <w:sz w:val="18"/>
          <w:szCs w:val="18"/>
          <w:color w:val="auto"/>
        </w:rPr>
      </w:pPr>
    </w:p>
    <w:p>
      <w:pPr>
        <w:ind w:right="40" w:firstLine="656"/>
        <w:spacing w:after="0" w:line="254" w:lineRule="auto"/>
        <w:tabs>
          <w:tab w:leader="none" w:pos="1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656"/>
        <w:spacing w:after="0" w:line="266" w:lineRule="auto"/>
        <w:tabs>
          <w:tab w:leader="none" w:pos="13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 authorized, executed and delivered by the Company, and the Share Repurchase has been duly authorized by the Company.</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left="-656" w:right="20" w:firstLine="656"/>
        <w:spacing w:after="0" w:line="254" w:lineRule="auto"/>
        <w:tabs>
          <w:tab w:leader="none" w:pos="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of the transactions contemplated hereby (including the Share Repurchase)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656" w:firstLine="656"/>
        <w:spacing w:after="0" w:line="256" w:lineRule="auto"/>
        <w:tabs>
          <w:tab w:leader="none" w:pos="7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 (including the Share Repurchase), except for the registration of the Stock under the Securities Act and such consents, approvals, authorizations, orders, filings, registrations or qualifications as may be required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applicable state securities laws and/or the bylaws and rules of the Financial Industry Regulatory Authority, Inc. (the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in connection with the purchase and sale of the Stock by the Underwriters.</w:t>
      </w:r>
    </w:p>
    <w:p>
      <w:pPr>
        <w:spacing w:after="0" w:line="187" w:lineRule="exact"/>
        <w:rPr>
          <w:rFonts w:ascii="Times New Roman" w:cs="Times New Roman" w:eastAsia="Times New Roman" w:hAnsi="Times New Roman"/>
          <w:sz w:val="18"/>
          <w:szCs w:val="18"/>
          <w:color w:val="auto"/>
        </w:rPr>
      </w:pPr>
    </w:p>
    <w:p>
      <w:pPr>
        <w:ind w:left="-656" w:right="20" w:firstLine="656"/>
        <w:spacing w:after="0" w:line="253" w:lineRule="auto"/>
        <w:tabs>
          <w:tab w:leader="none" w:pos="7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(including the related notes and supporting schedules) included or incorporated by reference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or incorporated by reference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194" w:lineRule="exact"/>
        <w:rPr>
          <w:rFonts w:ascii="Times New Roman" w:cs="Times New Roman" w:eastAsia="Times New Roman" w:hAnsi="Times New Roman"/>
          <w:sz w:val="18"/>
          <w:szCs w:val="18"/>
          <w:color w:val="auto"/>
        </w:rPr>
      </w:pPr>
    </w:p>
    <w:p>
      <w:pPr>
        <w:ind w:left="764" w:hanging="764"/>
        <w:spacing w:after="0"/>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56" w:right="180" w:firstLine="656"/>
        <w:spacing w:after="0" w:line="282" w:lineRule="auto"/>
        <w:tabs>
          <w:tab w:leader="none" w:pos="7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have audited certain financial statements of the Company and its consolidated subsidiaries, whose report appears in the most recent Preliminary Prospectus or is incorporated by reference therein and who have delivered the initial letter referred to in Section</w:t>
      </w:r>
    </w:p>
    <w:p>
      <w:pPr>
        <w:spacing w:after="0" w:line="162" w:lineRule="exact"/>
        <w:rPr>
          <w:sz w:val="20"/>
          <w:szCs w:val="20"/>
          <w:color w:val="auto"/>
        </w:rPr>
      </w:pPr>
    </w:p>
    <w:p>
      <w:pPr>
        <w:ind w:left="10504"/>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8(g) hereof, are independent public accountants as required by the Securities Act and the rules and regulations thereunder.</w:t>
      </w:r>
    </w:p>
    <w:p>
      <w:pPr>
        <w:spacing w:after="0" w:line="225" w:lineRule="exact"/>
        <w:rPr>
          <w:sz w:val="20"/>
          <w:szCs w:val="20"/>
          <w:color w:val="auto"/>
        </w:rPr>
      </w:pPr>
    </w:p>
    <w:p>
      <w:pPr>
        <w:ind w:right="20" w:firstLine="656"/>
        <w:spacing w:after="0" w:line="252" w:lineRule="auto"/>
        <w:tabs>
          <w:tab w:leader="none" w:pos="13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Except as described in the most recent Preliminary Prospectus and the Prospectus, as of the date of the most recent balance sheet of the Company and its consolidated subsidiaries reviewed or audited by KPMG LLP, there were no material weaknesses in the Company’s internal controls. Except as described in the most recent Preliminary Prospectus and the Prospectus,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190" w:lineRule="exact"/>
        <w:rPr>
          <w:rFonts w:ascii="Times New Roman" w:cs="Times New Roman" w:eastAsia="Times New Roman" w:hAnsi="Times New Roman"/>
          <w:sz w:val="18"/>
          <w:szCs w:val="18"/>
          <w:color w:val="auto"/>
        </w:rPr>
      </w:pPr>
    </w:p>
    <w:p>
      <w:pPr>
        <w:ind w:right="180" w:firstLine="656"/>
        <w:spacing w:after="0" w:line="256" w:lineRule="auto"/>
        <w:tabs>
          <w:tab w:leader="none" w:pos="13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except as described in the most recent Preliminary Prospectus and the Prospectus, such disclosure controls and procedures are effective in all material respects to perform the functions for which they were established.</w:t>
      </w:r>
    </w:p>
    <w:p>
      <w:pPr>
        <w:spacing w:after="0" w:line="187"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56"/>
        <w:spacing w:after="0" w:line="253" w:lineRule="auto"/>
        <w:tabs>
          <w:tab w:leader="none" w:pos="13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or as would not, individually or in the aggregate, reasonably be expected to have a Material Adverse Effect, since the date of the latest audited financial statements included or incorporated by reference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192" w:lineRule="exact"/>
        <w:rPr>
          <w:sz w:val="20"/>
          <w:szCs w:val="20"/>
          <w:color w:val="auto"/>
        </w:rPr>
      </w:pPr>
    </w:p>
    <w:p>
      <w:pPr>
        <w:ind w:right="60" w:firstLine="656"/>
        <w:spacing w:after="0" w:line="261" w:lineRule="auto"/>
        <w:tabs>
          <w:tab w:leader="none" w:pos="135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w:t>
      </w:r>
    </w:p>
    <w:p>
      <w:pPr>
        <w:ind w:right="140" w:firstLine="8"/>
        <w:spacing w:after="0" w:line="255"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185" w:lineRule="exact"/>
        <w:rPr>
          <w:rFonts w:ascii="Times New Roman" w:cs="Times New Roman" w:eastAsia="Times New Roman" w:hAnsi="Times New Roman"/>
          <w:sz w:val="18"/>
          <w:szCs w:val="18"/>
          <w:color w:val="auto"/>
        </w:rPr>
      </w:pPr>
    </w:p>
    <w:p>
      <w:pPr>
        <w:ind w:right="100" w:firstLine="656"/>
        <w:spacing w:after="0" w:line="254" w:lineRule="auto"/>
        <w:tabs>
          <w:tab w:leader="none" w:pos="13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and are operating in compliance with,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88" w:lineRule="exact"/>
        <w:rPr>
          <w:rFonts w:ascii="Times New Roman" w:cs="Times New Roman" w:eastAsia="Times New Roman" w:hAnsi="Times New Roman"/>
          <w:sz w:val="18"/>
          <w:szCs w:val="18"/>
          <w:color w:val="auto"/>
        </w:rPr>
      </w:pPr>
    </w:p>
    <w:p>
      <w:pPr>
        <w:ind w:right="80" w:firstLine="656"/>
        <w:spacing w:after="0" w:line="282" w:lineRule="auto"/>
        <w:tabs>
          <w:tab w:leader="none" w:pos="13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right="40"/>
        <w:spacing w:after="0" w:line="253" w:lineRule="auto"/>
        <w:rPr>
          <w:sz w:val="20"/>
          <w:szCs w:val="20"/>
          <w:color w:val="auto"/>
        </w:rPr>
      </w:pPr>
      <w:r>
        <w:rPr>
          <w:rFonts w:ascii="Times New Roman" w:cs="Times New Roman" w:eastAsia="Times New Roman" w:hAnsi="Times New Roman"/>
          <w:sz w:val="18"/>
          <w:szCs w:val="18"/>
          <w:color w:val="auto"/>
        </w:rPr>
        <w:t>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194" w:lineRule="exact"/>
        <w:rPr>
          <w:sz w:val="20"/>
          <w:szCs w:val="20"/>
          <w:color w:val="auto"/>
        </w:rPr>
      </w:pPr>
    </w:p>
    <w:p>
      <w:pPr>
        <w:ind w:right="160" w:firstLine="656"/>
        <w:spacing w:after="0" w:line="258" w:lineRule="auto"/>
        <w:tabs>
          <w:tab w:leader="none" w:pos="1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(including the Share Repurchase); and to the Company’s knowledge, no such proceedings are threatened by governmental authorities or others.</w:t>
      </w:r>
    </w:p>
    <w:p>
      <w:pPr>
        <w:spacing w:after="0" w:line="183" w:lineRule="exact"/>
        <w:rPr>
          <w:rFonts w:ascii="Times New Roman" w:cs="Times New Roman" w:eastAsia="Times New Roman" w:hAnsi="Times New Roman"/>
          <w:sz w:val="18"/>
          <w:szCs w:val="18"/>
          <w:color w:val="auto"/>
        </w:rPr>
      </w:pPr>
    </w:p>
    <w:p>
      <w:pPr>
        <w:ind w:right="280" w:firstLine="656"/>
        <w:spacing w:after="0" w:line="261" w:lineRule="auto"/>
        <w:tabs>
          <w:tab w:leader="none" w:pos="13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179" w:lineRule="exact"/>
        <w:rPr>
          <w:rFonts w:ascii="Times New Roman" w:cs="Times New Roman" w:eastAsia="Times New Roman" w:hAnsi="Times New Roman"/>
          <w:sz w:val="18"/>
          <w:szCs w:val="18"/>
          <w:color w:val="auto"/>
        </w:rPr>
      </w:pPr>
    </w:p>
    <w:p>
      <w:pPr>
        <w:ind w:right="60" w:firstLine="656"/>
        <w:spacing w:after="0" w:line="258" w:lineRule="auto"/>
        <w:tabs>
          <w:tab w:leader="none" w:pos="13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in or incorporated by reference in the most recent Preliminary Prospectus and Prospectus under the captions “Risk Factors — Risks Related to Our Industry”, “Risk Factors — Risks Related to Our Business” and “Business —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183" w:lineRule="exact"/>
        <w:rPr>
          <w:rFonts w:ascii="Times New Roman" w:cs="Times New Roman" w:eastAsia="Times New Roman" w:hAnsi="Times New Roman"/>
          <w:sz w:val="18"/>
          <w:szCs w:val="18"/>
          <w:color w:val="auto"/>
        </w:rPr>
      </w:pPr>
    </w:p>
    <w:p>
      <w:pPr>
        <w:ind w:firstLine="656"/>
        <w:spacing w:after="0" w:line="258" w:lineRule="auto"/>
        <w:tabs>
          <w:tab w:leader="none" w:pos="1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60"/>
        <w:spacing w:after="0" w:line="256" w:lineRule="auto"/>
        <w:rPr>
          <w:sz w:val="20"/>
          <w:szCs w:val="20"/>
          <w:color w:val="auto"/>
        </w:rPr>
      </w:pPr>
      <w:r>
        <w:rPr>
          <w:rFonts w:ascii="Times New Roman" w:cs="Times New Roman" w:eastAsia="Times New Roman" w:hAnsi="Times New Roman"/>
          <w:sz w:val="18"/>
          <w:szCs w:val="18"/>
          <w:color w:val="auto"/>
        </w:rPr>
        <w:t>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7" w:lineRule="exact"/>
        <w:rPr>
          <w:sz w:val="20"/>
          <w:szCs w:val="20"/>
          <w:color w:val="auto"/>
        </w:rPr>
      </w:pPr>
    </w:p>
    <w:p>
      <w:pPr>
        <w:ind w:right="400" w:firstLine="656"/>
        <w:spacing w:after="0" w:line="266" w:lineRule="auto"/>
        <w:tabs>
          <w:tab w:leader="none" w:pos="13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175" w:lineRule="exact"/>
        <w:rPr>
          <w:rFonts w:ascii="Times New Roman" w:cs="Times New Roman" w:eastAsia="Times New Roman" w:hAnsi="Times New Roman"/>
          <w:sz w:val="18"/>
          <w:szCs w:val="18"/>
          <w:color w:val="auto"/>
        </w:rPr>
      </w:pPr>
    </w:p>
    <w:p>
      <w:pPr>
        <w:ind w:right="480" w:firstLine="656"/>
        <w:spacing w:after="0" w:line="282" w:lineRule="auto"/>
        <w:tabs>
          <w:tab w:leader="none" w:pos="1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54" w:lineRule="auto"/>
        <w:tabs>
          <w:tab w:leader="none" w:pos="1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 (iv) 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right="20" w:firstLine="656"/>
        <w:spacing w:after="0" w:line="254" w:lineRule="auto"/>
        <w:tabs>
          <w:tab w:leader="none" w:pos="13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right="140"/>
        <w:spacing w:after="0" w:line="255" w:lineRule="auto"/>
        <w:rPr>
          <w:sz w:val="20"/>
          <w:szCs w:val="20"/>
          <w:color w:val="auto"/>
        </w:rPr>
      </w:pPr>
      <w:r>
        <w:rPr>
          <w:rFonts w:ascii="Times New Roman" w:cs="Times New Roman" w:eastAsia="Times New Roman" w:hAnsi="Times New Roman"/>
          <w:sz w:val="18"/>
          <w:szCs w:val="18"/>
          <w:color w:val="auto"/>
        </w:rPr>
        <w:t>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189" w:lineRule="exact"/>
        <w:rPr>
          <w:sz w:val="20"/>
          <w:szCs w:val="20"/>
          <w:color w:val="auto"/>
        </w:rPr>
      </w:pPr>
    </w:p>
    <w:p>
      <w:pPr>
        <w:ind w:right="40" w:firstLine="656"/>
        <w:spacing w:after="0" w:line="256" w:lineRule="auto"/>
        <w:tabs>
          <w:tab w:leader="none" w:pos="126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40" w:firstLine="656"/>
        <w:spacing w:after="0" w:line="252" w:lineRule="auto"/>
        <w:tabs>
          <w:tab w:leader="none" w:pos="13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w:t>
      </w:r>
    </w:p>
    <w:p>
      <w:pPr>
        <w:spacing w:after="0" w:line="3" w:lineRule="exact"/>
        <w:rPr>
          <w:rFonts w:ascii="Times New Roman" w:cs="Times New Roman" w:eastAsia="Times New Roman" w:hAnsi="Times New Roman"/>
          <w:sz w:val="18"/>
          <w:szCs w:val="18"/>
          <w:color w:val="auto"/>
        </w:rPr>
      </w:pPr>
    </w:p>
    <w:p>
      <w:pPr>
        <w:ind w:right="100" w:firstLine="8"/>
        <w:spacing w:after="0" w:line="253" w:lineRule="auto"/>
        <w:tabs>
          <w:tab w:leader="none" w:pos="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(iv) no Multiemployer Plan is, or is expected to be,</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t>“insolvent”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80" w:lineRule="exact"/>
        <w:rPr>
          <w:sz w:val="20"/>
          <w:szCs w:val="20"/>
          <w:color w:val="auto"/>
        </w:rPr>
      </w:pPr>
    </w:p>
    <w:p>
      <w:pPr>
        <w:ind w:right="140" w:firstLine="656"/>
        <w:spacing w:after="0" w:line="282" w:lineRule="auto"/>
        <w:tabs>
          <w:tab w:leader="none" w:pos="13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most recent Preliminary Prospectus are based on or derived from sources that the Company reasonably believes to be reliable in all material respects.</w:t>
      </w:r>
    </w:p>
    <w:p>
      <w:pPr>
        <w:spacing w:after="0" w:line="161" w:lineRule="exact"/>
        <w:rPr>
          <w:rFonts w:ascii="Times New Roman" w:cs="Times New Roman" w:eastAsia="Times New Roman" w:hAnsi="Times New Roman"/>
          <w:sz w:val="18"/>
          <w:szCs w:val="18"/>
          <w:color w:val="auto"/>
        </w:rPr>
      </w:pPr>
    </w:p>
    <w:p>
      <w:pPr>
        <w:ind w:right="260" w:firstLine="656"/>
        <w:spacing w:after="0" w:line="261" w:lineRule="auto"/>
        <w:tabs>
          <w:tab w:leader="none" w:pos="13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and as of the applicable Delivery Date after giving effect to the Share Repurchase,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and the rules and regulations of the Commission thereunder, or (ii) a “business development company” (as defined in Section 2(a)(48) of the Investment Company Act).</w:t>
      </w:r>
    </w:p>
    <w:p>
      <w:pPr>
        <w:spacing w:after="0" w:line="179"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13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175" w:lineRule="exact"/>
        <w:rPr>
          <w:rFonts w:ascii="Times New Roman" w:cs="Times New Roman" w:eastAsia="Times New Roman" w:hAnsi="Times New Roman"/>
          <w:sz w:val="18"/>
          <w:szCs w:val="18"/>
          <w:color w:val="auto"/>
        </w:rPr>
      </w:pPr>
    </w:p>
    <w:p>
      <w:pPr>
        <w:ind w:right="80" w:firstLine="656"/>
        <w:spacing w:after="0" w:line="258" w:lineRule="auto"/>
        <w:tabs>
          <w:tab w:leader="none" w:pos="13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ind w:right="160" w:firstLine="656"/>
        <w:spacing w:after="0" w:line="266" w:lineRule="auto"/>
        <w:tabs>
          <w:tab w:leader="none" w:pos="13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175" w:lineRule="exact"/>
        <w:rPr>
          <w:rFonts w:ascii="Times New Roman" w:cs="Times New Roman" w:eastAsia="Times New Roman" w:hAnsi="Times New Roman"/>
          <w:sz w:val="18"/>
          <w:szCs w:val="18"/>
          <w:color w:val="auto"/>
        </w:rPr>
      </w:pPr>
    </w:p>
    <w:p>
      <w:pPr>
        <w:ind w:right="720" w:firstLine="656"/>
        <w:spacing w:after="0" w:line="282" w:lineRule="auto"/>
        <w:tabs>
          <w:tab w:leader="none" w:pos="1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161" w:lineRule="exact"/>
        <w:rPr>
          <w:rFonts w:ascii="Times New Roman" w:cs="Times New Roman" w:eastAsia="Times New Roman" w:hAnsi="Times New Roman"/>
          <w:sz w:val="18"/>
          <w:szCs w:val="18"/>
          <w:color w:val="auto"/>
        </w:rPr>
      </w:pPr>
    </w:p>
    <w:p>
      <w:pPr>
        <w:ind w:right="320" w:firstLine="656"/>
        <w:spacing w:after="0" w:line="266"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17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listed on The Nasdaq Global Select Market.</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13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any Delivery Date and completion of the distribution of the Stock by the Selling Stockholder, will not distribute</w:t>
      </w:r>
    </w:p>
    <w:p>
      <w:pPr>
        <w:spacing w:after="0" w:line="16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120"/>
        <w:spacing w:after="0" w:line="266" w:lineRule="auto"/>
        <w:rPr>
          <w:sz w:val="20"/>
          <w:szCs w:val="20"/>
          <w:color w:val="auto"/>
        </w:rPr>
      </w:pPr>
      <w:r>
        <w:rPr>
          <w:rFonts w:ascii="Times New Roman" w:cs="Times New Roman" w:eastAsia="Times New Roman" w:hAnsi="Times New Roman"/>
          <w:sz w:val="18"/>
          <w:szCs w:val="18"/>
          <w:color w:val="auto"/>
        </w:rPr>
        <w:t>any offering material in connection with the offering and sale of the Stock by the Selling Stockholder other than any Preliminary Prospectus, the Prospectus, any Issuer Free Writing Prospectus to which the Representative have consented in accordance with Section 1(l) or 5(a)(vi) and any Issuer Free Writing Prospectus set forth on Schedule VI hereto.</w:t>
      </w:r>
    </w:p>
    <w:p>
      <w:pPr>
        <w:spacing w:after="0" w:line="176" w:lineRule="exact"/>
        <w:rPr>
          <w:sz w:val="20"/>
          <w:szCs w:val="20"/>
          <w:color w:val="auto"/>
        </w:rPr>
      </w:pPr>
    </w:p>
    <w:p>
      <w:pPr>
        <w:ind w:left="1280" w:hanging="624"/>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656"/>
        <w:spacing w:after="0" w:line="253" w:lineRule="auto"/>
        <w:tabs>
          <w:tab w:leader="none" w:pos="13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or domestic government official; or (iii) violated or is in violation of any provision of the FCPA, the Bribery Act 2010 of the United Kingdom, as amended (the “</w:t>
      </w:r>
      <w:r>
        <w:rPr>
          <w:rFonts w:ascii="Times New Roman" w:cs="Times New Roman" w:eastAsia="Times New Roman" w:hAnsi="Times New Roman"/>
          <w:sz w:val="18"/>
          <w:szCs w:val="18"/>
          <w:b w:val="1"/>
          <w:bCs w:val="1"/>
          <w:i w:val="1"/>
          <w:iCs w:val="1"/>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w:t>
      </w:r>
    </w:p>
    <w:p>
      <w:pPr>
        <w:spacing w:after="0" w:line="194" w:lineRule="exact"/>
        <w:rPr>
          <w:rFonts w:ascii="Times New Roman" w:cs="Times New Roman" w:eastAsia="Times New Roman" w:hAnsi="Times New Roman"/>
          <w:sz w:val="18"/>
          <w:szCs w:val="18"/>
          <w:color w:val="auto"/>
        </w:rPr>
      </w:pPr>
    </w:p>
    <w:p>
      <w:pPr>
        <w:ind w:right="20" w:firstLine="656"/>
        <w:spacing w:after="0" w:line="255" w:lineRule="auto"/>
        <w:tabs>
          <w:tab w:leader="none" w:pos="13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80" w:firstLine="656"/>
        <w:spacing w:after="0" w:line="254" w:lineRule="auto"/>
        <w:tabs>
          <w:tab w:leader="none" w:pos="13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or target of Sanctions (including, without limitation, the Crimea Region and the non-government controlled areas of the Zaporizhzhia and Kherson Regions of Ukraine, the so-called Donetsk People’s Republic, the so-called Luhansk People’s Republic and any other Covered Region of Ukraine identified pursuant</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t>to Executive Order 14065, Cuba, Iran, North Korea and Syria);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89" w:lineRule="exact"/>
        <w:rPr>
          <w:sz w:val="20"/>
          <w:szCs w:val="20"/>
          <w:color w:val="auto"/>
        </w:rPr>
      </w:pPr>
    </w:p>
    <w:p>
      <w:pPr>
        <w:ind w:firstLine="656"/>
        <w:spacing w:after="0" w:line="253"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the operation of the business of the Company or its subsidiaries as currently conducted, free and clear, to the knowledge of the Company, of all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Times New Roman" w:cs="Times New Roman" w:eastAsia="Times New Roman" w:hAnsi="Times New Roman"/>
          <w:sz w:val="18"/>
          <w:szCs w:val="18"/>
          <w:b w:val="1"/>
          <w:bCs w:val="1"/>
          <w:i w:val="1"/>
          <w:iCs w:val="1"/>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and, except as would not, individually or in the aggregate, reasonably be expected to have a Material Adverse Effect, there has been no breach,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violation, outage, disablement, loss, destruction or unauthorized use, access, distribution or modification of or to any IT System or Personal Data of the Company or its subsidiaries.</w:t>
      </w:r>
    </w:p>
    <w:p>
      <w:pPr>
        <w:spacing w:after="0" w:line="189" w:lineRule="exact"/>
        <w:rPr>
          <w:rFonts w:ascii="Times New Roman" w:cs="Times New Roman" w:eastAsia="Times New Roman" w:hAnsi="Times New Roman"/>
          <w:sz w:val="18"/>
          <w:szCs w:val="18"/>
          <w:color w:val="auto"/>
        </w:rPr>
      </w:pPr>
    </w:p>
    <w:p>
      <w:pPr>
        <w:ind w:right="40" w:firstLine="656"/>
        <w:spacing w:after="0" w:line="254" w:lineRule="auto"/>
        <w:tabs>
          <w:tab w:leader="none" w:pos="1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at all times since January 1, 2018 were,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Times New Roman" w:cs="Times New Roman" w:eastAsia="Times New Roman" w:hAnsi="Times New Roman"/>
          <w:sz w:val="18"/>
          <w:szCs w:val="18"/>
          <w:b w:val="1"/>
          <w:bCs w:val="1"/>
          <w:i w:val="1"/>
          <w:iCs w:val="1"/>
          <w:color w:val="auto"/>
        </w:rPr>
        <w:t>Privacy Obligations</w:t>
      </w:r>
      <w:r>
        <w:rPr>
          <w:rFonts w:ascii="Times New Roman" w:cs="Times New Roman" w:eastAsia="Times New Roman" w:hAnsi="Times New Roman"/>
          <w:sz w:val="18"/>
          <w:szCs w:val="18"/>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right="200" w:firstLine="656"/>
        <w:spacing w:after="0" w:line="276" w:lineRule="auto"/>
        <w:tabs>
          <w:tab w:leader="none" w:pos="12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affiliations or associations between (i) any member of FINRA and (ii) the Company or, to the knowledge of the Company, any of the Company’s officers, directors or 5% or greater security holders or any beneficial owner of the Company’s unregistered equity securities that</w:t>
      </w:r>
    </w:p>
    <w:p>
      <w:pPr>
        <w:spacing w:after="0" w:line="1"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18"/>
          <w:szCs w:val="18"/>
          <w:color w:val="auto"/>
        </w:rPr>
        <w:t>were acquired at any time on or after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198" w:lineRule="exact"/>
        <w:rPr>
          <w:sz w:val="20"/>
          <w:szCs w:val="20"/>
          <w:color w:val="auto"/>
        </w:rPr>
      </w:pPr>
    </w:p>
    <w:p>
      <w:pPr>
        <w:ind w:right="60" w:firstLine="656"/>
        <w:spacing w:after="0" w:line="270" w:lineRule="auto"/>
        <w:tabs>
          <w:tab w:leader="none" w:pos="129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Times New Roman" w:cs="Times New Roman" w:eastAsia="Times New Roman" w:hAnsi="Times New Roman"/>
          <w:sz w:val="17"/>
          <w:szCs w:val="17"/>
          <w:b w:val="1"/>
          <w:bCs w:val="1"/>
          <w:i w:val="1"/>
          <w:iCs w:val="1"/>
          <w:color w:val="auto"/>
        </w:rPr>
        <w:t>FAA</w:t>
      </w:r>
      <w:r>
        <w:rPr>
          <w:rFonts w:ascii="Times New Roman" w:cs="Times New Roman" w:eastAsia="Times New Roman" w:hAnsi="Times New Roman"/>
          <w:sz w:val="17"/>
          <w:szCs w:val="17"/>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Pricing Disclosure Package and the Prospectus (exclusive of any supplement thereto).</w:t>
      </w:r>
    </w:p>
    <w:p>
      <w:pPr>
        <w:spacing w:after="0" w:line="176" w:lineRule="exact"/>
        <w:rPr>
          <w:rFonts w:ascii="Times New Roman" w:cs="Times New Roman" w:eastAsia="Times New Roman" w:hAnsi="Times New Roman"/>
          <w:sz w:val="17"/>
          <w:szCs w:val="17"/>
          <w:color w:val="auto"/>
        </w:rPr>
      </w:pPr>
    </w:p>
    <w:p>
      <w:pPr>
        <w:ind w:right="100" w:firstLine="656"/>
        <w:spacing w:after="0" w:line="269" w:lineRule="auto"/>
        <w:tabs>
          <w:tab w:leader="none" w:pos="133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Times New Roman" w:cs="Times New Roman" w:eastAsia="Times New Roman" w:hAnsi="Times New Roman"/>
          <w:sz w:val="17"/>
          <w:szCs w:val="17"/>
          <w:b w:val="1"/>
          <w:bCs w:val="1"/>
          <w:i w:val="1"/>
          <w:iCs w:val="1"/>
          <w:color w:val="auto"/>
        </w:rPr>
        <w:t>Governmental Licenses</w:t>
      </w:r>
      <w:r>
        <w:rPr>
          <w:rFonts w:ascii="Times New Roman" w:cs="Times New Roman" w:eastAsia="Times New Roman" w:hAnsi="Times New Roman"/>
          <w:sz w:val="17"/>
          <w:szCs w:val="17"/>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w:t>
      </w:r>
    </w:p>
    <w:p>
      <w:pPr>
        <w:spacing w:after="0" w:line="2" w:lineRule="exact"/>
        <w:rPr>
          <w:rFonts w:ascii="Times New Roman" w:cs="Times New Roman" w:eastAsia="Times New Roman" w:hAnsi="Times New Roman"/>
          <w:sz w:val="17"/>
          <w:szCs w:val="17"/>
          <w:color w:val="auto"/>
        </w:rPr>
      </w:pPr>
    </w:p>
    <w:p>
      <w:pPr>
        <w:ind w:right="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185" w:lineRule="exact"/>
        <w:rPr>
          <w:rFonts w:ascii="Times New Roman" w:cs="Times New Roman" w:eastAsia="Times New Roman" w:hAnsi="Times New Roman"/>
          <w:sz w:val="18"/>
          <w:szCs w:val="18"/>
          <w:color w:val="auto"/>
        </w:rPr>
      </w:pPr>
    </w:p>
    <w:p>
      <w:pPr>
        <w:ind w:right="40" w:firstLine="656"/>
        <w:spacing w:after="0" w:line="282" w:lineRule="auto"/>
        <w:tabs>
          <w:tab w:leader="none" w:pos="12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Underwriters in connection with the offering of the Stock shall be deemed a representation and warranty by the Company, as to matters covered thereby, to each Underwriter.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1660" w:hanging="356"/>
        <w:spacing w:after="0"/>
        <w:tabs>
          <w:tab w:leader="none" w:pos="1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Selling Stockholder</w:t>
      </w:r>
      <w:r>
        <w:rPr>
          <w:rFonts w:ascii="Times New Roman" w:cs="Times New Roman" w:eastAsia="Times New Roman" w:hAnsi="Times New Roman"/>
          <w:sz w:val="18"/>
          <w:szCs w:val="18"/>
          <w:color w:val="auto"/>
        </w:rPr>
        <w:t>. The Selling Stockholder represents, warrants and agrees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right="140" w:firstLine="656"/>
        <w:spacing w:after="0" w:line="282" w:lineRule="auto"/>
        <w:tabs>
          <w:tab w:leader="none" w:pos="1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been duly organized and is validly existing as a corporation, limited liability company, public agency, or a limited partnership, as the case may be, in good standing in its jurisdiction of formation.</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 United States person (as the term is defined in Section 7701(a)(30) of the Internal Revenue Code of 1986, as amended) for U.S. federal income tax purposes.</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3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and immediately prior to any Delivery Date, the Selling Stockholder will have, good and valid title to the shares of Stock to be sold by the Selling Stockholder hereunder on such Delivery Date and any “security entitlement” within the meaning of Section 8-501 of the New York Uniform Commercial Code (the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in respect thereof, free and clear of all liens, encumbrances, equities or adverse claims.</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656"/>
        <w:spacing w:after="0" w:line="253" w:lineRule="auto"/>
        <w:tabs>
          <w:tab w:leader="none" w:pos="14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Stock to be sold by the Selling Stockholder, delivery of such Stock, as directed by the Underwriters, to Cede &amp; Co. (“</w:t>
      </w:r>
      <w:r>
        <w:rPr>
          <w:rFonts w:ascii="Times New Roman" w:cs="Times New Roman" w:eastAsia="Times New Roman" w:hAnsi="Times New Roman"/>
          <w:sz w:val="18"/>
          <w:szCs w:val="18"/>
          <w:b w:val="1"/>
          <w:bCs w:val="1"/>
          <w:i w:val="1"/>
          <w:i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registration of such Stock in the name of Cede or such other nominee and the crediting of such Stock on the books of DTC to securities accounts of the Underwriters (assuming that neither DTC nor any such Underwriter has notice of any adverse claim (within the meaning of Section 8-105 of the UCC) to such Stock) (i) DTC shall be a “protected purchaser” of such Stock within the meaning of Section 8-303 of the UCC, (ii) under Section 8-501 of the UCC, the Underwriters will acquire a valid security entitlement in respect of such Stock, and (iii) an action based on an adverse claim, within the meaning of Section 8-102 of the UCC, may not be asserted against the Underwriters with respect to such security entitlement. For purposes of this representation, the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9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full right, power and authority, corporate or otherwise, to enter into this Agreement.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the Selling Stockholder.</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4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Stock by the Selling Stockholder, the execution, delivery and performance of this Agreement by the Selling Stockholder and the consummation by the Selling Stockholder of the transactions contemplated hereby do not and will not (i) conflict with or result</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ind w:right="180"/>
        <w:spacing w:after="0" w:line="255" w:lineRule="auto"/>
        <w:rPr>
          <w:sz w:val="20"/>
          <w:szCs w:val="20"/>
          <w:color w:val="auto"/>
        </w:rPr>
      </w:pPr>
      <w:r>
        <w:rPr>
          <w:rFonts w:ascii="Times New Roman" w:cs="Times New Roman" w:eastAsia="Times New Roman" w:hAnsi="Times New Roman"/>
          <w:sz w:val="18"/>
          <w:szCs w:val="18"/>
          <w:color w:val="auto"/>
        </w:rPr>
        <w:t>in a breach or violation of any of the terms or provisions of,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any violation of any statute or any judgment, order, decree, rule or regulation of any court or governmental agency or body having jurisdiction over the Selling Stockholder or the property or assets of the Selling Stockholder, except, with respect to clauses (i) and (iii), conflicts, defaults, breaches or violations that would not, individually or in the aggregate, reasonably be expected to have a material adverse effect on the Selling Stockholder’s ability to perform its obligations under this Agreement.</w:t>
      </w:r>
    </w:p>
    <w:p>
      <w:pPr>
        <w:spacing w:after="0" w:line="189" w:lineRule="exact"/>
        <w:rPr>
          <w:sz w:val="20"/>
          <w:szCs w:val="20"/>
          <w:color w:val="auto"/>
        </w:rPr>
      </w:pPr>
    </w:p>
    <w:p>
      <w:pPr>
        <w:ind w:right="20" w:firstLine="656"/>
        <w:spacing w:after="0" w:line="256" w:lineRule="auto"/>
        <w:tabs>
          <w:tab w:leader="none" w:pos="14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or registration with, any court or governmental agency or body having jurisdiction over the Selling Stockholder or the property or assets of the Selling Stockholder is required for the sale of the Stock by the Selling Stockholder, the execution, delivery and performance of this Agreement by the Selling Stockholder and the consummation by the Selling Stockholder of the transactions contemplated hereby, except for the registration of the Stock under the Securities Act and such consents, approvals, authorizations, orders, filings, registrations or qualifications as may be required under the Exchange Act and applicable state securities laws in connection with the purchase and sale of the Stock by the Underwriters.</w:t>
      </w:r>
    </w:p>
    <w:p>
      <w:pPr>
        <w:spacing w:after="0" w:line="187" w:lineRule="exact"/>
        <w:rPr>
          <w:rFonts w:ascii="Times New Roman" w:cs="Times New Roman" w:eastAsia="Times New Roman" w:hAnsi="Times New Roman"/>
          <w:sz w:val="18"/>
          <w:szCs w:val="18"/>
          <w:color w:val="auto"/>
        </w:rPr>
      </w:pPr>
    </w:p>
    <w:p>
      <w:pPr>
        <w:ind w:firstLine="656"/>
        <w:spacing w:after="0" w:line="253" w:lineRule="auto"/>
        <w:tabs>
          <w:tab w:leader="none" w:pos="1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at the Applicable Time did not, and as of the Initial Delivery Date and as of each Option Stock Delivery Date, as the case may be, will not, contain any untrue statement of a material fact or omit to state a material fact necessary in order to make the statements therein, in the light of the circumstances under which they were made, not misleading. The preceding sentence applies only to written information furnished to the Company by the Selling Stockholder expressly for use therein, it being understood and agreed that the only such information furnished by the Selling Stockholder consists of the Selling Stockholder’s Selling Stockholder Information. Each Underwriter, the Company and the Selling Stockholder agree that the “Selling Stockholder Information” with respect to a Selling Stockholder consists solely of the information furnished by the Selling Stockholder for use in connection with the offering in the Registration Statement, the Pricing Disclosure Package and the Prospectus, which consists solely of (i) the name, address and number of shares of Common Stock owned by the Selling Stockholder, before and after the offering, and (ii) the other information with respect to the Selling Stockholder that appears in the table (and corresponding footnotes) under the caption “Selling Stockholder,” in each case, in the Registration Statement, the Pricing Disclosure Package, the Prospectus or in any Issuer Free Writing Prospectus.</w:t>
      </w:r>
    </w:p>
    <w:p>
      <w:pPr>
        <w:spacing w:after="0" w:line="194"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right="40" w:firstLine="656"/>
        <w:spacing w:after="0" w:line="282" w:lineRule="auto"/>
        <w:tabs>
          <w:tab w:leader="none" w:pos="13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not prompted to sell shares of Common Stock by any information concerning the Company, including any of its subsidiaries, that is not set forth in the Registration Statement, the Pricing Disclosure Package and the Prospectus.</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13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of the Stock.</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656"/>
        <w:spacing w:after="0" w:line="257" w:lineRule="auto"/>
        <w:tabs>
          <w:tab w:leader="none" w:pos="14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nor any director or officer of the Selling Stockholder or any of its subsidiaries (to the extent applicable) nor, to the knowledge of the Selling Stockholder, any employee of the Selling Stockholder or any of its subsidiaries (to the extent applicable) or any agent, affiliate or other person associated with or acting on behalf of the Selling Stockholder has:</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any corporate funds for any unlawful contribution, gift, entertainment or other unlawful expense relating to political activity; (ii) made any direct or indirect unlawful payment to any foreign or domestic government official, “foreign official” (as defined in the FCPA) or employee from corporate funds;</w:t>
      </w: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FCPA, Bribery Act 2010, as amended, or any other applicable anti-bribery statute or regulation; or</w:t>
      </w:r>
    </w:p>
    <w:p>
      <w:pPr>
        <w:spacing w:after="0" w:line="9" w:lineRule="exact"/>
        <w:rPr>
          <w:rFonts w:ascii="Times New Roman" w:cs="Times New Roman" w:eastAsia="Times New Roman" w:hAnsi="Times New Roman"/>
          <w:sz w:val="18"/>
          <w:szCs w:val="18"/>
          <w:color w:val="auto"/>
        </w:rPr>
      </w:pPr>
    </w:p>
    <w:p>
      <w:pPr>
        <w:ind w:right="160" w:firstLine="8"/>
        <w:spacing w:after="0" w:line="252" w:lineRule="auto"/>
        <w:tabs>
          <w:tab w:leader="none" w:pos="3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bribe, rebate, payoff, influence payment, kickback or other unlawful payment to any domestic government official, foreign official or employee; and the Selling Stockholder has conducted its business in compliance with the FCPA, Bribery Act 2010, and all other applicable anti-bribery statutes and regulations, and has instituted and maintain policies and procedures reasonably designed to ensure, and which are reasonably expected to continue to ensure, continued compliance therewith. Neither the Selling Stockholder nor any of its subsidiaries (to the extent applicable) will use, directly or indirectly, the proceeds of the offering in furtherance of an offer, payment, promise to pay, or authorization of the payment of giving of money, or anything else of value, to any person in violation of any applicable anti-corruption laws.</w:t>
      </w:r>
    </w:p>
    <w:p>
      <w:pPr>
        <w:spacing w:after="0" w:line="189" w:lineRule="exact"/>
        <w:rPr>
          <w:rFonts w:ascii="Times New Roman" w:cs="Times New Roman" w:eastAsia="Times New Roman" w:hAnsi="Times New Roman"/>
          <w:sz w:val="18"/>
          <w:szCs w:val="18"/>
          <w:color w:val="auto"/>
        </w:rPr>
      </w:pPr>
    </w:p>
    <w:p>
      <w:pPr>
        <w:ind w:right="360" w:firstLine="656"/>
        <w:spacing w:after="0" w:line="261" w:lineRule="auto"/>
        <w:tabs>
          <w:tab w:leader="none" w:pos="141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Selling Stockholder and its subsidiaries (to the extent applicable) is and has been conducted at all times in compliance with applicable financial recordkeeping and reporting requirements of the Money Laundering Laws and no action, suit or proceeding by or before any court or governmental agency, authority or body or any arbitrator involving the Selling Stockholder or any of its subsidiaries (to the extent applicable) with respect to the Money Laundering Laws is pending or, to the knowledge of the Selling Stockholder, threatened.</w:t>
      </w:r>
    </w:p>
    <w:p>
      <w:pPr>
        <w:spacing w:after="0" w:line="179" w:lineRule="exact"/>
        <w:rPr>
          <w:rFonts w:ascii="Times New Roman" w:cs="Times New Roman" w:eastAsia="Times New Roman" w:hAnsi="Times New Roman"/>
          <w:sz w:val="18"/>
          <w:szCs w:val="18"/>
          <w:color w:val="auto"/>
        </w:rPr>
      </w:pPr>
    </w:p>
    <w:p>
      <w:pPr>
        <w:ind w:firstLine="656"/>
        <w:spacing w:after="0" w:line="256" w:lineRule="auto"/>
        <w:tabs>
          <w:tab w:leader="none" w:pos="142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directors or officers, nor, to the knowledge of the Selling Stockholder, any of the Selling Stockholder or any agent, controlled affiliate or other person associated with or acting on behalf of the Selling Stockholder or any of its subsidiaries (to the extent applicable) is (i) currently subject to or the target of any Sanctions; or (ii) located, organized or resident in a country that is the subject of Sanctions (including, without limitation, the so-called Donetsk People’s Republic, the so-called Luhansk People’s Republic or any other covered region of Ukraine identified pursuant to Executive Order 14065, the Crimea Region of Ukraine, Cuba, Iran, North Korea and Syria); and</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right="80"/>
        <w:spacing w:after="0" w:line="256" w:lineRule="auto"/>
        <w:rPr>
          <w:sz w:val="20"/>
          <w:szCs w:val="20"/>
          <w:color w:val="auto"/>
        </w:rPr>
      </w:pPr>
      <w:r>
        <w:rPr>
          <w:rFonts w:ascii="Times New Roman" w:cs="Times New Roman" w:eastAsia="Times New Roman" w:hAnsi="Times New Roman"/>
          <w:sz w:val="18"/>
          <w:szCs w:val="18"/>
          <w:color w:val="auto"/>
        </w:rPr>
        <w:t>the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 currently is the subject or target of Sanctions or in any other manner that will result in a violation by any person (including any person participating in the transaction whether as an underwriter, advisor, investor or otherwise) of Sanctions. The Selling Stockholder has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87"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Selling Stockholder and delivered to the Representative or counsel for the Underwriters in connection with the offering of the Stock shall be deemed to be a representation and warranty by the Selling Stockholder, as to matters covered thereby, to each Underwriter.</w:t>
      </w:r>
    </w:p>
    <w:p>
      <w:pPr>
        <w:spacing w:after="0" w:line="174" w:lineRule="exact"/>
        <w:rPr>
          <w:sz w:val="20"/>
          <w:szCs w:val="20"/>
          <w:color w:val="auto"/>
        </w:rPr>
      </w:pPr>
    </w:p>
    <w:p>
      <w:pPr>
        <w:ind w:right="40" w:firstLine="1304"/>
        <w:spacing w:after="0" w:line="253" w:lineRule="auto"/>
        <w:tabs>
          <w:tab w:leader="none" w:pos="16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Stock by the Underwriters</w:t>
      </w:r>
      <w:r>
        <w:rPr>
          <w:rFonts w:ascii="Times New Roman" w:cs="Times New Roman" w:eastAsia="Times New Roman" w:hAnsi="Times New Roman"/>
          <w:sz w:val="18"/>
          <w:szCs w:val="18"/>
          <w:color w:val="auto"/>
        </w:rPr>
        <w:t>. On the basis of the representations, warranties and covenants contained in, and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this Agreement, the Selling Stockholder agrees to sell the number of shares of the Firm Stock set forth opposite its name in Schedule II hereto to the several Underwriters and each of the Underwriters, severally and not jointly, agrees to purchase the number of shares of the Firm Stock set forth opposite that Underwriter’s name in Schedule I hereto. Each Underwriter shall be obligated to purchase from the Selling Stockholder that number of shares of the Firm Stock that represents the same proportion of the number of shares of the Firm Stock to be sold by the Selling Stockholder as the number of shares of the Firm Stock set forth opposite the name of such Underwriter in Schedule I represents to the total number of shares of the Firm Stock to be purchased by all of the Underwriters pursuant to this Agreement. The respective purchase obligations of the Underwriters with respect to the Firm Stock shall be rounded among the Underwriters to avoid fractional shares, as the Representative may determine. Subject to the sale of the Firm Stock by the Selling Stockholder to the Underwriters in compliance with the terms of this Agreement, the Underwriters agree to sell to the Company, and the Company agrees to purchase from the Underwriters, the number of Repurchase Shares specified herein at the price paid by the Underwriters set forth herein. The number of shares of the Firm Stock to be sold by each Underwriter to the Company shall be based on the same proportion as the number of shares of the Firm Stock set forth opposite the name of such Underwriter in Schedule I represents to the total number of shares of the Firm stock to be purchased by the Underwriters pursuant to this Agreement. The respective selling obligations of the Underwriters with respect to the Firm Stock shall be rounded among the Underwriters to avoid fractional shares, as the Representative may determine.</w:t>
      </w:r>
    </w:p>
    <w:p>
      <w:pPr>
        <w:spacing w:after="0" w:line="187"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In addition, the Selling Stockholder grants to the Underwriters an option to purchase up to the number of shares of Option Stock set forth opposite the Selling Stockholder’s name in Schedule II hereto. Such option is exercisable in the event that the Underwriters sell more shares of Common Stock than the number of shares of Firm Stock in the offering and as set forth in Section 4 hereof. Each Underwriter agrees, severally and not jointly, to purchase the number of shares of Option Stock (subject to such adjustments to eliminate fractional shares as the Representative may determine) that bears the same proportion to the total number of shares of Option Stock to be sold on such Delivery Date as the number of shares of Firm Stock set forth in Schedule I hereto opposite the name of such Underwriter bears to the total number of shares of</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Firm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paid by the Underwriters for any Option Stock shall be reduced by an amount per share equal to any dividends declared by the Company and payable on the Firm Shares but not payable on such Option Stock.</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purchase price payable by the Underwriters for both the Firm Stock and any Option Stock is $19.75 per share.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Selling Stockholder is not obligated to deliver any of the Firm Stock or Option Stock to be delivered on the applicable Delivery Date, except upon payment for all such Stock to be purchased on such Delivery Date as provided herein.</w:t>
      </w:r>
    </w:p>
    <w:p>
      <w:pPr>
        <w:spacing w:after="0" w:line="160" w:lineRule="exact"/>
        <w:rPr>
          <w:sz w:val="20"/>
          <w:szCs w:val="20"/>
          <w:color w:val="auto"/>
        </w:rPr>
      </w:pPr>
    </w:p>
    <w:p>
      <w:pPr>
        <w:ind w:right="20" w:firstLine="1304"/>
        <w:spacing w:after="0" w:line="253" w:lineRule="auto"/>
        <w:tabs>
          <w:tab w:leader="none" w:pos="16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and Payment for the Stock. </w:t>
      </w:r>
      <w:r>
        <w:rPr>
          <w:rFonts w:ascii="Times New Roman" w:cs="Times New Roman" w:eastAsia="Times New Roman" w:hAnsi="Times New Roman"/>
          <w:sz w:val="18"/>
          <w:szCs w:val="18"/>
          <w:color w:val="auto"/>
        </w:rPr>
        <w:t>Delivery of and payment for the Firm Stock shall be made at 10:00 A.M., New York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on the third full business day following the date of this Agreement or at such other date or place as shall be determined by agreement between the Representative and the Selling Stockholder. This date and time are sometimes referred to as the “</w:t>
      </w:r>
      <w:r>
        <w:rPr>
          <w:rFonts w:ascii="Times New Roman" w:cs="Times New Roman" w:eastAsia="Times New Roman" w:hAnsi="Times New Roman"/>
          <w:sz w:val="18"/>
          <w:szCs w:val="18"/>
          <w:b w:val="1"/>
          <w:bCs w:val="1"/>
          <w:i w:val="1"/>
          <w:iCs w:val="1"/>
          <w:color w:val="auto"/>
        </w:rPr>
        <w:t>Initial Delivery Date</w:t>
      </w:r>
      <w:r>
        <w:rPr>
          <w:rFonts w:ascii="Times New Roman" w:cs="Times New Roman" w:eastAsia="Times New Roman" w:hAnsi="Times New Roman"/>
          <w:sz w:val="18"/>
          <w:szCs w:val="18"/>
          <w:color w:val="auto"/>
        </w:rPr>
        <w:t>”. Delivery of the Firm Stock shall be made to the Representative for the account of each Underwriter against payment by the several Underwriters through the Representative and of the aggregate purchase price of the Firm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Firm Stock through the facilities of DTC unless the Representative shall otherwise instruct. In addition, subject to the sale of the Firm Stock by the Selling Stockholder to the Underwriters in compliance with the terms of this Agreement, payment of the aggregate purchase price of the Repurchase Shares shall be made by the Company to the Underwriters in immediately available funds to an account specified by the Representative, against delivery of such Repurchase Shares for the account of the Company at the Initial Delivery Date.</w:t>
      </w:r>
    </w:p>
    <w:p>
      <w:pPr>
        <w:spacing w:after="0" w:line="194"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option granted in Section 3 will expire 30 days after the date of this Agreement and may be exercised in whole or from time to time in part by written notice being given to the Selling Stockholder by the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date falls on a day that is not a business day, the option granted in Section 3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 when the shares of Option Stock are to be delivered;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shares of Option Stock are delivered is sometimes referred to as an “</w:t>
      </w:r>
      <w:r>
        <w:rPr>
          <w:rFonts w:ascii="Times New Roman" w:cs="Times New Roman" w:eastAsia="Times New Roman" w:hAnsi="Times New Roman"/>
          <w:sz w:val="18"/>
          <w:szCs w:val="18"/>
          <w:b w:val="1"/>
          <w:bCs w:val="1"/>
          <w:i w:val="1"/>
          <w:iCs w:val="1"/>
          <w:color w:val="auto"/>
        </w:rPr>
        <w:t>Option Stock Delivery Date</w:t>
      </w:r>
      <w:r>
        <w:rPr>
          <w:rFonts w:ascii="Times New Roman" w:cs="Times New Roman" w:eastAsia="Times New Roman" w:hAnsi="Times New Roman"/>
          <w:sz w:val="18"/>
          <w:szCs w:val="18"/>
          <w:color w:val="auto"/>
        </w:rPr>
        <w:t>”, and the Initial Delivery Date and any Option Stock Delivery Date are sometimes each referred to as a “</w:t>
      </w:r>
      <w:r>
        <w:rPr>
          <w:rFonts w:ascii="Times New Roman" w:cs="Times New Roman" w:eastAsia="Times New Roman" w:hAnsi="Times New Roman"/>
          <w:sz w:val="18"/>
          <w:szCs w:val="18"/>
          <w:b w:val="1"/>
          <w:bCs w:val="1"/>
          <w:i w:val="1"/>
          <w:iCs w:val="1"/>
          <w:color w:val="auto"/>
        </w:rPr>
        <w:t>Delivery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Delivery of the Option Stock by the Selling Stockholder and payment for the Option Stock by the several Underwriters through the Representative shall be made at 10:00 A.M., New York City time, on the date specified in the corresponding notice described in the preceding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paragraph or at such other date or place as shall be determined by agreement between the Representative and the Selling Stockholder. On each Option Stock Delivery Date, the Selling Stockholder shall deliver, or cause to be delivered, the Option Stock, to the Representative for the account of each Underwriter, against payment by the several Underwriters through the Representative and of the respective aggregate purchase prices of the Option Stock being sold by the Selling Stockholder to or upon the 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Option Stock through the facilities of DTC unless the Representative shall otherwise instruct.</w:t>
      </w:r>
    </w:p>
    <w:p>
      <w:pPr>
        <w:spacing w:after="0" w:line="187" w:lineRule="exact"/>
        <w:rPr>
          <w:sz w:val="20"/>
          <w:szCs w:val="20"/>
          <w:color w:val="auto"/>
        </w:rPr>
      </w:pPr>
    </w:p>
    <w:p>
      <w:pPr>
        <w:ind w:left="1660" w:hanging="356"/>
        <w:spacing w:after="0"/>
        <w:tabs>
          <w:tab w:leader="none" w:pos="1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 and the Underwriters</w:t>
      </w:r>
      <w:r>
        <w:rPr>
          <w:rFonts w:ascii="Times New Roman" w:cs="Times New Roman" w:eastAsia="Times New Roman" w:hAnsi="Times New Roman"/>
          <w:sz w:val="18"/>
          <w:szCs w:val="18"/>
          <w:color w:val="auto"/>
        </w:rPr>
        <w:t>. (a) The Company agrees:</w:t>
      </w:r>
    </w:p>
    <w:p>
      <w:pPr>
        <w:spacing w:after="0" w:line="227" w:lineRule="exact"/>
        <w:rPr>
          <w:sz w:val="20"/>
          <w:szCs w:val="20"/>
          <w:color w:val="auto"/>
        </w:rPr>
      </w:pPr>
    </w:p>
    <w:p>
      <w:pPr>
        <w:ind w:left="660" w:firstLine="644"/>
        <w:spacing w:after="0" w:line="253" w:lineRule="auto"/>
        <w:tabs>
          <w:tab w:leader="none" w:pos="20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 promptly after it receives notice thereof, of the time when any amendment or supplement to the Registration Statement or the Prospectus has been filed and to furnish the Representative with copies thereof upon reasonable written request; to advise the Representative,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187" w:lineRule="exact"/>
        <w:rPr>
          <w:rFonts w:ascii="Times New Roman" w:cs="Times New Roman" w:eastAsia="Times New Roman" w:hAnsi="Times New Roman"/>
          <w:sz w:val="18"/>
          <w:szCs w:val="18"/>
          <w:color w:val="auto"/>
        </w:rPr>
      </w:pPr>
    </w:p>
    <w:p>
      <w:pPr>
        <w:ind w:left="660" w:firstLine="644"/>
        <w:spacing w:after="0" w:line="266" w:lineRule="auto"/>
        <w:tabs>
          <w:tab w:leader="none" w:pos="20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to furnish promptly to each of the Representative and to counsel for the Underwriters a signed copy of the Registration Statement as originally filed with the Commission, and each amendment thereto filed with the Commission, including all consents and exhibits filed therewith.</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89" w:lineRule="auto"/>
        <w:tabs>
          <w:tab w:leader="none" w:pos="20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upon written request, promptly to the Representative such number of the following documents as the Representative shall reasonably request: (A) conformed copies of the Registration Statement as originally filed with the Commission and each amendment thereto (in each case excluding exhibits other than this Agreement and the computation of per share earnings), (B) each Preliminary Prospectus, the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Stock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or to file under the Exchange Act any document incorporated by reference in the Prospectus in order to comply with the Securities Act, to notify the Representative and, upon their request, to file such document and to prepare and furnish without charge to each Underwriter and to any dealer in securities as many copies as the Representative may from time to time reasonably request of an amended or supplemented Prospectus that will correct such statement or omission or effect such compliance.</w:t>
      </w:r>
    </w:p>
    <w:p>
      <w:pPr>
        <w:spacing w:after="0" w:line="194" w:lineRule="exact"/>
        <w:rPr>
          <w:sz w:val="20"/>
          <w:szCs w:val="20"/>
          <w:color w:val="auto"/>
        </w:rPr>
      </w:pPr>
    </w:p>
    <w:p>
      <w:pPr>
        <w:ind w:right="260" w:firstLine="644"/>
        <w:spacing w:after="0" w:line="266" w:lineRule="auto"/>
        <w:tabs>
          <w:tab w:leader="none" w:pos="1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175" w:lineRule="exact"/>
        <w:rPr>
          <w:rFonts w:ascii="Times New Roman" w:cs="Times New Roman" w:eastAsia="Times New Roman" w:hAnsi="Times New Roman"/>
          <w:sz w:val="18"/>
          <w:szCs w:val="18"/>
          <w:color w:val="auto"/>
        </w:rPr>
      </w:pPr>
    </w:p>
    <w:p>
      <w:pPr>
        <w:ind w:firstLine="644"/>
        <w:spacing w:after="0" w:line="261" w:lineRule="auto"/>
        <w:tabs>
          <w:tab w:leader="none" w:pos="13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 and counsel for the Underwriters and obtain the consent of the Representative to the filing (such consent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right="280" w:firstLine="644"/>
        <w:spacing w:after="0" w:line="282" w:lineRule="auto"/>
        <w:tabs>
          <w:tab w:leader="none" w:pos="13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offer relating to the Stock that would constitute an Issuer Free Writing Prospectus without the prior written consent of the Representative (such consent not to be unreasonably withheld, conditioned or delayed).</w:t>
      </w:r>
    </w:p>
    <w:p>
      <w:pPr>
        <w:spacing w:after="0" w:line="161" w:lineRule="exact"/>
        <w:rPr>
          <w:rFonts w:ascii="Times New Roman" w:cs="Times New Roman" w:eastAsia="Times New Roman" w:hAnsi="Times New Roman"/>
          <w:sz w:val="18"/>
          <w:szCs w:val="18"/>
          <w:color w:val="auto"/>
        </w:rPr>
      </w:pPr>
    </w:p>
    <w:p>
      <w:pPr>
        <w:ind w:right="100" w:firstLine="644"/>
        <w:spacing w:after="0" w:line="254" w:lineRule="auto"/>
        <w:tabs>
          <w:tab w:leader="none" w:pos="1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 and, upon their request, to file such document and to prepare and furnish without charge to each Underwriter as many copies as the Representative may from time to time reasonably request of an amended or supplemented Issuer Free Writing Prospectus that will correct such conflict, statement or omission or effect such compliance.</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5" w:name="page26"/>
    <w:bookmarkEnd w:id="25"/>
    <w:p>
      <w:pPr>
        <w:ind w:right="40" w:firstLine="644"/>
        <w:spacing w:after="0" w:line="258"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deliver to the Representative as soon as practicable, but in any event not later than 16 months after the effective date of the registration statement (as defined in Rule 158(c) under the Act),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w:t>
      </w:r>
    </w:p>
    <w:p>
      <w:pPr>
        <w:spacing w:after="0" w:line="183" w:lineRule="exact"/>
        <w:rPr>
          <w:rFonts w:ascii="Times New Roman" w:cs="Times New Roman" w:eastAsia="Times New Roman" w:hAnsi="Times New Roman"/>
          <w:sz w:val="18"/>
          <w:szCs w:val="18"/>
          <w:color w:val="auto"/>
        </w:rPr>
      </w:pPr>
    </w:p>
    <w:p>
      <w:pPr>
        <w:ind w:right="100" w:firstLine="644"/>
        <w:spacing w:after="0" w:line="256" w:lineRule="auto"/>
        <w:tabs>
          <w:tab w:leader="none" w:pos="1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 may reasonably request to use reasonable best efforts to qualify the Stock for offering and sale under the securities or Blue Sky laws of such other jurisdictions as the Representative may reasonably request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130"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date hereof and ending on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the Prospectus (the “</w:t>
      </w:r>
      <w:r>
        <w:rPr>
          <w:rFonts w:ascii="Times New Roman" w:cs="Times New Roman" w:eastAsia="Times New Roman" w:hAnsi="Times New Roman"/>
          <w:sz w:val="18"/>
          <w:szCs w:val="18"/>
          <w:b w:val="1"/>
          <w:bCs w:val="1"/>
          <w:i w:val="1"/>
          <w:iCs w:val="1"/>
          <w:color w:val="auto"/>
        </w:rPr>
        <w:t>Lock-Up</w:t>
      </w:r>
    </w:p>
    <w:p>
      <w:pPr>
        <w:ind w:right="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not to, directly or indirectly, (A) offer for sale, sell, pledge, lend or otherwise dispose of (or enter into any transaction or device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or could be reasonably expected to, result in the disposition by any person of) any shares of Common Stock or securities convertible into or exercisable or exchangeable for Common Stock (other than (i) [reserved], (ii) Common Stock, options to purchase Common Stock, restricted stock, restricted stock units and any other equity incentive compensation issued pursuant to employee benefit plans, qualified stock option plans or other employee compensation plans described in the Registration Statement, the Preliminary Prospectus and the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the issuance by the Company of shares of Common Stock upon the conversion or exchange of convertible or exchangeable securities outstanding as of the date hereof, including any shares of Common Stock issued upon the exercise of any warrants issued by the Company and any transfers of shares of Common Stock to the Company upon a “net” or “cashless” exercise of any warrants issued by the Company and (iv) the issuance by the Company of shares of Common Stock or securities convertible into shares of Common Stock in connection with an acquisition or business combination, provided that the aggregate number of shares of Common Stock issued pursuant to this clause (v) during the Lock-Up Period shall not exceed 5% of the total number of shares of Common Stock issued and outstanding on the closing date of the offering, and provided further that, in the case of any issuance pursuant to this clause (v), any recipient of shares of Common Stock shall have executed and delivered to the Representative a lock-up letter, (B) enter into any swap or other derivatives transaction that transfers to another, in whole or in part, any of the economic benefits or risks of ownership</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of such shares of Common Stock, whether any such transaction described in clause (A) or (B) above is to be settled by delivery of Common Stock or other securities, in cash or otherwise, (C) publicly file or cause to be publicly filed a registration statement, including any amendments thereto,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the Representative on behalf of the Underwriters, and to cause each officer and director of the Company set forth on Schedule III hereto and the Selling Stockholder to furnish to the Representative, prior to the Initial Delivery Date, a letter or letters, substantially in the form of Exhibit A hereto (the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300" w:hanging="656"/>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76"/>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76"/>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00" w:firstLine="644"/>
        <w:spacing w:after="0" w:line="281" w:lineRule="auto"/>
        <w:tabs>
          <w:tab w:leader="none" w:pos="132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164" w:lineRule="exact"/>
        <w:rPr>
          <w:rFonts w:ascii="Times New Roman" w:cs="Times New Roman" w:eastAsia="Times New Roman" w:hAnsi="Times New Roman"/>
          <w:sz w:val="17"/>
          <w:szCs w:val="17"/>
          <w:color w:val="auto"/>
        </w:rPr>
      </w:pPr>
    </w:p>
    <w:p>
      <w:pPr>
        <w:ind w:right="120" w:firstLine="644"/>
        <w:spacing w:after="0" w:line="266" w:lineRule="auto"/>
        <w:tabs>
          <w:tab w:leader="none" w:pos="13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 if the Company ceases to be an Emerging Growth Company at any time prior to the time when a prospectus relating to sale of the Stock by the Selling Stockholder is not required by the Securities Act to be delivered (whether physically or through compliance with Rule 172 under the Securities Act or any similar rule).</w:t>
      </w:r>
    </w:p>
    <w:p>
      <w:pPr>
        <w:spacing w:after="0" w:line="175" w:lineRule="exact"/>
        <w:rPr>
          <w:rFonts w:ascii="Times New Roman" w:cs="Times New Roman" w:eastAsia="Times New Roman" w:hAnsi="Times New Roman"/>
          <w:sz w:val="18"/>
          <w:szCs w:val="18"/>
          <w:color w:val="auto"/>
        </w:rPr>
      </w:pPr>
    </w:p>
    <w:p>
      <w:pPr>
        <w:ind w:left="1320" w:hanging="676"/>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44"/>
        <w:spacing w:after="0" w:line="266" w:lineRule="auto"/>
        <w:tabs>
          <w:tab w:leader="none" w:pos="1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75" w:lineRule="exact"/>
        <w:rPr>
          <w:rFonts w:ascii="Times New Roman" w:cs="Times New Roman" w:eastAsia="Times New Roman" w:hAnsi="Times New Roman"/>
          <w:sz w:val="18"/>
          <w:szCs w:val="18"/>
          <w:color w:val="auto"/>
        </w:rPr>
      </w:pPr>
    </w:p>
    <w:p>
      <w:pPr>
        <w:ind w:right="120" w:firstLine="644"/>
        <w:spacing w:after="0" w:line="289" w:lineRule="auto"/>
        <w:tabs>
          <w:tab w:leader="none" w:pos="124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Times New Roman" w:cs="Times New Roman" w:eastAsia="Times New Roman" w:hAnsi="Times New Roman"/>
          <w:sz w:val="17"/>
          <w:szCs w:val="17"/>
          <w:b w:val="1"/>
          <w:bCs w:val="1"/>
          <w:i w:val="1"/>
          <w:iCs w:val="1"/>
          <w:color w:val="auto"/>
        </w:rPr>
        <w:t>FinCEN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Certification</w:t>
      </w:r>
      <w:r>
        <w:rPr>
          <w:rFonts w:ascii="Times New Roman" w:cs="Times New Roman" w:eastAsia="Times New Roman" w:hAnsi="Times New Roman"/>
          <w:sz w:val="17"/>
          <w:szCs w:val="17"/>
          <w:color w:val="auto"/>
        </w:rPr>
        <w:t>”), together with copies of identifying documentation, of the Company and the Company undertakes to provide such additional</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supporting documentation as each Underwriter may reasonably request in connection with the verification of the FinCEN Certification.</w:t>
      </w:r>
    </w:p>
    <w:p>
      <w:pPr>
        <w:spacing w:after="0" w:line="225" w:lineRule="exact"/>
        <w:rPr>
          <w:sz w:val="20"/>
          <w:szCs w:val="20"/>
          <w:color w:val="auto"/>
        </w:rPr>
      </w:pPr>
    </w:p>
    <w:p>
      <w:pPr>
        <w:ind w:right="40" w:firstLine="1304"/>
        <w:spacing w:after="0" w:line="256" w:lineRule="auto"/>
        <w:tabs>
          <w:tab w:leader="none" w:pos="20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i w:val="1"/>
          <w:iCs w:val="1"/>
          <w:color w:val="auto"/>
        </w:rPr>
        <w:t>Permitted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 no such consent shall be required with respect to any such issuer information contained in any document filed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85" w:lineRule="exact"/>
        <w:rPr>
          <w:sz w:val="20"/>
          <w:szCs w:val="20"/>
          <w:color w:val="auto"/>
        </w:rPr>
      </w:pPr>
    </w:p>
    <w:p>
      <w:pPr>
        <w:ind w:left="1660" w:hanging="356"/>
        <w:spacing w:after="0"/>
        <w:tabs>
          <w:tab w:leader="none" w:pos="1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Selling Stockholder</w:t>
      </w:r>
      <w:r>
        <w:rPr>
          <w:rFonts w:ascii="Times New Roman" w:cs="Times New Roman" w:eastAsia="Times New Roman" w:hAnsi="Times New Roman"/>
          <w:sz w:val="18"/>
          <w:szCs w:val="18"/>
          <w:color w:val="auto"/>
        </w:rPr>
        <w:t>. The Selling Stockholder agrees:</w:t>
      </w:r>
    </w:p>
    <w:p>
      <w:pPr>
        <w:spacing w:after="0" w:line="227" w:lineRule="exact"/>
        <w:rPr>
          <w:sz w:val="20"/>
          <w:szCs w:val="20"/>
          <w:color w:val="auto"/>
        </w:rPr>
      </w:pPr>
    </w:p>
    <w:p>
      <w:pPr>
        <w:ind w:right="140" w:firstLine="1304"/>
        <w:spacing w:after="0" w:line="282" w:lineRule="auto"/>
        <w:tabs>
          <w:tab w:leader="none" w:pos="20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person acting on behalf of the Selling Stockholder (other than, if applicable, the Company and the Underwriters) shall use or refer to any “free writing prospectus” (as defined in Rule 405 under the Securities Act), relating to the Stock;</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the Representative prior to the Initial Delivery Date a properly completed and executed United States Treasury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Form W-9.</w:t>
      </w:r>
    </w:p>
    <w:p>
      <w:pPr>
        <w:spacing w:after="0" w:line="206" w:lineRule="exact"/>
        <w:rPr>
          <w:rFonts w:ascii="Times New Roman" w:cs="Times New Roman" w:eastAsia="Times New Roman" w:hAnsi="Times New Roman"/>
          <w:sz w:val="18"/>
          <w:szCs w:val="18"/>
          <w:color w:val="auto"/>
        </w:rPr>
      </w:pPr>
    </w:p>
    <w:p>
      <w:pPr>
        <w:ind w:right="140" w:firstLine="1304"/>
        <w:spacing w:after="0" w:line="266" w:lineRule="auto"/>
        <w:tabs>
          <w:tab w:leader="none" w:pos="20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75" w:lineRule="exact"/>
        <w:rPr>
          <w:rFonts w:ascii="Times New Roman" w:cs="Times New Roman" w:eastAsia="Times New Roman" w:hAnsi="Times New Roman"/>
          <w:sz w:val="18"/>
          <w:szCs w:val="18"/>
          <w:color w:val="auto"/>
        </w:rPr>
      </w:pPr>
    </w:p>
    <w:p>
      <w:pPr>
        <w:ind w:right="160" w:firstLine="1304"/>
        <w:spacing w:after="0" w:line="282" w:lineRule="auto"/>
        <w:tabs>
          <w:tab w:leader="none" w:pos="20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do and perform all things required or necessary to be done and performed under this Agreement by it prior to each Delivery Date, and to satisfy all conditions precedent to the Underwriters’ obligations hereunder to purchase the Stock.</w:t>
      </w:r>
    </w:p>
    <w:p>
      <w:pPr>
        <w:spacing w:after="0" w:line="160" w:lineRule="exact"/>
        <w:rPr>
          <w:sz w:val="20"/>
          <w:szCs w:val="20"/>
          <w:color w:val="auto"/>
        </w:rPr>
      </w:pPr>
    </w:p>
    <w:p>
      <w:pPr>
        <w:ind w:right="140" w:firstLine="1304"/>
        <w:spacing w:after="0" w:line="255" w:lineRule="auto"/>
        <w:tabs>
          <w:tab w:leader="none" w:pos="1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Company agrees, whether or not the transactions contemplated by this Agreement are consummated or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terminated, to pay all expenses, 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among Underwriters, and any other related documents in connection with the offering, purchase, sale and delivery of the Stock; (e) any required review by the FINRA of the terms of sale of the Stock (including related reasonable and documented fees and expenses of counsel to the Underwriters in an amount that is not greater than $15,000); (f) the qualification of the Stock under the securities laws of the several jurisdictions as provided in Section 5(a)(ix) and the preparation, printing and distribution of a Blue Sky Memorandum (including related reasonable and documented fees and expenses of counsel to the Underwriters); (g)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(h) 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any road show (the remaining half of the cost to be borne by the Underwriters); and (i) all other costs and expenses incident to the performance of the obligations of the Company and the Selling Stockholder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7 and in Section 11,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185" w:lineRule="exact"/>
        <w:rPr>
          <w:sz w:val="20"/>
          <w:szCs w:val="20"/>
          <w:color w:val="auto"/>
        </w:rPr>
      </w:pPr>
    </w:p>
    <w:p>
      <w:pPr>
        <w:ind w:right="20" w:firstLine="1304"/>
        <w:spacing w:after="0" w:line="290" w:lineRule="auto"/>
        <w:tabs>
          <w:tab w:leader="none" w:pos="164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Conditions of Underwriters’ Obligations</w:t>
      </w:r>
      <w:r>
        <w:rPr>
          <w:rFonts w:ascii="Times New Roman" w:cs="Times New Roman" w:eastAsia="Times New Roman" w:hAnsi="Times New Roman"/>
          <w:sz w:val="17"/>
          <w:szCs w:val="17"/>
          <w:color w:val="auto"/>
        </w:rPr>
        <w:t>. The respective obligations of the Underwriters hereunder are subject to the accuracy,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and on each Delivery Date, of the representations and warranties of the Company and the Selling Stockholder contained herein, to the performance by the Company and the Selling Stockholder of their respective obligations hereunder, and to each of the following additional terms and conditions:</w:t>
      </w:r>
    </w:p>
    <w:p>
      <w:pPr>
        <w:spacing w:after="0" w:line="157" w:lineRule="exact"/>
        <w:rPr>
          <w:sz w:val="20"/>
          <w:szCs w:val="20"/>
          <w:color w:val="auto"/>
        </w:rPr>
      </w:pPr>
    </w:p>
    <w:p>
      <w:pPr>
        <w:ind w:left="660" w:right="60" w:firstLine="644"/>
        <w:spacing w:after="0" w:line="254" w:lineRule="auto"/>
        <w:tabs>
          <w:tab w:leader="none" w:pos="20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to the knowledge of the Company,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9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80" w:firstLine="644"/>
        <w:spacing w:after="0" w:line="282" w:lineRule="auto"/>
        <w:tabs>
          <w:tab w:leader="none" w:pos="20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Weiss, Rifkind, Wharton &amp; Garrison LLP shall have furnished to the Representative its written opinion, as counsel to the Company, addressed to the Underwriters and dated such Delivery Date, in form and substance reasonably satisfactory to the Representative.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right="100" w:firstLine="644"/>
        <w:spacing w:after="0" w:line="266" w:lineRule="auto"/>
        <w:tabs>
          <w:tab w:leader="none" w:pos="13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Hogan Lovells US LLP shall have furnished to the Representative its written opinion, as special U.S. federal aviation regulatory counsel to the Company, addressed to the Underwriters and dated such Delivery Date, in form and substance reasonably satisfactory to the Representative.</w:t>
      </w:r>
    </w:p>
    <w:p>
      <w:pPr>
        <w:spacing w:after="0" w:line="175" w:lineRule="exact"/>
        <w:rPr>
          <w:rFonts w:ascii="Times New Roman" w:cs="Times New Roman" w:eastAsia="Times New Roman" w:hAnsi="Times New Roman"/>
          <w:sz w:val="18"/>
          <w:szCs w:val="18"/>
          <w:color w:val="auto"/>
        </w:rPr>
      </w:pPr>
    </w:p>
    <w:p>
      <w:pPr>
        <w:ind w:right="80" w:firstLine="644"/>
        <w:spacing w:after="0" w:line="282" w:lineRule="auto"/>
        <w:tabs>
          <w:tab w:leader="none" w:pos="13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counsel for the Selling Stockholder shall have furnished to the Representative its written opinion, as counsel to the Selling Stockholder, addressed to the Underwriters and dated such Delivery Date, in form and substance satisfactory to the Representative.</w:t>
      </w:r>
    </w:p>
    <w:p>
      <w:pPr>
        <w:spacing w:after="0" w:line="161" w:lineRule="exact"/>
        <w:rPr>
          <w:rFonts w:ascii="Times New Roman" w:cs="Times New Roman" w:eastAsia="Times New Roman" w:hAnsi="Times New Roman"/>
          <w:sz w:val="18"/>
          <w:szCs w:val="18"/>
          <w:color w:val="auto"/>
        </w:rPr>
      </w:pPr>
    </w:p>
    <w:p>
      <w:pPr>
        <w:ind w:right="60" w:firstLine="644"/>
        <w:spacing w:after="0" w:line="261" w:lineRule="auto"/>
        <w:tabs>
          <w:tab w:leader="none" w:pos="14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Davis Polk &amp; Wardwell LLP, counsel for the Underwriters, such opinion and negative assurance letter, dated such Delivery Date, with respect to the sale of the Stock, the Registration Statement, the Prospectus and the Pricing Disclosure Package and other related matters as the Representative may reasonably require, and the Company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ind w:right="300" w:firstLine="644"/>
        <w:spacing w:after="0" w:line="254" w:lineRule="auto"/>
        <w:tabs>
          <w:tab w:leader="none" w:pos="13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execution of this Agreement, the Representative shall have received from KPMG LLP a letter, in form and substance reasonably satisfactory to the Representative,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1" w:lineRule="exact"/>
        <w:rPr>
          <w:rFonts w:ascii="Times New Roman" w:cs="Times New Roman" w:eastAsia="Times New Roman" w:hAnsi="Times New Roman"/>
          <w:sz w:val="18"/>
          <w:szCs w:val="18"/>
          <w:color w:val="auto"/>
        </w:rPr>
      </w:pPr>
    </w:p>
    <w:p>
      <w:pPr>
        <w:ind w:right="100" w:firstLine="644"/>
        <w:spacing w:after="0" w:line="272" w:lineRule="auto"/>
        <w:tabs>
          <w:tab w:leader="none" w:pos="139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letter of KPMG LLP referred to in the preceding paragraph and delivered to the Representative concurrently with the execution of this Agreement (the “</w:t>
      </w:r>
      <w:r>
        <w:rPr>
          <w:rFonts w:ascii="Times New Roman" w:cs="Times New Roman" w:eastAsia="Times New Roman" w:hAnsi="Times New Roman"/>
          <w:sz w:val="17"/>
          <w:szCs w:val="17"/>
          <w:b w:val="1"/>
          <w:bCs w:val="1"/>
          <w:i w:val="1"/>
          <w:iCs w:val="1"/>
          <w:color w:val="auto"/>
        </w:rPr>
        <w:t>initial letter</w:t>
      </w:r>
      <w:r>
        <w:rPr>
          <w:rFonts w:ascii="Times New Roman" w:cs="Times New Roman" w:eastAsia="Times New Roman" w:hAnsi="Times New Roman"/>
          <w:sz w:val="17"/>
          <w:szCs w:val="17"/>
          <w:color w:val="auto"/>
        </w:rPr>
        <w:t>”), the Representative shall have received from KPMG LLP a letter (the “</w:t>
      </w:r>
      <w:r>
        <w:rPr>
          <w:rFonts w:ascii="Times New Roman" w:cs="Times New Roman" w:eastAsia="Times New Roman" w:hAnsi="Times New Roman"/>
          <w:sz w:val="17"/>
          <w:szCs w:val="17"/>
          <w:b w:val="1"/>
          <w:bCs w:val="1"/>
          <w:i w:val="1"/>
          <w:iCs w:val="1"/>
          <w:color w:val="auto"/>
        </w:rPr>
        <w:t>bring-down letter</w:t>
      </w:r>
      <w:r>
        <w:rPr>
          <w:rFonts w:ascii="Times New Roman" w:cs="Times New Roman" w:eastAsia="Times New Roman" w:hAnsi="Times New Roman"/>
          <w:sz w:val="17"/>
          <w:szCs w:val="17"/>
          <w:color w:val="auto"/>
        </w:rPr>
        <w:t>”),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0" w:name="page31"/>
    <w:bookmarkEnd w:id="30"/>
    <w:p>
      <w:pPr>
        <w:ind w:right="40" w:firstLine="644"/>
        <w:spacing w:after="0" w:line="266" w:lineRule="auto"/>
        <w:tabs>
          <w:tab w:leader="none" w:pos="14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dated such Delivery Date, of its Chief Executive Officer or its Chief Financial Officer (solely in their capacities as such) as to such matters as the Representative may reasonably request, including, without limitation, a statement:</w:t>
      </w:r>
    </w:p>
    <w:p>
      <w:pPr>
        <w:spacing w:after="0" w:line="175" w:lineRule="exact"/>
        <w:rPr>
          <w:rFonts w:ascii="Times New Roman" w:cs="Times New Roman" w:eastAsia="Times New Roman" w:hAnsi="Times New Roman"/>
          <w:sz w:val="18"/>
          <w:szCs w:val="18"/>
          <w:color w:val="auto"/>
        </w:rPr>
      </w:pPr>
    </w:p>
    <w:p>
      <w:pPr>
        <w:ind w:left="640" w:right="100" w:firstLine="652"/>
        <w:spacing w:after="0" w:line="266" w:lineRule="auto"/>
        <w:tabs>
          <w:tab w:leader="none" w:pos="20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75" w:lineRule="exact"/>
        <w:rPr>
          <w:rFonts w:ascii="Times New Roman" w:cs="Times New Roman" w:eastAsia="Times New Roman" w:hAnsi="Times New Roman"/>
          <w:sz w:val="18"/>
          <w:szCs w:val="18"/>
          <w:color w:val="auto"/>
        </w:rPr>
      </w:pPr>
    </w:p>
    <w:p>
      <w:pPr>
        <w:ind w:left="640" w:right="60" w:firstLine="652"/>
        <w:spacing w:after="0" w:line="261" w:lineRule="auto"/>
        <w:tabs>
          <w:tab w:leader="none" w:pos="181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 and the Commission shall not have notified the Company of any objection to the use of the form of the Registration Statement or any post-effective amendment thereto;</w:t>
      </w:r>
    </w:p>
    <w:p>
      <w:pPr>
        <w:spacing w:after="0" w:line="177"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8(j)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with respect to the judgment of the Representative need be</w:t>
      </w:r>
    </w:p>
    <w:p>
      <w:pPr>
        <w:spacing w:after="0" w:line="2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right="100" w:firstLine="644"/>
        <w:spacing w:after="0" w:line="256" w:lineRule="auto"/>
        <w:tabs>
          <w:tab w:leader="none" w:pos="14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shall have furnished to the Representative on such Delivery Date a certificate, dated such Delivery Date, signed by, or on behalf of, the Selling Stockholder stating that (i) the representations, warranties and agreements of the Selling Stockholder contained herein are true and correct on and as of such Delivery Date, (ii) the Selling Stockholder has complied with all its agreements contained herein and has satisfied all the conditions on its part to be performed or satisfied hereunder at or prior to such Delivery Date, and (iii) since the Effective Date, no event has occurred that should have been set forth in a supplement or amendment to the Registration Statement, the Prospectus or any Issuer Free Writing Prospectus that has not been so set forth.</w:t>
      </w:r>
    </w:p>
    <w:p>
      <w:pPr>
        <w:spacing w:after="0" w:line="187"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644"/>
        <w:spacing w:after="0" w:line="254" w:lineRule="auto"/>
        <w:tabs>
          <w:tab w:leader="none" w:pos="14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described in the most recent Preliminary Prospectus, (i) neither the Company nor any of its subsidiaries shall have sustained, since the date of the latest audited financial statements included or incorporated by reference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 and its subsidiaries, taken as a whole, the effect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of which, in any such case described in clause (i) or (ii), is, individually or in the aggregate, in the judgment of the Representative, so material and adverse as to make it impracticable or inadvisable to proceed with the public offering or the delivery of the Stock being delivered on such Delivery Date on the terms and in the manner contemplated in the Prospectus.</w:t>
      </w:r>
    </w:p>
    <w:p>
      <w:pPr>
        <w:spacing w:after="0" w:line="176" w:lineRule="exact"/>
        <w:rPr>
          <w:sz w:val="20"/>
          <w:szCs w:val="20"/>
          <w:color w:val="auto"/>
        </w:rPr>
      </w:pPr>
    </w:p>
    <w:p>
      <w:pPr>
        <w:ind w:left="1380" w:hanging="736"/>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644"/>
        <w:spacing w:after="0" w:line="253" w:lineRule="auto"/>
        <w:tabs>
          <w:tab w:leader="none" w:pos="1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 impracticable or inadvisable to proceed with the public offering or delivery of the Stock being delivered on such Delivery Date by the Selling Stockholder on the terms and in the manner contemplated in the Prospectus.</w:t>
      </w:r>
    </w:p>
    <w:p>
      <w:pPr>
        <w:spacing w:after="0" w:line="187" w:lineRule="exact"/>
        <w:rPr>
          <w:rFonts w:ascii="Times New Roman" w:cs="Times New Roman" w:eastAsia="Times New Roman" w:hAnsi="Times New Roman"/>
          <w:sz w:val="18"/>
          <w:szCs w:val="18"/>
          <w:color w:val="auto"/>
        </w:rPr>
      </w:pPr>
    </w:p>
    <w:p>
      <w:pPr>
        <w:ind w:left="1400" w:hanging="756"/>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40" w:firstLine="644"/>
        <w:spacing w:after="0" w:line="266" w:lineRule="auto"/>
        <w:tabs>
          <w:tab w:leader="none" w:pos="1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 and the officers and directors of the Company set forth on Schedule III and the Selling Stockholder, delivered to the Representative on or before the date of this Agreement, shall be in full force and effect on such Delivery Date.</w:t>
      </w:r>
    </w:p>
    <w:p>
      <w:pPr>
        <w:spacing w:after="0" w:line="174" w:lineRule="exact"/>
        <w:rPr>
          <w:sz w:val="20"/>
          <w:szCs w:val="20"/>
          <w:color w:val="auto"/>
        </w:rPr>
      </w:pPr>
    </w:p>
    <w:p>
      <w:pPr>
        <w:ind w:left="1000" w:hanging="356"/>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120" w:firstLine="644"/>
        <w:spacing w:after="0" w:line="258" w:lineRule="auto"/>
        <w:tabs>
          <w:tab w:leader="none" w:pos="13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Testing-the-Waters Communication (“</w:t>
      </w:r>
      <w:r>
        <w:rPr>
          <w:rFonts w:ascii="Times New Roman" w:cs="Times New Roman" w:eastAsia="Times New Roman" w:hAnsi="Times New Roman"/>
          <w:sz w:val="18"/>
          <w:szCs w:val="18"/>
          <w:b w:val="1"/>
          <w:bCs w:val="1"/>
          <w:i w:val="1"/>
          <w:iCs w:val="1"/>
          <w:color w:val="auto"/>
        </w:rPr>
        <w:t>Marketing Materials</w:t>
      </w:r>
      <w:r>
        <w:rPr>
          <w:rFonts w:ascii="Times New Roman" w:cs="Times New Roman" w:eastAsia="Times New Roman" w:hAnsi="Times New Roman"/>
          <w:sz w:val="18"/>
          <w:szCs w:val="18"/>
          <w:color w:val="auto"/>
        </w:rPr>
        <w:t xml:space="preserve">”) or (ii) the omission or alleged omission to state in any Preliminary Prospectus, the 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or any Marketing Materials, in reliance upon and in conformity with written information concerning such Underwriter furnished to the Company through the Representative by or on behalf of any Underwriter specifically for inclusion therein, which information consists solely of the information specified in Section 9(f).</w:t>
      </w:r>
    </w:p>
    <w:p>
      <w:pPr>
        <w:spacing w:after="0" w:line="192" w:lineRule="exact"/>
        <w:rPr>
          <w:sz w:val="20"/>
          <w:szCs w:val="20"/>
          <w:color w:val="auto"/>
        </w:rPr>
      </w:pPr>
    </w:p>
    <w:p>
      <w:pPr>
        <w:ind w:right="60" w:firstLine="644"/>
        <w:spacing w:after="0" w:line="253" w:lineRule="auto"/>
        <w:tabs>
          <w:tab w:leader="none" w:pos="13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Stockholder or used or referred to by the Selling Stockholder in connection with the offering of the Stock in violation of Section 6(a) being referred to as a “</w:t>
      </w:r>
      <w:r>
        <w:rPr>
          <w:rFonts w:ascii="Times New Roman" w:cs="Times New Roman" w:eastAsia="Times New Roman" w:hAnsi="Times New Roman"/>
          <w:sz w:val="18"/>
          <w:szCs w:val="18"/>
          <w:b w:val="1"/>
          <w:bCs w:val="1"/>
          <w:i w:val="1"/>
          <w:iCs w:val="1"/>
          <w:color w:val="auto"/>
        </w:rPr>
        <w:t>Selling Stockholder Free Writing Prospectus</w:t>
      </w:r>
      <w:r>
        <w:rPr>
          <w:rFonts w:ascii="Times New Roman" w:cs="Times New Roman" w:eastAsia="Times New Roman" w:hAnsi="Times New Roman"/>
          <w:sz w:val="18"/>
          <w:szCs w:val="18"/>
          <w:color w:val="auto"/>
        </w:rPr>
        <w:t>”) or (ii) the omission or alleged omission to state in any Preliminary Prospectus, Registration Statement, the Prospectus, any Issuer Free Writing Prospectus or</w:t>
      </w:r>
    </w:p>
    <w:p>
      <w:pPr>
        <w:spacing w:after="0" w:line="190"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3" w:name="page34"/>
    <w:bookmarkEnd w:id="33"/>
    <w:p>
      <w:pPr>
        <w:ind w:right="20"/>
        <w:spacing w:after="0" w:line="252" w:lineRule="auto"/>
        <w:rPr>
          <w:sz w:val="20"/>
          <w:szCs w:val="20"/>
          <w:color w:val="auto"/>
        </w:rPr>
      </w:pPr>
      <w:r>
        <w:rPr>
          <w:rFonts w:ascii="Times New Roman" w:cs="Times New Roman" w:eastAsia="Times New Roman" w:hAnsi="Times New Roman"/>
          <w:sz w:val="18"/>
          <w:szCs w:val="18"/>
          <w:color w:val="auto"/>
        </w:rPr>
        <w:t>in any amendment or supplement thereto or in any Permitted Issuer Information, any Marketing Materials, any Blue Sky Application or any Selling Stockholder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The liability of the Selling Stockholder under the indemnity agreement contained in this paragraph shall be limited to an amount equal to the total net proceeds (before deducting expenses) from the offering of the shares of the Stock purchased under the Agreement received by the Selling Stockholder, as set forth in the table on the cover page of the Prospectus. The foregoing indemnity agreement is in addition to any liability that the Selling Stockholder may otherwise have to any Underwriter or any affiliate, director, officer, employee or controlling person of that Underwriter. Notwithstanding the foregoing, the Selling Stockholder shall be liable under this Section 9(b) only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any such amendment or supplement or in any Permitted Issuer Information or any Marketing Materials in reliance upon and in conformity with written information concerning the Selling Stockholder furnished to the Company by the Selling Stockholder specifically for inclusion therein, which information is limited to the information set forth in the Prospectus under the caption “Principal and Selling Stockholder”, or arises out of, or is based upon, any untrue statement or alleged untrue statement or omission or alleged omission made in any Selling Stockholder Free Writing Prospectus.</w:t>
      </w:r>
    </w:p>
    <w:p>
      <w:pPr>
        <w:spacing w:after="0" w:line="193" w:lineRule="exact"/>
        <w:rPr>
          <w:sz w:val="20"/>
          <w:szCs w:val="20"/>
          <w:color w:val="auto"/>
        </w:rPr>
      </w:pPr>
    </w:p>
    <w:p>
      <w:pPr>
        <w:ind w:right="20" w:firstLine="644"/>
        <w:spacing w:after="0" w:line="253" w:lineRule="auto"/>
        <w:tabs>
          <w:tab w:leader="none" w:pos="13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shall indemnify and hold harmless the Company, the Selling Stockholder, their respective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(ii) 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 by or on behalf of that Underwriter specifically for inclusion therein, which information is limited to the information set forth in Section 9(f).</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4" w:name="page35"/>
    <w:bookmarkEnd w:id="34"/>
    <w:p>
      <w:pPr>
        <w:ind w:firstLine="644"/>
        <w:spacing w:after="0" w:line="251" w:lineRule="auto"/>
        <w:tabs>
          <w:tab w:leader="none" w:pos="12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9 except to the extent it has been materially prejudiced (through the forfeiture of substantive rights and defenses)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failure to notify the indemnifying party shall not relieve it from any liability which it may have to an indemnified party otherwise than under this Section 9. If any such claim or action shall be brought against an indemnified party, and it shall notify the indemnifying party thereof, the indemnifying party shall retain counsel reasonably satisfactory to the indemnified party to represent the indemnified party and shall pay the reasonably incurred fees and expenses of such counsel related to such claim or action. In any such claim or action,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9.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176" w:lineRule="exact"/>
        <w:rPr>
          <w:sz w:val="20"/>
          <w:szCs w:val="20"/>
          <w:color w:val="auto"/>
        </w:rPr>
      </w:pPr>
    </w:p>
    <w:p>
      <w:pPr>
        <w:ind w:firstLine="644"/>
        <w:spacing w:after="0" w:line="251" w:lineRule="auto"/>
        <w:tabs>
          <w:tab w:leader="none" w:pos="13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shall for any reason be unavailable to or insufficient to hold harmless an indemnified party under Section 9(a), 9(b)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Stockholder, on the one hand, and the Underwriters,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hand, with respect to the statements or omissions that resulted in such loss, claim, damage or liability, or action in respect thereof, as well as any other relevant equitable considerations. The relative benefits received by the Company and the Selling Stockholder, on the one hand, and the Underwriters, on the other hand, with respect to such offering shall be deemed to be in the same proportion as the total net proceeds from the offering of the Stock purchased under this Agreement (before deducting expenses) received by the Company and the Selling Stockholder, as set forth on the cover page of the Prospectus, on the one hand, and the total underwriting discounts and commissions received by the Underwriters with respect to the shares of the Stock purchased under this Agreement, on the other hand. The relative fault shall be determined by reference to whether the untrue or alleged untrue statement of a material fact or omission or alleged omission to state a material fact relates to information supplied by the Company or the Selling Stockholder, on the one hand, or the Underwriters, on the other hand, the intent of the parties and their relative knowledge, access to information and opportunity to correct or prevent such statement or omission. The Company, the Selling Stockholder and the Underwriters agree that it would not be just and equitable if contributions pursuant to this Section 9(e)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9(e) shall be deemed to include, for purposes of this Section 9(e), any documented out of pocket legal or other expenses reasonably incurred by such indemnified party in connection with investigating or defending any such action or claim. Notwithstanding the provisions of this Section 9(e), in no event shall an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6" w:name="page37"/>
    <w:bookmarkEnd w:id="36"/>
    <w:p>
      <w:pPr>
        <w:ind w:right="20"/>
        <w:spacing w:after="0" w:line="282" w:lineRule="auto"/>
        <w:rPr>
          <w:sz w:val="20"/>
          <w:szCs w:val="20"/>
          <w:color w:val="auto"/>
        </w:rPr>
      </w:pPr>
      <w:r>
        <w:rPr>
          <w:rFonts w:ascii="Times New Roman" w:cs="Times New Roman" w:eastAsia="Times New Roman" w:hAnsi="Times New Roman"/>
          <w:sz w:val="18"/>
          <w:szCs w:val="18"/>
          <w:color w:val="auto"/>
        </w:rPr>
        <w:t>misrepresentation. The Underwriters’ obligations to contribute as provided in this Section 9(e) are several in proportion to their respective underwriting obligations and not joint.</w:t>
      </w:r>
    </w:p>
    <w:p>
      <w:pPr>
        <w:spacing w:after="0" w:line="162" w:lineRule="exact"/>
        <w:rPr>
          <w:sz w:val="20"/>
          <w:szCs w:val="20"/>
          <w:color w:val="auto"/>
        </w:rPr>
      </w:pPr>
    </w:p>
    <w:p>
      <w:pPr>
        <w:ind w:right="20" w:firstLine="644"/>
        <w:spacing w:after="0" w:line="258" w:lineRule="auto"/>
        <w:tabs>
          <w:tab w:leader="none" w:pos="14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upon that the paragraphs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81" w:lineRule="exact"/>
        <w:rPr>
          <w:sz w:val="20"/>
          <w:szCs w:val="20"/>
          <w:color w:val="auto"/>
        </w:rPr>
      </w:pPr>
    </w:p>
    <w:p>
      <w:pPr>
        <w:ind w:left="940" w:hanging="296"/>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4"/>
        <w:spacing w:after="0" w:line="252" w:lineRule="auto"/>
        <w:tabs>
          <w:tab w:leader="none" w:pos="13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and the Selling Stockholder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and the Selling Stockholder that they have so arranged for the purchase of such Stock, or the Company and the Selling Stockholder notify the non-defaulting Underwriters that it has so arranged for the purchase of such Stock, either the non-defaulting Underwriters or the Selling Stockholder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197" w:lineRule="exact"/>
        <w:rPr>
          <w:rFonts w:ascii="Times New Roman" w:cs="Times New Roman" w:eastAsia="Times New Roman" w:hAnsi="Times New Roman"/>
          <w:sz w:val="18"/>
          <w:szCs w:val="18"/>
          <w:color w:val="auto"/>
        </w:rPr>
      </w:pPr>
    </w:p>
    <w:p>
      <w:pPr>
        <w:ind w:right="20" w:firstLine="644"/>
        <w:spacing w:after="0" w:line="254" w:lineRule="auto"/>
        <w:tabs>
          <w:tab w:leader="none" w:pos="13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Stock of a defaulting Underwriter or Underwriters by the non-defaulting Underwriters and the Company and the Selling Stockholder as provided in paragraph (a) above, the total number of shares of the Stock that remains unpurchased does not exceed one-eleventh of the total number of shares of all the Stock, then the Selling Stockholder shall have the right to require each non-defaulting Underwriter to purchase the total number of shares of Stock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total number of shares of Stock that such Underwriter agreed to purchase hereunder) of the Stock of such defaulting Underwriter or Underwriters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total number of shares of Stock that it agreed to purchase on such Delivery</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Date pursuant to the terms of Section 3. Nothing herein shall relieve a defaulting Underwriter from liability for its default.</w:t>
      </w:r>
    </w:p>
    <w:p>
      <w:pPr>
        <w:spacing w:after="0" w:line="225" w:lineRule="exact"/>
        <w:rPr>
          <w:sz w:val="20"/>
          <w:szCs w:val="20"/>
          <w:color w:val="auto"/>
        </w:rPr>
      </w:pPr>
    </w:p>
    <w:p>
      <w:pPr>
        <w:ind w:left="660" w:firstLine="644"/>
        <w:spacing w:after="0" w:line="255" w:lineRule="auto"/>
        <w:tabs>
          <w:tab w:leader="none" w:pos="20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Stock of a defaulting Underwriter or Underwriters by the non-defaulting Underwriters and the Company and the Selling Stockholder as provided in paragraph (a) above, the total number of shares of Stock that remains unpurchased exceeds one-eleventh of the total number of shares of all the Stock, or if the Selling Stockholder shall not exercise the right described in paragraph (a)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10 shall not terminate and shall remain in effect.</w:t>
      </w:r>
    </w:p>
    <w:p>
      <w:pPr>
        <w:spacing w:after="0" w:line="188" w:lineRule="exact"/>
        <w:rPr>
          <w:rFonts w:ascii="Times New Roman" w:cs="Times New Roman" w:eastAsia="Times New Roman" w:hAnsi="Times New Roman"/>
          <w:sz w:val="18"/>
          <w:szCs w:val="18"/>
          <w:color w:val="auto"/>
        </w:rPr>
      </w:pPr>
    </w:p>
    <w:p>
      <w:pPr>
        <w:ind w:left="660" w:right="560" w:firstLine="644"/>
        <w:spacing w:after="0" w:line="282" w:lineRule="auto"/>
        <w:tabs>
          <w:tab w:leader="none" w:pos="205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right="60" w:firstLine="1304"/>
        <w:spacing w:after="0" w:line="267" w:lineRule="auto"/>
        <w:tabs>
          <w:tab w:leader="none" w:pos="15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obligations of the Underwriters hereunder may be terminated by the Representative by notice given to and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the Selling Stockholder prior to delivery of and payment for the Firm Stock if, prior to that time, any of the events described in Section 8(l) and 8(n) shall have occurred or if the Underwriters shall decline to purchase the Stock for any reason permitted under this Agreement.</w:t>
      </w:r>
    </w:p>
    <w:p>
      <w:pPr>
        <w:spacing w:after="0" w:line="173" w:lineRule="exact"/>
        <w:rPr>
          <w:rFonts w:ascii="Times New Roman" w:cs="Times New Roman" w:eastAsia="Times New Roman" w:hAnsi="Times New Roman"/>
          <w:sz w:val="18"/>
          <w:szCs w:val="18"/>
          <w:color w:val="auto"/>
        </w:rPr>
      </w:pPr>
    </w:p>
    <w:p>
      <w:pPr>
        <w:ind w:right="120" w:firstLine="1304"/>
        <w:spacing w:after="0" w:line="257" w:lineRule="auto"/>
        <w:tabs>
          <w:tab w:leader="none" w:pos="15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Underwriters’ Expenses. </w:t>
      </w:r>
      <w:r>
        <w:rPr>
          <w:rFonts w:ascii="Times New Roman" w:cs="Times New Roman" w:eastAsia="Times New Roman" w:hAnsi="Times New Roman"/>
          <w:sz w:val="18"/>
          <w:szCs w:val="18"/>
          <w:color w:val="auto"/>
        </w:rPr>
        <w:t>If (a) the Selling Stockholder shall fail to tender the Stock for delivery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for any reason, or (b) the 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 If this Agreement is terminated pursuant to Section 10 by reason of the default of one or more Underwriters, neither the Company nor the Selling Stockholder shall be obligated to reimburse any defaulting Underwriter on account of those expenses.</w:t>
      </w:r>
    </w:p>
    <w:p>
      <w:pPr>
        <w:spacing w:after="0" w:line="182" w:lineRule="exact"/>
        <w:rPr>
          <w:rFonts w:ascii="Times New Roman" w:cs="Times New Roman" w:eastAsia="Times New Roman" w:hAnsi="Times New Roman"/>
          <w:sz w:val="18"/>
          <w:szCs w:val="18"/>
          <w:color w:val="auto"/>
        </w:rPr>
      </w:pPr>
    </w:p>
    <w:p>
      <w:pPr>
        <w:ind w:right="20" w:firstLine="1304"/>
        <w:spacing w:after="0" w:line="255" w:lineRule="auto"/>
        <w:tabs>
          <w:tab w:leader="none" w:pos="15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Analyst Independence. </w:t>
      </w:r>
      <w:r>
        <w:rPr>
          <w:rFonts w:ascii="Times New Roman" w:cs="Times New Roman" w:eastAsia="Times New Roman" w:hAnsi="Times New Roman"/>
          <w:sz w:val="18"/>
          <w:szCs w:val="18"/>
          <w:color w:val="auto"/>
        </w:rPr>
        <w:t>The Company acknowledges that the Underwriters’ research analysts and research departments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Stockholder hereby waive and release, to the fullest extent permitted by law, any claims that the Company or the Selling Stockholder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Stockholder by such Underwriters’ investment banking divisions. The Company and the Selling Stockholder</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4" w:lineRule="exact"/>
        <w:rPr>
          <w:sz w:val="20"/>
          <w:szCs w:val="20"/>
          <w:color w:val="auto"/>
        </w:rPr>
      </w:pPr>
    </w:p>
    <w:p>
      <w:pPr>
        <w:ind w:right="20" w:firstLine="1304"/>
        <w:spacing w:after="0" w:line="252" w:lineRule="auto"/>
        <w:tabs>
          <w:tab w:leader="none" w:pos="159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The Company and the Selling Stockholder acknowledges and agrees that in connection with this offering,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or any other services the 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the Selling Stockholder, and any other person, on the one hand, and the Underwriters, on the other hand, exists; (b) the Underwriters are not acting as advisors, expert or otherwise and are not p roviding a recommendation or investment advice, to either the Company or the Selling Stockholder, including, without limitation, with respect to the determination of the offering price of the Stock, and such relationship between the Company and the Selling Stockholder,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or the Selling Stockholder shall be limited to those duties and obligations specifically stated herein; (d) the Underwriters and their respective affiliates may have interests that differ from those of the Company and the Selling Stockholder;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hereby (x) waive any claims that the Company or the Selling Stockholder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has consulted their own legal, accounting, financial, regulatory and tax advisors to the extent deemed appropriate.</w:t>
      </w:r>
    </w:p>
    <w:p>
      <w:pPr>
        <w:spacing w:after="0" w:line="19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227" w:lineRule="exact"/>
        <w:rPr>
          <w:sz w:val="20"/>
          <w:szCs w:val="20"/>
          <w:color w:val="auto"/>
        </w:rPr>
      </w:pPr>
    </w:p>
    <w:p>
      <w:pPr>
        <w:ind w:left="660" w:right="180" w:firstLine="644"/>
        <w:spacing w:after="0" w:line="261" w:lineRule="auto"/>
        <w:tabs>
          <w:tab w:leader="none" w:pos="20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or facsimile transmission to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w:t>
      </w:r>
    </w:p>
    <w:p>
      <w:pPr>
        <w:spacing w:after="0" w:line="179" w:lineRule="exact"/>
        <w:rPr>
          <w:rFonts w:ascii="Times New Roman" w:cs="Times New Roman" w:eastAsia="Times New Roman" w:hAnsi="Times New Roman"/>
          <w:sz w:val="18"/>
          <w:szCs w:val="18"/>
          <w:color w:val="auto"/>
        </w:rPr>
      </w:pPr>
    </w:p>
    <w:p>
      <w:pPr>
        <w:ind w:left="660" w:right="240" w:firstLine="644"/>
        <w:spacing w:after="0" w:line="282" w:lineRule="auto"/>
        <w:tabs>
          <w:tab w:leader="none" w:pos="20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or facsimile transmission to the address of the Company set forth in the Registration Statement, Attention: Secretary, with a copy for informational purposes only to Paul, Weiss, Rifkind,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660"/>
        <w:spacing w:after="0" w:line="282" w:lineRule="auto"/>
        <w:rPr>
          <w:sz w:val="20"/>
          <w:szCs w:val="20"/>
          <w:color w:val="auto"/>
        </w:rPr>
      </w:pPr>
      <w:r>
        <w:rPr>
          <w:rFonts w:ascii="Times New Roman" w:cs="Times New Roman" w:eastAsia="Times New Roman" w:hAnsi="Times New Roman"/>
          <w:sz w:val="18"/>
          <w:szCs w:val="18"/>
          <w:color w:val="auto"/>
        </w:rPr>
        <w:t>Wharton &amp; Garrison LLP, 1285 Avenue of the Americas, New York, NY 10019, facsimile (212) 492-0588, Attention: Brian M. Janson, Esq. and Christodoulos Kaoutzanis, Esq.; and</w:t>
      </w:r>
    </w:p>
    <w:p>
      <w:pPr>
        <w:spacing w:after="0" w:line="165" w:lineRule="exact"/>
        <w:rPr>
          <w:sz w:val="20"/>
          <w:szCs w:val="20"/>
          <w:color w:val="auto"/>
        </w:rPr>
      </w:pPr>
    </w:p>
    <w:p>
      <w:pPr>
        <w:ind w:left="660" w:right="100" w:firstLine="644"/>
        <w:spacing w:after="0" w:line="319" w:lineRule="auto"/>
        <w:tabs>
          <w:tab w:leader="none" w:pos="18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Selling Stockholder, shall be delivered or sent by mail or facsimile transmission to the Selling Stockholder at 9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10019.</w:t>
      </w:r>
    </w:p>
    <w:p>
      <w:pPr>
        <w:spacing w:after="0" w:line="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and the Selling Stockholder shall be entitled to act and rely upon any request, consent, notice or agreement given or made on behalf of the Underwriters by the Representative.</w:t>
      </w:r>
    </w:p>
    <w:p>
      <w:pPr>
        <w:spacing w:after="0" w:line="160" w:lineRule="exact"/>
        <w:rPr>
          <w:sz w:val="20"/>
          <w:szCs w:val="20"/>
          <w:color w:val="auto"/>
        </w:rPr>
      </w:pPr>
    </w:p>
    <w:p>
      <w:pPr>
        <w:ind w:right="160" w:firstLine="1304"/>
        <w:spacing w:after="0" w:line="254" w:lineRule="auto"/>
        <w:tabs>
          <w:tab w:leader="none" w:pos="15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the Company and its successors. This Agreement and the terms and provisions hereof are for the sole benefit of only those persons, except that (a) the representations, warranties, indemnities and agreements of the Company and the Selling Stockholder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9(b)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185" w:lineRule="exact"/>
        <w:rPr>
          <w:rFonts w:ascii="Times New Roman" w:cs="Times New Roman" w:eastAsia="Times New Roman" w:hAnsi="Times New Roman"/>
          <w:sz w:val="18"/>
          <w:szCs w:val="18"/>
          <w:color w:val="auto"/>
        </w:rPr>
      </w:pPr>
    </w:p>
    <w:p>
      <w:pPr>
        <w:jc w:val="both"/>
        <w:ind w:right="80" w:firstLine="1304"/>
        <w:spacing w:after="0" w:line="261" w:lineRule="auto"/>
        <w:tabs>
          <w:tab w:leader="none" w:pos="15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w:t>
      </w:r>
      <w:r>
        <w:rPr>
          <w:rFonts w:ascii="Times New Roman" w:cs="Times New Roman" w:eastAsia="Times New Roman" w:hAnsi="Times New Roman"/>
          <w:sz w:val="18"/>
          <w:szCs w:val="18"/>
          <w:color w:val="auto"/>
        </w:rPr>
        <w:t>The respective indemnities, rights of contributions, representations, warranties and agreements of the Company,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and the 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77" w:lineRule="exact"/>
        <w:rPr>
          <w:rFonts w:ascii="Times New Roman" w:cs="Times New Roman" w:eastAsia="Times New Roman" w:hAnsi="Times New Roman"/>
          <w:sz w:val="18"/>
          <w:szCs w:val="18"/>
          <w:color w:val="auto"/>
        </w:rPr>
      </w:pPr>
    </w:p>
    <w:p>
      <w:pPr>
        <w:ind w:right="180" w:firstLine="1304"/>
        <w:spacing w:after="0" w:line="268" w:lineRule="auto"/>
        <w:tabs>
          <w:tab w:leader="none" w:pos="15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the Terms “Business Day”, “Affiliate” and “Subsidiary”</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have the meanings set forth in Rule 405 under the Securities Act.</w:t>
      </w:r>
    </w:p>
    <w:p>
      <w:pPr>
        <w:spacing w:after="0" w:line="172" w:lineRule="exact"/>
        <w:rPr>
          <w:rFonts w:ascii="Times New Roman" w:cs="Times New Roman" w:eastAsia="Times New Roman" w:hAnsi="Times New Roman"/>
          <w:sz w:val="18"/>
          <w:szCs w:val="18"/>
          <w:color w:val="auto"/>
        </w:rPr>
      </w:pPr>
    </w:p>
    <w:p>
      <w:pPr>
        <w:ind w:right="260" w:firstLine="1304"/>
        <w:spacing w:after="0" w:line="284" w:lineRule="auto"/>
        <w:tabs>
          <w:tab w:leader="none" w:pos="159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any transaction contemplated by this Agreement and any claim or controversy or dispute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or related thereto shall be governed by and construed in accordance with the laws of the State of New York without regard</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right="140"/>
        <w:spacing w:after="0" w:line="282" w:lineRule="auto"/>
        <w:rPr>
          <w:sz w:val="20"/>
          <w:szCs w:val="20"/>
          <w:color w:val="auto"/>
        </w:rPr>
      </w:pPr>
      <w:r>
        <w:rPr>
          <w:rFonts w:ascii="Times New Roman" w:cs="Times New Roman" w:eastAsia="Times New Roman" w:hAnsi="Times New Roman"/>
          <w:sz w:val="18"/>
          <w:szCs w:val="18"/>
          <w:color w:val="auto"/>
        </w:rPr>
        <w:t>to conflict of laws principles that would result in the application of any other law than the laws of the State of New York (other than Section 5-1401 of the General Obligations Law).</w:t>
      </w:r>
    </w:p>
    <w:p>
      <w:pPr>
        <w:spacing w:after="0" w:line="160" w:lineRule="exact"/>
        <w:rPr>
          <w:sz w:val="20"/>
          <w:szCs w:val="20"/>
          <w:color w:val="auto"/>
        </w:rPr>
      </w:pPr>
    </w:p>
    <w:p>
      <w:pPr>
        <w:ind w:right="80" w:firstLine="1304"/>
        <w:spacing w:after="0" w:line="284" w:lineRule="auto"/>
        <w:tabs>
          <w:tab w:leader="none" w:pos="15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ind w:right="160" w:firstLine="1304"/>
        <w:spacing w:after="0" w:line="258" w:lineRule="auto"/>
        <w:tabs>
          <w:tab w:leader="none" w:pos="15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one or more counterparts and, if executed in more than one counterpart,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480" w:firstLine="1304"/>
        <w:spacing w:after="0" w:line="284" w:lineRule="auto"/>
        <w:tabs>
          <w:tab w:leader="none" w:pos="159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8"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rFonts w:ascii="Times New Roman" w:cs="Times New Roman" w:eastAsia="Times New Roman" w:hAnsi="Times New Roman"/>
          <w:sz w:val="18"/>
          <w:szCs w:val="18"/>
          <w:color w:val="auto"/>
        </w:rPr>
      </w:pPr>
    </w:p>
    <w:p>
      <w:pPr>
        <w:ind w:right="20" w:firstLine="656"/>
        <w:spacing w:after="0" w:line="261" w:lineRule="auto"/>
        <w:tabs>
          <w:tab w:leader="none" w:pos="116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180" w:firstLine="656"/>
        <w:spacing w:after="0" w:line="261" w:lineRule="auto"/>
        <w:tabs>
          <w:tab w:leader="none" w:pos="11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agreement among the Company, the Selling Stockholder and the Underwriters, please indicate your acceptance in the space provided for that purpose below.</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Rose Neale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Senior Vice President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580" w:right="9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 VIII (SCA Stock AIV), LLC, its sole stockholder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Katherine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486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Katherine Newman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Accepted: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 hereto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w:t>
      </w:r>
      <w:r>
        <w:rPr>
          <w:rFonts w:ascii="Times New Roman" w:cs="Times New Roman" w:eastAsia="Times New Roman" w:hAnsi="Times New Roman"/>
          <w:sz w:val="12"/>
          <w:szCs w:val="12"/>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1808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7"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Name:</w:t>
      </w:r>
      <w:r>
        <w:rPr>
          <w:sz w:val="20"/>
          <w:szCs w:val="20"/>
          <w:color w:val="auto"/>
        </w:rPr>
        <w:tab/>
      </w:r>
      <w:r>
        <w:rPr>
          <w:rFonts w:ascii="Times New Roman" w:cs="Times New Roman" w:eastAsia="Times New Roman" w:hAnsi="Times New Roman"/>
          <w:sz w:val="18"/>
          <w:szCs w:val="18"/>
          <w:color w:val="auto"/>
        </w:rPr>
        <w:t>Victoria Hale</w:t>
      </w:r>
    </w:p>
    <w:p>
      <w:pPr>
        <w:spacing w:after="0" w:line="23" w:lineRule="exact"/>
        <w:rPr>
          <w:sz w:val="20"/>
          <w:szCs w:val="20"/>
          <w:color w:val="auto"/>
        </w:rPr>
      </w:pPr>
    </w:p>
    <w:p>
      <w:pPr>
        <w:jc w:val="both"/>
        <w:ind w:left="52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6280" w:type="dxa"/>
            <w:vAlign w:val="bottom"/>
            <w:gridSpan w:val="4"/>
          </w:tcPr>
          <w:p>
            <w:pPr>
              <w:ind w:left="17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3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Firm Stock</w:t>
            </w: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Option Stock</w:t>
            </w:r>
          </w:p>
        </w:tc>
      </w:tr>
      <w:tr>
        <w:trPr>
          <w:trHeight w:val="209"/>
        </w:trPr>
        <w:tc>
          <w:tcPr>
            <w:tcW w:w="3300" w:type="dxa"/>
            <w:vAlign w:val="bottom"/>
            <w:tcBorders>
              <w:top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4580" w:type="dxa"/>
            <w:vAlign w:val="bottom"/>
            <w:tcBorders>
              <w:top w:val="single" w:sz="8" w:color="auto"/>
            </w:tcBorders>
            <w:shd w:val="clear" w:color="auto" w:fill="C6F4F9"/>
          </w:tcPr>
          <w:p>
            <w:pPr>
              <w:spacing w:after="0"/>
              <w:rPr>
                <w:sz w:val="18"/>
                <w:szCs w:val="18"/>
                <w:color w:val="auto"/>
              </w:rPr>
            </w:pPr>
          </w:p>
        </w:tc>
        <w:tc>
          <w:tcPr>
            <w:tcW w:w="120" w:type="dxa"/>
            <w:vAlign w:val="bottom"/>
            <w:tcBorders>
              <w:top w:val="single" w:sz="8" w:color="C6F4F9"/>
            </w:tcBorders>
            <w:shd w:val="clear" w:color="auto" w:fill="C6F4F9"/>
          </w:tcPr>
          <w:p>
            <w:pPr>
              <w:spacing w:after="0"/>
              <w:rPr>
                <w:sz w:val="18"/>
                <w:szCs w:val="18"/>
                <w:color w:val="auto"/>
              </w:rPr>
            </w:pPr>
          </w:p>
        </w:tc>
        <w:tc>
          <w:tcPr>
            <w:tcW w:w="1580" w:type="dxa"/>
            <w:vAlign w:val="bottom"/>
            <w:tcBorders>
              <w:top w:val="single" w:sz="8" w:color="auto"/>
            </w:tcBorders>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5,250,000</w:t>
            </w:r>
          </w:p>
        </w:tc>
        <w:tc>
          <w:tcPr>
            <w:tcW w:w="100" w:type="dxa"/>
            <w:vAlign w:val="bottom"/>
            <w:tcBorders>
              <w:top w:val="single" w:sz="8" w:color="C6F4F9"/>
            </w:tcBorders>
            <w:shd w:val="clear" w:color="auto" w:fill="C6F4F9"/>
          </w:tcPr>
          <w:p>
            <w:pPr>
              <w:spacing w:after="0"/>
              <w:rPr>
                <w:sz w:val="18"/>
                <w:szCs w:val="18"/>
                <w:color w:val="auto"/>
              </w:rPr>
            </w:pPr>
          </w:p>
        </w:tc>
        <w:tc>
          <w:tcPr>
            <w:tcW w:w="1460" w:type="dxa"/>
            <w:vAlign w:val="bottom"/>
            <w:tcBorders>
              <w:top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100" w:type="dxa"/>
            <w:vAlign w:val="bottom"/>
            <w:tcBorders>
              <w:top w:val="single" w:sz="8" w:color="auto"/>
            </w:tcBorders>
            <w:shd w:val="clear" w:color="auto" w:fill="C6F4F9"/>
          </w:tcPr>
          <w:p>
            <w:pPr>
              <w:spacing w:after="0"/>
              <w:rPr>
                <w:sz w:val="18"/>
                <w:szCs w:val="18"/>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100" w:type="dxa"/>
            <w:vAlign w:val="bottom"/>
          </w:tcPr>
          <w:p>
            <w:pPr>
              <w:spacing w:after="0"/>
              <w:rPr>
                <w:sz w:val="21"/>
                <w:szCs w:val="21"/>
                <w:color w:val="auto"/>
              </w:rPr>
            </w:pPr>
          </w:p>
        </w:tc>
      </w:tr>
      <w:tr>
        <w:trPr>
          <w:trHeight w:val="20"/>
        </w:trPr>
        <w:tc>
          <w:tcPr>
            <w:tcW w:w="3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9"/>
        </w:trPr>
        <w:tc>
          <w:tcPr>
            <w:tcW w:w="3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608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Firm Stock</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Option Stock</w:t>
            </w:r>
          </w:p>
        </w:tc>
      </w:tr>
      <w:tr>
        <w:trPr>
          <w:trHeight w:val="223"/>
        </w:trPr>
        <w:tc>
          <w:tcPr>
            <w:tcW w:w="3500" w:type="dxa"/>
            <w:vAlign w:val="bottom"/>
            <w:tcBorders>
              <w:top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SCA Horus Holdings, LLC</w:t>
            </w:r>
          </w:p>
        </w:tc>
        <w:tc>
          <w:tcPr>
            <w:tcW w:w="4380" w:type="dxa"/>
            <w:vAlign w:val="bottom"/>
            <w:tcBorders>
              <w:top w:val="single" w:sz="8" w:color="auto"/>
            </w:tcBorders>
            <w:shd w:val="clear" w:color="auto" w:fill="C6F4F9"/>
          </w:tcPr>
          <w:p>
            <w:pPr>
              <w:spacing w:after="0"/>
              <w:rPr>
                <w:sz w:val="19"/>
                <w:szCs w:val="19"/>
                <w:color w:val="auto"/>
              </w:rPr>
            </w:pPr>
          </w:p>
        </w:tc>
        <w:tc>
          <w:tcPr>
            <w:tcW w:w="120" w:type="dxa"/>
            <w:vAlign w:val="bottom"/>
            <w:tcBorders>
              <w:top w:val="single" w:sz="8" w:color="C6F4F9"/>
            </w:tcBorders>
            <w:shd w:val="clear" w:color="auto" w:fill="C6F4F9"/>
          </w:tcPr>
          <w:p>
            <w:pPr>
              <w:spacing w:after="0"/>
              <w:rPr>
                <w:sz w:val="19"/>
                <w:szCs w:val="19"/>
                <w:color w:val="auto"/>
              </w:rPr>
            </w:pPr>
          </w:p>
        </w:tc>
        <w:tc>
          <w:tcPr>
            <w:tcW w:w="1580" w:type="dxa"/>
            <w:vAlign w:val="bottom"/>
            <w:tcBorders>
              <w:top w:val="single" w:sz="8" w:color="auto"/>
            </w:tcBorders>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5,250,000</w:t>
            </w:r>
          </w:p>
        </w:tc>
        <w:tc>
          <w:tcPr>
            <w:tcW w:w="100" w:type="dxa"/>
            <w:vAlign w:val="bottom"/>
            <w:tcBorders>
              <w:top w:val="single" w:sz="8" w:color="C6F4F9"/>
            </w:tcBorders>
            <w:shd w:val="clear" w:color="auto" w:fill="C6F4F9"/>
          </w:tcPr>
          <w:p>
            <w:pPr>
              <w:spacing w:after="0"/>
              <w:rPr>
                <w:sz w:val="19"/>
                <w:szCs w:val="19"/>
                <w:color w:val="auto"/>
              </w:rPr>
            </w:pPr>
          </w:p>
        </w:tc>
        <w:tc>
          <w:tcPr>
            <w:tcW w:w="1480" w:type="dxa"/>
            <w:vAlign w:val="bottom"/>
            <w:tcBorders>
              <w:top w:val="single" w:sz="8" w:color="auto"/>
            </w:tcBorders>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787,500</w:t>
            </w:r>
          </w:p>
        </w:tc>
        <w:tc>
          <w:tcPr>
            <w:tcW w:w="80" w:type="dxa"/>
            <w:vAlign w:val="bottom"/>
            <w:tcBorders>
              <w:top w:val="single" w:sz="8" w:color="auto"/>
            </w:tcBorders>
            <w:shd w:val="clear" w:color="auto" w:fill="C6F4F9"/>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2"/>
        </w:trPr>
        <w:tc>
          <w:tcPr>
            <w:tcW w:w="35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6" w:name="page47"/>
    <w:bookmarkEnd w:id="46"/>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INFORMATION OTHER THAN THE PRICING PROSPECTUS THAT COMPRISE THE PRICING DISCLOSURE PACKAGE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each investor, the price paid by such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Repurchase Shares purchased on the Initial Delivery Date by the Company is 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60"/>
          </w:cols>
          <w:pgMar w:left="980" w:top="576" w:right="1259" w:bottom="1440" w:gutter="0" w:footer="0" w:header="0"/>
        </w:sectPr>
      </w:pPr>
    </w:p>
    <w:bookmarkStart w:id="47" w:name="page48"/>
    <w:bookmarkEnd w:id="47"/>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V</w:t>
      </w:r>
    </w:p>
    <w:p>
      <w:pPr>
        <w:spacing w:after="0" w:line="229"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48" w:name="page49"/>
    <w:bookmarkEnd w:id="4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w:t>
      </w:r>
    </w:p>
    <w:p>
      <w:pPr>
        <w:spacing w:after="0" w:line="22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1"/>
    </w:lvl>
    <w:lvl w:ilvl="1">
      <w:lvlJc w:val="left"/>
      <w:lvlText w:val="%2."/>
      <w:numFmt w:val="decimal"/>
      <w:start w:val="1"/>
    </w:lvl>
  </w:abstractNum>
  <w:abstractNum w:abstractNumId="2">
    <w:nsid w:val="22221A70"/>
    <w:multiLevelType w:val="hybridMultilevel"/>
    <w:lvl w:ilvl="0">
      <w:lvlJc w:val="left"/>
      <w:lvlText w:val="(%1)"/>
      <w:numFmt w:val="lowerLetter"/>
      <w:start w:val="1"/>
    </w:lvl>
    <w:lvl w:ilvl="1">
      <w:lvlJc w:val="left"/>
      <w:lvlText w:val="%2"/>
      <w:numFmt w:val="decimal"/>
      <w:start w:val="1"/>
    </w:lvl>
  </w:abstractNum>
  <w:abstractNum w:abstractNumId="3">
    <w:nsid w:val="4516DDE9"/>
    <w:multiLevelType w:val="hybridMultilevel"/>
    <w:lvl w:ilvl="0">
      <w:lvlJc w:val="left"/>
      <w:lvlText w:val="(%1)"/>
      <w:numFmt w:val="lowerRoman"/>
      <w:start w:val="1"/>
    </w:lvl>
  </w:abstractNum>
  <w:abstractNum w:abstractNumId="4">
    <w:nsid w:val="3006C83E"/>
    <w:multiLevelType w:val="hybridMultilevel"/>
    <w:lvl w:ilvl="0">
      <w:lvlJc w:val="left"/>
      <w:lvlText w:val="(%1)"/>
      <w:numFmt w:val="lowerLetter"/>
      <w:start w:val="2"/>
    </w:lvl>
  </w:abstractNum>
  <w:abstractNum w:abstractNumId="5">
    <w:nsid w:val="614FD4A1"/>
    <w:multiLevelType w:val="hybridMultilevel"/>
    <w:lvl w:ilvl="0">
      <w:lvlJc w:val="left"/>
      <w:lvlText w:val="(%1)"/>
      <w:numFmt w:val="lowerLetter"/>
      <w:start w:val="6"/>
    </w:lvl>
  </w:abstractNum>
  <w:abstractNum w:abstractNumId="6">
    <w:nsid w:val="419AC241"/>
    <w:multiLevelType w:val="hybridMultilevel"/>
    <w:lvl w:ilvl="0">
      <w:lvlJc w:val="left"/>
      <w:lvlText w:val="(%1)"/>
      <w:numFmt w:val="lowerLetter"/>
      <w:start w:val="12"/>
    </w:lvl>
  </w:abstractNum>
  <w:abstractNum w:abstractNumId="7">
    <w:nsid w:val="5577F8E1"/>
    <w:multiLevelType w:val="hybridMultilevel"/>
    <w:lvl w:ilvl="0">
      <w:lvlJc w:val="left"/>
      <w:lvlText w:val="(%1)"/>
      <w:numFmt w:val="lowerLetter"/>
      <w:start w:val="16"/>
    </w:lvl>
  </w:abstractNum>
  <w:abstractNum w:abstractNumId="8">
    <w:nsid w:val="440BADFC"/>
    <w:multiLevelType w:val="hybridMultilevel"/>
    <w:lvl w:ilvl="0">
      <w:lvlJc w:val="left"/>
      <w:lvlText w:val="(%1)"/>
      <w:numFmt w:val="lowerLetter"/>
      <w:start w:val="21"/>
    </w:lvl>
  </w:abstractNum>
  <w:abstractNum w:abstractNumId="9">
    <w:nsid w:val="5072367"/>
    <w:multiLevelType w:val="hybridMultilevel"/>
    <w:lvl w:ilvl="0">
      <w:lvlJc w:val="left"/>
      <w:lvlText w:val="(%1)"/>
      <w:numFmt w:val="lowerLetter"/>
      <w:start w:val="25"/>
    </w:lvl>
  </w:abstractNum>
  <w:abstractNum w:abstractNumId="10">
    <w:nsid w:val="3804823E"/>
    <w:multiLevelType w:val="hybridMultilevel"/>
    <w:lvl w:ilvl="0">
      <w:lvlJc w:val="left"/>
      <w:lvlText w:val="%1"/>
      <w:numFmt w:val="lowerLetter"/>
      <w:start w:val="1"/>
    </w:lvl>
    <w:lvl w:ilvl="1">
      <w:lvlJc w:val="left"/>
      <w:lvlText w:val="(%2)"/>
      <w:numFmt w:val="lowerLetter"/>
      <w:start w:val="27"/>
    </w:lvl>
  </w:abstractNum>
  <w:abstractNum w:abstractNumId="11">
    <w:nsid w:val="77465F01"/>
    <w:multiLevelType w:val="hybridMultilevel"/>
    <w:lvl w:ilvl="0">
      <w:lvlJc w:val="left"/>
      <w:lvlText w:val="(%1)"/>
      <w:numFmt w:val="lowerLetter"/>
      <w:start w:val="9"/>
    </w:lvl>
    <w:lvl w:ilvl="1">
      <w:lvlJc w:val="left"/>
      <w:lvlText w:val="(%2)"/>
      <w:numFmt w:val="lowerLetter"/>
      <w:start w:val="28"/>
    </w:lvl>
  </w:abstractNum>
  <w:abstractNum w:abstractNumId="12">
    <w:nsid w:val="7724C67E"/>
    <w:multiLevelType w:val="hybridMultilevel"/>
    <w:lvl w:ilvl="0">
      <w:lvlJc w:val="left"/>
      <w:lvlText w:val="(%1)"/>
      <w:numFmt w:val="lowerLetter"/>
      <w:start w:val="30"/>
    </w:lvl>
  </w:abstractNum>
  <w:abstractNum w:abstractNumId="13">
    <w:nsid w:val="5C482A97"/>
    <w:multiLevelType w:val="hybridMultilevel"/>
    <w:lvl w:ilvl="0">
      <w:lvlJc w:val="left"/>
      <w:lvlText w:val="(%1)"/>
      <w:numFmt w:val="lowerLetter"/>
      <w:start w:val="34"/>
    </w:lvl>
  </w:abstractNum>
  <w:abstractNum w:abstractNumId="14">
    <w:nsid w:val="2463B9EA"/>
    <w:multiLevelType w:val="hybridMultilevel"/>
    <w:lvl w:ilvl="0">
      <w:lvlJc w:val="left"/>
      <w:lvlText w:val="%1"/>
      <w:numFmt w:val="upperLetter"/>
      <w:start w:val="1"/>
    </w:lvl>
    <w:lvl w:ilvl="1">
      <w:lvlJc w:val="left"/>
      <w:lvlText w:val="(%2)"/>
      <w:numFmt w:val="lowerLetter"/>
      <w:start w:val="38"/>
    </w:lvl>
  </w:abstractNum>
  <w:abstractNum w:abstractNumId="15">
    <w:nsid w:val="5E884ADC"/>
    <w:multiLevelType w:val="hybridMultilevel"/>
    <w:lvl w:ilvl="0">
      <w:lvlJc w:val="left"/>
      <w:lvlText w:val="(%1)"/>
      <w:numFmt w:val="upperLetter"/>
      <w:start w:val="4"/>
    </w:lvl>
    <w:lvl w:ilvl="1">
      <w:lvlJc w:val="left"/>
      <w:lvlText w:val="%2"/>
      <w:numFmt w:val="lowerLetter"/>
      <w:start w:val="1"/>
    </w:lvl>
  </w:abstractNum>
  <w:abstractNum w:abstractNumId="16">
    <w:nsid w:val="51EAD36B"/>
    <w:multiLevelType w:val="hybridMultilevel"/>
    <w:lvl w:ilvl="0">
      <w:lvlJc w:val="left"/>
      <w:lvlText w:val="(%1)"/>
      <w:numFmt w:val="lowerLetter"/>
      <w:start w:val="40"/>
    </w:lvl>
  </w:abstractNum>
  <w:abstractNum w:abstractNumId="17">
    <w:nsid w:val="2D517796"/>
    <w:multiLevelType w:val="hybridMultilevel"/>
    <w:lvl w:ilvl="0">
      <w:lvlJc w:val="left"/>
      <w:lvlText w:val="(%1)"/>
      <w:numFmt w:val="lowerLetter"/>
      <w:start w:val="49"/>
    </w:lvl>
  </w:abstractNum>
  <w:abstractNum w:abstractNumId="18">
    <w:nsid w:val="580BD78F"/>
    <w:multiLevelType w:val="hybridMultilevel"/>
    <w:lvl w:ilvl="0">
      <w:lvlJc w:val="left"/>
      <w:lvlText w:val="(%1)"/>
      <w:numFmt w:val="lowerLetter"/>
      <w:start w:val="53"/>
    </w:lvl>
  </w:abstractNum>
  <w:abstractNum w:abstractNumId="19">
    <w:nsid w:val="153EA438"/>
    <w:multiLevelType w:val="hybridMultilevel"/>
    <w:lvl w:ilvl="0">
      <w:lvlJc w:val="left"/>
      <w:lvlText w:val="(%1)"/>
      <w:numFmt w:val="lowerLetter"/>
      <w:start w:val="56"/>
    </w:lvl>
  </w:abstractNum>
  <w:abstractNum w:abstractNumId="20">
    <w:nsid w:val="3855585C"/>
    <w:multiLevelType w:val="hybridMultilevel"/>
    <w:lvl w:ilvl="0">
      <w:lvlJc w:val="left"/>
      <w:lvlText w:val="%1"/>
      <w:numFmt w:val="lowerLetter"/>
      <w:start w:val="1"/>
    </w:lvl>
    <w:lvl w:ilvl="1">
      <w:lvlJc w:val="left"/>
      <w:lvlText w:val="(%2)"/>
      <w:numFmt w:val="lowerLetter"/>
      <w:start w:val="57"/>
    </w:lvl>
  </w:abstractNum>
  <w:abstractNum w:abstractNumId="21">
    <w:nsid w:val="70A64E2A"/>
    <w:multiLevelType w:val="hybridMultilevel"/>
    <w:lvl w:ilvl="0">
      <w:lvlJc w:val="left"/>
      <w:lvlText w:val="(%1)"/>
      <w:numFmt w:val="lowerLetter"/>
      <w:start w:val="24"/>
    </w:lvl>
    <w:lvl w:ilvl="1">
      <w:lvlJc w:val="left"/>
      <w:lvlText w:val="(%2)"/>
      <w:numFmt w:val="lowerLetter"/>
      <w:start w:val="59"/>
    </w:lvl>
  </w:abstractNum>
  <w:abstractNum w:abstractNumId="22">
    <w:nsid w:val="6A2342EC"/>
    <w:multiLevelType w:val="hybridMultilevel"/>
    <w:lvl w:ilvl="0">
      <w:lvlJc w:val="left"/>
      <w:lvlText w:val="%1."/>
      <w:numFmt w:val="decimal"/>
      <w:start w:val="2"/>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0"/>
    </w:lvl>
  </w:abstractNum>
  <w:abstractNum w:abstractNumId="25">
    <w:nsid w:val="725A06FB"/>
    <w:multiLevelType w:val="hybridMultilevel"/>
    <w:lvl w:ilvl="0">
      <w:lvlJc w:val="left"/>
      <w:lvlText w:val="%1"/>
      <w:numFmt w:val="lowerRoman"/>
      <w:start w:val="1"/>
    </w:lvl>
    <w:lvl w:ilvl="1">
      <w:lvlJc w:val="left"/>
      <w:lvlText w:val="(%2)"/>
      <w:numFmt w:val="lowerLetter"/>
      <w:start w:val="15"/>
    </w:lvl>
  </w:abstractNum>
  <w:abstractNum w:abstractNumId="26">
    <w:nsid w:val="2CD89A32"/>
    <w:multiLevelType w:val="hybridMultilevel"/>
    <w:lvl w:ilvl="0">
      <w:lvlJc w:val="left"/>
      <w:lvlText w:val="(%1)"/>
      <w:numFmt w:val="lowerRoman"/>
      <w:start w:val="1"/>
    </w:lvl>
    <w:lvl w:ilvl="1">
      <w:lvlJc w:val="left"/>
      <w:lvlText w:val="%2"/>
      <w:numFmt w:val="lowerLetter"/>
      <w:start w:val="1"/>
    </w:lvl>
  </w:abstractNum>
  <w:abstractNum w:abstractNumId="27">
    <w:nsid w:val="57E4CCAF"/>
    <w:multiLevelType w:val="hybridMultilevel"/>
    <w:lvl w:ilvl="0">
      <w:lvlJc w:val="left"/>
      <w:lvlText w:val="(%1)"/>
      <w:numFmt w:val="lowerRoman"/>
      <w:start w:val="3"/>
    </w:lvl>
    <w:lvl w:ilvl="1">
      <w:lvlJc w:val="left"/>
      <w:lvlText w:val="(%2)"/>
      <w:numFmt w:val="lowerLetter"/>
      <w:start w:val="19"/>
    </w:lvl>
  </w:abstractNum>
  <w:abstractNum w:abstractNumId="28">
    <w:nsid w:val="7A6D8D3C"/>
    <w:multiLevelType w:val="hybridMultilevel"/>
    <w:lvl w:ilvl="0">
      <w:lvlJc w:val="left"/>
      <w:lvlText w:val="%1."/>
      <w:numFmt w:val="decimal"/>
      <w:start w:val="3"/>
    </w:lvl>
  </w:abstractNum>
  <w:abstractNum w:abstractNumId="29">
    <w:nsid w:val="4B588F54"/>
    <w:multiLevelType w:val="hybridMultilevel"/>
    <w:lvl w:ilvl="0">
      <w:lvlJc w:val="left"/>
      <w:lvlText w:val="%1."/>
      <w:numFmt w:val="decimal"/>
      <w:start w:val="4"/>
    </w:lvl>
  </w:abstractNum>
  <w:abstractNum w:abstractNumId="30">
    <w:nsid w:val="542289EC"/>
    <w:multiLevelType w:val="hybridMultilevel"/>
    <w:lvl w:ilvl="0">
      <w:lvlJc w:val="left"/>
      <w:lvlText w:val="%1."/>
      <w:numFmt w:val="decimal"/>
      <w:start w:val="5"/>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lowerRoman"/>
      <w:start w:val="4"/>
    </w:lvl>
  </w:abstractNum>
  <w:abstractNum w:abstractNumId="33">
    <w:nsid w:val="7644A45C"/>
    <w:multiLevelType w:val="hybridMultilevel"/>
    <w:lvl w:ilvl="0">
      <w:lvlJc w:val="left"/>
      <w:lvlText w:val="(%1)"/>
      <w:numFmt w:val="lowerRoman"/>
      <w:start w:val="8"/>
    </w:lvl>
  </w:abstractNum>
  <w:abstractNum w:abstractNumId="34">
    <w:nsid w:val="32FFF902"/>
    <w:multiLevelType w:val="hybridMultilevel"/>
    <w:lvl w:ilvl="0">
      <w:lvlJc w:val="left"/>
      <w:lvlText w:val="(%1)"/>
      <w:numFmt w:val="lowerRoman"/>
      <w:start w:val="11"/>
    </w:lvl>
  </w:abstractNum>
  <w:abstractNum w:abstractNumId="35">
    <w:nsid w:val="684A481A"/>
    <w:multiLevelType w:val="hybridMultilevel"/>
    <w:lvl w:ilvl="0">
      <w:lvlJc w:val="left"/>
      <w:lvlText w:val="(%1)"/>
      <w:numFmt w:val="lowerLetter"/>
      <w:start w:val="2"/>
    </w:lvl>
  </w:abstractNum>
  <w:abstractNum w:abstractNumId="36">
    <w:nsid w:val="579478FE"/>
    <w:multiLevelType w:val="hybridMultilevel"/>
    <w:lvl w:ilvl="0">
      <w:lvlJc w:val="left"/>
      <w:lvlText w:val="%1."/>
      <w:numFmt w:val="decimal"/>
      <w:start w:val="6"/>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7"/>
    </w:lvl>
  </w:abstractNum>
  <w:abstractNum w:abstractNumId="39">
    <w:nsid w:val="1BA026FA"/>
    <w:multiLevelType w:val="hybridMultilevel"/>
    <w:lvl w:ilvl="0">
      <w:lvlJc w:val="left"/>
      <w:lvlText w:val="%1."/>
      <w:numFmt w:val="decimal"/>
      <w:start w:val="8"/>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4"/>
    </w:lvl>
  </w:abstractNum>
  <w:abstractNum w:abstractNumId="42">
    <w:nsid w:val="12E685FB"/>
    <w:multiLevelType w:val="hybridMultilevel"/>
    <w:lvl w:ilvl="0">
      <w:lvlJc w:val="left"/>
      <w:lvlText w:val="(%1)"/>
      <w:numFmt w:val="lowerRoman"/>
      <w:start w:val="1"/>
    </w:lvl>
    <w:lvl w:ilvl="1">
      <w:lvlJc w:val="left"/>
      <w:lvlText w:val="(%2)"/>
      <w:numFmt w:val="lowerRoman"/>
      <w:start w:val="1"/>
    </w:lvl>
  </w:abstractNum>
  <w:abstractNum w:abstractNumId="43">
    <w:nsid w:val="70C6A529"/>
    <w:multiLevelType w:val="hybridMultilevel"/>
    <w:lvl w:ilvl="0">
      <w:lvlJc w:val="left"/>
      <w:lvlText w:val="(%1)"/>
      <w:numFmt w:val="lowerLetter"/>
      <w:start w:val="10"/>
    </w:lvl>
  </w:abstractNum>
  <w:abstractNum w:abstractNumId="44">
    <w:nsid w:val="520EEDD1"/>
    <w:multiLevelType w:val="hybridMultilevel"/>
    <w:lvl w:ilvl="0">
      <w:lvlJc w:val="left"/>
      <w:lvlText w:val="(%1)"/>
      <w:numFmt w:val="lowerLetter"/>
      <w:start w:val="13"/>
    </w:lvl>
  </w:abstractNum>
  <w:abstractNum w:abstractNumId="45">
    <w:nsid w:val="374A3FE6"/>
    <w:multiLevelType w:val="hybridMultilevel"/>
    <w:lvl w:ilvl="0">
      <w:lvlJc w:val="left"/>
      <w:lvlText w:val="%1."/>
      <w:numFmt w:val="decimal"/>
      <w:start w:val="9"/>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3"/>
    </w:lvl>
  </w:abstractNum>
  <w:abstractNum w:abstractNumId="49">
    <w:nsid w:val="275AC794"/>
    <w:multiLevelType w:val="hybridMultilevel"/>
    <w:lvl w:ilvl="0">
      <w:lvlJc w:val="left"/>
      <w:lvlText w:val="(%1)"/>
      <w:numFmt w:val="lowerLetter"/>
      <w:start w:val="4"/>
    </w:lvl>
  </w:abstractNum>
  <w:abstractNum w:abstractNumId="50">
    <w:nsid w:val="39386575"/>
    <w:multiLevelType w:val="hybridMultilevel"/>
    <w:lvl w:ilvl="0">
      <w:lvlJc w:val="left"/>
      <w:lvlText w:val="(%1)"/>
      <w:numFmt w:val="lowerLetter"/>
      <w:start w:val="5"/>
    </w:lvl>
  </w:abstractNum>
  <w:abstractNum w:abstractNumId="51">
    <w:nsid w:val="1CF10FD8"/>
    <w:multiLevelType w:val="hybridMultilevel"/>
    <w:lvl w:ilvl="0">
      <w:lvlJc w:val="left"/>
      <w:lvlText w:val="(%1)"/>
      <w:numFmt w:val="lowerLetter"/>
      <w:start w:val="6"/>
    </w:lvl>
  </w:abstractNum>
  <w:abstractNum w:abstractNumId="52">
    <w:nsid w:val="180115BE"/>
    <w:multiLevelType w:val="hybridMultilevel"/>
    <w:lvl w:ilvl="0">
      <w:lvlJc w:val="left"/>
      <w:lvlText w:val="%1."/>
      <w:numFmt w:val="decimal"/>
      <w:start w:val="10"/>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3"/>
    </w:lvl>
  </w:abstractNum>
  <w:abstractNum w:abstractNumId="55">
    <w:nsid w:val="354FE9F9"/>
    <w:multiLevelType w:val="hybridMultilevel"/>
    <w:lvl w:ilvl="0">
      <w:lvlJc w:val="left"/>
      <w:lvlText w:val="%1."/>
      <w:numFmt w:val="decimal"/>
      <w:start w:val="11"/>
    </w:lvl>
  </w:abstractNum>
  <w:abstractNum w:abstractNumId="56">
    <w:nsid w:val="15B5AF5C"/>
    <w:multiLevelType w:val="hybridMultilevel"/>
    <w:lvl w:ilvl="0">
      <w:lvlJc w:val="left"/>
      <w:lvlText w:val="%1."/>
      <w:numFmt w:val="decimal"/>
      <w:start w:val="14"/>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3"/>
    </w:lvl>
  </w:abstractNum>
  <w:abstractNum w:abstractNumId="59">
    <w:nsid w:val="10233C99"/>
    <w:multiLevelType w:val="hybridMultilevel"/>
    <w:lvl w:ilvl="0">
      <w:lvlJc w:val="left"/>
      <w:lvlText w:val="%1."/>
      <w:numFmt w:val="decimal"/>
      <w:start w:val="16"/>
    </w:lvl>
  </w:abstractNum>
  <w:abstractNum w:abstractNumId="60">
    <w:nsid w:val="3F6AB60F"/>
    <w:multiLevelType w:val="hybridMultilevel"/>
    <w:lvl w:ilvl="0">
      <w:lvlJc w:val="left"/>
      <w:lvlText w:val="%1"/>
      <w:numFmt w:val="lowerLetter"/>
      <w:start w:val="1"/>
    </w:lvl>
    <w:lvl w:ilvl="1">
      <w:lvlJc w:val="left"/>
      <w:lvlText w:val="%2."/>
      <w:numFmt w:val="decimal"/>
      <w:start w:val="20"/>
    </w:lvl>
  </w:abstractNum>
  <w:abstractNum w:abstractNumId="61">
    <w:nsid w:val="61574095"/>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2023-02-22T05:12:02Z</dcterms:created>
  <dcterms:modified xsi:type="dcterms:W3CDTF">2023-02-22T05:12:02Z</dcterms:modified>
</cp:coreProperties>
</file>