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Whitney Grant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256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Revenue Officer &amp; SVP</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07/01/2025</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480" w:space="36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07/01/2025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ind w:right="97"/>
              <w:spacing w:after="0"/>
              <w:rPr>
                <w:sz w:val="20"/>
                <w:szCs w:val="20"/>
                <w:color w:val="auto"/>
              </w:rPr>
            </w:pPr>
            <w:r>
              <w:rPr>
                <w:rFonts w:ascii="Times New Roman" w:cs="Times New Roman" w:eastAsia="Times New Roman" w:hAnsi="Times New Roman"/>
                <w:sz w:val="34"/>
                <w:szCs w:val="34"/>
                <w:color w:val="0000FF"/>
                <w:vertAlign w:val="subscript"/>
              </w:rPr>
              <w:t>394</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11.7529</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27,692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07/02/2025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vMerge w:val="restart"/>
          </w:tcPr>
          <w:p>
            <w:pPr>
              <w:jc w:val="right"/>
              <w:ind w:right="197"/>
              <w:spacing w:after="0"/>
              <w:rPr>
                <w:sz w:val="20"/>
                <w:szCs w:val="20"/>
                <w:color w:val="auto"/>
              </w:rPr>
            </w:pPr>
            <w:r>
              <w:rPr>
                <w:rFonts w:ascii="Times New Roman" w:cs="Times New Roman" w:eastAsia="Times New Roman" w:hAnsi="Times New Roman"/>
                <w:sz w:val="17"/>
                <w:szCs w:val="17"/>
                <w:color w:val="0000FF"/>
              </w:rPr>
              <w:t>893</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26,799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effected pursuant to a Rule 10b5-1 trading plan. The 10b5-1 trading plan was adopted on March 4,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4"/>
          <w:szCs w:val="34"/>
          <w:color w:val="0000FF"/>
          <w:vertAlign w:val="subscript"/>
        </w:rPr>
        <w:t>07/03/2025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Grant 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04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4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048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2025-07-03T20:06:08Z</dcterms:created>
  <dcterms:modified xsi:type="dcterms:W3CDTF">2025-07-03T20:06:08Z</dcterms:modified>
</cp:coreProperties>
</file>