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950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 may be changed. This prospectus supplement and the accompanying prospectus are not an offer to sell these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in any jurisdiction where the offer or sale is not permitted.</w:t>
            </w:r>
          </w:p>
        </w:tc>
      </w:tr>
      <w:tr>
        <w:trPr>
          <w:trHeight w:val="8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to buy these</w:t>
            </w:r>
          </w:p>
        </w:tc>
      </w:tr>
      <w:tr>
        <w:trPr>
          <w:trHeight w:val="122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w:t>
            </w:r>
          </w:p>
        </w:tc>
      </w:tr>
      <w:tr>
        <w:trPr>
          <w:trHeight w:val="81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they are not</w:t>
            </w:r>
          </w:p>
        </w:tc>
      </w:tr>
      <w:tr>
        <w:trPr>
          <w:trHeight w:val="290"/>
        </w:trPr>
        <w:tc>
          <w:tcPr>
            <w:tcW w:w="300" w:type="dxa"/>
            <w:vAlign w:val="bottom"/>
            <w:gridSpan w:val="2"/>
            <w:textDirection w:val="btLr"/>
          </w:tcPr>
          <w:p>
            <w:pPr>
              <w:ind w:left="197"/>
              <w:spacing w:after="0"/>
              <w:rPr>
                <w:sz w:val="20"/>
                <w:szCs w:val="20"/>
                <w:color w:val="auto"/>
              </w:rPr>
            </w:pPr>
            <w:r>
              <w:rPr>
                <w:rFonts w:ascii="Arial" w:cs="Arial" w:eastAsia="Arial" w:hAnsi="Arial"/>
                <w:sz w:val="9"/>
                <w:szCs w:val="9"/>
                <w:b w:val="1"/>
                <w:bCs w:val="1"/>
                <w:color w:val="FC0014"/>
                <w:w w:val="74"/>
              </w:rPr>
              <w:t>Theand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 Registration No. 333-269023​</w:t>
      </w:r>
    </w:p>
    <w:p>
      <w:pPr>
        <w:spacing w:after="0" w:line="5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11, 2023</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74295</wp:posOffset>
            </wp:positionV>
            <wp:extent cx="220345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345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88" w:lineRule="exact"/>
        <w:rPr>
          <w:sz w:val="24"/>
          <w:szCs w:val="24"/>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The information included or incorporated by reference in this prospectus supplement relates to the resale of an aggregate of 4,000,000 shares of common stock of Sun Country Airlines Holdings, Inc., a Delaware corporation, by SCA Horus Holdings, LLC, or the selling stockholder. In addition, the selling stockholder has granted the underwriter an option to purchase up to an additional 600,000 shares of common stock.</w:t>
      </w:r>
    </w:p>
    <w:p>
      <w:pPr>
        <w:spacing w:after="0" w:line="31" w:lineRule="exact"/>
        <w:rPr>
          <w:sz w:val="24"/>
          <w:szCs w:val="24"/>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Select Market, or “Nasdaq,” under the symbol “SNCY.” On December 8, 2023, the last reported sale price per share of our common stock on Nasdaq was $17.10.</w:t>
      </w:r>
    </w:p>
    <w:p>
      <w:pPr>
        <w:spacing w:after="0" w:line="2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by the selling stockholder.</w:t>
      </w:r>
    </w:p>
    <w:p>
      <w:pPr>
        <w:spacing w:after="0" w:line="77" w:lineRule="exact"/>
        <w:rPr>
          <w:sz w:val="24"/>
          <w:szCs w:val="24"/>
          <w:color w:val="auto"/>
        </w:rPr>
      </w:pPr>
    </w:p>
    <w:p>
      <w:pPr>
        <w:ind w:right="220" w:firstLine="360"/>
        <w:spacing w:after="0" w:line="254"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$5.0 million of the shares of common stock that are the subject of this offering at a price per share equal to the price at which the underwriter will purchase the shares from the selling stockholder in this offering. Assuming that the underwriter purchases the shares of common stock that are the subject of this offering from the selling stockholder at a price of $17.10 per share, which was the last reported sale price per share of our common stock on Nasdaq on December 8, 2023, we expect to repurchase 292,397 shares of our common stock from the underwriter as part of this offering. The underwriter will not receive any compensation for the shares of our common stock being repurchased by us. The repurchase would be made pursuant to our existing stock repurchase program.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43" w:lineRule="exact"/>
        <w:rPr>
          <w:sz w:val="24"/>
          <w:szCs w:val="24"/>
          <w:color w:val="auto"/>
        </w:rPr>
      </w:pPr>
    </w:p>
    <w:p>
      <w:pPr>
        <w:ind w:right="480"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both"/>
        <w:ind w:right="220" w:firstLine="360"/>
        <w:spacing w:after="0" w:line="266" w:lineRule="auto"/>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 § 40102(a)(15). See “</w:t>
      </w:r>
      <w:r>
        <w:rPr>
          <w:rFonts w:ascii="Times New Roman" w:cs="Times New Roman" w:eastAsia="Times New Roman" w:hAnsi="Times New Roman"/>
          <w:sz w:val="18"/>
          <w:szCs w:val="18"/>
          <w:i w:val="1"/>
          <w:iCs w:val="1"/>
          <w:color w:val="auto"/>
        </w:rPr>
        <w:t>Description of Capital Stock — Limited Ownership and Voting by Foreign Owners</w:t>
      </w:r>
      <w:r>
        <w:rPr>
          <w:rFonts w:ascii="Times New Roman" w:cs="Times New Roman" w:eastAsia="Times New Roman" w:hAnsi="Times New Roman"/>
          <w:sz w:val="18"/>
          <w:szCs w:val="18"/>
          <w:color w:val="auto"/>
        </w:rPr>
        <w:t>” in the accompanying prospectus.</w:t>
      </w:r>
    </w:p>
    <w:p>
      <w:pPr>
        <w:spacing w:after="0" w:line="23" w:lineRule="exact"/>
        <w:rPr>
          <w:sz w:val="24"/>
          <w:szCs w:val="24"/>
          <w:color w:val="auto"/>
        </w:rPr>
      </w:pPr>
    </w:p>
    <w:p>
      <w:pPr>
        <w:jc w:val="both"/>
        <w:ind w:right="2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common stock involves risks that are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section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 and in the documents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146685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underwriter has agreed to purchase the shares of common stock at a price of $            per share, which will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result in approximately $            of net proceeds (before deducting expenses) to the selling stockholder (or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approximately $            if the underwriter’s option to purchase additional shares is exercised in full). The underwriter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offer the shares of common stock from time to time for sale directly or through agents, or through brokers in one 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more brokerage transactions on Nasdaq, or to dealers in negotiated transactions or in a combination of such methods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sale, at a fixed price or prices, which may be changed, or at market prices prevailing at the time of sale, at prices related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prevailing market prices or at negotiated prices, subject to its right to reject any order in whole or in part. See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The underwriter may exercise its option to purchase up to an additional 600,000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from the selling stockholder at the price set forth above for 30 days after the date of this prospectus supplement.</w:t>
      </w:r>
    </w:p>
    <w:p>
      <w:pPr>
        <w:spacing w:after="0" w:line="70" w:lineRule="exact"/>
        <w:rPr>
          <w:sz w:val="24"/>
          <w:szCs w:val="24"/>
          <w:color w:val="auto"/>
        </w:rPr>
      </w:pPr>
    </w:p>
    <w:p>
      <w:pPr>
        <w:ind w:right="300" w:firstLine="360"/>
        <w:spacing w:after="0" w:line="284" w:lineRule="auto"/>
        <w:rPr>
          <w:sz w:val="20"/>
          <w:szCs w:val="20"/>
          <w:color w:val="auto"/>
        </w:rPr>
      </w:pPr>
      <w:r>
        <w:rPr>
          <w:rFonts w:ascii="Times New Roman" w:cs="Times New Roman" w:eastAsia="Times New Roman" w:hAnsi="Times New Roman"/>
          <w:sz w:val="18"/>
          <w:szCs w:val="18"/>
          <w:color w:val="auto"/>
        </w:rPr>
        <w:t>References to “underwriter” in this prospectus supplement refer to each underwriter named in the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of Interest)</w:t>
      </w:r>
      <w:r>
        <w:rPr>
          <w:rFonts w:ascii="Times New Roman" w:cs="Times New Roman" w:eastAsia="Times New Roman" w:hAnsi="Times New Roman"/>
          <w:sz w:val="18"/>
          <w:szCs w:val="18"/>
          <w:color w:val="auto"/>
        </w:rPr>
        <w:t>” section of this prospectus supplement.</w:t>
      </w:r>
    </w:p>
    <w:p>
      <w:pPr>
        <w:spacing w:after="0" w:line="8" w:lineRule="exact"/>
        <w:rPr>
          <w:sz w:val="24"/>
          <w:szCs w:val="24"/>
          <w:color w:val="auto"/>
        </w:rPr>
      </w:pPr>
    </w:p>
    <w:p>
      <w:pPr>
        <w:jc w:val="both"/>
        <w:ind w:right="1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26"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shares will be ready for delivery on or about 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111760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9" w:lineRule="exact"/>
        <w:rPr>
          <w:sz w:val="24"/>
          <w:szCs w:val="24"/>
          <w:color w:val="auto"/>
        </w:rPr>
      </w:pPr>
    </w:p>
    <w:p>
      <w:pPr>
        <w:jc w:val="both"/>
        <w:ind w:left="1700"/>
        <w:spacing w:after="0"/>
        <w:tabs>
          <w:tab w:leader="none" w:pos="4460" w:val="left"/>
          <w:tab w:leader="none" w:pos="5900" w:val="left"/>
          <w:tab w:leader="none" w:pos="906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w:t>
      </w:r>
    </w:p>
    <w:p>
      <w:pPr>
        <w:spacing w:after="0" w:line="78"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date of this prospectus supplement is 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64770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6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TRADEMARKS,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TRADE NAMES, AND SERVICE MARKS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CONCURRENT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 REPURCHASE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MATERIAL 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UNDERWRITING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(CONFLICT OF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S-vi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S-vi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32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1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7" w:lineRule="exact"/>
        <w:rPr>
          <w:sz w:val="20"/>
          <w:szCs w:val="20"/>
          <w:color w:val="auto"/>
        </w:rPr>
      </w:pPr>
    </w:p>
    <w:p>
      <w:pPr>
        <w:ind w:left="1800" w:right="61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Our Annual Report on Form 10-K for the fiscal year ended December 31, 2022, filed with the SEC</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on February 15, 2023 (the “2022 Annual Report”);</w:t>
        </w:r>
      </w:hyperlink>
    </w:p>
    <w:p>
      <w:pPr>
        <w:spacing w:after="0" w:line="40"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w:t>
      </w:r>
      <w:hyperlink r:id="rId28">
        <w:r>
          <w:rPr>
            <w:rFonts w:ascii="Times New Roman" w:cs="Times New Roman" w:eastAsia="Times New Roman" w:hAnsi="Times New Roman"/>
            <w:sz w:val="18"/>
            <w:szCs w:val="18"/>
            <w:u w:val="single" w:color="auto"/>
            <w:color w:val="0000EE"/>
          </w:rPr>
          <w:t>Definitive Proxy Statement on Schedule 14A, filed with the SEC on April 28, 2023,</w:t>
        </w:r>
      </w:hyperlink>
      <w:r>
        <w:rPr>
          <w:rFonts w:ascii="Times New Roman" w:cs="Times New Roman" w:eastAsia="Times New Roman" w:hAnsi="Times New Roman"/>
          <w:sz w:val="18"/>
          <w:szCs w:val="18"/>
          <w:color w:val="auto"/>
        </w:rPr>
        <w:t xml:space="preserve"> that are incorporated by reference into Part III of the 2022 Annual Report;</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Our Quarterly Report on Form 10-Q for the quarter ended March 31, 2023, filed with the SEC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April 28, 2023 (the “Q1 2023 Quarterly Report”);</w:t>
        </w:r>
      </w:hyperlink>
    </w:p>
    <w:p>
      <w:pPr>
        <w:spacing w:after="0" w:line="35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79" w:hanging="180"/>
        <w:spacing w:after="0" w:line="282"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Our Quarterly Report on Form 10-Q for the quarter ended June 30, 2023, filed with the SEC 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August 4, 2023 (the “Q2 2023 Quarterly Report”);</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Quarterly Report on Form 10-Q for the quarter ended September 30, 2023,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November 7, 2023 (the “Q3 2023 Quarterly Report” and together, with the Q1 2023 Quarterly Report</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and the Q2 2023 Quarterly Report, the “Quarterly Reports”);</w:t>
        </w:r>
      </w:hyperlink>
    </w:p>
    <w:p>
      <w:pPr>
        <w:spacing w:after="0" w:line="67" w:lineRule="exact"/>
        <w:rPr>
          <w:rFonts w:ascii="Times New Roman" w:cs="Times New Roman" w:eastAsia="Times New Roman" w:hAnsi="Times New Roman"/>
          <w:sz w:val="18"/>
          <w:szCs w:val="18"/>
          <w:u w:val="single" w:color="auto"/>
          <w:color w:val="0000EE"/>
        </w:rPr>
      </w:pPr>
    </w:p>
    <w:p>
      <w:pPr>
        <w:ind w:left="1800" w:right="439" w:hanging="180"/>
        <w:spacing w:after="0" w:line="261" w:lineRule="auto"/>
        <w:tabs>
          <w:tab w:leader="none" w:pos="1800" w:val="left"/>
        </w:tabs>
        <w:numPr>
          <w:ilvl w:val="0"/>
          <w:numId w:val="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 xml:space="preserve">January 23, 2023, </w:t>
        </w:r>
      </w:hyperlink>
      <w:hyperlink r:id="rId34">
        <w:r>
          <w:rPr>
            <w:rFonts w:ascii="Times New Roman" w:cs="Times New Roman" w:eastAsia="Times New Roman" w:hAnsi="Times New Roman"/>
            <w:sz w:val="18"/>
            <w:szCs w:val="18"/>
            <w:u w:val="single" w:color="auto"/>
            <w:color w:val="auto"/>
          </w:rPr>
          <w:t xml:space="preserve">February </w:t>
        </w:r>
        <w:r>
          <w:rPr>
            <w:rFonts w:ascii="Times New Roman" w:cs="Times New Roman" w:eastAsia="Times New Roman" w:hAnsi="Times New Roman"/>
            <w:sz w:val="18"/>
            <w:szCs w:val="18"/>
            <w:u w:val="single" w:color="auto"/>
            <w:color w:val="0000EE"/>
          </w:rPr>
          <w:t>6, 2023,</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 xml:space="preserve">February 22, 2023, </w:t>
        </w:r>
      </w:hyperlink>
      <w:hyperlink r:id="rId36">
        <w:r>
          <w:rPr>
            <w:rFonts w:ascii="Times New Roman" w:cs="Times New Roman" w:eastAsia="Times New Roman" w:hAnsi="Times New Roman"/>
            <w:sz w:val="18"/>
            <w:szCs w:val="18"/>
            <w:u w:val="single" w:color="auto"/>
            <w:color w:val="0000EE"/>
          </w:rPr>
          <w:t xml:space="preserve">March 7, 2023, </w:t>
        </w:r>
      </w:hyperlink>
      <w:hyperlink r:id="rId37">
        <w:r>
          <w:rPr>
            <w:rFonts w:ascii="Times New Roman" w:cs="Times New Roman" w:eastAsia="Times New Roman" w:hAnsi="Times New Roman"/>
            <w:sz w:val="18"/>
            <w:szCs w:val="18"/>
            <w:u w:val="single" w:color="auto"/>
            <w:color w:val="0000EE"/>
          </w:rPr>
          <w:t xml:space="preserve">March 27, 2023, </w:t>
        </w:r>
      </w:hyperlink>
      <w:hyperlink r:id="rId38">
        <w:r>
          <w:rPr>
            <w:rFonts w:ascii="Times New Roman" w:cs="Times New Roman" w:eastAsia="Times New Roman" w:hAnsi="Times New Roman"/>
            <w:sz w:val="18"/>
            <w:szCs w:val="18"/>
            <w:u w:val="single" w:color="auto"/>
            <w:color w:val="0000EE"/>
          </w:rPr>
          <w:t xml:space="preserve">May 12, 2023, </w:t>
        </w:r>
      </w:hyperlink>
      <w:hyperlink r:id="rId39">
        <w:r>
          <w:rPr>
            <w:rFonts w:ascii="Times New Roman" w:cs="Times New Roman" w:eastAsia="Times New Roman" w:hAnsi="Times New Roman"/>
            <w:sz w:val="18"/>
            <w:szCs w:val="18"/>
            <w:u w:val="single" w:color="auto"/>
            <w:color w:val="0000EE"/>
          </w:rPr>
          <w:t xml:space="preserve">June 14, 2023, </w:t>
        </w:r>
      </w:hyperlink>
      <w:hyperlink r:id="rId40">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(only with regards to information included in Item 8.01) and </w:t>
      </w:r>
      <w:hyperlink r:id="rId41">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(only with regards to information included in Item 8.01); and</w:t>
      </w:r>
    </w:p>
    <w:p>
      <w:pPr>
        <w:spacing w:after="0" w:line="71" w:lineRule="exact"/>
        <w:rPr>
          <w:rFonts w:ascii="Times New Roman" w:cs="Times New Roman" w:eastAsia="Times New Roman" w:hAnsi="Times New Roman"/>
          <w:sz w:val="18"/>
          <w:szCs w:val="18"/>
          <w:color w:val="000000"/>
        </w:rPr>
      </w:pPr>
    </w:p>
    <w:p>
      <w:pPr>
        <w:ind w:left="1800" w:right="459" w:hanging="180"/>
        <w:spacing w:after="0" w:line="263"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20" w:lineRule="exact"/>
        <w:rPr>
          <w:rFonts w:ascii="Times New Roman" w:cs="Times New Roman" w:eastAsia="Times New Roman" w:hAnsi="Times New Roman"/>
          <w:sz w:val="18"/>
          <w:szCs w:val="18"/>
          <w:u w:val="single" w:color="auto"/>
          <w:color w:val="0000EE"/>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9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9"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rFonts w:ascii="Times New Roman" w:cs="Times New Roman" w:eastAsia="Times New Roman" w:hAnsi="Times New Roman"/>
          <w:sz w:val="18"/>
          <w:szCs w:val="18"/>
          <w:u w:val="single" w:color="auto"/>
          <w:color w:val="0000EE"/>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108" w:lineRule="exact"/>
        <w:rPr>
          <w:rFonts w:ascii="Times New Roman" w:cs="Times New Roman" w:eastAsia="Times New Roman" w:hAnsi="Times New Roman"/>
          <w:sz w:val="18"/>
          <w:szCs w:val="18"/>
          <w:u w:val="single" w:color="auto"/>
          <w:color w:val="0000EE"/>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22" w:lineRule="exact"/>
        <w:rPr>
          <w:rFonts w:ascii="Times New Roman" w:cs="Times New Roman" w:eastAsia="Times New Roman" w:hAnsi="Times New Roman"/>
          <w:sz w:val="18"/>
          <w:szCs w:val="18"/>
          <w:u w:val="single" w:color="auto"/>
          <w:color w:val="0000EE"/>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33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32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effects, including variants, travel restrictions, social distancing measures and decreased demand for air travel;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or security concerns, including the unauthorized use, incursion or breach of our information technology and other cybersecurity risks;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increased security measures or outbreaks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2022 Annual Report and the Quarterly Reports.</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 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 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what we expect. Our forward-looking statements do not reflect the potential impact of any future acquisitions, merger, dispositions, joint ventures, or investments we may undertake. We qualify all of our forward- looking statements by these cautionary statements.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2022 Annual Report and the Quarterly Reports. Some of the statements in the following summary constitute forward- looking statements. See “Cautionary Note Regarding Forward-Looking Statements.”</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06" w:lineRule="exact"/>
        <w:rPr>
          <w:sz w:val="20"/>
          <w:szCs w:val="20"/>
          <w:color w:val="auto"/>
        </w:rPr>
      </w:pPr>
    </w:p>
    <w:p>
      <w:pPr>
        <w:ind w:left="1280" w:right="559" w:firstLine="360"/>
        <w:spacing w:after="0" w:line="261" w:lineRule="auto"/>
        <w:rPr>
          <w:sz w:val="20"/>
          <w:szCs w:val="20"/>
          <w:color w:val="auto"/>
        </w:rPr>
      </w:pPr>
      <w:r>
        <w:rPr>
          <w:rFonts w:ascii="Times New Roman" w:cs="Times New Roman" w:eastAsia="Times New Roman" w:hAnsi="Times New Roman"/>
          <w:sz w:val="18"/>
          <w:szCs w:val="18"/>
          <w:color w:val="auto"/>
        </w:rPr>
        <w:t>As of September 30, 2023, our fleet consisted of 59 Boeing 737-NG aircraft. This includes 42 aircraft in the passenger fleet, 12 cargo operated aircraft through the Air Transportation Services Agreement (the “ATSA”) with Amazon and 5 aircraft held for operating lease. This fleet is managed through our two reportable segments: Passenger, which includes both Scheduled Service and Charter, and Cargo.</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4,000,000 shares of our common stock by the selling stockholder (or 4,600,000 shares if the underwriter’s option to purchase additional shares is exercised in full). The shares to be sold by the selling stockholder in this offering represent approximately 7.4% of our outstanding shares of common stock prior to giving effect to this offering (or approximately 8.5% if the underwriter’s option to purchase additional shares is exercised in full). After this offering, the selling stockholder will beneficially own an aggregate of 11,392,497 shares of common stock (or 10,792,497 shares if the underwriter’s option to purchase additional shares is exercised in full), which represents approximately 21.2% of our outstanding shares of common stock after giving effect to this offering (or approximately 20.0% if the underwriter’s option to purchase additional shares is exercised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w:t>
      </w:r>
    </w:p>
    <w:p>
      <w:pPr>
        <w:spacing w:after="0" w:line="16" w:lineRule="exact"/>
        <w:rPr>
          <w:sz w:val="20"/>
          <w:szCs w:val="20"/>
          <w:color w:val="auto"/>
        </w:rPr>
      </w:pPr>
    </w:p>
    <w:p>
      <w:pPr>
        <w:ind w:left="1280" w:right="439"/>
        <w:spacing w:after="0" w:line="258" w:lineRule="auto"/>
        <w:rPr>
          <w:sz w:val="20"/>
          <w:szCs w:val="20"/>
          <w:color w:val="auto"/>
        </w:rPr>
      </w:pPr>
      <w:r>
        <w:rPr>
          <w:rFonts w:ascii="Times New Roman" w:cs="Times New Roman" w:eastAsia="Times New Roman" w:hAnsi="Times New Roman"/>
          <w:sz w:val="18"/>
          <w:szCs w:val="18"/>
          <w:color w:val="auto"/>
        </w:rPr>
        <w:t>defined in 49 U.S.C. § 40102(a)(15). See “</w:t>
      </w:r>
      <w:r>
        <w:rPr>
          <w:rFonts w:ascii="Times New Roman" w:cs="Times New Roman" w:eastAsia="Times New Roman" w:hAnsi="Times New Roman"/>
          <w:sz w:val="18"/>
          <w:szCs w:val="18"/>
          <w:i w:val="1"/>
          <w:iCs w:val="1"/>
          <w:color w:val="auto"/>
        </w:rPr>
        <w:t>Description of Capital Stock — Limited Ownership and Voting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61"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84"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97" w:lineRule="exact"/>
        <w:rPr>
          <w:sz w:val="20"/>
          <w:szCs w:val="20"/>
          <w:color w:val="auto"/>
        </w:rPr>
      </w:pPr>
    </w:p>
    <w:p>
      <w:pPr>
        <w:ind w:left="1460" w:right="34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Concurrent Share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Repurchase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539"/>
        <w:spacing w:after="0" w:line="282" w:lineRule="auto"/>
        <w:rPr>
          <w:sz w:val="20"/>
          <w:szCs w:val="20"/>
          <w:color w:val="auto"/>
        </w:rPr>
      </w:pPr>
      <w:r>
        <w:rPr>
          <w:rFonts w:ascii="Times New Roman" w:cs="Times New Roman" w:eastAsia="Times New Roman" w:hAnsi="Times New Roman"/>
          <w:sz w:val="18"/>
          <w:szCs w:val="18"/>
          <w:color w:val="auto"/>
        </w:rPr>
        <w:t>4,000,000 shares (or 4,600,000 shares if the underwriter exercises its option to purchase additional shares in full as described below).</w:t>
      </w:r>
    </w:p>
    <w:p>
      <w:pPr>
        <w:spacing w:after="0" w:line="200" w:lineRule="exact"/>
        <w:rPr>
          <w:sz w:val="20"/>
          <w:szCs w:val="20"/>
          <w:color w:val="auto"/>
        </w:rPr>
      </w:pPr>
    </w:p>
    <w:p>
      <w:pPr>
        <w:spacing w:after="0" w:line="286" w:lineRule="exact"/>
        <w:rPr>
          <w:sz w:val="20"/>
          <w:szCs w:val="20"/>
          <w:color w:val="auto"/>
        </w:rPr>
      </w:pPr>
    </w:p>
    <w:p>
      <w:pPr>
        <w:ind w:right="519"/>
        <w:spacing w:after="0" w:line="263" w:lineRule="auto"/>
        <w:rPr>
          <w:sz w:val="20"/>
          <w:szCs w:val="20"/>
          <w:color w:val="auto"/>
        </w:rPr>
      </w:pPr>
      <w:r>
        <w:rPr>
          <w:rFonts w:ascii="Times New Roman" w:cs="Times New Roman" w:eastAsia="Times New Roman" w:hAnsi="Times New Roman"/>
          <w:sz w:val="18"/>
          <w:szCs w:val="18"/>
          <w:color w:val="auto"/>
        </w:rPr>
        <w:t>53,841,454 shares (assuming 292,397 shares are repurchased by us in the Concurrent Share Repurchase).</w:t>
      </w:r>
      <w:r>
        <w:rPr>
          <w:rFonts w:ascii="Times New Roman" w:cs="Times New Roman" w:eastAsia="Times New Roman" w:hAnsi="Times New Roman"/>
          <w:sz w:val="26"/>
          <w:szCs w:val="26"/>
          <w:color w:val="auto"/>
          <w:vertAlign w:val="superscript"/>
        </w:rPr>
        <w:t>(1)</w:t>
      </w:r>
    </w:p>
    <w:p>
      <w:pPr>
        <w:spacing w:after="0" w:line="215" w:lineRule="exact"/>
        <w:rPr>
          <w:sz w:val="20"/>
          <w:szCs w:val="20"/>
          <w:color w:val="auto"/>
        </w:rPr>
      </w:pPr>
    </w:p>
    <w:p>
      <w:pPr>
        <w:jc w:val="both"/>
        <w:ind w:right="739"/>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the underwriter an option to purchase up to 600,000 additional shares of common stock. The underwriter may exercise this option at any time within 30 days from the date of this prospectus supplement.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of Interest)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right="399"/>
        <w:spacing w:after="0" w:line="252"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$5.0 million of the shares of common stock that are the subject of this offering at a price per share equal to the price at which the underwriter will purchase the shares from the selling stockholder in this offering (the “Concurrent Share Repurchase”). Assuming that the underwriter purchases the shares of common stock that are the subject of this offering from the selling stockholder at a price of $17.10 per share, which was the last reported sale price per share of our common stock on Nasdaq on December 8, 2023, we expect to repurchase 292,397 shares of our common stock from the underwriter as part of this offering. The terms and conditions of the Concurrent Share Repurchase were reviewed and approved by the independent members of our board of directors. The Concurrent Share Repurchase will be funded from our existing cash on hand. The underwriter will not receive any compensation for the shares of our common stock being repurchased by us. The Concurrent Share Repurchase would be made pursuant to our existing stock repurchase program.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860" w:space="440"/>
            <w:col w:w="5579"/>
          </w:cols>
          <w:pgMar w:left="580" w:top="97" w:right="1440" w:bottom="1440" w:gutter="0" w:footer="0" w:header="0"/>
          <w:type w:val="continuous"/>
        </w:sectPr>
      </w:pPr>
    </w:p>
    <w:p>
      <w:pPr>
        <w:spacing w:after="0" w:line="10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8"/>
          <w:szCs w:val="18"/>
          <w:color w:val="auto"/>
        </w:rPr>
        <w:t>We have not to date paid any cash dividends on our common stock</w:t>
      </w:r>
    </w:p>
    <w:p>
      <w:pPr>
        <w:spacing w:after="0" w:line="27" w:lineRule="exact"/>
        <w:rPr>
          <w:sz w:val="20"/>
          <w:szCs w:val="20"/>
          <w:color w:val="auto"/>
        </w:rPr>
      </w:pPr>
    </w:p>
    <w:p>
      <w:pPr>
        <w:ind w:left="4300" w:right="479"/>
        <w:spacing w:after="0" w:line="251" w:lineRule="auto"/>
        <w:rPr>
          <w:sz w:val="20"/>
          <w:szCs w:val="20"/>
          <w:color w:val="auto"/>
        </w:rPr>
      </w:pPr>
      <w:r>
        <w:rPr>
          <w:rFonts w:ascii="Times New Roman" w:cs="Times New Roman" w:eastAsia="Times New Roman" w:hAnsi="Times New Roman"/>
          <w:sz w:val="18"/>
          <w:szCs w:val="18"/>
          <w:color w:val="auto"/>
        </w:rPr>
        <w:t>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deployment of cash for share repurchases, restrictions imposed by applicable law, our overall financial condition, restrictions in our debt agreements, and any other factors deemed relevant by our board of directors.</w:t>
      </w:r>
    </w:p>
    <w:p>
      <w:pPr>
        <w:spacing w:after="0" w:line="125" w:lineRule="exact"/>
        <w:rPr>
          <w:sz w:val="20"/>
          <w:szCs w:val="20"/>
          <w:color w:val="auto"/>
        </w:rPr>
      </w:pPr>
    </w:p>
    <w:p>
      <w:pPr>
        <w:ind w:left="4300" w:right="459"/>
        <w:spacing w:after="0" w:line="250" w:lineRule="auto"/>
        <w:rPr>
          <w:sz w:val="20"/>
          <w:szCs w:val="20"/>
          <w:color w:val="auto"/>
        </w:rPr>
      </w:pPr>
      <w:r>
        <w:rPr>
          <w:rFonts w:ascii="Times New Roman" w:cs="Times New Roman" w:eastAsia="Times New Roman" w:hAnsi="Times New Roman"/>
          <w:sz w:val="18"/>
          <w:szCs w:val="18"/>
          <w:color w:val="auto"/>
        </w:rPr>
        <w:t>As a holding company, our ability to pay dividends also depends on our receipt of cash dividends from our operating subsidiaries. Our ability to pay dividends will therefore be restricted as a result of</w:t>
      </w:r>
    </w:p>
    <w:p>
      <w:pPr>
        <w:sectPr>
          <w:pgSz w:w="11900" w:h="16838" w:orient="portrait"/>
          <w:cols w:equalWidth="0" w:num="1">
            <w:col w:w="9879"/>
          </w:cols>
          <w:pgMar w:left="580" w:top="97" w:right="1440" w:bottom="1440" w:gutter="0" w:footer="0" w:header="0"/>
          <w:type w:val="continuous"/>
        </w:sect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restrictions on their ability to pay dividends to us under our</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subsidiaries’ credit agreement and may be restricted under future</w:t>
            </w:r>
          </w:p>
        </w:tc>
      </w:tr>
      <w:tr>
        <w:trPr>
          <w:trHeight w:val="234"/>
        </w:trPr>
        <w:tc>
          <w:tcPr>
            <w:tcW w:w="2220" w:type="dxa"/>
            <w:vAlign w:val="bottom"/>
          </w:tcPr>
          <w:p>
            <w:pPr>
              <w:spacing w:after="0"/>
              <w:rPr>
                <w:sz w:val="20"/>
                <w:szCs w:val="20"/>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indebtedness that we or they may incur.</w:t>
            </w:r>
          </w:p>
        </w:tc>
      </w:tr>
      <w:tr>
        <w:trPr>
          <w:trHeight w:val="30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All of the shares of common stock offered hereby are being sold by</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 selling stockholder identified in this prospectus supplement. We</w:t>
            </w:r>
          </w:p>
        </w:tc>
      </w:tr>
      <w:tr>
        <w:trPr>
          <w:trHeight w:val="214"/>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will not receive any proceeds from the sale of the shares of common</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stock offered pursuant to this prospectus supplement. See “</w:t>
            </w:r>
            <w:r>
              <w:rPr>
                <w:rFonts w:ascii="Times New Roman" w:cs="Times New Roman" w:eastAsia="Times New Roman" w:hAnsi="Times New Roman"/>
                <w:sz w:val="18"/>
                <w:szCs w:val="18"/>
                <w:i w:val="1"/>
                <w:iCs w:val="1"/>
                <w:color w:val="auto"/>
              </w:rPr>
              <w:t>Use of</w:t>
            </w:r>
          </w:p>
        </w:tc>
      </w:tr>
      <w:tr>
        <w:trPr>
          <w:trHeight w:val="236"/>
        </w:trPr>
        <w:tc>
          <w:tcPr>
            <w:tcW w:w="2220" w:type="dxa"/>
            <w:vAlign w:val="bottom"/>
          </w:tcPr>
          <w:p>
            <w:pPr>
              <w:spacing w:after="0"/>
              <w:rPr>
                <w:sz w:val="20"/>
                <w:szCs w:val="20"/>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tc>
      </w:tr>
      <w:tr>
        <w:trPr>
          <w:trHeight w:val="32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tc>
      </w:tr>
      <w:tr>
        <w:trPr>
          <w:trHeight w:val="30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w:t>
            </w:r>
          </w:p>
        </w:tc>
      </w:tr>
      <w:tr>
        <w:trPr>
          <w:trHeight w:val="194"/>
        </w:trPr>
        <w:tc>
          <w:tcPr>
            <w:tcW w:w="2220" w:type="dxa"/>
            <w:vAlign w:val="bottom"/>
          </w:tcPr>
          <w:p>
            <w:pPr>
              <w:spacing w:after="0"/>
              <w:rPr>
                <w:sz w:val="16"/>
                <w:szCs w:val="16"/>
                <w:color w:val="auto"/>
              </w:rPr>
            </w:pPr>
          </w:p>
        </w:tc>
        <w:tc>
          <w:tcPr>
            <w:tcW w:w="5980" w:type="dxa"/>
            <w:vAlign w:val="bottom"/>
            <w:gridSpan w:val="3"/>
          </w:tcPr>
          <w:p>
            <w:pPr>
              <w:ind w:left="80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S-4</w:t>
            </w:r>
            <w:r>
              <w:rPr>
                <w:rFonts w:ascii="Times New Roman" w:cs="Times New Roman" w:eastAsia="Times New Roman" w:hAnsi="Times New Roman"/>
                <w:sz w:val="18"/>
                <w:szCs w:val="18"/>
                <w:color w:val="auto"/>
              </w:rPr>
              <w:t xml:space="preserve"> of, and the other information included and incorporated by</w:t>
            </w: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18"/>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reference in, this prospectus supplement, as well as the other risk</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factors included in the accompanying prospectus and incorporated</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by reference in this prospectus supplement, for a discussion of some</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of the risks and uncertainties you should carefully consider before</w:t>
            </w:r>
          </w:p>
        </w:tc>
      </w:tr>
      <w:tr>
        <w:trPr>
          <w:trHeight w:val="234"/>
        </w:trPr>
        <w:tc>
          <w:tcPr>
            <w:tcW w:w="2220" w:type="dxa"/>
            <w:vAlign w:val="bottom"/>
          </w:tcPr>
          <w:p>
            <w:pPr>
              <w:spacing w:after="0"/>
              <w:rPr>
                <w:sz w:val="20"/>
                <w:szCs w:val="20"/>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deciding to invest in our common stock.</w:t>
            </w:r>
          </w:p>
        </w:tc>
      </w:tr>
      <w:tr>
        <w:trPr>
          <w:trHeight w:val="30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Conflict of Interest</w:t>
            </w: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Apollo Global Securities, LLC (“AGS”) has a “conflict of interest”</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within the meaning of FINRA Rule 5121 in this offering because</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AGS is affiliated with the selling stockholder, who is in turn our</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affiliate, and because the net proceeds of this offering will be</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received by the selling stockholder. Accordingly, this offering will</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be conducted in accordance with the requirements of FINRA</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Rule 5121 regarding a FINRA member firm’s participation in a</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public offering of securities of an affiliate. Pursuant to that rule, the</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required in connection with this offering. In accordance with</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FINRA Rule 5121, neither AGS nor any other affiliated underwriter,</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agent or dealer may sell the securities to any account over which it</w:t>
            </w:r>
          </w:p>
        </w:tc>
      </w:tr>
      <w:tr>
        <w:trPr>
          <w:trHeight w:val="216"/>
        </w:trPr>
        <w:tc>
          <w:tcPr>
            <w:tcW w:w="2220" w:type="dxa"/>
            <w:vAlign w:val="bottom"/>
          </w:tcPr>
          <w:p>
            <w:pPr>
              <w:spacing w:after="0"/>
              <w:rPr>
                <w:sz w:val="18"/>
                <w:szCs w:val="18"/>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exercises discretionary authority without the specific written</w:t>
            </w:r>
          </w:p>
        </w:tc>
      </w:tr>
      <w:tr>
        <w:trPr>
          <w:trHeight w:val="234"/>
        </w:trPr>
        <w:tc>
          <w:tcPr>
            <w:tcW w:w="2220" w:type="dxa"/>
            <w:vAlign w:val="bottom"/>
          </w:tcPr>
          <w:p>
            <w:pPr>
              <w:spacing w:after="0"/>
              <w:rPr>
                <w:sz w:val="20"/>
                <w:szCs w:val="20"/>
                <w:color w:val="auto"/>
              </w:rPr>
            </w:pPr>
          </w:p>
        </w:tc>
        <w:tc>
          <w:tcPr>
            <w:tcW w:w="59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approval of the account holder.</w:t>
            </w:r>
          </w:p>
        </w:tc>
      </w:tr>
    </w:tbl>
    <w:p>
      <w:pPr>
        <w:spacing w:after="0" w:line="333" w:lineRule="exact"/>
        <w:rPr>
          <w:sz w:val="20"/>
          <w:szCs w:val="20"/>
          <w:color w:val="auto"/>
        </w:rPr>
      </w:pPr>
    </w:p>
    <w:p>
      <w:pPr>
        <w:ind w:left="1640" w:right="619" w:hanging="362"/>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54,133,851 shares of our common stock outstanding as of September 30, 2023;</w:t>
      </w:r>
    </w:p>
    <w:p>
      <w:pPr>
        <w:spacing w:after="0" w:line="117" w:lineRule="exact"/>
        <w:rPr>
          <w:rFonts w:ascii="Times New Roman" w:cs="Times New Roman" w:eastAsia="Times New Roman" w:hAnsi="Times New Roman"/>
          <w:sz w:val="18"/>
          <w:szCs w:val="18"/>
          <w:color w:val="auto"/>
        </w:rPr>
      </w:pPr>
    </w:p>
    <w:p>
      <w:pPr>
        <w:ind w:left="1820" w:right="539" w:hanging="182"/>
        <w:spacing w:after="0" w:line="259"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4,074,938 shares of our common stock reserved for issuance upon exercise of outstanding stock options as of September 30, 2023, 476,355 shares of our common stock reserved for issuance upon vesting of outstanding restricted stock units as of September 30, 2023 and 2,889,407 shares of our common stock reserved for issuance under our 2021 equity incentive plan as of September 30, 2023;</w:t>
      </w:r>
    </w:p>
    <w:p>
      <w:pPr>
        <w:spacing w:after="0" w:line="294"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32.0% of which have vested as of September 30, 2023; and</w:t>
      </w:r>
    </w:p>
    <w:p>
      <w:pPr>
        <w:spacing w:after="0" w:line="53" w:lineRule="exact"/>
        <w:rPr>
          <w:rFonts w:ascii="Times New Roman" w:cs="Times New Roman" w:eastAsia="Times New Roman" w:hAnsi="Times New Roman"/>
          <w:sz w:val="18"/>
          <w:szCs w:val="18"/>
          <w:color w:val="auto"/>
        </w:rPr>
      </w:pPr>
    </w:p>
    <w:p>
      <w:pPr>
        <w:ind w:left="1820" w:right="539" w:hanging="182"/>
        <w:spacing w:after="0" w:line="258"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292,397 shares of our common stock are repurchased by us in the Concurrent Share Repurchase (which represents the number of shares of our common stock that we would expect to repurchase in the Concurrent Share Repurchase if the underwriter purchases the shares of common stock that are the subject of this offering from the selling stockholder at a price of $17.10 per share, which was the last reported sale price of our common stock on Nasdaq on December 8,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2022 Annual Report and the Quarterly Reports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fluctuate significantly and purchasers of our common stock could incur substantial losses.</w:t>
      </w:r>
    </w:p>
    <w:p>
      <w:pPr>
        <w:spacing w:after="0" w:line="173"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(Loss), Adjusted EBITDA and Adjusted CASM (each, as defined in the 2022 Annual Report);</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variants and their effects;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in our internal control over financial reporting; and</w:t>
      </w:r>
    </w:p>
    <w:p>
      <w:pPr>
        <w:spacing w:after="0" w:line="115" w:lineRule="exact"/>
        <w:rPr>
          <w:rFonts w:ascii="Times New Roman" w:cs="Times New Roman" w:eastAsia="Times New Roman" w:hAnsi="Times New Roman"/>
          <w:sz w:val="18"/>
          <w:szCs w:val="18"/>
          <w:color w:val="auto"/>
        </w:rPr>
      </w:pPr>
    </w:p>
    <w:p>
      <w:pPr>
        <w:ind w:left="1800" w:right="939" w:hanging="180"/>
        <w:spacing w:after="0" w:line="284"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9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7" w:lineRule="exact"/>
        <w:rPr>
          <w:sz w:val="20"/>
          <w:szCs w:val="20"/>
          <w:color w:val="auto"/>
        </w:rPr>
      </w:pPr>
    </w:p>
    <w:p>
      <w:pPr>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are able to take advantage of reduced disclosure requirements applicable to “emerging growth companies,” which could make our common stock less attractive to investors.</w:t>
      </w:r>
    </w:p>
    <w:p>
      <w:pPr>
        <w:spacing w:after="0" w:line="6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of December 31, 2023, we will no longer qualify as an “emerging growth company” and the reduced disclosure requirements applicable to “emerging growth companies” will no longer apply to us. As a result, we will not be permitted to take advantage of the reduced regulatory and reporting requirements afforded to “emerging growth companies”. Accordingly, we will likely incur additional expenses and devote substantial management effort toward ensuring compliance with those additional requirements, including the auditor attestation requirements for internal controls over financial reporting. Compliance with these additional laws, rules and regulations will likely increase our legal and financial compliance costs, make some activities more difficult, time consuming or costly and increase demand on our systems and resources. In addition, management’s attention may be diverted from other business concerns and our costs and expenses will increase, which could harm our business and operating results. We may also need to hire more employees in the future or engage additional outside consultants to comply with these requirements, which would increase our costs and expenses.</w:t>
      </w:r>
    </w:p>
    <w:p>
      <w:pPr>
        <w:spacing w:after="0" w:line="188"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and devote substantial management time as a result of operating as a public company, particularly after we are no longer an “emerging growth company.”</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For example, we are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Further, the expenses incurred by public companies generally for reporting and corporate governance purposes have been increasing.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w:t>
      </w:r>
    </w:p>
    <w:p>
      <w:pPr>
        <w:spacing w:after="0" w:line="33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have needed to and may continue to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 Furthermore, if we are unable to satisfy our obligations as a public company, our common stock could be delisted, and we could be subject to fines, sanctions and other regulatory action and potentially civil litigation. Failure to remain in full compliance with these and other applicable rules and regulations may also subject us to fines or other enforcement action or adversely affect our business, results of operations and financial condition.</w:t>
      </w:r>
    </w:p>
    <w:p>
      <w:pPr>
        <w:spacing w:after="0" w:line="11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of September 30, 2023 we have not delayed the adoption of new or revised accounting standards as allowed under the JOBS Act.</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96"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as a result of becoming a public company or the timing and materiality of such costs.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include provisions limiting ownership and voting by non-U.S. citizens.</w:t>
      </w:r>
    </w:p>
    <w:p>
      <w:pPr>
        <w:spacing w:after="0" w:line="16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336"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w:t>
      </w:r>
    </w:p>
    <w:p>
      <w:pPr>
        <w:ind w:left="1260" w:right="479"/>
        <w:spacing w:after="0"/>
        <w:tabs>
          <w:tab w:leader="none" w:pos="14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Apollo Stockholder has significant influence over us, and Apollo’s interests may conflict with our interests and the interests of other stockholders.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 of September 30, 2023, the Apollo Stockholder beneficially owned approximately 28.4% of the voting power of our outstanding common equity. Following this offering, the Apollo Stockholder will beneficially own approximately 21.2% of the voting power of our outstanding common equity (or approximately 20.0% if the underwriter exercises its option to purchase additional shares in full).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As of the date of this prospectus supplement, Apollo has not exercised its right to nominate any members to our board of directors.</w:t>
      </w:r>
    </w:p>
    <w:p>
      <w:pPr>
        <w:spacing w:after="0" w:line="394"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9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1" w:lineRule="exact"/>
        <w:rPr>
          <w:sz w:val="20"/>
          <w:szCs w:val="20"/>
          <w:color w:val="auto"/>
        </w:rPr>
      </w:pPr>
    </w:p>
    <w:p>
      <w:pPr>
        <w:ind w:left="1800" w:right="6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71"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w:t>
      </w:r>
    </w:p>
    <w:p>
      <w:pPr>
        <w:spacing w:after="0" w:line="3"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situations as described under the heading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Delaware Takeover Statute</w:t>
      </w:r>
      <w:r>
        <w:rPr>
          <w:rFonts w:ascii="Times New Roman" w:cs="Times New Roman" w:eastAsia="Times New Roman" w:hAnsi="Times New Roman"/>
          <w:sz w:val="18"/>
          <w:szCs w:val="18"/>
          <w:color w:val="auto"/>
        </w:rPr>
        <w:t>” in the accompanying prospectus.</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1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Times New Roman" w:cs="Times New Roman" w:eastAsia="Times New Roman" w:hAnsi="Times New Roman"/>
          <w:sz w:val="18"/>
          <w:szCs w:val="18"/>
          <w:i w:val="1"/>
          <w:iCs w:val="1"/>
          <w:color w:val="auto"/>
        </w:rPr>
        <w:t>Description of Capital Stock — Certain Corporate Anti-takeover Provisions — Certain Matters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 Consent of Our Stockholders</w:t>
      </w:r>
      <w:r>
        <w:rPr>
          <w:rFonts w:ascii="Times New Roman" w:cs="Times New Roman" w:eastAsia="Times New Roman" w:hAnsi="Times New Roman"/>
          <w:sz w:val="18"/>
          <w:szCs w:val="18"/>
          <w:color w:val="auto"/>
        </w:rPr>
        <w:t>” in the accompanying prospectus. We expect the approval rights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upon the completion of this offering as the Apollo stockholder will no longer beneficially own at least 25% of our common stock.</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in the accompanying prospectus.</w:t>
      </w:r>
    </w:p>
    <w:p>
      <w:pPr>
        <w:spacing w:after="0" w:line="191" w:lineRule="exact"/>
        <w:rPr>
          <w:sz w:val="20"/>
          <w:szCs w:val="20"/>
          <w:color w:val="auto"/>
        </w:rPr>
      </w:pPr>
    </w:p>
    <w:p>
      <w:pPr>
        <w:ind w:left="1260" w:right="53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spacing w:after="0" w:line="3" w:lineRule="exact"/>
        <w:rPr>
          <w:sz w:val="20"/>
          <w:szCs w:val="20"/>
          <w:color w:val="auto"/>
        </w:rPr>
      </w:pPr>
    </w:p>
    <w:p>
      <w:pPr>
        <w:ind w:left="1260" w:right="479"/>
        <w:spacing w:after="0"/>
        <w:tabs>
          <w:tab w:leader="none" w:pos="15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w:t>
      </w: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our subsidiaries’ credit agreement, impose restrictions on our 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97"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07"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32.0% of which had vested as of September 30, 2023.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 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94"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September 30, 2023, we had 936,184,861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2023, we had approximately 4,074,938 options outstanding, which are exercisable into approximately 4,074,938 shares of common stock, 476,355 shares of common stock that may be issued upon the vesting of outstanding restricted stock units and the 2019 Warrants outstanding, which are exercisable for 9,482,606 shares of common stock, subject to vesting requirements. Of the 2019 Warrants, approximately 32.0% have vested as of September 30, 2023 and the remainder will vest incrementally based on aggregate global payments by Amazon to the Company or its affiliates pursuant to the ATSA.</w:t>
      </w:r>
    </w:p>
    <w:p>
      <w:pPr>
        <w:spacing w:after="0" w:line="32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reserved approximately 3,600,000 shares for grant under our 2021 equity incentive plan, of which 2,889,407 remain available as of September 30, 2023.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11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ownership of us and the sale of a significant amount of such shares in the public market could adversely affect prevailing market prices of our common stock.</w:t>
      </w:r>
    </w:p>
    <w:p>
      <w:pPr>
        <w:spacing w:after="0" w:line="158"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As of September 30, 2023, we had 54,133,851 shares of common stock outstanding, warrants to purchase 9,482,606 shares of common stock outstanding, options to purchase 4,074,938 shares of common stock outstanding and 476,355 shares of common stock that may be issued upon the vesting of outstanding restricted stock units. We, the Apollo Stockholder and all of our executive officers and directors have agreed that, for a period of 30 days after the date of this prospectus supplement, we and they will not, without the prior written consent of Barclays Capital Inc. or Morgan Stanley &amp; Co. LLC, dispose of any shares of common stock or any securities convertible into or exchangeable for our common stock, subject to certain exceptions. See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Following the expiration of the applicable lock-up period, all of the issued and outstanding shares of our common stock will be eligible for future sale, subject to the applicable volume, manner of sale, holding periods, and other limitations of Rule 144. Either of Barclays Capital Inc. or Morgan Stanley &amp; Co. LLC, in its sole discretion, may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the Apollo Stockholder and Amazon could offer and sell, from time-to-time, up to an aggregate of 34,352,603 shares of our common stock, including 9,482,606 shares of our common stock issuable upon exercise of outstanding warrants. 9,477,500 shares of our common stock that were covered by the “shelf” registration statement were previously sold and reduced the remaining number of shares that may be offered and sold under such “shelf” registration statement. This prospectus supplement and the accompanying prospectus form a part of such “shelf” registration statement and the resale of shares of common stock by the Apollo Stockholder in this offering will reduce the number of shares of common stock that may be offered and sold under such “shelf” registration statement in the future. Additionally, we filed a registration statement in respect of all shares of common stock that we may issue under our 2021 equity incentive plan and our 2018 equity incentive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200" w:lineRule="exact"/>
        <w:rPr>
          <w:sz w:val="20"/>
          <w:szCs w:val="20"/>
          <w:color w:val="auto"/>
        </w:rPr>
      </w:pPr>
    </w:p>
    <w:p>
      <w:pPr>
        <w:spacing w:after="0" w:line="201"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7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200" w:lineRule="exact"/>
        <w:rPr>
          <w:sz w:val="20"/>
          <w:szCs w:val="20"/>
          <w:color w:val="auto"/>
        </w:rPr>
      </w:pPr>
    </w:p>
    <w:p>
      <w:pPr>
        <w:spacing w:after="0" w:line="204"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w:t>
      </w:r>
    </w:p>
    <w:p>
      <w:pPr>
        <w:spacing w:after="0" w:line="158"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$101.0 million.</w:t>
      </w:r>
    </w:p>
    <w:p>
      <w:pPr>
        <w:spacing w:after="0" w:line="1"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color w:val="auto"/>
        </w:rPr>
        <w:t>Payments in accordance with the terms of the income tax receivable agreement could have an adverse effect on our liquidity and financial condition.</w:t>
      </w:r>
    </w:p>
    <w:p>
      <w:pPr>
        <w:spacing w:after="0" w:line="10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24"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continuing to improve our internal control over financial reporting.</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“emerging growth company,” as defined in the JOBS Act, which will occur on December 31, 2023.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162" w:lineRule="exact"/>
        <w:rPr>
          <w:sz w:val="20"/>
          <w:szCs w:val="20"/>
          <w:color w:val="auto"/>
        </w:rPr>
      </w:pPr>
    </w:p>
    <w:p>
      <w:pPr>
        <w:jc w:val="both"/>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$5.0 million of the shares of common stock that are the subject of this offering at a price per share equal to the price at which the underwriter will purchase the shares from the selling stockholder in this offering.</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Assuming that the underwriter purchases the shares of common stock that are the subject of this offering from the selling stockholder at a price of $17.10 per share, which was the last reported sale price per share of our common stock on Nasdaq on December 8, 2023, we would repurchase 292,397 shares of our common stock from the underwriter as part of this offering. The terms and conditions of the Concurrent Share Repurchase were reviewed and approved by the independent members of our board of directors. The Concurrent Share Repurchase will be funded from our existing cash on hand. The underwriter will not receive any compensation for the shares of our common stock being repurchased by us.</w:t>
      </w:r>
    </w:p>
    <w:p>
      <w:pPr>
        <w:spacing w:after="0" w:line="121"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Concurrent Share Repurchase would be made pursuant to, and reduce the remaining availability under, our existing stock repurchase program.</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8, 2023 with respect to the ownership of our shares of common stock by the Apollo Stockholder, the selling stockholder.</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before this offering is based on 54,133,851 shares of common stock outstanding as of September 30, 2023.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13030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shd w:val="clear" w:color="auto" w:fill="CCEEFF"/>
        </w:rPr>
        <w:t>SCA Horus Holdings, LLC</w:t>
      </w:r>
      <w:r>
        <w:rPr>
          <w:rFonts w:ascii="Times New Roman" w:cs="Times New Roman" w:eastAsia="Times New Roman" w:hAnsi="Times New Roman"/>
          <w:sz w:val="19"/>
          <w:szCs w:val="19"/>
          <w:color w:val="auto"/>
          <w:vertAlign w:val="superscript"/>
          <w:shd w:val="clear" w:color="auto" w:fill="CCEE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172085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Offered Hereby</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After this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Offered Hereby</w:t>
            </w:r>
          </w:p>
        </w:tc>
        <w:tc>
          <w:tcPr>
            <w:tcW w:w="12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 Before</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Option is</w:t>
            </w:r>
          </w:p>
        </w:tc>
        <w:tc>
          <w:tcPr>
            <w:tcW w:w="12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Option is</w:t>
            </w:r>
          </w:p>
        </w:tc>
        <w:tc>
          <w:tcPr>
            <w:tcW w:w="40" w:type="dxa"/>
            <w:vAlign w:val="bottom"/>
          </w:tcPr>
          <w:p>
            <w:pPr>
              <w:spacing w:after="0"/>
              <w:rPr>
                <w:sz w:val="14"/>
                <w:szCs w:val="14"/>
                <w:color w:val="auto"/>
              </w:rPr>
            </w:pP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this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Exercised</w:t>
            </w:r>
            <w:r>
              <w:rPr>
                <w:rFonts w:ascii="Times New Roman" w:cs="Times New Roman" w:eastAsia="Times New Roman" w:hAnsi="Times New Roman"/>
                <w:sz w:val="17"/>
                <w:szCs w:val="17"/>
                <w:b w:val="1"/>
                <w:bCs w:val="1"/>
                <w:color w:val="auto"/>
                <w:w w:val="92"/>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Exercised</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7"/>
                <w:szCs w:val="27"/>
                <w:b w:val="1"/>
                <w:bCs w:val="1"/>
                <w:color w:val="auto"/>
                <w:vertAlign w:val="subscript"/>
              </w:rPr>
              <w:t>​</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auto"/>
        <w:tabs>
          <w:tab w:leader="none" w:pos="1580" w:val="left"/>
          <w:tab w:leader="none" w:pos="2360" w:val="left"/>
        </w:tabs>
        <w:rPr>
          <w:sz w:val="20"/>
          <w:szCs w:val="20"/>
          <w:color w:val="auto"/>
        </w:rPr>
      </w:pP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​15,392,497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28.4%</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ab/>
        <w:t>​4,000,000</w:t>
      </w:r>
      <w:r>
        <w:rPr>
          <w:sz w:val="20"/>
          <w:szCs w:val="20"/>
          <w:color w:val="auto"/>
        </w:rPr>
        <w:tab/>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​11,392,497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21.2%</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15"/>
          <w:szCs w:val="15"/>
          <w:color w:val="auto"/>
          <w:shd w:val="clear" w:color="auto" w:fill="CCEEFF"/>
        </w:rPr>
        <w:t>​4,600,000</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​10,792,497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20.0%</w:t>
      </w:r>
      <w:r>
        <w:rPr>
          <w:rFonts w:ascii="Times New Roman" w:cs="Times New Roman" w:eastAsia="Times New Roman" w:hAnsi="Times New Roman"/>
          <w:sz w:val="30"/>
          <w:szCs w:val="30"/>
          <w:b w:val="1"/>
          <w:bCs w:val="1"/>
          <w:color w:val="auto"/>
          <w:vertAlign w:val="subscript"/>
        </w:rPr>
        <w:t>​</w:t>
      </w:r>
    </w:p>
    <w:p>
      <w:pPr>
        <w:spacing w:after="0" w:line="200" w:lineRule="exact"/>
        <w:rPr>
          <w:sz w:val="20"/>
          <w:szCs w:val="20"/>
          <w:color w:val="auto"/>
        </w:rPr>
      </w:pPr>
    </w:p>
    <w:p>
      <w:pPr>
        <w:sectPr>
          <w:pgSz w:w="11900" w:h="16838" w:orient="portrait"/>
          <w:cols w:equalWidth="0" w:num="2">
            <w:col w:w="3120" w:space="140"/>
            <w:col w:w="6619"/>
          </w:cols>
          <w:pgMar w:left="580" w:top="97" w:right="1440" w:bottom="1440" w:gutter="0" w:footer="0" w:header="0"/>
          <w:type w:val="continuous"/>
        </w:sectPr>
      </w:pPr>
    </w:p>
    <w:p>
      <w:pPr>
        <w:spacing w:after="0" w:line="155" w:lineRule="exact"/>
        <w:rPr>
          <w:sz w:val="20"/>
          <w:szCs w:val="20"/>
          <w:color w:val="auto"/>
        </w:rPr>
      </w:pPr>
    </w:p>
    <w:p>
      <w:pPr>
        <w:ind w:left="1620" w:right="439" w:hanging="360"/>
        <w:spacing w:after="0" w:line="257"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of our common stock after this offering is based on 54,133,851 shares of common stock outstanding as of September 30, 2023 and assumes that we repurchase 292,397 shares in the Concurrent Share Repurchase (assuming that the underwriter purchases the shares of common stock that are the subject of this offering from the selling stockholder at a price of $17.10 per share, which was the last reported sale price per share of our common stock on Nasdaq on December 8, 2023).</w:t>
      </w:r>
    </w:p>
    <w:p>
      <w:pPr>
        <w:spacing w:after="0" w:line="268" w:lineRule="exact"/>
        <w:rPr>
          <w:rFonts w:ascii="Times New Roman" w:cs="Times New Roman" w:eastAsia="Times New Roman" w:hAnsi="Times New Roman"/>
          <w:sz w:val="18"/>
          <w:szCs w:val="18"/>
          <w:color w:val="auto"/>
        </w:rPr>
      </w:pPr>
    </w:p>
    <w:p>
      <w:pPr>
        <w:ind w:left="1620" w:right="519" w:hanging="360"/>
        <w:spacing w:after="0" w:line="258"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James Elworth, Antoine Munfakh and Richard Offutt. Messrs. Elworth, Munfakh and Offutt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17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Internal Revenue Code of 1986, as amended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54" w:lineRule="exact"/>
        <w:rPr>
          <w:sz w:val="20"/>
          <w:szCs w:val="20"/>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under the Code) have the authority to control all substantial decisions of the trust; or (ii) it has a valid election in effect under applicable Treasury regulations to be treated as a domestic trust.</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 a 30% rate, or at a reduced rate prescribed by an applicable income tax treaty, on any dividends received in respect of our common stock.</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IRS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21"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Dividend income that is effectively connected with your conduct of a trade or business within the United States will be taxed in the manner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60"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FATCA</w:t>
      </w:r>
      <w:r>
        <w:rPr>
          <w:rFonts w:ascii="Times New Roman" w:cs="Times New Roman" w:eastAsia="Times New Roman" w:hAnsi="Times New Roman"/>
          <w:sz w:val="18"/>
          <w:szCs w:val="18"/>
          <w:color w:val="auto"/>
        </w:rPr>
        <w:t>,” you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in respect of any gain on a sale, exchange or other taxable disposition of our common stock unless:</w:t>
      </w:r>
    </w:p>
    <w:p>
      <w:pPr>
        <w:spacing w:after="0" w:line="291" w:lineRule="exact"/>
        <w:rPr>
          <w:sz w:val="20"/>
          <w:szCs w:val="20"/>
          <w:color w:val="auto"/>
        </w:rPr>
      </w:pPr>
    </w:p>
    <w:p>
      <w:pPr>
        <w:ind w:left="1800" w:right="6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295"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1" w:lineRule="auto"/>
        <w:rPr>
          <w:sz w:val="20"/>
          <w:szCs w:val="20"/>
          <w:color w:val="auto"/>
        </w:rPr>
      </w:pPr>
      <w:r>
        <w:rPr>
          <w:rFonts w:ascii="Times New Roman" w:cs="Times New Roman" w:eastAsia="Times New Roman" w:hAnsi="Times New Roman"/>
          <w:sz w:val="18"/>
          <w:szCs w:val="18"/>
          <w:color w:val="auto"/>
        </w:rPr>
        <w:t>less of our common stock, provided that our common stock was regularly traded on an established securities market during such period. We believe that we are not currently, and we do not anticipate becoming in the future, a USRPHC.</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 xml:space="preserve">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 </w:t>
      </w:r>
      <w:r>
        <w:rPr>
          <w:rFonts w:ascii="Times New Roman" w:cs="Times New Roman" w:eastAsia="Times New Roman" w:hAnsi="Times New Roman"/>
          <w:sz w:val="18"/>
          <w:szCs w:val="18"/>
          <w:i w:val="1"/>
          <w:iCs w:val="1"/>
          <w:color w:val="auto"/>
        </w:rPr>
        <w:t>Sale, Exchange or Other Taxable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Generally, U.S. trade or business income is not subject to U.S. federal withholding tax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United States person (as defined under the Code)) on your U.S. trade or business income. If you are a corporation, any U.S. trade or business income that you receive may also be subject to a “branch profits tax” at a 30% rate, or at a lower rate prescribed by an applicable income tax treaty.</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IRS Form W-8BEN-E (or, in each case, an appropriate successor form) or otherwise establish an exemption and the applicable withholding agent does not have actual knowledge or reason to know that you are a United States persons (as defined under the Code) or that the conditions of such other exemption are not, in fact, satisfied.</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United States persons (as defined under the Code)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United States persons (as defined under the Code) or a U.S. related financial intermediary, the Treasury regulations require information reporting (but not backup withholding) on the payment unless the broker has documentary evidence in its files that the owner is not a United States persons (as defined under the Code) and the broker has no knowledge to the contrary. You are urged to consult your tax advisor on the application of information reporting and backup withholding in light of your particular circumstances.</w:t>
      </w:r>
    </w:p>
    <w:p>
      <w:pPr>
        <w:spacing w:after="0" w:line="33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Treasury regulations until final Treasury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UNDERWRITING (CONFLICT OF INTEREST)</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Barclays Capital Inc. and Morgan Stanley &amp; Co. LLC are acting as representatives of the underwriters and the book-running managers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28"/>
                <w:szCs w:val="28"/>
                <w:b w:val="1"/>
                <w:bCs w:val="1"/>
                <w:color w:val="auto"/>
                <w:vertAlign w:val="subscript"/>
              </w:rPr>
              <w:t>​</w:t>
            </w:r>
          </w:p>
        </w:tc>
      </w:tr>
      <w:tr>
        <w:trPr>
          <w:trHeight w:val="250"/>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​4,000,000</w:t>
            </w:r>
          </w:p>
        </w:tc>
        <w:tc>
          <w:tcPr>
            <w:tcW w:w="18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-556895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274" w:lineRule="exact"/>
        <w:rPr>
          <w:sz w:val="20"/>
          <w:szCs w:val="20"/>
          <w:color w:val="auto"/>
        </w:rPr>
      </w:pPr>
    </w:p>
    <w:p>
      <w:pPr>
        <w:ind w:left="1800" w:right="45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intend to purchase from the underwriters approximately $5.0 million of the shares of common stock at a price per share equal to the price at which the underwriters will purchase the shares from the selling stockholder in this offering.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$0.6 million (excluding underwriting discounts and commissions).</w:t>
      </w:r>
    </w:p>
    <w:p>
      <w:pPr>
        <w:spacing w:after="0" w:line="9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 has granted the underwriters an option exercisable for 30 days after the date of this prospectus supplement to purchase, from time to time, in whole or in part, up to an aggregate of</w:t>
      </w: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600,000 shares from the selling stockholder.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the selling stockholder and all of our directors and executive officers have agreed that, for a period of 30 days after the date of this prospectus, we and they will not, without the prior written consent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underwriters, dispose of any shares of common stock or any securities convertible into or exchangeable for our common stock, subject to certain exceptions.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w:t>
      </w:r>
    </w:p>
    <w:p>
      <w:pPr>
        <w:spacing w:after="0" w:line="27" w:lineRule="exact"/>
        <w:rPr>
          <w:sz w:val="20"/>
          <w:szCs w:val="20"/>
          <w:color w:val="auto"/>
        </w:rPr>
      </w:pPr>
    </w:p>
    <w:p>
      <w:pPr>
        <w:ind w:left="1260" w:right="419"/>
        <w:spacing w:after="0" w:line="250" w:lineRule="auto"/>
        <w:tabs>
          <w:tab w:leader="none" w:pos="14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4" w:lineRule="exact"/>
        <w:rPr>
          <w:rFonts w:ascii="Times New Roman" w:cs="Times New Roman" w:eastAsia="Times New Roman" w:hAnsi="Times New Roman"/>
          <w:sz w:val="18"/>
          <w:szCs w:val="18"/>
          <w:color w:val="auto"/>
        </w:rPr>
      </w:pPr>
    </w:p>
    <w:p>
      <w:pPr>
        <w:ind w:left="1260" w:right="579"/>
        <w:spacing w:after="0" w:line="255"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1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lock-up agreements applicable to the selling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w:t>
      </w:r>
    </w:p>
    <w:p>
      <w:pPr>
        <w:spacing w:after="0" w:line="10" w:lineRule="exact"/>
        <w:rPr>
          <w:sz w:val="20"/>
          <w:szCs w:val="20"/>
          <w:color w:val="auto"/>
        </w:rPr>
      </w:pPr>
    </w:p>
    <w:p>
      <w:pPr>
        <w:ind w:left="1260" w:right="439"/>
        <w:spacing w:after="0" w:line="251" w:lineRule="auto"/>
        <w:tabs>
          <w:tab w:leader="none" w:pos="16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transfers shall be made prior to the closing date of the offering; (xi) if the holder is a corporation, partnership or limited liability company, (A) distributions to partners, limited liability company members, stockholder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the representatives,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 (i) through (v), (vii), (xi) and (xiv), the transferee or distributee agrees in writing to be bound by the lockup restrictions.</w:t>
      </w: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Either of the representatives, in its sole discretion, may release our common stock and other securities subject to the lock-up agreements described above in whole or in part at any time, subject to applicable notice requirements.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9"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if any. In a naked short position, the number of shares involved is greater than the number of shares in their option to purchase additional shares, if any. The underwriters may close out any short position by either exercising their option to purchase additional shares, if any, in whole or in part,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if any.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7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53"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0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1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58" w:lineRule="auto"/>
        <w:rPr>
          <w:sz w:val="20"/>
          <w:szCs w:val="20"/>
          <w:color w:val="auto"/>
        </w:rPr>
      </w:pPr>
      <w:r>
        <w:rPr>
          <w:rFonts w:ascii="Times New Roman" w:cs="Times New Roman" w:eastAsia="Times New Roman" w:hAnsi="Times New Roman"/>
          <w:sz w:val="18"/>
          <w:szCs w:val="18"/>
          <w:color w:val="auto"/>
        </w:rPr>
        <w:t>its bids at a price not in excess of the highest independent bid of the security. However, if all independent bids are lowered below the passive market maker’s bid that bid must be lowered when specified purchase limits are exceeded.</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an underwriter in this offering. In addition, affiliates of Morgan Stanley &amp; Co. LLC are lenders and joint lead arrangers under the Credit Facilities.</w:t>
      </w:r>
    </w:p>
    <w:p>
      <w:pPr>
        <w:spacing w:after="0" w:line="3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AGS has a “conflict of interest” within the meaning of FINRA Rule 5121 in this offering because AGS is affiliated with the selling stockholder, who is in turn our affiliate, and because the net proceeds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offering will be received by the selling stockholder. Accordingly, this offering will be conducted in</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accordance with the requirements of FINRA Rule 5121 regarding a FINRA member firm’s participation in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public offering of securities of an affiliate. Pursuant to that rule, the appointment of a “qualified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 underwriter” is not required in connection with this offering. In accordance with FINRA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5121, neither AGS nor any other affiliated underwriter, agent or dealer of may sell the securities to 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account over which it exercises discretionary authority without the specific written approval of the account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84"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282" w:lineRule="exact"/>
        <w:rPr>
          <w:sz w:val="20"/>
          <w:szCs w:val="20"/>
          <w:color w:val="auto"/>
        </w:rPr>
      </w:pPr>
    </w:p>
    <w:p>
      <w:pPr>
        <w:ind w:left="1800" w:right="8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0"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disposed of only to persons outside Hong Kong or only to “professional investors” within the meaning of the Securities and Futures Ordinance (Cap. 571, Laws of Hong Kong) and any rules made thereunder.</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w:t>
      </w:r>
    </w:p>
    <w:p>
      <w:pPr>
        <w:spacing w:after="0" w:line="3" w:lineRule="exact"/>
        <w:rPr>
          <w:sz w:val="20"/>
          <w:szCs w:val="20"/>
          <w:color w:val="auto"/>
        </w:rPr>
      </w:pPr>
    </w:p>
    <w:p>
      <w:pPr>
        <w:ind w:left="1260" w:right="439"/>
        <w:spacing w:after="0"/>
        <w:tabs>
          <w:tab w:leader="none" w:pos="1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 or (3) 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in Paragraph 1, Article 4 of the FIEL, has not been made in relation to the shares of common stock. The shares of common stock may only be transferred en bloc without subdivision to a single investor.</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448310</wp:posOffset>
            </wp:positionV>
            <wp:extent cx="2202815"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1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2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9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referenced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You should carefully review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contained in the applicable prospectus supplement and any related free writing prospectus and under similar headings in the documents that are incorporated by reference in this prospectus.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3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0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73" w:lineRule="exact"/>
        <w:rPr>
          <w:sz w:val="20"/>
          <w:szCs w:val="20"/>
          <w:color w:val="auto"/>
        </w:rPr>
      </w:pPr>
    </w:p>
    <w:p>
      <w:pPr>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February 18, 2022, and Amendment No. 1 thereto, filed with the SEC on February 22, 2022 (the</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“2021 Annual Report”);</w:t>
        </w:r>
      </w:hyperlink>
    </w:p>
    <w:p>
      <w:pPr>
        <w:spacing w:after="0" w:line="54"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portions of our Definitive Proxy Statement on Schedule 14A, filed with the SEC on April 29, 2022,</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that are incorporated by reference into Part III of the 2021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779" w:hanging="180"/>
        <w:spacing w:after="0" w:line="282"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our Quarterly Report on Form 10-Q for the quarter ended March 31, 2022, filed with the SEC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May 6,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919" w:hanging="180"/>
        <w:spacing w:after="0" w:line="282"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Quarterly Report on Form 10-Q for the quarter ended June 30, 2022, filed with the SEC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August 10, 2022;</w:t>
        </w:r>
      </w:hyperlink>
    </w:p>
    <w:p>
      <w:pPr>
        <w:spacing w:after="0" w:line="40"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our Quarterly Report on Form 10-Q for the quarter ended September 30, 2022, filed with the SEC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November 2,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58" w:lineRule="auto"/>
        <w:tabs>
          <w:tab w:leader="none" w:pos="1800" w:val="left"/>
        </w:tabs>
        <w:numPr>
          <w:ilvl w:val="0"/>
          <w:numId w:val="21"/>
        </w:numPr>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2022 (second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5,</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7">
        <w:r>
          <w:rPr>
            <w:rFonts w:ascii="Times New Roman" w:cs="Times New Roman" w:eastAsia="Times New Roman" w:hAnsi="Times New Roman"/>
            <w:sz w:val="18"/>
            <w:szCs w:val="18"/>
            <w:u w:val="single" w:color="auto"/>
            <w:color w:val="0000EE"/>
          </w:rPr>
          <w:t xml:space="preserve">April 29, 2022 </w:t>
        </w:r>
      </w:hyperlink>
      <w:hyperlink r:id="rId106">
        <w:r>
          <w:rPr>
            <w:rFonts w:ascii="Times New Roman" w:cs="Times New Roman" w:eastAsia="Times New Roman" w:hAnsi="Times New Roman"/>
            <w:sz w:val="18"/>
            <w:szCs w:val="18"/>
            <w:color w:val="000000"/>
          </w:rPr>
          <w:t>(as amended by our Current Report on Form 8-K/A filed with the SEC on</w:t>
        </w:r>
      </w:hyperlink>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 xml:space="preserve">October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 xml:space="preserve">November 1, 2022 </w:t>
        </w:r>
      </w:hyperlink>
      <w:hyperlink r:id="rId113">
        <w:r>
          <w:rPr>
            <w:rFonts w:ascii="Times New Roman" w:cs="Times New Roman" w:eastAsia="Times New Roman" w:hAnsi="Times New Roman"/>
            <w:sz w:val="18"/>
            <w:szCs w:val="18"/>
            <w:u w:val="single" w:color="auto"/>
            <w:color w:val="0000EE"/>
          </w:rPr>
          <w:t>(both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pursuant to Item 2.02 or Item 7.01 of any such Current Report on Form 8-K); and</w:t>
      </w:r>
    </w:p>
    <w:p>
      <w:pPr>
        <w:spacing w:after="0" w:line="61" w:lineRule="exact"/>
        <w:rPr>
          <w:rFonts w:ascii="Times New Roman" w:cs="Times New Roman" w:eastAsia="Times New Roman" w:hAnsi="Times New Roman"/>
          <w:sz w:val="18"/>
          <w:szCs w:val="18"/>
          <w:color w:val="0000EE"/>
        </w:rPr>
      </w:pPr>
    </w:p>
    <w:p>
      <w:pPr>
        <w:ind w:left="1800" w:right="459" w:hanging="180"/>
        <w:spacing w:after="0" w:line="263"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14" w:lineRule="exact"/>
        <w:rPr>
          <w:rFonts w:ascii="Times New Roman" w:cs="Times New Roman" w:eastAsia="Times New Roman" w:hAnsi="Times New Roman"/>
          <w:sz w:val="18"/>
          <w:szCs w:val="18"/>
          <w:u w:val="single" w:color="auto"/>
          <w:color w:val="0000EE"/>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323" w:lineRule="exact"/>
        <w:rPr>
          <w:rFonts w:ascii="Times New Roman" w:cs="Times New Roman" w:eastAsia="Times New Roman" w:hAnsi="Times New Roman"/>
          <w:sz w:val="18"/>
          <w:szCs w:val="18"/>
          <w:u w:val="single" w:color="auto"/>
          <w:color w:val="0000EE"/>
        </w:rPr>
      </w:pPr>
    </w:p>
    <w:p>
      <w:pPr>
        <w:ind w:left="398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5" w:lineRule="exact"/>
        <w:rPr>
          <w:rFonts w:ascii="Times New Roman" w:cs="Times New Roman" w:eastAsia="Times New Roman" w:hAnsi="Times New Roman"/>
          <w:sz w:val="18"/>
          <w:szCs w:val="18"/>
          <w:u w:val="single" w:color="auto"/>
          <w:color w:val="0000EE"/>
        </w:rPr>
      </w:pPr>
    </w:p>
    <w:p>
      <w:pPr>
        <w:ind w:left="4680"/>
        <w:spacing w:after="0"/>
        <w:rPr>
          <w:sz w:val="20"/>
          <w:szCs w:val="20"/>
          <w:color w:val="auto"/>
        </w:rPr>
      </w:pPr>
      <w:r>
        <w:rPr>
          <w:rFonts w:ascii="Times New Roman" w:cs="Times New Roman" w:eastAsia="Times New Roman" w:hAnsi="Times New Roman"/>
          <w:sz w:val="18"/>
          <w:szCs w:val="18"/>
          <w:color w:val="auto"/>
        </w:rPr>
        <w:t>2005 Cargo Road</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Minneapolis, MN 55450</w:t>
      </w:r>
    </w:p>
    <w:p>
      <w:pPr>
        <w:spacing w:after="0" w:line="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7"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rFonts w:ascii="Times New Roman" w:cs="Times New Roman" w:eastAsia="Times New Roman" w:hAnsi="Times New Roman"/>
          <w:sz w:val="18"/>
          <w:szCs w:val="18"/>
          <w:u w:val="single" w:color="auto"/>
          <w:color w:val="0000EE"/>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6" w:lineRule="exact"/>
        <w:rPr>
          <w:rFonts w:ascii="Times New Roman" w:cs="Times New Roman" w:eastAsia="Times New Roman" w:hAnsi="Times New Roman"/>
          <w:sz w:val="18"/>
          <w:szCs w:val="18"/>
          <w:u w:val="single" w:color="auto"/>
          <w:color w:val="0000EE"/>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80"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8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3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Before this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60" w:type="dxa"/>
            <w:vAlign w:val="bottom"/>
            <w:gridSpan w:val="2"/>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15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24,869,997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7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3"/>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3"/>
                <w:szCs w:val="23"/>
                <w:color w:val="auto"/>
                <w:vertAlign w:val="superscript"/>
              </w:rPr>
              <w:t>(2)</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-483235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-483235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-483235</wp:posOffset>
            </wp:positionV>
            <wp:extent cx="3694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0"/>
          <w:szCs w:val="20"/>
          <w:color w:val="auto"/>
        </w:rPr>
      </w:pPr>
    </w:p>
    <w:p>
      <w:pPr>
        <w:ind w:left="1620" w:right="479" w:hanging="360"/>
        <w:spacing w:after="0" w:line="259"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26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w:t>
      </w:r>
    </w:p>
    <w:p>
      <w:pPr>
        <w:spacing w:after="0" w:line="27"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for action by the stockholders generally.</w:t>
      </w:r>
    </w:p>
    <w:p>
      <w:pPr>
        <w:spacing w:after="0" w:line="91"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are entitled to share equally in any dividends our board of directors may declare from legally available sources.</w:t>
      </w:r>
    </w:p>
    <w:p>
      <w:pPr>
        <w:spacing w:after="0" w:line="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w:t>
      </w:r>
    </w:p>
    <w:p>
      <w:pPr>
        <w:spacing w:after="0" w:line="18" w:lineRule="exact"/>
        <w:rPr>
          <w:sz w:val="20"/>
          <w:szCs w:val="20"/>
          <w:color w:val="auto"/>
        </w:rPr>
      </w:pPr>
    </w:p>
    <w:p>
      <w:pPr>
        <w:jc w:val="both"/>
        <w:ind w:left="1260" w:right="919"/>
        <w:spacing w:after="0" w:line="246" w:lineRule="auto"/>
        <w:rPr>
          <w:sz w:val="20"/>
          <w:szCs w:val="20"/>
          <w:color w:val="auto"/>
        </w:rPr>
      </w:pPr>
      <w:r>
        <w:rPr>
          <w:rFonts w:ascii="Times New Roman" w:cs="Times New Roman" w:eastAsia="Times New Roman" w:hAnsi="Times New Roman"/>
          <w:sz w:val="18"/>
          <w:szCs w:val="18"/>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1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Holders of our common stock have no preemptive or conversion rights,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Classified Board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Removal</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Election and Removal</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7" w:lineRule="exact"/>
        <w:rPr>
          <w:sz w:val="20"/>
          <w:szCs w:val="20"/>
          <w:color w:val="auto"/>
        </w:rPr>
      </w:pPr>
    </w:p>
    <w:p>
      <w:pPr>
        <w:ind w:left="1800" w:right="459" w:hanging="180"/>
        <w:spacing w:after="0" w:line="259"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w:t>
      </w:r>
    </w:p>
    <w:p>
      <w:pPr>
        <w:spacing w:after="0" w:line="3"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2160" w:right="699" w:hanging="180"/>
        <w:spacing w:after="0" w:line="266" w:lineRule="auto"/>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2160" w:right="619" w:hanging="180"/>
        <w:spacing w:after="0" w:line="255" w:lineRule="auto"/>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3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800" w:right="47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3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w:t>
      </w:r>
    </w:p>
    <w:p>
      <w:pPr>
        <w:spacing w:after="0" w:line="1" w:lineRule="exact"/>
        <w:rPr>
          <w:sz w:val="20"/>
          <w:szCs w:val="20"/>
          <w:color w:val="auto"/>
        </w:rPr>
      </w:pPr>
    </w:p>
    <w:p>
      <w:pPr>
        <w:ind w:left="1260" w:right="439"/>
        <w:spacing w:after="0" w:line="242" w:lineRule="auto"/>
        <w:tabs>
          <w:tab w:leader="none" w:pos="15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8" w:lineRule="exact"/>
        <w:rPr>
          <w:sz w:val="20"/>
          <w:szCs w:val="20"/>
          <w:color w:val="auto"/>
        </w:rPr>
      </w:pPr>
    </w:p>
    <w:p>
      <w:pPr>
        <w:ind w:left="5240" w:right="3659" w:hanging="3620"/>
        <w:spacing w:after="0" w:line="736" w:lineRule="auto"/>
        <w:tabs>
          <w:tab w:leader="none" w:pos="17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75" w:lineRule="exact"/>
        <w:rPr>
          <w:sz w:val="20"/>
          <w:szCs w:val="20"/>
          <w:color w:val="auto"/>
        </w:rPr>
      </w:pPr>
    </w:p>
    <w:p>
      <w:pPr>
        <w:ind w:left="1800" w:right="5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1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17" w:lineRule="exact"/>
        <w:rPr>
          <w:sz w:val="20"/>
          <w:szCs w:val="20"/>
          <w:color w:val="auto"/>
        </w:rPr>
      </w:pPr>
    </w:p>
    <w:p>
      <w:pPr>
        <w:ind w:left="1800" w:right="5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securities covered by this prospectus that qualify for sale pursuant to Rule 144 under the Securities Act may be sold under Rule 144 rather than pursuant to this prospectus.</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435610</wp:posOffset>
            </wp:positionV>
            <wp:extent cx="220281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7"/>
          <w:szCs w:val="27"/>
          <w:b w:val="1"/>
          <w:bCs w:val="1"/>
          <w:color w:val="auto"/>
        </w:rPr>
        <w:t>Sun Country Airlines Holdings, Inc.</w:t>
      </w:r>
    </w:p>
    <w:p>
      <w:pPr>
        <w:spacing w:after="0" w:line="36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1430020</wp:posOffset>
            </wp:positionV>
            <wp:extent cx="1234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184785</wp:posOffset>
            </wp:positionV>
            <wp:extent cx="123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440055</wp:posOffset>
            </wp:positionV>
            <wp:extent cx="5212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3"/>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Roman"/>
      <w:start w:val="1"/>
    </w:lvl>
  </w:abstractNum>
  <w:abstractNum w:abstractNumId="13">
    <w:nsid w:val="189A769B"/>
    <w:multiLevelType w:val="hybridMultilevel"/>
    <w:lvl w:ilvl="0">
      <w:lvlJc w:val="left"/>
      <w:lvlText w:val="(%1)"/>
      <w:numFmt w:val="lowerRoman"/>
      <w:start w:val="3"/>
    </w:lvl>
  </w:abstractNum>
  <w:abstractNum w:abstractNumId="14">
    <w:nsid w:val="54E49EB4"/>
    <w:multiLevelType w:val="hybridMultilevel"/>
    <w:lvl w:ilvl="0">
      <w:lvlJc w:val="left"/>
      <w:lvlText w:val="(%1)"/>
      <w:numFmt w:val="lowerRoman"/>
      <w:start w:val="8"/>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lvl w:ilvl="1">
      <w:lvlJc w:val="left"/>
      <w:lvlText w:val="(%2)"/>
      <w:numFmt w:val="lowerRoman"/>
      <w:start w:val="3"/>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upperLetter"/>
      <w:start w:val="2"/>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jpe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jpe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27" Type="http://schemas.openxmlformats.org/officeDocument/2006/relationships/hyperlink" Target="https://www.sec.gov/ix?doc=/Archives/edgar/data/1743907/000174390723000009/sncy-20221231.htm" TargetMode="External"/><Relationship Id="rId28" Type="http://schemas.openxmlformats.org/officeDocument/2006/relationships/hyperlink" Target="https://www.sec.gov/Archives/edgar/data/1743907/000114036123021588/ny20006532x1_def14a.htm" TargetMode="External"/><Relationship Id="rId29" Type="http://schemas.openxmlformats.org/officeDocument/2006/relationships/hyperlink" Target="https://www.sec.gov/ix?doc=/Archives/edgar/data/1743907/000174390723000013/sncy-20230331.htm" TargetMode="External"/><Relationship Id="rId31" Type="http://schemas.openxmlformats.org/officeDocument/2006/relationships/hyperlink" Target="https://www.sec.gov/ix?doc=/Archives/edgar/data/1743907/000174390723000018/sncy-20230630.htm" TargetMode="External"/><Relationship Id="rId32" Type="http://schemas.openxmlformats.org/officeDocument/2006/relationships/hyperlink" Target="https://www.sec.gov/ix?doc=/Archives/edgar/data/1743907/000174390723000023/sncy-20230930.htm" TargetMode="External"/><Relationship Id="rId33" Type="http://schemas.openxmlformats.org/officeDocument/2006/relationships/hyperlink" Target="https://www.sec.gov/ix?doc=/Archives/edgar/data/1743907/000095014223000188/eh230323322_8k.htm" TargetMode="External"/><Relationship Id="rId34" Type="http://schemas.openxmlformats.org/officeDocument/2006/relationships/hyperlink" Target="https://www.sec.gov/ix?doc=/Archives/edgar/data/1743907/000174390723000005/sncy-20230206.htm" TargetMode="External"/><Relationship Id="rId35" Type="http://schemas.openxmlformats.org/officeDocument/2006/relationships/hyperlink" Target="https://www.sec.gov/ix?doc=/Archives/edgar/data/1743907/000095014223000480/eh230330932_8k.htm" TargetMode="External"/><Relationship Id="rId36" Type="http://schemas.openxmlformats.org/officeDocument/2006/relationships/hyperlink" Target="https://www.sec.gov/ix?doc=/Archives/edgar/data/1743907/000095014223000635/eh230336864_8k.htm" TargetMode="External"/><Relationship Id="rId37" Type="http://schemas.openxmlformats.org/officeDocument/2006/relationships/hyperlink" Target="https://www.sec.gov/ix?doc=/Archives/edgar/data/1743907/000114036123013997/brhc10050332_8k.htm" TargetMode="External"/><Relationship Id="rId38" Type="http://schemas.openxmlformats.org/officeDocument/2006/relationships/hyperlink" Target="https://www.sec.gov/ix?doc=/Archives/edgar/data/1743907/000119312523143537/d485508d8k.htm" TargetMode="External"/><Relationship Id="rId39" Type="http://schemas.openxmlformats.org/officeDocument/2006/relationships/hyperlink" Target="https://www.sec.gov/ix?doc=/Archives/edgar/data/1743907/000095014223001689/eh230369960_8k.htm" TargetMode="External"/><Relationship Id="rId40" Type="http://schemas.openxmlformats.org/officeDocument/2006/relationships/hyperlink" Target="https://www.sec.gov/ix?doc=/Archives/edgar/data/1743907/000174390723000015/sncy-20230803.htm" TargetMode="External"/><Relationship Id="rId41" Type="http://schemas.openxmlformats.org/officeDocument/2006/relationships/hyperlink" Target="https://www.sec.gov/ix?doc=/Archives/edgar/data/1743907/000174390723000022/sncy-20231107.htm" TargetMode="External"/><Relationship Id="rId42" Type="http://schemas.openxmlformats.org/officeDocument/2006/relationships/hyperlink" Target="https://www.sec.gov/Archives/edgar/data/1743907/000119312521080721/d150407d8a12b.htm" TargetMode="External"/><Relationship Id="rId100" Type="http://schemas.openxmlformats.org/officeDocument/2006/relationships/hyperlink" Target="http://www.sec.gov/ix?doc=/Archives/edgar/data/1743907/000155837022001409/sncy-20211231x10k.htm" TargetMode="External"/><Relationship Id="rId101" Type="http://schemas.openxmlformats.org/officeDocument/2006/relationships/hyperlink" Target="http://www.sec.gov/ix?doc=/Archives/edgar/data/1743907/000155837022001517/sncy-20211231x10ka.htm" TargetMode="External"/><Relationship Id="rId102" Type="http://schemas.openxmlformats.org/officeDocument/2006/relationships/hyperlink" Target="http://www.sec.gov/Archives/edgar/data/1743907/000114036122017008/ny20002474x1_def14a.htm" TargetMode="External"/><Relationship Id="rId103" Type="http://schemas.openxmlformats.org/officeDocument/2006/relationships/hyperlink" Target="http://www.sec.gov/ix?doc=/Archives/edgar/data/1743907/000174390722000004/sncy-20220331.htm" TargetMode="External"/><Relationship Id="rId104" Type="http://schemas.openxmlformats.org/officeDocument/2006/relationships/hyperlink" Target="http://www.sec.gov/ix?doc=/Archives/edgar/data/1743907/000174390722000010/sncy-20220630.htm" TargetMode="External"/><Relationship Id="rId105" Type="http://schemas.openxmlformats.org/officeDocument/2006/relationships/hyperlink" Target="http://www.sec.gov/ix?doc=/Archives/edgar/data/1743907/000174390722000018/sncy-20220930.htm" TargetMode="External"/><Relationship Id="rId106" Type="http://schemas.openxmlformats.org/officeDocument/2006/relationships/hyperlink" Target="http://www.sec.gov/ix?doc=/Archives/edgar/data/1743907/000119312522095256/d331629d8k.htm" TargetMode="External"/><Relationship Id="rId107" Type="http://schemas.openxmlformats.org/officeDocument/2006/relationships/hyperlink" Target="http://www.sec.gov/ix?doc=/Archives/edgar/data/1743907/000095014222001526/eh220248099_8k.htm" TargetMode="External"/><Relationship Id="rId108" Type="http://schemas.openxmlformats.org/officeDocument/2006/relationships/hyperlink" Target="http://www.sec.gov/ix?doc=/Archives/edgar/data/1743907/000095014222001576/eh220250292_8ka1.htm" TargetMode="External"/><Relationship Id="rId109" Type="http://schemas.openxmlformats.org/officeDocument/2006/relationships/hyperlink" Target="http://www.sec.gov/ix?doc=/Archives/edgar/data/1743907/000095014222001872/eh220260912_8k.htm" TargetMode="External"/><Relationship Id="rId110" Type="http://schemas.openxmlformats.org/officeDocument/2006/relationships/hyperlink" Target="http://www.sec.gov/ix?doc=/Archives/edgar/data/1743907/000095014222001966/eh220263307_8k.htm" TargetMode="External"/><Relationship Id="rId111" Type="http://schemas.openxmlformats.org/officeDocument/2006/relationships/hyperlink" Target="http://www.sec.gov/ix?doc=/Archives/edgar/data/1743907/000095014222002892/eh220294245_8k.htm" TargetMode="External"/><Relationship Id="rId112" Type="http://schemas.openxmlformats.org/officeDocument/2006/relationships/hyperlink" Target="http://www.sec.gov/ix?doc=/Archives/edgar/data/1743907/000174390722000016/sncy-20221031.htm" TargetMode="External"/><Relationship Id="rId113" Type="http://schemas.openxmlformats.org/officeDocument/2006/relationships/hyperlink" Target="http://www.sec.gov/ix?doc=/Archives/edgar/data/1743907/000095014222003027/eh220300824_8k.htm" TargetMode="External"/><Relationship Id="rId114" Type="http://schemas.openxmlformats.org/officeDocument/2006/relationships/hyperlink" Target="http://www.sec.gov/Archives/edgar/data/1743907/000119312521080721/d15040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2023-12-11T16:10:35Z</dcterms:created>
  <dcterms:modified xsi:type="dcterms:W3CDTF">2023-12-11T16:10:35Z</dcterms:modified>
</cp:coreProperties>
</file>