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920"/>
        <w:spacing w:after="0"/>
        <w:rPr>
          <w:sz w:val="20"/>
          <w:szCs w:val="20"/>
          <w:color w:val="auto"/>
        </w:rPr>
      </w:pPr>
      <w:r>
        <w:rPr>
          <w:rFonts w:ascii="Arial" w:cs="Arial" w:eastAsia="Arial" w:hAnsi="Arial"/>
          <w:sz w:val="19"/>
          <w:szCs w:val="19"/>
          <w:color w:val="auto"/>
        </w:rPr>
        <w:t>Filed Pursuant to Rule 433</w:t>
      </w:r>
    </w:p>
    <w:p>
      <w:pPr>
        <w:spacing w:after="0" w:line="43" w:lineRule="exact"/>
        <w:rPr>
          <w:sz w:val="24"/>
          <w:szCs w:val="24"/>
          <w:color w:val="auto"/>
        </w:rPr>
      </w:pPr>
    </w:p>
    <w:p>
      <w:pPr>
        <w:jc w:val="right"/>
        <w:ind w:left="5380"/>
        <w:spacing w:after="0" w:line="234" w:lineRule="auto"/>
        <w:rPr>
          <w:sz w:val="20"/>
          <w:szCs w:val="20"/>
          <w:color w:val="auto"/>
        </w:rPr>
      </w:pPr>
      <w:r>
        <w:rPr>
          <w:rFonts w:ascii="Arial" w:cs="Arial" w:eastAsia="Arial" w:hAnsi="Arial"/>
          <w:sz w:val="22"/>
          <w:szCs w:val="22"/>
          <w:color w:val="auto"/>
        </w:rPr>
        <w:t>Issuer Free Writing Prospectus dated October 14, 2021 Registration Statement No. 333-260195 and the related Registration Statement filed pursuant to Rule 462(b)</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Sun Country Airlines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8,500,000 Shares</w:t>
      </w:r>
    </w:p>
    <w:p>
      <w:pPr>
        <w:sectPr>
          <w:pgSz w:w="11900" w:h="16838" w:orient="portrait"/>
          <w:cols w:equalWidth="0" w:num="1">
            <w:col w:w="11240"/>
          </w:cols>
          <w:pgMar w:left="320" w:top="469" w:right="3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5"/>
          <w:szCs w:val="15"/>
          <w:color w:val="000005"/>
        </w:rPr>
        <w:t>Issuer: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000005"/>
        </w:rPr>
        <w:t>Sun Country Airlines Holdings, Inc.</w:t>
      </w:r>
    </w:p>
    <w:p>
      <w:pPr>
        <w:spacing w:after="0" w:line="113" w:lineRule="exact"/>
        <w:rPr>
          <w:sz w:val="24"/>
          <w:szCs w:val="24"/>
          <w:color w:val="auto"/>
        </w:rPr>
      </w:pPr>
    </w:p>
    <w:p>
      <w:pPr>
        <w:sectPr>
          <w:pgSz w:w="11900" w:h="16838" w:orient="portrait"/>
          <w:cols w:equalWidth="0" w:num="2">
            <w:col w:w="3440" w:space="720"/>
            <w:col w:w="7080"/>
          </w:cols>
          <w:pgMar w:left="320" w:top="469" w:right="339" w:bottom="1440" w:gutter="0" w:footer="0" w:header="0"/>
          <w:type w:val="continuous"/>
        </w:sectPr>
      </w:pPr>
    </w:p>
    <w:p>
      <w:pPr>
        <w:ind w:right="660"/>
        <w:spacing w:after="0" w:line="277" w:lineRule="auto"/>
        <w:rPr>
          <w:sz w:val="20"/>
          <w:szCs w:val="20"/>
          <w:color w:val="auto"/>
        </w:rPr>
      </w:pPr>
      <w:r>
        <w:rPr>
          <w:rFonts w:ascii="Arial" w:cs="Arial" w:eastAsia="Arial" w:hAnsi="Arial"/>
          <w:sz w:val="18"/>
          <w:szCs w:val="18"/>
          <w:color w:val="000005"/>
        </w:rPr>
        <w:t>Common Stock Offered by the Selling Stockholders: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8,500,000 Shares</w:t>
      </w:r>
    </w:p>
    <w:p>
      <w:pPr>
        <w:spacing w:after="0" w:line="340" w:lineRule="exact"/>
        <w:rPr>
          <w:sz w:val="24"/>
          <w:szCs w:val="24"/>
          <w:color w:val="auto"/>
        </w:rPr>
      </w:pPr>
    </w:p>
    <w:p>
      <w:pPr>
        <w:sectPr>
          <w:pgSz w:w="11900" w:h="16838" w:orient="portrait"/>
          <w:cols w:equalWidth="0" w:num="2">
            <w:col w:w="3440" w:space="720"/>
            <w:col w:w="7080"/>
          </w:cols>
          <w:pgMar w:left="320" w:top="469" w:right="339" w:bottom="1440" w:gutter="0" w:footer="0" w:header="0"/>
          <w:type w:val="continuous"/>
        </w:sectPr>
      </w:pPr>
    </w:p>
    <w:p>
      <w:pPr>
        <w:ind w:right="220"/>
        <w:spacing w:after="0" w:line="263" w:lineRule="auto"/>
        <w:rPr>
          <w:sz w:val="20"/>
          <w:szCs w:val="20"/>
          <w:color w:val="auto"/>
        </w:rPr>
      </w:pPr>
      <w:r>
        <w:rPr>
          <w:rFonts w:ascii="Arial" w:cs="Arial" w:eastAsia="Arial" w:hAnsi="Arial"/>
          <w:sz w:val="18"/>
          <w:szCs w:val="18"/>
          <w:color w:val="000005"/>
        </w:rPr>
        <w:t>Shares subject to Underwriters’ Option to Purchase Additional Shares from the Selling Stockholders: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1,275,000 Shares</w:t>
      </w:r>
    </w:p>
    <w:p>
      <w:pPr>
        <w:spacing w:after="0" w:line="556" w:lineRule="exact"/>
        <w:rPr>
          <w:sz w:val="24"/>
          <w:szCs w:val="24"/>
          <w:color w:val="auto"/>
        </w:rPr>
      </w:pPr>
    </w:p>
    <w:p>
      <w:pPr>
        <w:sectPr>
          <w:pgSz w:w="11900" w:h="16838" w:orient="portrait"/>
          <w:cols w:equalWidth="0" w:num="2">
            <w:col w:w="3440" w:space="720"/>
            <w:col w:w="7080"/>
          </w:cols>
          <w:pgMar w:left="320" w:top="469" w:right="339" w:bottom="1440" w:gutter="0" w:footer="0" w:header="0"/>
          <w:type w:val="continuous"/>
        </w:sectPr>
      </w:pPr>
    </w:p>
    <w:p>
      <w:pPr>
        <w:spacing w:after="0"/>
        <w:rPr>
          <w:sz w:val="20"/>
          <w:szCs w:val="20"/>
          <w:color w:val="auto"/>
        </w:rPr>
      </w:pPr>
      <w:r>
        <w:rPr>
          <w:rFonts w:ascii="Arial" w:cs="Arial" w:eastAsia="Arial" w:hAnsi="Arial"/>
          <w:sz w:val="16"/>
          <w:szCs w:val="16"/>
          <w:color w:val="000005"/>
        </w:rPr>
        <w:t>Offer Price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$32.50</w:t>
      </w:r>
    </w:p>
    <w:p>
      <w:pPr>
        <w:spacing w:after="0" w:line="113" w:lineRule="exact"/>
        <w:rPr>
          <w:sz w:val="24"/>
          <w:szCs w:val="24"/>
          <w:color w:val="auto"/>
        </w:rPr>
      </w:pPr>
    </w:p>
    <w:p>
      <w:pPr>
        <w:sectPr>
          <w:pgSz w:w="11900" w:h="16838" w:orient="portrait"/>
          <w:cols w:equalWidth="0" w:num="2">
            <w:col w:w="3440" w:space="720"/>
            <w:col w:w="7080"/>
          </w:cols>
          <w:pgMar w:left="320" w:top="469" w:right="339" w:bottom="1440" w:gutter="0" w:footer="0" w:header="0"/>
          <w:type w:val="continuous"/>
        </w:sectPr>
      </w:pPr>
    </w:p>
    <w:p>
      <w:pPr>
        <w:spacing w:after="0"/>
        <w:rPr>
          <w:sz w:val="20"/>
          <w:szCs w:val="20"/>
          <w:color w:val="auto"/>
        </w:rPr>
      </w:pPr>
      <w:r>
        <w:rPr>
          <w:rFonts w:ascii="Arial" w:cs="Arial" w:eastAsia="Arial" w:hAnsi="Arial"/>
          <w:sz w:val="16"/>
          <w:szCs w:val="16"/>
          <w:color w:val="000005"/>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000005"/>
        </w:rPr>
        <w:t>October 15, 2021</w:t>
      </w:r>
    </w:p>
    <w:p>
      <w:pPr>
        <w:spacing w:after="0" w:line="113" w:lineRule="exact"/>
        <w:rPr>
          <w:sz w:val="24"/>
          <w:szCs w:val="24"/>
          <w:color w:val="auto"/>
        </w:rPr>
      </w:pPr>
    </w:p>
    <w:p>
      <w:pPr>
        <w:sectPr>
          <w:pgSz w:w="11900" w:h="16838" w:orient="portrait"/>
          <w:cols w:equalWidth="0" w:num="2">
            <w:col w:w="3440" w:space="720"/>
            <w:col w:w="7080"/>
          </w:cols>
          <w:pgMar w:left="320" w:top="469" w:right="339" w:bottom="1440" w:gutter="0" w:footer="0" w:header="0"/>
          <w:type w:val="continuous"/>
        </w:sectPr>
      </w:pPr>
    </w:p>
    <w:p>
      <w:pPr>
        <w:spacing w:after="0"/>
        <w:rPr>
          <w:sz w:val="20"/>
          <w:szCs w:val="20"/>
          <w:color w:val="auto"/>
        </w:rPr>
      </w:pPr>
      <w:r>
        <w:rPr>
          <w:rFonts w:ascii="Arial" w:cs="Arial" w:eastAsia="Arial" w:hAnsi="Arial"/>
          <w:sz w:val="16"/>
          <w:szCs w:val="16"/>
          <w:color w:val="000005"/>
        </w:rPr>
        <w:t>Expected Closing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October 19, 2021</w:t>
      </w:r>
    </w:p>
    <w:p>
      <w:pPr>
        <w:spacing w:after="0" w:line="113" w:lineRule="exact"/>
        <w:rPr>
          <w:sz w:val="24"/>
          <w:szCs w:val="24"/>
          <w:color w:val="auto"/>
        </w:rPr>
      </w:pPr>
    </w:p>
    <w:p>
      <w:pPr>
        <w:sectPr>
          <w:pgSz w:w="11900" w:h="16838" w:orient="portrait"/>
          <w:cols w:equalWidth="0" w:num="2">
            <w:col w:w="3440" w:space="720"/>
            <w:col w:w="7080"/>
          </w:cols>
          <w:pgMar w:left="320" w:top="469" w:right="339" w:bottom="1440" w:gutter="0" w:footer="0" w:header="0"/>
          <w:type w:val="continuous"/>
        </w:sectPr>
      </w:pPr>
    </w:p>
    <w:p>
      <w:pPr>
        <w:spacing w:after="0"/>
        <w:rPr>
          <w:sz w:val="20"/>
          <w:szCs w:val="20"/>
          <w:color w:val="auto"/>
        </w:rPr>
      </w:pPr>
      <w:r>
        <w:rPr>
          <w:rFonts w:ascii="Arial" w:cs="Arial" w:eastAsia="Arial" w:hAnsi="Arial"/>
          <w:sz w:val="16"/>
          <w:szCs w:val="16"/>
          <w:color w:val="000005"/>
        </w:rPr>
        <w:t>Bookrunners: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000005"/>
        </w:rPr>
        <w:t>Barclays Capital Inc.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000005"/>
        </w:rPr>
        <w:t>Morgan Stanley &amp; Co.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000005"/>
        </w:rPr>
        <w:t>Evercore Group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000005"/>
        </w:rPr>
        <w:t>Deutsche Bank Securities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000005"/>
        </w:rPr>
        <w:t>Goldman Sachs &amp; Co. LLC</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000005"/>
        </w:rPr>
        <w:t>Nomura Securities International, Inc.</w:t>
      </w:r>
    </w:p>
    <w:p>
      <w:pPr>
        <w:spacing w:after="0" w:line="99" w:lineRule="exact"/>
        <w:rPr>
          <w:sz w:val="24"/>
          <w:szCs w:val="24"/>
          <w:color w:val="auto"/>
        </w:rPr>
      </w:pPr>
    </w:p>
    <w:p>
      <w:pPr>
        <w:sectPr>
          <w:pgSz w:w="11900" w:h="16838" w:orient="portrait"/>
          <w:cols w:equalWidth="0" w:num="2">
            <w:col w:w="3440" w:space="720"/>
            <w:col w:w="7080"/>
          </w:cols>
          <w:pgMar w:left="320" w:top="469" w:right="33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Apollo Global Securities,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AmeriVet Securities, Inc.</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Siebert Williams Shank &amp; Co., LLC</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Tribal Capital Markets, LLC</w:t>
      </w:r>
    </w:p>
    <w:p>
      <w:pPr>
        <w:spacing w:after="0" w:line="200" w:lineRule="exact"/>
        <w:rPr>
          <w:sz w:val="24"/>
          <w:szCs w:val="24"/>
          <w:color w:val="auto"/>
        </w:rPr>
      </w:pPr>
    </w:p>
    <w:p>
      <w:pPr>
        <w:sectPr>
          <w:pgSz w:w="11900" w:h="16838" w:orient="portrait"/>
          <w:cols w:equalWidth="0" w:num="2">
            <w:col w:w="3440" w:space="720"/>
            <w:col w:w="7080"/>
          </w:cols>
          <w:pgMar w:left="320" w:top="469" w:right="339" w:bottom="1440" w:gutter="0" w:footer="0" w:header="0"/>
          <w:type w:val="continuous"/>
        </w:sectPr>
      </w:pPr>
    </w:p>
    <w:p>
      <w:pPr>
        <w:spacing w:after="0" w:line="11" w:lineRule="exact"/>
        <w:rPr>
          <w:sz w:val="24"/>
          <w:szCs w:val="24"/>
          <w:color w:val="auto"/>
        </w:rPr>
      </w:pPr>
    </w:p>
    <w:p>
      <w:pPr>
        <w:ind w:right="240"/>
        <w:spacing w:after="0" w:line="308" w:lineRule="auto"/>
        <w:rPr>
          <w:sz w:val="20"/>
          <w:szCs w:val="20"/>
          <w:color w:val="auto"/>
        </w:rPr>
      </w:pPr>
      <w:r>
        <w:rPr>
          <w:rFonts w:ascii="Arial" w:cs="Arial" w:eastAsia="Arial" w:hAnsi="Arial"/>
          <w:sz w:val="17"/>
          <w:szCs w:val="17"/>
          <w:color w:val="auto"/>
        </w:rPr>
        <w:t>The Company has been informed by Barclays Capital Inc. (“Barclays”) that Barclays bought 40 shares of the Company’s common stock on behalf of the underwriters of this offering at an average purchase price of $32.00 per share on October 14, 2021 in pre-stabilization activities.</w:t>
      </w:r>
    </w:p>
    <w:p>
      <w:pPr>
        <w:spacing w:after="0" w:line="146" w:lineRule="exact"/>
        <w:rPr>
          <w:sz w:val="24"/>
          <w:szCs w:val="24"/>
          <w:color w:val="auto"/>
        </w:rPr>
      </w:pPr>
    </w:p>
    <w:p>
      <w:pPr>
        <w:ind w:right="40"/>
        <w:spacing w:after="0" w:line="273" w:lineRule="auto"/>
        <w:rPr>
          <w:sz w:val="20"/>
          <w:szCs w:val="20"/>
          <w:color w:val="auto"/>
        </w:rPr>
      </w:pPr>
      <w:r>
        <w:rPr>
          <w:rFonts w:ascii="Arial" w:cs="Arial" w:eastAsia="Arial" w:hAnsi="Arial"/>
          <w:sz w:val="17"/>
          <w:szCs w:val="17"/>
          <w:color w:val="auto"/>
        </w:rPr>
        <w:t>The issuer has filed a registration statement (including a prospectus) with the Securities and Exchange Commission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http://www.sec.gov. Alternatively, copies of the prospectus may be obtained from Barclays Capital Inc., c/o Broadridge Financial Solutions, 1155 Long Island Avenue, Edgewood, NY 11717, or by telephone at 888 603 5847, or by email at Barclaysprospectus@broadridge.com, or Morgan Stanley &amp; Co. LLC, Attn: Prospectus Department, 180 Varick, 2nd Floor, New York, New York 10014.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46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2021-10-15T05:39:34Z</dcterms:created>
  <dcterms:modified xsi:type="dcterms:W3CDTF">2021-10-15T05:39:34Z</dcterms:modified>
</cp:coreProperties>
</file>