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February 7, 2022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On February 7, 2022, Sun Country Airlines Holdings, Inc. issued a press release announcing its financial results for the fiscal quarter and year ended December 31, 2021. A copy of the press release is attached hereto as Exhibit 99.1 and incorporated by reference herein.</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7, 2022</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9"/>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February 7, 2022</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165735</wp:posOffset>
            </wp:positionV>
            <wp:extent cx="237426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26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Reports Fourth Quarter and Full Year 2021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Q4 2021 GAAP diluted EPS of ($0.01) and operating income of $11 million</w:t>
      </w:r>
    </w:p>
    <w:p>
      <w:pPr>
        <w:jc w:val="center"/>
        <w:spacing w:after="0" w:line="181" w:lineRule="auto"/>
        <w:rPr>
          <w:sz w:val="20"/>
          <w:szCs w:val="20"/>
          <w:color w:val="auto"/>
        </w:rPr>
      </w:pPr>
      <w:r>
        <w:rPr>
          <w:rFonts w:ascii="Arial" w:cs="Arial" w:eastAsia="Arial" w:hAnsi="Arial"/>
          <w:sz w:val="17"/>
          <w:szCs w:val="17"/>
          <w:color w:val="auto"/>
        </w:rPr>
        <w:t>Q4 2021 Adjusted diluted EPS of $0.10</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 adjusted operating income of $15 million </w:t>
      </w:r>
      <w:r>
        <w:rPr>
          <w:rFonts w:ascii="Arial" w:cs="Arial" w:eastAsia="Arial" w:hAnsi="Arial"/>
          <w:sz w:val="28"/>
          <w:szCs w:val="28"/>
          <w:color w:val="auto"/>
          <w:vertAlign w:val="superscript"/>
        </w:rPr>
        <w:t>(1)</w:t>
      </w:r>
    </w:p>
    <w:p>
      <w:pPr>
        <w:jc w:val="center"/>
        <w:spacing w:after="0" w:line="234" w:lineRule="auto"/>
        <w:rPr>
          <w:sz w:val="20"/>
          <w:szCs w:val="20"/>
          <w:color w:val="auto"/>
        </w:rPr>
      </w:pPr>
      <w:r>
        <w:rPr>
          <w:rFonts w:ascii="Arial" w:cs="Arial" w:eastAsia="Arial" w:hAnsi="Arial"/>
          <w:sz w:val="18"/>
          <w:szCs w:val="18"/>
          <w:color w:val="auto"/>
        </w:rPr>
        <w:t>FY 2021 GAAP diluted EPS of $1.31 and operating income of $107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FY 2021 Adjusted diluted EPS of $0.33</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adjusted operating income of $51 million </w:t>
      </w:r>
      <w:r>
        <w:rPr>
          <w:rFonts w:ascii="Arial" w:cs="Arial" w:eastAsia="Arial" w:hAnsi="Arial"/>
          <w:sz w:val="29"/>
          <w:szCs w:val="29"/>
          <w:color w:val="auto"/>
          <w:vertAlign w:val="superscript"/>
        </w:rPr>
        <w:t>(1)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MINNEAPOLIS. February 7, 2022. Sun Country Airlines Holdings, Inc. (“Sun Country Airlines”, “Sun Country”, the “Company”) (</w:t>
      </w:r>
      <w:r>
        <w:rPr>
          <w:rFonts w:ascii="Arial" w:cs="Arial" w:eastAsia="Arial" w:hAnsi="Arial"/>
          <w:sz w:val="18"/>
          <w:szCs w:val="18"/>
          <w:color w:val="0563C1"/>
        </w:rPr>
        <w:t>NASDAQ:</w:t>
      </w: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fourth quarter and full year ended December 31, 2021.</w:t>
      </w:r>
    </w:p>
    <w:p>
      <w:pPr>
        <w:spacing w:after="0" w:line="198"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0A0A0A"/>
        </w:rPr>
        <w:t>“We closed out 2021 in a very strong way,” said Jude Bricker, Chief Executive Officer of Sun Country. “The fourth quarter delivered our 5</w:t>
      </w:r>
      <w:r>
        <w:rPr>
          <w:rFonts w:ascii="Arial" w:cs="Arial" w:eastAsia="Arial" w:hAnsi="Arial"/>
          <w:sz w:val="29"/>
          <w:szCs w:val="29"/>
          <w:color w:val="0A0A0A"/>
          <w:vertAlign w:val="superscript"/>
        </w:rPr>
        <w:t>th</w:t>
      </w:r>
      <w:r>
        <w:rPr>
          <w:rFonts w:ascii="Arial" w:cs="Arial" w:eastAsia="Arial" w:hAnsi="Arial"/>
          <w:sz w:val="18"/>
          <w:szCs w:val="18"/>
          <w:color w:val="0A0A0A"/>
        </w:rPr>
        <w:t xml:space="preserve"> consecutive quarter of greater than 15% adjusted EBITDAR margins and a full year adjusted net profit of $20 million or $0.33 cents per share. We also ratified a new labor agreement with our pilots, offering highly competitive pay rates, benefits and work rules, allowing Sun Country to attract the pilots we need to support our future growth. Even including the new agreement, we expect our 2022 full year adjusted CASM to be lower than our adjusted CASM in 2019. The company is in a tremendous position, and we are excited to see it outperform in 2022 and beyond.”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r>
              <w:rPr>
                <w:rFonts w:ascii="Arial" w:cs="Arial" w:eastAsia="Arial" w:hAnsi="Arial"/>
                <w:sz w:val="18"/>
                <w:szCs w:val="18"/>
                <w:b w:val="1"/>
                <w:bCs w:val="1"/>
                <w:color w:val="auto"/>
              </w:rPr>
              <w:t>Overview of Fourth Quarter and Full Year</w:t>
            </w:r>
          </w:p>
        </w:tc>
        <w:tc>
          <w:tcPr>
            <w:tcW w:w="600" w:type="dxa"/>
            <w:vAlign w:val="bottom"/>
          </w:tcPr>
          <w:p>
            <w:pPr>
              <w:spacing w:after="0"/>
              <w:rPr>
                <w:sz w:val="20"/>
                <w:szCs w:val="20"/>
                <w:color w:val="auto"/>
              </w:rPr>
            </w:pPr>
          </w:p>
        </w:tc>
        <w:tc>
          <w:tcPr>
            <w:tcW w:w="3600" w:type="dxa"/>
            <w:vAlign w:val="bottom"/>
            <w:gridSpan w:val="3"/>
            <w:vMerge w:val="restart"/>
          </w:tcPr>
          <w:p>
            <w:pPr>
              <w:jc w:val="right"/>
              <w:ind w:right="1191"/>
              <w:spacing w:after="0"/>
              <w:rPr>
                <w:sz w:val="20"/>
                <w:szCs w:val="20"/>
                <w:color w:val="auto"/>
              </w:rPr>
            </w:pPr>
            <w:r>
              <w:rPr>
                <w:rFonts w:ascii="Arial" w:cs="Arial" w:eastAsia="Arial" w:hAnsi="Arial"/>
                <w:sz w:val="18"/>
                <w:szCs w:val="18"/>
                <w:b w:val="1"/>
                <w:bCs w:val="1"/>
                <w:color w:val="0A0A0A"/>
              </w:rPr>
              <w:t>Three Months Ended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0A0A0A"/>
              </w:rPr>
              <w:t>(unaudited) (in millions, except per share amounts)</w:t>
            </w:r>
          </w:p>
        </w:tc>
        <w:tc>
          <w:tcPr>
            <w:tcW w:w="600" w:type="dxa"/>
            <w:vAlign w:val="bottom"/>
          </w:tcPr>
          <w:p>
            <w:pPr>
              <w:spacing w:after="0"/>
              <w:rPr>
                <w:sz w:val="20"/>
                <w:szCs w:val="20"/>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0A0A0A"/>
              </w:rPr>
              <w:t>2021</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0A0A0A"/>
              </w:rPr>
              <w:t>Dec 31,</w:t>
            </w:r>
          </w:p>
        </w:tc>
        <w:tc>
          <w:tcPr>
            <w:tcW w:w="1540" w:type="dxa"/>
            <w:vAlign w:val="bottom"/>
            <w:vMerge w:val="restart"/>
          </w:tcPr>
          <w:p>
            <w:pPr>
              <w:jc w:val="right"/>
              <w:ind w:right="851"/>
              <w:spacing w:after="0"/>
              <w:rPr>
                <w:sz w:val="20"/>
                <w:szCs w:val="20"/>
                <w:color w:val="auto"/>
              </w:rPr>
            </w:pPr>
            <w:r>
              <w:rPr>
                <w:rFonts w:ascii="Arial" w:cs="Arial" w:eastAsia="Arial" w:hAnsi="Arial"/>
                <w:sz w:val="18"/>
                <w:szCs w:val="18"/>
                <w:b w:val="1"/>
                <w:bCs w:val="1"/>
                <w:color w:val="0A0A0A"/>
              </w:rPr>
              <w:t>2020</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6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172.6</w:t>
            </w:r>
          </w:p>
        </w:tc>
        <w:tc>
          <w:tcPr>
            <w:tcW w:w="960" w:type="dxa"/>
            <w:vAlign w:val="bottom"/>
            <w:shd w:val="clear" w:color="auto" w:fill="C6F4F9"/>
          </w:tcPr>
          <w:p>
            <w:pPr>
              <w:ind w:left="600"/>
              <w:spacing w:after="0" w:line="196" w:lineRule="exact"/>
              <w:rPr>
                <w:sz w:val="20"/>
                <w:szCs w:val="20"/>
                <w:color w:val="auto"/>
              </w:rPr>
            </w:pPr>
            <w:r>
              <w:rPr>
                <w:rFonts w:ascii="Arial" w:cs="Arial" w:eastAsia="Arial" w:hAnsi="Arial"/>
                <w:sz w:val="18"/>
                <w:szCs w:val="18"/>
                <w:color w:val="0A0A0A"/>
              </w:rPr>
              <w:t>$</w:t>
            </w:r>
          </w:p>
        </w:tc>
        <w:tc>
          <w:tcPr>
            <w:tcW w:w="1540" w:type="dxa"/>
            <w:vAlign w:val="bottom"/>
            <w:shd w:val="clear" w:color="auto" w:fill="C6F4F9"/>
          </w:tcPr>
          <w:p>
            <w:pPr>
              <w:jc w:val="right"/>
              <w:ind w:right="411"/>
              <w:spacing w:after="0" w:line="196" w:lineRule="exact"/>
              <w:rPr>
                <w:sz w:val="20"/>
                <w:szCs w:val="20"/>
                <w:color w:val="auto"/>
              </w:rPr>
            </w:pPr>
            <w:r>
              <w:rPr>
                <w:rFonts w:ascii="Arial" w:cs="Arial" w:eastAsia="Arial" w:hAnsi="Arial"/>
                <w:sz w:val="18"/>
                <w:szCs w:val="18"/>
                <w:color w:val="0A0A0A"/>
              </w:rPr>
              <w:t>107.8</w:t>
            </w:r>
          </w:p>
        </w:tc>
        <w:tc>
          <w:tcPr>
            <w:tcW w:w="16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60.1</w:t>
            </w: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0A0A0A"/>
              </w:rPr>
              <w:t>Operating income (loss)</w:t>
            </w:r>
          </w:p>
        </w:tc>
        <w:tc>
          <w:tcPr>
            <w:tcW w:w="6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10.9</w:t>
            </w:r>
          </w:p>
        </w:tc>
        <w:tc>
          <w:tcPr>
            <w:tcW w:w="960" w:type="dxa"/>
            <w:vAlign w:val="bottom"/>
          </w:tcPr>
          <w:p>
            <w:pPr>
              <w:spacing w:after="0"/>
              <w:rPr>
                <w:sz w:val="17"/>
                <w:szCs w:val="17"/>
                <w:color w:val="auto"/>
              </w:rPr>
            </w:pPr>
          </w:p>
        </w:tc>
        <w:tc>
          <w:tcPr>
            <w:tcW w:w="1540" w:type="dxa"/>
            <w:vAlign w:val="bottom"/>
          </w:tcPr>
          <w:p>
            <w:pPr>
              <w:jc w:val="right"/>
              <w:ind w:right="351"/>
              <w:spacing w:after="0" w:line="202" w:lineRule="exact"/>
              <w:rPr>
                <w:sz w:val="20"/>
                <w:szCs w:val="20"/>
                <w:color w:val="auto"/>
              </w:rPr>
            </w:pPr>
            <w:r>
              <w:rPr>
                <w:rFonts w:ascii="Arial" w:cs="Arial" w:eastAsia="Arial" w:hAnsi="Arial"/>
                <w:sz w:val="18"/>
                <w:szCs w:val="18"/>
                <w:color w:val="0A0A0A"/>
              </w:rPr>
              <w:t>(4.4)</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54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(loss) before income tax</w:t>
            </w:r>
          </w:p>
        </w:tc>
        <w:tc>
          <w:tcPr>
            <w:tcW w:w="60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0.2</w:t>
            </w:r>
          </w:p>
        </w:tc>
        <w:tc>
          <w:tcPr>
            <w:tcW w:w="960" w:type="dxa"/>
            <w:vAlign w:val="bottom"/>
            <w:shd w:val="clear" w:color="auto" w:fill="C6F4F9"/>
          </w:tcPr>
          <w:p>
            <w:pPr>
              <w:spacing w:after="0"/>
              <w:rPr>
                <w:sz w:val="17"/>
                <w:szCs w:val="17"/>
                <w:color w:val="auto"/>
              </w:rPr>
            </w:pPr>
          </w:p>
        </w:tc>
        <w:tc>
          <w:tcPr>
            <w:tcW w:w="1540" w:type="dxa"/>
            <w:vAlign w:val="bottom"/>
            <w:shd w:val="clear" w:color="auto" w:fill="C6F4F9"/>
          </w:tcPr>
          <w:p>
            <w:pPr>
              <w:jc w:val="right"/>
              <w:ind w:right="351"/>
              <w:spacing w:after="0" w:line="202" w:lineRule="exact"/>
              <w:rPr>
                <w:sz w:val="20"/>
                <w:szCs w:val="20"/>
                <w:color w:val="auto"/>
              </w:rPr>
            </w:pPr>
            <w:r>
              <w:rPr>
                <w:rFonts w:ascii="Arial" w:cs="Arial" w:eastAsia="Arial" w:hAnsi="Arial"/>
                <w:sz w:val="18"/>
                <w:szCs w:val="18"/>
                <w:color w:val="0A0A0A"/>
              </w:rPr>
              <w:t>(10.3)</w:t>
            </w:r>
          </w:p>
        </w:tc>
        <w:tc>
          <w:tcPr>
            <w:tcW w:w="16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0A0A0A"/>
              </w:rPr>
              <w:t>Net income (loss)</w:t>
            </w:r>
          </w:p>
        </w:tc>
        <w:tc>
          <w:tcPr>
            <w:tcW w:w="6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(0.6)</w:t>
            </w:r>
          </w:p>
        </w:tc>
        <w:tc>
          <w:tcPr>
            <w:tcW w:w="960" w:type="dxa"/>
            <w:vAlign w:val="bottom"/>
          </w:tcPr>
          <w:p>
            <w:pPr>
              <w:spacing w:after="0"/>
              <w:rPr>
                <w:sz w:val="17"/>
                <w:szCs w:val="17"/>
                <w:color w:val="auto"/>
              </w:rPr>
            </w:pPr>
          </w:p>
        </w:tc>
        <w:tc>
          <w:tcPr>
            <w:tcW w:w="1540" w:type="dxa"/>
            <w:vAlign w:val="bottom"/>
          </w:tcPr>
          <w:p>
            <w:pPr>
              <w:jc w:val="right"/>
              <w:ind w:right="351"/>
              <w:spacing w:after="0" w:line="202" w:lineRule="exact"/>
              <w:rPr>
                <w:sz w:val="20"/>
                <w:szCs w:val="20"/>
                <w:color w:val="auto"/>
              </w:rPr>
            </w:pPr>
            <w:r>
              <w:rPr>
                <w:rFonts w:ascii="Arial" w:cs="Arial" w:eastAsia="Arial" w:hAnsi="Arial"/>
                <w:sz w:val="18"/>
                <w:szCs w:val="18"/>
                <w:color w:val="0A0A0A"/>
              </w:rPr>
              <w:t>(8.0)</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54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(loss) per share</w:t>
            </w:r>
          </w:p>
        </w:tc>
        <w:tc>
          <w:tcPr>
            <w:tcW w:w="600" w:type="dxa"/>
            <w:vAlign w:val="bottom"/>
            <w:shd w:val="clear" w:color="auto" w:fill="C6F4F9"/>
          </w:tcPr>
          <w:p>
            <w:pPr>
              <w:jc w:val="right"/>
              <w:ind w:right="90"/>
              <w:spacing w:after="0" w:line="202" w:lineRule="exact"/>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0.01)</w:t>
            </w:r>
          </w:p>
        </w:tc>
        <w:tc>
          <w:tcPr>
            <w:tcW w:w="960" w:type="dxa"/>
            <w:vAlign w:val="bottom"/>
            <w:shd w:val="clear" w:color="auto" w:fill="C6F4F9"/>
          </w:tcPr>
          <w:p>
            <w:pPr>
              <w:ind w:left="600"/>
              <w:spacing w:after="0" w:line="202" w:lineRule="exact"/>
              <w:rPr>
                <w:sz w:val="20"/>
                <w:szCs w:val="20"/>
                <w:color w:val="auto"/>
              </w:rPr>
            </w:pPr>
            <w:r>
              <w:rPr>
                <w:rFonts w:ascii="Arial" w:cs="Arial" w:eastAsia="Arial" w:hAnsi="Arial"/>
                <w:sz w:val="18"/>
                <w:szCs w:val="18"/>
                <w:color w:val="0A0A0A"/>
              </w:rPr>
              <w:t>($</w:t>
            </w:r>
          </w:p>
        </w:tc>
        <w:tc>
          <w:tcPr>
            <w:tcW w:w="1540" w:type="dxa"/>
            <w:vAlign w:val="bottom"/>
            <w:shd w:val="clear" w:color="auto" w:fill="C6F4F9"/>
          </w:tcPr>
          <w:p>
            <w:pPr>
              <w:jc w:val="right"/>
              <w:ind w:right="351"/>
              <w:spacing w:after="0" w:line="202" w:lineRule="exact"/>
              <w:rPr>
                <w:sz w:val="20"/>
                <w:szCs w:val="20"/>
                <w:color w:val="auto"/>
              </w:rPr>
            </w:pPr>
            <w:r>
              <w:rPr>
                <w:rFonts w:ascii="Arial" w:cs="Arial" w:eastAsia="Arial" w:hAnsi="Arial"/>
                <w:sz w:val="18"/>
                <w:szCs w:val="18"/>
                <w:color w:val="0A0A0A"/>
              </w:rPr>
              <w:t>0.17)</w:t>
            </w:r>
          </w:p>
        </w:tc>
        <w:tc>
          <w:tcPr>
            <w:tcW w:w="16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0A0A0A"/>
              </w:rPr>
              <w:t>“NM” stands for not meaningful</w:t>
            </w:r>
          </w:p>
        </w:tc>
        <w:tc>
          <w:tcPr>
            <w:tcW w:w="600" w:type="dxa"/>
            <w:vAlign w:val="bottom"/>
          </w:tcPr>
          <w:p>
            <w:pPr>
              <w:spacing w:after="0"/>
              <w:rPr>
                <w:sz w:val="18"/>
                <w:szCs w:val="18"/>
                <w:color w:val="auto"/>
              </w:rPr>
            </w:pPr>
          </w:p>
        </w:tc>
        <w:tc>
          <w:tcPr>
            <w:tcW w:w="3600" w:type="dxa"/>
            <w:vAlign w:val="bottom"/>
            <w:gridSpan w:val="3"/>
            <w:vMerge w:val="restart"/>
          </w:tcPr>
          <w:p>
            <w:pPr>
              <w:jc w:val="center"/>
              <w:ind w:right="611"/>
              <w:spacing w:after="0"/>
              <w:rPr>
                <w:sz w:val="20"/>
                <w:szCs w:val="20"/>
                <w:color w:val="auto"/>
              </w:rPr>
            </w:pPr>
            <w:r>
              <w:rPr>
                <w:rFonts w:ascii="Arial" w:cs="Arial" w:eastAsia="Arial" w:hAnsi="Arial"/>
                <w:sz w:val="18"/>
                <w:szCs w:val="18"/>
                <w:b w:val="1"/>
                <w:bCs w:val="1"/>
                <w:color w:val="0A0A0A"/>
                <w:w w:val="99"/>
              </w:rPr>
              <w:t>Three Months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0A0A0A"/>
              </w:rPr>
              <w:t>(unaudited) (in millions, except per share amounts)</w:t>
            </w:r>
          </w:p>
        </w:tc>
        <w:tc>
          <w:tcPr>
            <w:tcW w:w="600" w:type="dxa"/>
            <w:vAlign w:val="bottom"/>
          </w:tcPr>
          <w:p>
            <w:pPr>
              <w:spacing w:after="0"/>
              <w:rPr>
                <w:sz w:val="20"/>
                <w:szCs w:val="20"/>
                <w:color w:val="auto"/>
              </w:rPr>
            </w:pPr>
          </w:p>
        </w:tc>
        <w:tc>
          <w:tcPr>
            <w:tcW w:w="11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0A0A0A"/>
              </w:rPr>
              <w:t>2021</w:t>
            </w: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0A0A0A"/>
                <w:w w:val="98"/>
              </w:rPr>
              <w:t>Dec 31,</w:t>
            </w:r>
          </w:p>
        </w:tc>
        <w:tc>
          <w:tcPr>
            <w:tcW w:w="1540" w:type="dxa"/>
            <w:vAlign w:val="bottom"/>
            <w:vMerge w:val="restart"/>
          </w:tcPr>
          <w:p>
            <w:pPr>
              <w:jc w:val="right"/>
              <w:ind w:right="851"/>
              <w:spacing w:after="0"/>
              <w:rPr>
                <w:sz w:val="20"/>
                <w:szCs w:val="20"/>
                <w:color w:val="auto"/>
              </w:rPr>
            </w:pPr>
            <w:r>
              <w:rPr>
                <w:rFonts w:ascii="Arial" w:cs="Arial" w:eastAsia="Arial" w:hAnsi="Arial"/>
                <w:sz w:val="18"/>
                <w:szCs w:val="18"/>
                <w:b w:val="1"/>
                <w:bCs w:val="1"/>
                <w:color w:val="0A0A0A"/>
              </w:rPr>
              <w:t>2020</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(loss) </w:t>
            </w:r>
            <w:r>
              <w:rPr>
                <w:rFonts w:ascii="Arial" w:cs="Arial" w:eastAsia="Arial" w:hAnsi="Arial"/>
                <w:sz w:val="27"/>
                <w:szCs w:val="27"/>
                <w:color w:val="0A0A0A"/>
                <w:vertAlign w:val="superscript"/>
              </w:rPr>
              <w:t>(1)</w:t>
            </w:r>
          </w:p>
        </w:tc>
        <w:tc>
          <w:tcPr>
            <w:tcW w:w="6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14.8</w:t>
            </w:r>
          </w:p>
        </w:tc>
        <w:tc>
          <w:tcPr>
            <w:tcW w:w="960" w:type="dxa"/>
            <w:vAlign w:val="bottom"/>
            <w:shd w:val="clear" w:color="auto" w:fill="C6F4F9"/>
          </w:tcPr>
          <w:p>
            <w:pPr>
              <w:ind w:left="60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6F4F9"/>
          </w:tcPr>
          <w:p>
            <w:pPr>
              <w:jc w:val="right"/>
              <w:ind w:right="351"/>
              <w:spacing w:after="0"/>
              <w:rPr>
                <w:sz w:val="20"/>
                <w:szCs w:val="20"/>
                <w:color w:val="auto"/>
              </w:rPr>
            </w:pPr>
            <w:r>
              <w:rPr>
                <w:rFonts w:ascii="Arial" w:cs="Arial" w:eastAsia="Arial" w:hAnsi="Arial"/>
                <w:sz w:val="18"/>
                <w:szCs w:val="18"/>
                <w:color w:val="0A0A0A"/>
              </w:rPr>
              <w:t>3.4)</w:t>
            </w:r>
          </w:p>
        </w:tc>
        <w:tc>
          <w:tcPr>
            <w:tcW w:w="16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A0A0A"/>
              </w:rPr>
              <w:t>8.0</w:t>
            </w:r>
          </w:p>
        </w:tc>
        <w:tc>
          <w:tcPr>
            <w:tcW w:w="960" w:type="dxa"/>
            <w:vAlign w:val="bottom"/>
          </w:tcPr>
          <w:p>
            <w:pPr>
              <w:spacing w:after="0"/>
              <w:rPr>
                <w:sz w:val="21"/>
                <w:szCs w:val="21"/>
                <w:color w:val="auto"/>
              </w:rPr>
            </w:pPr>
          </w:p>
        </w:tc>
        <w:tc>
          <w:tcPr>
            <w:tcW w:w="1540" w:type="dxa"/>
            <w:vAlign w:val="bottom"/>
          </w:tcPr>
          <w:p>
            <w:pPr>
              <w:jc w:val="right"/>
              <w:ind w:right="351"/>
              <w:spacing w:after="0"/>
              <w:rPr>
                <w:sz w:val="20"/>
                <w:szCs w:val="20"/>
                <w:color w:val="auto"/>
              </w:rPr>
            </w:pPr>
            <w:r>
              <w:rPr>
                <w:rFonts w:ascii="Arial" w:cs="Arial" w:eastAsia="Arial" w:hAnsi="Arial"/>
                <w:sz w:val="18"/>
                <w:szCs w:val="18"/>
                <w:color w:val="0A0A0A"/>
              </w:rPr>
              <w:t>(9.2)</w:t>
            </w:r>
          </w:p>
        </w:tc>
        <w:tc>
          <w:tcPr>
            <w:tcW w:w="1600" w:type="dxa"/>
            <w:vAlign w:val="bottom"/>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544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600" w:type="dxa"/>
            <w:vAlign w:val="bottom"/>
            <w:shd w:val="clear" w:color="auto" w:fill="C6F4F9"/>
          </w:tcPr>
          <w:p>
            <w:pPr>
              <w:spacing w:after="0"/>
              <w:rPr>
                <w:sz w:val="21"/>
                <w:szCs w:val="21"/>
                <w:color w:val="auto"/>
              </w:rPr>
            </w:pPr>
          </w:p>
        </w:tc>
        <w:tc>
          <w:tcPr>
            <w:tcW w:w="110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6.2</w:t>
            </w:r>
          </w:p>
        </w:tc>
        <w:tc>
          <w:tcPr>
            <w:tcW w:w="960" w:type="dxa"/>
            <w:vAlign w:val="bottom"/>
            <w:shd w:val="clear" w:color="auto" w:fill="C6F4F9"/>
          </w:tcPr>
          <w:p>
            <w:pPr>
              <w:spacing w:after="0"/>
              <w:rPr>
                <w:sz w:val="21"/>
                <w:szCs w:val="21"/>
                <w:color w:val="auto"/>
              </w:rPr>
            </w:pPr>
          </w:p>
        </w:tc>
        <w:tc>
          <w:tcPr>
            <w:tcW w:w="1540" w:type="dxa"/>
            <w:vAlign w:val="bottom"/>
            <w:shd w:val="clear" w:color="auto" w:fill="C6F4F9"/>
          </w:tcPr>
          <w:p>
            <w:pPr>
              <w:jc w:val="right"/>
              <w:ind w:right="351"/>
              <w:spacing w:after="0"/>
              <w:rPr>
                <w:sz w:val="20"/>
                <w:szCs w:val="20"/>
                <w:color w:val="auto"/>
              </w:rPr>
            </w:pPr>
            <w:r>
              <w:rPr>
                <w:rFonts w:ascii="Arial" w:cs="Arial" w:eastAsia="Arial" w:hAnsi="Arial"/>
                <w:sz w:val="18"/>
                <w:szCs w:val="18"/>
                <w:color w:val="0A0A0A"/>
              </w:rPr>
              <w:t>(7.2)</w:t>
            </w:r>
          </w:p>
        </w:tc>
        <w:tc>
          <w:tcPr>
            <w:tcW w:w="16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3"/>
        </w:trPr>
        <w:tc>
          <w:tcPr>
            <w:tcW w:w="544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600" w:type="dxa"/>
            <w:vAlign w:val="bottom"/>
          </w:tcPr>
          <w:p>
            <w:pPr>
              <w:jc w:val="right"/>
              <w:ind w:right="110"/>
              <w:spacing w:after="0"/>
              <w:rPr>
                <w:sz w:val="20"/>
                <w:szCs w:val="20"/>
                <w:color w:val="auto"/>
              </w:rPr>
            </w:pPr>
            <w:r>
              <w:rPr>
                <w:rFonts w:ascii="Arial" w:cs="Arial" w:eastAsia="Arial" w:hAnsi="Arial"/>
                <w:sz w:val="18"/>
                <w:szCs w:val="18"/>
                <w:color w:val="0A0A0A"/>
              </w:rPr>
              <w:t>$</w:t>
            </w:r>
          </w:p>
        </w:tc>
        <w:tc>
          <w:tcPr>
            <w:tcW w:w="1100" w:type="dxa"/>
            <w:vAlign w:val="bottom"/>
          </w:tcPr>
          <w:p>
            <w:pPr>
              <w:jc w:val="right"/>
              <w:spacing w:after="0"/>
              <w:rPr>
                <w:sz w:val="20"/>
                <w:szCs w:val="20"/>
                <w:color w:val="auto"/>
              </w:rPr>
            </w:pPr>
            <w:r>
              <w:rPr>
                <w:rFonts w:ascii="Arial" w:cs="Arial" w:eastAsia="Arial" w:hAnsi="Arial"/>
                <w:sz w:val="18"/>
                <w:szCs w:val="18"/>
                <w:color w:val="0A0A0A"/>
              </w:rPr>
              <w:t>0.10</w:t>
            </w:r>
          </w:p>
        </w:tc>
        <w:tc>
          <w:tcPr>
            <w:tcW w:w="960" w:type="dxa"/>
            <w:vAlign w:val="bottom"/>
          </w:tcPr>
          <w:p>
            <w:pPr>
              <w:ind w:left="60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351"/>
              <w:spacing w:after="0"/>
              <w:rPr>
                <w:sz w:val="20"/>
                <w:szCs w:val="20"/>
                <w:color w:val="auto"/>
              </w:rPr>
            </w:pPr>
            <w:r>
              <w:rPr>
                <w:rFonts w:ascii="Arial" w:cs="Arial" w:eastAsia="Arial" w:hAnsi="Arial"/>
                <w:sz w:val="18"/>
                <w:szCs w:val="18"/>
                <w:color w:val="0A0A0A"/>
              </w:rPr>
              <w:t>0.15)</w:t>
            </w:r>
          </w:p>
        </w:tc>
        <w:tc>
          <w:tcPr>
            <w:tcW w:w="1600" w:type="dxa"/>
            <w:vAlign w:val="bottom"/>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0" w:type="dxa"/>
            <w:vAlign w:val="bottom"/>
            <w:gridSpan w:val="3"/>
          </w:tcPr>
          <w:p>
            <w:pPr>
              <w:jc w:val="center"/>
              <w:ind w:right="591"/>
              <w:spacing w:after="0"/>
              <w:rPr>
                <w:sz w:val="20"/>
                <w:szCs w:val="20"/>
                <w:color w:val="auto"/>
              </w:rPr>
            </w:pPr>
            <w:r>
              <w:rPr>
                <w:rFonts w:ascii="Arial" w:cs="Arial" w:eastAsia="Arial" w:hAnsi="Arial"/>
                <w:sz w:val="18"/>
                <w:szCs w:val="18"/>
                <w:b w:val="1"/>
                <w:bCs w:val="1"/>
                <w:color w:val="0A0A0A"/>
                <w:w w:val="99"/>
              </w:rPr>
              <w:t>Twelve Months Ended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0A0A0A"/>
              </w:rPr>
              <w:t>(unaudited) (in millions, except per share amounts)</w:t>
            </w:r>
          </w:p>
        </w:tc>
        <w:tc>
          <w:tcPr>
            <w:tcW w:w="600" w:type="dxa"/>
            <w:vAlign w:val="bottom"/>
          </w:tcPr>
          <w:p>
            <w:pPr>
              <w:spacing w:after="0"/>
              <w:rPr>
                <w:sz w:val="20"/>
                <w:szCs w:val="20"/>
                <w:color w:val="auto"/>
              </w:rPr>
            </w:pPr>
          </w:p>
        </w:tc>
        <w:tc>
          <w:tcPr>
            <w:tcW w:w="11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0A0A0A"/>
              </w:rPr>
              <w:t>2021</w:t>
            </w: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0A0A0A"/>
                <w:w w:val="98"/>
              </w:rPr>
              <w:t>Dec 31,</w:t>
            </w:r>
          </w:p>
        </w:tc>
        <w:tc>
          <w:tcPr>
            <w:tcW w:w="1540" w:type="dxa"/>
            <w:vAlign w:val="bottom"/>
            <w:vMerge w:val="restart"/>
          </w:tcPr>
          <w:p>
            <w:pPr>
              <w:jc w:val="right"/>
              <w:ind w:right="851"/>
              <w:spacing w:after="0"/>
              <w:rPr>
                <w:sz w:val="20"/>
                <w:szCs w:val="20"/>
                <w:color w:val="auto"/>
              </w:rPr>
            </w:pPr>
            <w:r>
              <w:rPr>
                <w:rFonts w:ascii="Arial" w:cs="Arial" w:eastAsia="Arial" w:hAnsi="Arial"/>
                <w:sz w:val="18"/>
                <w:szCs w:val="18"/>
                <w:b w:val="1"/>
                <w:bCs w:val="1"/>
                <w:color w:val="0A0A0A"/>
              </w:rPr>
              <w:t>2020</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600" w:type="dxa"/>
            <w:vAlign w:val="bottom"/>
            <w:shd w:val="clear" w:color="auto" w:fill="C6F4F9"/>
          </w:tcPr>
          <w:p>
            <w:pPr>
              <w:jc w:val="right"/>
              <w:ind w:right="110"/>
              <w:spacing w:after="0" w:line="196" w:lineRule="exact"/>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623.0</w:t>
            </w:r>
          </w:p>
        </w:tc>
        <w:tc>
          <w:tcPr>
            <w:tcW w:w="960" w:type="dxa"/>
            <w:vAlign w:val="bottom"/>
            <w:shd w:val="clear" w:color="auto" w:fill="C6F4F9"/>
          </w:tcPr>
          <w:p>
            <w:pPr>
              <w:ind w:left="600"/>
              <w:spacing w:after="0" w:line="196" w:lineRule="exact"/>
              <w:rPr>
                <w:sz w:val="20"/>
                <w:szCs w:val="20"/>
                <w:color w:val="auto"/>
              </w:rPr>
            </w:pPr>
            <w:r>
              <w:rPr>
                <w:rFonts w:ascii="Arial" w:cs="Arial" w:eastAsia="Arial" w:hAnsi="Arial"/>
                <w:sz w:val="18"/>
                <w:szCs w:val="18"/>
                <w:color w:val="0A0A0A"/>
              </w:rPr>
              <w:t>$</w:t>
            </w:r>
          </w:p>
        </w:tc>
        <w:tc>
          <w:tcPr>
            <w:tcW w:w="1540" w:type="dxa"/>
            <w:vAlign w:val="bottom"/>
            <w:shd w:val="clear" w:color="auto" w:fill="C6F4F9"/>
          </w:tcPr>
          <w:p>
            <w:pPr>
              <w:jc w:val="right"/>
              <w:ind w:right="411"/>
              <w:spacing w:after="0" w:line="196" w:lineRule="exact"/>
              <w:rPr>
                <w:sz w:val="20"/>
                <w:szCs w:val="20"/>
                <w:color w:val="auto"/>
              </w:rPr>
            </w:pPr>
            <w:r>
              <w:rPr>
                <w:rFonts w:ascii="Arial" w:cs="Arial" w:eastAsia="Arial" w:hAnsi="Arial"/>
                <w:sz w:val="18"/>
                <w:szCs w:val="18"/>
                <w:color w:val="0A0A0A"/>
              </w:rPr>
              <w:t>401.5</w:t>
            </w:r>
          </w:p>
        </w:tc>
        <w:tc>
          <w:tcPr>
            <w:tcW w:w="16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55.2</w:t>
            </w: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0A0A0A"/>
              </w:rPr>
              <w:t>Operating income</w:t>
            </w:r>
          </w:p>
        </w:tc>
        <w:tc>
          <w:tcPr>
            <w:tcW w:w="6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107.0</w:t>
            </w:r>
          </w:p>
        </w:tc>
        <w:tc>
          <w:tcPr>
            <w:tcW w:w="960" w:type="dxa"/>
            <w:vAlign w:val="bottom"/>
          </w:tcPr>
          <w:p>
            <w:pPr>
              <w:spacing w:after="0"/>
              <w:rPr>
                <w:sz w:val="17"/>
                <w:szCs w:val="17"/>
                <w:color w:val="auto"/>
              </w:rPr>
            </w:pPr>
          </w:p>
        </w:tc>
        <w:tc>
          <w:tcPr>
            <w:tcW w:w="1540" w:type="dxa"/>
            <w:vAlign w:val="bottom"/>
          </w:tcPr>
          <w:p>
            <w:pPr>
              <w:jc w:val="right"/>
              <w:ind w:right="411"/>
              <w:spacing w:after="0" w:line="202" w:lineRule="exact"/>
              <w:rPr>
                <w:sz w:val="20"/>
                <w:szCs w:val="20"/>
                <w:color w:val="auto"/>
              </w:rPr>
            </w:pPr>
            <w:r>
              <w:rPr>
                <w:rFonts w:ascii="Arial" w:cs="Arial" w:eastAsia="Arial" w:hAnsi="Arial"/>
                <w:sz w:val="18"/>
                <w:szCs w:val="18"/>
                <w:color w:val="0A0A0A"/>
              </w:rPr>
              <w:t>17.4</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514.9</w:t>
            </w:r>
          </w:p>
        </w:tc>
        <w:tc>
          <w:tcPr>
            <w:tcW w:w="0" w:type="dxa"/>
            <w:vAlign w:val="bottom"/>
          </w:tcPr>
          <w:p>
            <w:pPr>
              <w:spacing w:after="0"/>
              <w:rPr>
                <w:sz w:val="1"/>
                <w:szCs w:val="1"/>
                <w:color w:val="auto"/>
              </w:rPr>
            </w:pPr>
          </w:p>
        </w:tc>
      </w:tr>
      <w:tr>
        <w:trPr>
          <w:trHeight w:val="203"/>
        </w:trPr>
        <w:tc>
          <w:tcPr>
            <w:tcW w:w="54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(loss) before income tax</w:t>
            </w:r>
          </w:p>
        </w:tc>
        <w:tc>
          <w:tcPr>
            <w:tcW w:w="60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95.4</w:t>
            </w:r>
          </w:p>
        </w:tc>
        <w:tc>
          <w:tcPr>
            <w:tcW w:w="960" w:type="dxa"/>
            <w:vAlign w:val="bottom"/>
            <w:shd w:val="clear" w:color="auto" w:fill="C6F4F9"/>
          </w:tcPr>
          <w:p>
            <w:pPr>
              <w:spacing w:after="0"/>
              <w:rPr>
                <w:sz w:val="17"/>
                <w:szCs w:val="17"/>
                <w:color w:val="auto"/>
              </w:rPr>
            </w:pPr>
          </w:p>
        </w:tc>
        <w:tc>
          <w:tcPr>
            <w:tcW w:w="1540" w:type="dxa"/>
            <w:vAlign w:val="bottom"/>
            <w:shd w:val="clear" w:color="auto" w:fill="C6F4F9"/>
          </w:tcPr>
          <w:p>
            <w:pPr>
              <w:jc w:val="right"/>
              <w:ind w:right="351"/>
              <w:spacing w:after="0" w:line="202" w:lineRule="exact"/>
              <w:rPr>
                <w:sz w:val="20"/>
                <w:szCs w:val="20"/>
                <w:color w:val="auto"/>
              </w:rPr>
            </w:pPr>
            <w:r>
              <w:rPr>
                <w:rFonts w:ascii="Arial" w:cs="Arial" w:eastAsia="Arial" w:hAnsi="Arial"/>
                <w:sz w:val="18"/>
                <w:szCs w:val="18"/>
                <w:color w:val="0A0A0A"/>
              </w:rPr>
              <w:t>(4.7)</w:t>
            </w:r>
          </w:p>
        </w:tc>
        <w:tc>
          <w:tcPr>
            <w:tcW w:w="16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0A0A0A"/>
              </w:rPr>
              <w:t>Net income (loss)</w:t>
            </w:r>
          </w:p>
        </w:tc>
        <w:tc>
          <w:tcPr>
            <w:tcW w:w="6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77.5</w:t>
            </w:r>
          </w:p>
        </w:tc>
        <w:tc>
          <w:tcPr>
            <w:tcW w:w="960" w:type="dxa"/>
            <w:vAlign w:val="bottom"/>
          </w:tcPr>
          <w:p>
            <w:pPr>
              <w:spacing w:after="0"/>
              <w:rPr>
                <w:sz w:val="17"/>
                <w:szCs w:val="17"/>
                <w:color w:val="auto"/>
              </w:rPr>
            </w:pPr>
          </w:p>
        </w:tc>
        <w:tc>
          <w:tcPr>
            <w:tcW w:w="1540" w:type="dxa"/>
            <w:vAlign w:val="bottom"/>
          </w:tcPr>
          <w:p>
            <w:pPr>
              <w:jc w:val="right"/>
              <w:ind w:right="351"/>
              <w:spacing w:after="0" w:line="202" w:lineRule="exact"/>
              <w:rPr>
                <w:sz w:val="20"/>
                <w:szCs w:val="20"/>
                <w:color w:val="auto"/>
              </w:rPr>
            </w:pPr>
            <w:r>
              <w:rPr>
                <w:rFonts w:ascii="Arial" w:cs="Arial" w:eastAsia="Arial" w:hAnsi="Arial"/>
                <w:sz w:val="18"/>
                <w:szCs w:val="18"/>
                <w:color w:val="0A0A0A"/>
              </w:rPr>
              <w:t>(3.9)</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54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(loss) per share</w:t>
            </w:r>
          </w:p>
        </w:tc>
        <w:tc>
          <w:tcPr>
            <w:tcW w:w="60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1.31</w:t>
            </w:r>
          </w:p>
        </w:tc>
        <w:tc>
          <w:tcPr>
            <w:tcW w:w="960" w:type="dxa"/>
            <w:vAlign w:val="bottom"/>
            <w:shd w:val="clear" w:color="auto" w:fill="C6F4F9"/>
          </w:tcPr>
          <w:p>
            <w:pPr>
              <w:ind w:left="600"/>
              <w:spacing w:after="0" w:line="202" w:lineRule="exact"/>
              <w:rPr>
                <w:sz w:val="20"/>
                <w:szCs w:val="20"/>
                <w:color w:val="auto"/>
              </w:rPr>
            </w:pPr>
            <w:r>
              <w:rPr>
                <w:rFonts w:ascii="Arial" w:cs="Arial" w:eastAsia="Arial" w:hAnsi="Arial"/>
                <w:sz w:val="18"/>
                <w:szCs w:val="18"/>
                <w:color w:val="0A0A0A"/>
              </w:rPr>
              <w:t>($</w:t>
            </w:r>
          </w:p>
        </w:tc>
        <w:tc>
          <w:tcPr>
            <w:tcW w:w="1540" w:type="dxa"/>
            <w:vAlign w:val="bottom"/>
            <w:shd w:val="clear" w:color="auto" w:fill="C6F4F9"/>
          </w:tcPr>
          <w:p>
            <w:pPr>
              <w:jc w:val="right"/>
              <w:ind w:right="351"/>
              <w:spacing w:after="0" w:line="202" w:lineRule="exact"/>
              <w:rPr>
                <w:sz w:val="20"/>
                <w:szCs w:val="20"/>
                <w:color w:val="auto"/>
              </w:rPr>
            </w:pPr>
            <w:r>
              <w:rPr>
                <w:rFonts w:ascii="Arial" w:cs="Arial" w:eastAsia="Arial" w:hAnsi="Arial"/>
                <w:sz w:val="18"/>
                <w:szCs w:val="18"/>
                <w:color w:val="0A0A0A"/>
              </w:rPr>
              <w:t>0.08)</w:t>
            </w:r>
          </w:p>
        </w:tc>
        <w:tc>
          <w:tcPr>
            <w:tcW w:w="16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2"/>
        </w:trPr>
        <w:tc>
          <w:tcPr>
            <w:tcW w:w="5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0" w:type="dxa"/>
            <w:vAlign w:val="bottom"/>
            <w:gridSpan w:val="3"/>
          </w:tcPr>
          <w:p>
            <w:pPr>
              <w:jc w:val="center"/>
              <w:ind w:right="591"/>
              <w:spacing w:after="0"/>
              <w:rPr>
                <w:sz w:val="20"/>
                <w:szCs w:val="20"/>
                <w:color w:val="auto"/>
              </w:rPr>
            </w:pPr>
            <w:r>
              <w:rPr>
                <w:rFonts w:ascii="Arial" w:cs="Arial" w:eastAsia="Arial" w:hAnsi="Arial"/>
                <w:sz w:val="18"/>
                <w:szCs w:val="18"/>
                <w:b w:val="1"/>
                <w:bCs w:val="1"/>
                <w:color w:val="0A0A0A"/>
                <w:w w:val="99"/>
              </w:rPr>
              <w:t>Twelve Months Ended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0A0A0A"/>
              </w:rPr>
              <w:t>(unaudited) (in millions, except per share amounts)</w:t>
            </w:r>
          </w:p>
        </w:tc>
        <w:tc>
          <w:tcPr>
            <w:tcW w:w="600" w:type="dxa"/>
            <w:vAlign w:val="bottom"/>
          </w:tcPr>
          <w:p>
            <w:pPr>
              <w:spacing w:after="0"/>
              <w:rPr>
                <w:sz w:val="20"/>
                <w:szCs w:val="20"/>
                <w:color w:val="auto"/>
              </w:rPr>
            </w:pPr>
          </w:p>
        </w:tc>
        <w:tc>
          <w:tcPr>
            <w:tcW w:w="11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0A0A0A"/>
              </w:rPr>
              <w:t>2021</w:t>
            </w: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0A0A0A"/>
                <w:w w:val="98"/>
              </w:rPr>
              <w:t>Dec 31,</w:t>
            </w:r>
          </w:p>
        </w:tc>
        <w:tc>
          <w:tcPr>
            <w:tcW w:w="1540" w:type="dxa"/>
            <w:vAlign w:val="bottom"/>
            <w:vMerge w:val="restart"/>
          </w:tcPr>
          <w:p>
            <w:pPr>
              <w:jc w:val="right"/>
              <w:ind w:right="851"/>
              <w:spacing w:after="0"/>
              <w:rPr>
                <w:sz w:val="20"/>
                <w:szCs w:val="20"/>
                <w:color w:val="auto"/>
              </w:rPr>
            </w:pPr>
            <w:r>
              <w:rPr>
                <w:rFonts w:ascii="Arial" w:cs="Arial" w:eastAsia="Arial" w:hAnsi="Arial"/>
                <w:sz w:val="18"/>
                <w:szCs w:val="18"/>
                <w:b w:val="1"/>
                <w:bCs w:val="1"/>
                <w:color w:val="0A0A0A"/>
              </w:rPr>
              <w:t>2020</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(loss) </w:t>
            </w:r>
            <w:r>
              <w:rPr>
                <w:rFonts w:ascii="Arial" w:cs="Arial" w:eastAsia="Arial" w:hAnsi="Arial"/>
                <w:sz w:val="27"/>
                <w:szCs w:val="27"/>
                <w:color w:val="0A0A0A"/>
                <w:vertAlign w:val="superscript"/>
              </w:rPr>
              <w:t>(1)</w:t>
            </w:r>
          </w:p>
        </w:tc>
        <w:tc>
          <w:tcPr>
            <w:tcW w:w="6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0A0A0A"/>
              </w:rPr>
              <w:t>$</w:t>
            </w:r>
          </w:p>
        </w:tc>
        <w:tc>
          <w:tcPr>
            <w:tcW w:w="110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50.5</w:t>
            </w:r>
          </w:p>
        </w:tc>
        <w:tc>
          <w:tcPr>
            <w:tcW w:w="960" w:type="dxa"/>
            <w:vAlign w:val="bottom"/>
            <w:shd w:val="clear" w:color="auto" w:fill="C6F4F9"/>
          </w:tcPr>
          <w:p>
            <w:pPr>
              <w:ind w:left="60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6F4F9"/>
          </w:tcPr>
          <w:p>
            <w:pPr>
              <w:jc w:val="right"/>
              <w:ind w:right="351"/>
              <w:spacing w:after="0"/>
              <w:rPr>
                <w:sz w:val="20"/>
                <w:szCs w:val="20"/>
                <w:color w:val="auto"/>
              </w:rPr>
            </w:pPr>
            <w:r>
              <w:rPr>
                <w:rFonts w:ascii="Arial" w:cs="Arial" w:eastAsia="Arial" w:hAnsi="Arial"/>
                <w:sz w:val="18"/>
                <w:szCs w:val="18"/>
                <w:color w:val="0A0A0A"/>
              </w:rPr>
              <w:t>40.2)</w:t>
            </w:r>
          </w:p>
        </w:tc>
        <w:tc>
          <w:tcPr>
            <w:tcW w:w="16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A0A0A"/>
              </w:rPr>
              <w:t>25.4</w:t>
            </w:r>
          </w:p>
        </w:tc>
        <w:tc>
          <w:tcPr>
            <w:tcW w:w="960" w:type="dxa"/>
            <w:vAlign w:val="bottom"/>
          </w:tcPr>
          <w:p>
            <w:pPr>
              <w:spacing w:after="0"/>
              <w:rPr>
                <w:sz w:val="21"/>
                <w:szCs w:val="21"/>
                <w:color w:val="auto"/>
              </w:rPr>
            </w:pPr>
          </w:p>
        </w:tc>
        <w:tc>
          <w:tcPr>
            <w:tcW w:w="1540" w:type="dxa"/>
            <w:vAlign w:val="bottom"/>
          </w:tcPr>
          <w:p>
            <w:pPr>
              <w:jc w:val="right"/>
              <w:ind w:right="351"/>
              <w:spacing w:after="0"/>
              <w:rPr>
                <w:sz w:val="20"/>
                <w:szCs w:val="20"/>
                <w:color w:val="auto"/>
              </w:rPr>
            </w:pPr>
            <w:r>
              <w:rPr>
                <w:rFonts w:ascii="Arial" w:cs="Arial" w:eastAsia="Arial" w:hAnsi="Arial"/>
                <w:sz w:val="18"/>
                <w:szCs w:val="18"/>
                <w:color w:val="0A0A0A"/>
              </w:rPr>
              <w:t>(61.8)</w:t>
            </w:r>
          </w:p>
        </w:tc>
        <w:tc>
          <w:tcPr>
            <w:tcW w:w="1600" w:type="dxa"/>
            <w:vAlign w:val="bottom"/>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544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600" w:type="dxa"/>
            <w:vAlign w:val="bottom"/>
            <w:shd w:val="clear" w:color="auto" w:fill="C6F4F9"/>
          </w:tcPr>
          <w:p>
            <w:pPr>
              <w:spacing w:after="0"/>
              <w:rPr>
                <w:sz w:val="21"/>
                <w:szCs w:val="21"/>
                <w:color w:val="auto"/>
              </w:rPr>
            </w:pPr>
          </w:p>
        </w:tc>
        <w:tc>
          <w:tcPr>
            <w:tcW w:w="110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19.8</w:t>
            </w:r>
          </w:p>
        </w:tc>
        <w:tc>
          <w:tcPr>
            <w:tcW w:w="960" w:type="dxa"/>
            <w:vAlign w:val="bottom"/>
            <w:shd w:val="clear" w:color="auto" w:fill="C6F4F9"/>
          </w:tcPr>
          <w:p>
            <w:pPr>
              <w:spacing w:after="0"/>
              <w:rPr>
                <w:sz w:val="21"/>
                <w:szCs w:val="21"/>
                <w:color w:val="auto"/>
              </w:rPr>
            </w:pPr>
          </w:p>
        </w:tc>
        <w:tc>
          <w:tcPr>
            <w:tcW w:w="1540" w:type="dxa"/>
            <w:vAlign w:val="bottom"/>
            <w:shd w:val="clear" w:color="auto" w:fill="C6F4F9"/>
          </w:tcPr>
          <w:p>
            <w:pPr>
              <w:jc w:val="right"/>
              <w:ind w:right="351"/>
              <w:spacing w:after="0"/>
              <w:rPr>
                <w:sz w:val="20"/>
                <w:szCs w:val="20"/>
                <w:color w:val="auto"/>
              </w:rPr>
            </w:pPr>
            <w:r>
              <w:rPr>
                <w:rFonts w:ascii="Arial" w:cs="Arial" w:eastAsia="Arial" w:hAnsi="Arial"/>
                <w:sz w:val="18"/>
                <w:szCs w:val="18"/>
                <w:color w:val="0A0A0A"/>
              </w:rPr>
              <w:t>(47.9)</w:t>
            </w:r>
          </w:p>
        </w:tc>
        <w:tc>
          <w:tcPr>
            <w:tcW w:w="16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3"/>
        </w:trPr>
        <w:tc>
          <w:tcPr>
            <w:tcW w:w="544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600" w:type="dxa"/>
            <w:vAlign w:val="bottom"/>
          </w:tcPr>
          <w:p>
            <w:pPr>
              <w:jc w:val="right"/>
              <w:ind w:right="110"/>
              <w:spacing w:after="0"/>
              <w:rPr>
                <w:sz w:val="20"/>
                <w:szCs w:val="20"/>
                <w:color w:val="auto"/>
              </w:rPr>
            </w:pPr>
            <w:r>
              <w:rPr>
                <w:rFonts w:ascii="Arial" w:cs="Arial" w:eastAsia="Arial" w:hAnsi="Arial"/>
                <w:sz w:val="18"/>
                <w:szCs w:val="18"/>
                <w:color w:val="0A0A0A"/>
              </w:rPr>
              <w:t>$</w:t>
            </w:r>
          </w:p>
        </w:tc>
        <w:tc>
          <w:tcPr>
            <w:tcW w:w="1100" w:type="dxa"/>
            <w:vAlign w:val="bottom"/>
          </w:tcPr>
          <w:p>
            <w:pPr>
              <w:jc w:val="right"/>
              <w:spacing w:after="0"/>
              <w:rPr>
                <w:sz w:val="20"/>
                <w:szCs w:val="20"/>
                <w:color w:val="auto"/>
              </w:rPr>
            </w:pPr>
            <w:r>
              <w:rPr>
                <w:rFonts w:ascii="Arial" w:cs="Arial" w:eastAsia="Arial" w:hAnsi="Arial"/>
                <w:sz w:val="18"/>
                <w:szCs w:val="18"/>
                <w:color w:val="0A0A0A"/>
              </w:rPr>
              <w:t>0.33</w:t>
            </w:r>
          </w:p>
        </w:tc>
        <w:tc>
          <w:tcPr>
            <w:tcW w:w="960" w:type="dxa"/>
            <w:vAlign w:val="bottom"/>
          </w:tcPr>
          <w:p>
            <w:pPr>
              <w:ind w:left="60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351"/>
              <w:spacing w:after="0"/>
              <w:rPr>
                <w:sz w:val="20"/>
                <w:szCs w:val="20"/>
                <w:color w:val="auto"/>
              </w:rPr>
            </w:pPr>
            <w:r>
              <w:rPr>
                <w:rFonts w:ascii="Arial" w:cs="Arial" w:eastAsia="Arial" w:hAnsi="Arial"/>
                <w:sz w:val="18"/>
                <w:szCs w:val="18"/>
                <w:color w:val="0A0A0A"/>
              </w:rPr>
              <w:t>1.02)</w:t>
            </w:r>
          </w:p>
        </w:tc>
        <w:tc>
          <w:tcPr>
            <w:tcW w:w="1600" w:type="dxa"/>
            <w:vAlign w:val="bottom"/>
          </w:tcPr>
          <w:p>
            <w:pPr>
              <w:jc w:val="right"/>
              <w:ind w:right="1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0"/>
        </w:trPr>
        <w:tc>
          <w:tcPr>
            <w:tcW w:w="544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Page 1</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ind w:right="60"/>
        <w:spacing w:after="0" w:line="206" w:lineRule="auto"/>
        <w:rPr>
          <w:sz w:val="20"/>
          <w:szCs w:val="20"/>
          <w:color w:val="auto"/>
        </w:rPr>
      </w:pPr>
      <w:r>
        <w:rPr>
          <w:rFonts w:ascii="Arial" w:cs="Arial" w:eastAsia="Arial" w:hAnsi="Arial"/>
          <w:sz w:val="17"/>
          <w:szCs w:val="17"/>
          <w:color w:val="0A0A0A"/>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For the quarter ended December 31, 2021, Sun Country reported a net loss of $0.6 million and income before income tax of $0.2 million, on $173 million of revenue. Adjusted income before income tax for the quarter was $8 million</w:t>
      </w:r>
      <w:r>
        <w:rPr>
          <w:rFonts w:ascii="Arial" w:cs="Arial" w:eastAsia="Arial" w:hAnsi="Arial"/>
          <w:sz w:val="28"/>
          <w:szCs w:val="28"/>
          <w:color w:val="0A0A0A"/>
          <w:vertAlign w:val="superscript"/>
        </w:rPr>
        <w:t>(1)</w:t>
      </w:r>
      <w:r>
        <w:rPr>
          <w:rFonts w:ascii="Arial" w:cs="Arial" w:eastAsia="Arial" w:hAnsi="Arial"/>
          <w:sz w:val="17"/>
          <w:szCs w:val="17"/>
          <w:color w:val="0A0A0A"/>
        </w:rPr>
        <w:t>. GAAP operating income during the quarter was</w:t>
      </w:r>
    </w:p>
    <w:p>
      <w:pPr>
        <w:spacing w:after="0" w:line="1" w:lineRule="exact"/>
        <w:rPr>
          <w:sz w:val="20"/>
          <w:szCs w:val="20"/>
          <w:color w:val="auto"/>
        </w:rPr>
      </w:pPr>
    </w:p>
    <w:p>
      <w:pPr>
        <w:ind w:right="440"/>
        <w:spacing w:after="0" w:line="225" w:lineRule="auto"/>
        <w:rPr>
          <w:sz w:val="20"/>
          <w:szCs w:val="20"/>
          <w:color w:val="auto"/>
        </w:rPr>
      </w:pPr>
      <w:r>
        <w:rPr>
          <w:rFonts w:ascii="Arial" w:cs="Arial" w:eastAsia="Arial" w:hAnsi="Arial"/>
          <w:sz w:val="18"/>
          <w:szCs w:val="18"/>
          <w:color w:val="0A0A0A"/>
        </w:rPr>
        <w:t>$11 million, producing an operating margin of 6%, while adjusted operating income was $15 million</w:t>
      </w:r>
      <w:r>
        <w:rPr>
          <w:rFonts w:ascii="Arial" w:cs="Arial" w:eastAsia="Arial" w:hAnsi="Arial"/>
          <w:sz w:val="29"/>
          <w:szCs w:val="29"/>
          <w:color w:val="0A0A0A"/>
          <w:vertAlign w:val="superscript"/>
        </w:rPr>
        <w:t>(1)</w:t>
      </w:r>
      <w:r>
        <w:rPr>
          <w:rFonts w:ascii="Arial" w:cs="Arial" w:eastAsia="Arial" w:hAnsi="Arial"/>
          <w:sz w:val="18"/>
          <w:szCs w:val="18"/>
          <w:color w:val="0A0A0A"/>
        </w:rPr>
        <w:t>, resulting in an adjusted operating income margin of 9%</w:t>
      </w:r>
      <w:r>
        <w:rPr>
          <w:rFonts w:ascii="Arial" w:cs="Arial" w:eastAsia="Arial" w:hAnsi="Arial"/>
          <w:sz w:val="29"/>
          <w:szCs w:val="29"/>
          <w:color w:val="0A0A0A"/>
          <w:vertAlign w:val="superscript"/>
        </w:rPr>
        <w:t>(1)</w:t>
      </w:r>
      <w:r>
        <w:rPr>
          <w:rFonts w:ascii="Arial" w:cs="Arial" w:eastAsia="Arial" w:hAnsi="Arial"/>
          <w:sz w:val="18"/>
          <w:szCs w:val="18"/>
          <w:color w:val="0A0A0A"/>
        </w:rPr>
        <w:t>.</w:t>
      </w:r>
    </w:p>
    <w:p>
      <w:pPr>
        <w:spacing w:after="0" w:line="6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0A0A0A"/>
        </w:rPr>
        <w:t>“We are very pleased to have produced a 9% adjusted operating margin and adjusted earnings of $0.10 per diluted share in a challenging fourth quarter,” said Dave Davis, President and Chief Financial Officer of Sun Country. “Similar to other airlines, our operations were challenged by harsh weather conditions and staffing outages driven by the Omicron variant. In addition, we faced a technology issue that impacted us during the peak Christmas holiday travel period. Demand was modestly softer than expected in December, which we believe to have been due to the Omicron variant. Beginning in mid-January, we have seen a very strong rebound in bookings. Despite the challenges in the fourth quarter, we exceeded our earlier revenue and earnings expectations, and fourth quarter total revenue per available seat mile (total</w:t>
      </w:r>
    </w:p>
    <w:p>
      <w:pPr>
        <w:spacing w:after="0" w:line="3" w:lineRule="exact"/>
        <w:rPr>
          <w:sz w:val="20"/>
          <w:szCs w:val="20"/>
          <w:color w:val="auto"/>
        </w:rPr>
      </w:pPr>
    </w:p>
    <w:p>
      <w:pPr>
        <w:ind w:right="3280"/>
        <w:spacing w:after="0" w:line="371" w:lineRule="auto"/>
        <w:rPr>
          <w:sz w:val="20"/>
          <w:szCs w:val="20"/>
          <w:color w:val="auto"/>
        </w:rPr>
      </w:pPr>
      <w:r>
        <w:rPr>
          <w:rFonts w:ascii="Arial" w:cs="Arial" w:eastAsia="Arial" w:hAnsi="Arial"/>
          <w:sz w:val="18"/>
          <w:szCs w:val="18"/>
          <w:color w:val="0A0A0A"/>
        </w:rPr>
        <w:t>system TRASM</w:t>
      </w:r>
      <w:r>
        <w:rPr>
          <w:rFonts w:ascii="Arial" w:cs="Arial" w:eastAsia="Arial" w:hAnsi="Arial"/>
          <w:sz w:val="29"/>
          <w:szCs w:val="29"/>
          <w:color w:val="0A0A0A"/>
          <w:vertAlign w:val="superscript"/>
        </w:rPr>
        <w:t>(2)</w:t>
      </w:r>
      <w:r>
        <w:rPr>
          <w:rFonts w:ascii="Arial" w:cs="Arial" w:eastAsia="Arial" w:hAnsi="Arial"/>
          <w:sz w:val="18"/>
          <w:szCs w:val="18"/>
          <w:color w:val="0A0A0A"/>
        </w:rPr>
        <w:t xml:space="preserve">), which excludes cargo revenue, exceeded fourth quarter 2019 TRASM by 3.4%.” </w:t>
      </w:r>
      <w:r>
        <w:rPr>
          <w:rFonts w:ascii="Arial" w:cs="Arial" w:eastAsia="Arial" w:hAnsi="Arial"/>
          <w:sz w:val="18"/>
          <w:szCs w:val="18"/>
          <w:b w:val="1"/>
          <w:bCs w:val="1"/>
          <w:color w:val="0A0A0A"/>
        </w:rPr>
        <w:t>Notable Highlights</w:t>
      </w:r>
    </w:p>
    <w:p>
      <w:pPr>
        <w:spacing w:after="0" w:line="15" w:lineRule="exact"/>
        <w:rPr>
          <w:sz w:val="20"/>
          <w:szCs w:val="20"/>
          <w:color w:val="auto"/>
        </w:rPr>
      </w:pPr>
    </w:p>
    <w:p>
      <w:pPr>
        <w:ind w:left="660" w:right="24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Ratified a new four-year agreement with our pilots that became effective in January 2022, which will serve as a key enabler of Sun Country’s growth plans</w:t>
      </w:r>
    </w:p>
    <w:p>
      <w:pPr>
        <w:spacing w:after="0" w:line="1" w:lineRule="exact"/>
        <w:rPr>
          <w:rFonts w:ascii="Arial" w:cs="Arial" w:eastAsia="Arial" w:hAnsi="Arial"/>
          <w:sz w:val="18"/>
          <w:szCs w:val="18"/>
          <w:color w:val="0A0A0A"/>
        </w:rPr>
      </w:pPr>
    </w:p>
    <w:p>
      <w:pPr>
        <w:ind w:left="660" w:right="46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Announced a new five-year agreement with Caesars Entertainment to provide them with two aircraft worth of flying beginning in March 2022</w:t>
      </w:r>
    </w:p>
    <w:p>
      <w:pPr>
        <w:spacing w:after="0" w:line="1" w:lineRule="exact"/>
        <w:rPr>
          <w:rFonts w:ascii="Arial" w:cs="Arial" w:eastAsia="Arial" w:hAnsi="Arial"/>
          <w:sz w:val="18"/>
          <w:szCs w:val="18"/>
          <w:color w:val="0A0A0A"/>
        </w:rPr>
      </w:pPr>
    </w:p>
    <w:p>
      <w:pPr>
        <w:jc w:val="both"/>
        <w:ind w:left="660" w:right="8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In January 2022, we entered into letters of intent (LOI) to add five 737-800 aircraft to the Sun Country fleet in 2022. In addition to the two aircraft that were acquired in 2021 with deliveries scheduled in 2022, seven of the eight planned adds for this year have already been identified</w:t>
      </w:r>
    </w:p>
    <w:p>
      <w:pPr>
        <w:spacing w:after="0" w:line="2" w:lineRule="exact"/>
        <w:rPr>
          <w:rFonts w:ascii="Arial" w:cs="Arial" w:eastAsia="Arial" w:hAnsi="Arial"/>
          <w:sz w:val="18"/>
          <w:szCs w:val="18"/>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Welcomed Marion Blakey to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0A0A0A"/>
        </w:rPr>
        <w:t>The Company continues to grow sensibly through the recovery. Fourth quarter total available seat miles (“ASM”) decreased versus the third quarter of 2021 by 6% as a reflection of the seasonality of leisure demand and are still 12% lower than the fourth quarter of 2019 due largely to ongoing efforts to match supply to COVID-reduced demand levels. Charter activity continues to recover as block hours have grown sequentially for three consecutive quarters from the second to the fourth quarter of 2021. Charter block hours increased by 8%, and cargo block hours grew by 5% versus the third quarter of 2021. Cargo comparisons to the fourth quarter of 2020 are not meaningful as the first quarter of 2021 was the first time all twelve cargo aircraft were in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0"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0A0A0A"/>
        </w:rPr>
        <w:t xml:space="preserve">For the fourth quarter of 2021, the Company reported total revenue of $173 million, which was $9 million, or 5%, higher than the fourth quarter of 2019. </w:t>
      </w:r>
      <w:r>
        <w:rPr>
          <w:rFonts w:ascii="Arial" w:cs="Arial" w:eastAsia="Arial" w:hAnsi="Arial"/>
          <w:sz w:val="18"/>
          <w:szCs w:val="18"/>
          <w:color w:val="000000"/>
        </w:rPr>
        <w:t>The Company’s scheduled service TRASM</w:t>
      </w:r>
      <w:r>
        <w:rPr>
          <w:rFonts w:ascii="Arial" w:cs="Arial" w:eastAsia="Arial" w:hAnsi="Arial"/>
          <w:sz w:val="18"/>
          <w:szCs w:val="18"/>
          <w:color w:val="0A0A0A"/>
        </w:rPr>
        <w:t xml:space="preserve"> </w:t>
      </w:r>
      <w:r>
        <w:rPr>
          <w:rFonts w:ascii="Arial" w:cs="Arial" w:eastAsia="Arial" w:hAnsi="Arial"/>
          <w:sz w:val="29"/>
          <w:szCs w:val="29"/>
          <w:color w:val="000000"/>
          <w:vertAlign w:val="superscript"/>
        </w:rPr>
        <w:t>(3)</w:t>
      </w:r>
      <w:r>
        <w:rPr>
          <w:rFonts w:ascii="Arial" w:cs="Arial" w:eastAsia="Arial" w:hAnsi="Arial"/>
          <w:sz w:val="18"/>
          <w:szCs w:val="18"/>
          <w:color w:val="0A0A0A"/>
        </w:rPr>
        <w:t xml:space="preserve"> </w:t>
      </w:r>
      <w:r>
        <w:rPr>
          <w:rFonts w:ascii="Arial" w:cs="Arial" w:eastAsia="Arial" w:hAnsi="Arial"/>
          <w:sz w:val="18"/>
          <w:szCs w:val="18"/>
          <w:color w:val="000000"/>
        </w:rPr>
        <w:t>of 9.3 cents in the fourth quarter of 2021 increased 5% from the fourth quarter</w:t>
      </w:r>
      <w:r>
        <w:rPr>
          <w:rFonts w:ascii="Arial" w:cs="Arial" w:eastAsia="Arial" w:hAnsi="Arial"/>
          <w:sz w:val="18"/>
          <w:szCs w:val="18"/>
          <w:color w:val="0A0A0A"/>
        </w:rPr>
        <w:t xml:space="preserve"> </w:t>
      </w:r>
      <w:r>
        <w:rPr>
          <w:rFonts w:ascii="Arial" w:cs="Arial" w:eastAsia="Arial" w:hAnsi="Arial"/>
          <w:sz w:val="18"/>
          <w:szCs w:val="18"/>
          <w:color w:val="000000"/>
        </w:rPr>
        <w:t>2019, while fourth quarter 2021 ancillary revenue of $44.05 per passenger was the highest in the company’s history.</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casinos, and other customers. In the fourth quarter of 2021, the Company’s charter service revenue was $39 million, an increase of 15% versus $34 million in the third quarter of 2021. Charter revenue was down 21% versus the fourth quarter of 2019 due to continued weakness in military flying. The Major League Soccer and Caesars agreements signed in 2021 will ramp up meaningfully in early 2022.</w:t>
      </w:r>
    </w:p>
    <w:p>
      <w:pPr>
        <w:spacing w:after="0" w:line="29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 w:name="page6"/>
    <w:bookmarkEnd w:id="5"/>
    <w:p>
      <w:pP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Cargo revenue consists of revenue earned from flying cargo aircraft under the Air Transportation Services Agreement (“ATSA”) with Amazon. In the fourth quarter of 2021, cargo revenue was $23 million, a 4% decrease versus the third quarter of 2021 due to operational issues over the holiday period. Flying under the ATSA began in May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0" w:lineRule="exact"/>
        <w:rPr>
          <w:sz w:val="20"/>
          <w:szCs w:val="20"/>
          <w:color w:val="auto"/>
        </w:rPr>
      </w:pPr>
    </w:p>
    <w:p>
      <w:pPr>
        <w:ind w:right="120"/>
        <w:spacing w:after="0" w:line="212" w:lineRule="auto"/>
        <w:rPr>
          <w:sz w:val="20"/>
          <w:szCs w:val="20"/>
          <w:color w:val="auto"/>
        </w:rPr>
      </w:pPr>
      <w:r>
        <w:rPr>
          <w:rFonts w:ascii="Arial" w:cs="Arial" w:eastAsia="Arial" w:hAnsi="Arial"/>
          <w:sz w:val="18"/>
          <w:szCs w:val="18"/>
          <w:color w:val="0A0A0A"/>
        </w:rPr>
        <w:t>For the fourth quarter of 2021, total GAAP operating expenses increased only 6% versus the fourth quarter of 2019, despite a 25% increase in total block hours flown. In the fourth quarter of 2021, Adjusted CASM</w:t>
      </w:r>
      <w:r>
        <w:rPr>
          <w:rFonts w:ascii="Arial" w:cs="Arial" w:eastAsia="Arial" w:hAnsi="Arial"/>
          <w:sz w:val="29"/>
          <w:szCs w:val="29"/>
          <w:color w:val="0A0A0A"/>
          <w:vertAlign w:val="superscript"/>
        </w:rPr>
        <w:t>(4)</w:t>
      </w:r>
      <w:r>
        <w:rPr>
          <w:rFonts w:ascii="Arial" w:cs="Arial" w:eastAsia="Arial" w:hAnsi="Arial"/>
          <w:sz w:val="18"/>
          <w:szCs w:val="18"/>
          <w:color w:val="0A0A0A"/>
        </w:rPr>
        <w:t xml:space="preserve"> was 6.91 cents. For the full year 2021, Adjusted CASM was 6.44 cents versus 6.31 cents in 2019 while total ASMs in 2021 were 18% lower than in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0" w:lineRule="exact"/>
        <w:rPr>
          <w:sz w:val="20"/>
          <w:szCs w:val="20"/>
          <w:color w:val="auto"/>
        </w:rPr>
      </w:pPr>
    </w:p>
    <w:p>
      <w:pPr>
        <w:ind w:right="500"/>
        <w:spacing w:after="0" w:line="204" w:lineRule="auto"/>
        <w:rPr>
          <w:sz w:val="20"/>
          <w:szCs w:val="20"/>
          <w:color w:val="auto"/>
        </w:rPr>
      </w:pPr>
      <w:r>
        <w:rPr>
          <w:rFonts w:ascii="Arial" w:cs="Arial" w:eastAsia="Arial" w:hAnsi="Arial"/>
          <w:sz w:val="18"/>
          <w:szCs w:val="18"/>
          <w:color w:val="0A0A0A"/>
        </w:rPr>
        <w:t>The Company’s net debt</w:t>
      </w:r>
      <w:r>
        <w:rPr>
          <w:rFonts w:ascii="Arial" w:cs="Arial" w:eastAsia="Arial" w:hAnsi="Arial"/>
          <w:sz w:val="29"/>
          <w:szCs w:val="29"/>
          <w:color w:val="0A0A0A"/>
          <w:vertAlign w:val="superscript"/>
        </w:rPr>
        <w:t>(5)</w:t>
      </w:r>
      <w:r>
        <w:rPr>
          <w:rFonts w:ascii="Arial" w:cs="Arial" w:eastAsia="Arial" w:hAnsi="Arial"/>
          <w:sz w:val="18"/>
          <w:szCs w:val="18"/>
          <w:color w:val="0A0A0A"/>
        </w:rPr>
        <w:t xml:space="preserve"> at year end 2021 was $236 million, versus $475 million at the end of 2020. Total liquidity</w:t>
      </w:r>
      <w:r>
        <w:rPr>
          <w:rFonts w:ascii="Arial" w:cs="Arial" w:eastAsia="Arial" w:hAnsi="Arial"/>
          <w:sz w:val="29"/>
          <w:szCs w:val="29"/>
          <w:color w:val="0A0A0A"/>
          <w:vertAlign w:val="superscript"/>
        </w:rPr>
        <w:t>(6)</w:t>
      </w:r>
      <w:r>
        <w:rPr>
          <w:rFonts w:ascii="Arial" w:cs="Arial" w:eastAsia="Arial" w:hAnsi="Arial"/>
          <w:sz w:val="18"/>
          <w:szCs w:val="18"/>
          <w:color w:val="0A0A0A"/>
        </w:rPr>
        <w:t xml:space="preserve"> at the end of the fourth quarter was $334 million. Total liquidity increased $34 million from the end of the third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0A0A0A"/>
        </w:rPr>
        <w:t>As of December 31, 2021, the Company operated 36 aircraft in its passenger service fleet, an increase of five from the beginning of 2021. Sun Country has committed to take delivery of two more aircraft in first quarter 2022 and has executed LOI’s for an additional 5 aircraft for delivery in 2022. The Company expects to add eight or more total aircraft to its passenger fleet this year. It continues to operate 12 freighter aircraft in its cargo operation.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r>
              <w:rPr>
                <w:rFonts w:ascii="Arial" w:cs="Arial" w:eastAsia="Arial" w:hAnsi="Arial"/>
                <w:sz w:val="18"/>
                <w:szCs w:val="18"/>
                <w:b w:val="1"/>
                <w:bCs w:val="1"/>
                <w:color w:val="0A0A0A"/>
              </w:rPr>
              <w:t>Guidance for First Quarter 2022</w:t>
            </w:r>
          </w:p>
        </w:tc>
        <w:tc>
          <w:tcPr>
            <w:tcW w:w="3220" w:type="dxa"/>
            <w:vAlign w:val="bottom"/>
            <w:vMerge w:val="restart"/>
          </w:tcPr>
          <w:p>
            <w:pPr>
              <w:jc w:val="center"/>
              <w:ind w:left="890"/>
              <w:spacing w:after="0"/>
              <w:rPr>
                <w:sz w:val="20"/>
                <w:szCs w:val="20"/>
                <w:color w:val="auto"/>
              </w:rPr>
            </w:pPr>
            <w:r>
              <w:rPr>
                <w:rFonts w:ascii="Arial" w:cs="Arial" w:eastAsia="Arial" w:hAnsi="Arial"/>
                <w:sz w:val="18"/>
                <w:szCs w:val="18"/>
                <w:b w:val="1"/>
                <w:bCs w:val="1"/>
                <w:color w:val="0A0A0A"/>
                <w:w w:val="98"/>
              </w:rPr>
              <w:t>Q1 2022</w:t>
            </w:r>
          </w:p>
        </w:tc>
        <w:tc>
          <w:tcPr>
            <w:tcW w:w="2640" w:type="dxa"/>
            <w:vAlign w:val="bottom"/>
            <w:vMerge w:val="restart"/>
          </w:tcPr>
          <w:p>
            <w:pPr>
              <w:ind w:left="600"/>
              <w:spacing w:after="0"/>
              <w:rPr>
                <w:sz w:val="20"/>
                <w:szCs w:val="20"/>
                <w:color w:val="auto"/>
              </w:rPr>
            </w:pPr>
            <w:r>
              <w:rPr>
                <w:rFonts w:ascii="Arial" w:cs="Arial" w:eastAsia="Arial" w:hAnsi="Arial"/>
                <w:sz w:val="18"/>
                <w:szCs w:val="18"/>
                <w:b w:val="1"/>
                <w:bCs w:val="1"/>
                <w:color w:val="0A0A0A"/>
              </w:rPr>
              <w:t>H/(L) vs Q1 2019</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revenue - millions</w:t>
            </w:r>
          </w:p>
        </w:tc>
        <w:tc>
          <w:tcPr>
            <w:tcW w:w="3220" w:type="dxa"/>
            <w:vAlign w:val="bottom"/>
            <w:shd w:val="clear" w:color="auto" w:fill="C6F4F9"/>
          </w:tcPr>
          <w:p>
            <w:pPr>
              <w:jc w:val="center"/>
              <w:ind w:left="890"/>
              <w:spacing w:after="0" w:line="196" w:lineRule="exact"/>
              <w:rPr>
                <w:sz w:val="20"/>
                <w:szCs w:val="20"/>
                <w:color w:val="auto"/>
              </w:rPr>
            </w:pPr>
            <w:r>
              <w:rPr>
                <w:rFonts w:ascii="Arial" w:cs="Arial" w:eastAsia="Arial" w:hAnsi="Arial"/>
                <w:sz w:val="18"/>
                <w:szCs w:val="18"/>
                <w:color w:val="0A0A0A"/>
                <w:w w:val="98"/>
              </w:rPr>
              <w:t>$215 to $225</w:t>
            </w:r>
          </w:p>
        </w:tc>
        <w:tc>
          <w:tcPr>
            <w:tcW w:w="2640" w:type="dxa"/>
            <w:vAlign w:val="bottom"/>
            <w:shd w:val="clear" w:color="auto" w:fill="C6F4F9"/>
          </w:tcPr>
          <w:p>
            <w:pPr>
              <w:jc w:val="center"/>
              <w:spacing w:after="0" w:line="196" w:lineRule="exact"/>
              <w:rPr>
                <w:sz w:val="20"/>
                <w:szCs w:val="20"/>
                <w:color w:val="auto"/>
              </w:rPr>
            </w:pPr>
            <w:r>
              <w:rPr>
                <w:rFonts w:ascii="Arial" w:cs="Arial" w:eastAsia="Arial" w:hAnsi="Arial"/>
                <w:sz w:val="18"/>
                <w:szCs w:val="18"/>
                <w:color w:val="0A0A0A"/>
                <w:w w:val="98"/>
              </w:rPr>
              <w:t>9% to 14%</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0A0A0A"/>
              </w:rPr>
              <w:t>Economic fuel cost per gallon</w:t>
            </w:r>
          </w:p>
        </w:tc>
        <w:tc>
          <w:tcPr>
            <w:tcW w:w="3220" w:type="dxa"/>
            <w:vAlign w:val="bottom"/>
          </w:tcPr>
          <w:p>
            <w:pPr>
              <w:jc w:val="center"/>
              <w:ind w:left="890"/>
              <w:spacing w:after="0" w:line="202" w:lineRule="exact"/>
              <w:rPr>
                <w:sz w:val="20"/>
                <w:szCs w:val="20"/>
                <w:color w:val="auto"/>
              </w:rPr>
            </w:pPr>
            <w:r>
              <w:rPr>
                <w:rFonts w:ascii="Arial" w:cs="Arial" w:eastAsia="Arial" w:hAnsi="Arial"/>
                <w:sz w:val="18"/>
                <w:szCs w:val="18"/>
                <w:color w:val="0A0A0A"/>
                <w:w w:val="87"/>
              </w:rPr>
              <w:t>$ 2.79</w:t>
            </w:r>
          </w:p>
        </w:tc>
        <w:tc>
          <w:tcPr>
            <w:tcW w:w="2640" w:type="dxa"/>
            <w:vAlign w:val="bottom"/>
          </w:tcPr>
          <w:p>
            <w:pPr>
              <w:jc w:val="center"/>
              <w:spacing w:after="0" w:line="202" w:lineRule="exact"/>
              <w:rPr>
                <w:sz w:val="20"/>
                <w:szCs w:val="20"/>
                <w:color w:val="auto"/>
              </w:rPr>
            </w:pPr>
            <w:r>
              <w:rPr>
                <w:rFonts w:ascii="Arial" w:cs="Arial" w:eastAsia="Arial" w:hAnsi="Arial"/>
                <w:sz w:val="18"/>
                <w:szCs w:val="18"/>
                <w:color w:val="0A0A0A"/>
                <w:w w:val="99"/>
              </w:rPr>
              <w:t>24%</w:t>
            </w:r>
          </w:p>
        </w:tc>
        <w:tc>
          <w:tcPr>
            <w:tcW w:w="0" w:type="dxa"/>
            <w:vAlign w:val="bottom"/>
          </w:tcPr>
          <w:p>
            <w:pPr>
              <w:spacing w:after="0"/>
              <w:rPr>
                <w:sz w:val="1"/>
                <w:szCs w:val="1"/>
                <w:color w:val="auto"/>
              </w:rPr>
            </w:pPr>
          </w:p>
        </w:tc>
      </w:tr>
      <w:tr>
        <w:trPr>
          <w:trHeight w:val="203"/>
        </w:trPr>
        <w:tc>
          <w:tcPr>
            <w:tcW w:w="53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Adjusted Operating income margin - percentage</w:t>
            </w:r>
          </w:p>
        </w:tc>
        <w:tc>
          <w:tcPr>
            <w:tcW w:w="3220" w:type="dxa"/>
            <w:vAlign w:val="bottom"/>
            <w:shd w:val="clear" w:color="auto" w:fill="C6F4F9"/>
          </w:tcPr>
          <w:p>
            <w:pPr>
              <w:jc w:val="center"/>
              <w:ind w:left="910"/>
              <w:spacing w:after="0" w:line="202" w:lineRule="exact"/>
              <w:rPr>
                <w:sz w:val="20"/>
                <w:szCs w:val="20"/>
                <w:color w:val="auto"/>
              </w:rPr>
            </w:pPr>
            <w:r>
              <w:rPr>
                <w:rFonts w:ascii="Arial" w:cs="Arial" w:eastAsia="Arial" w:hAnsi="Arial"/>
                <w:sz w:val="18"/>
                <w:szCs w:val="18"/>
                <w:color w:val="0A0A0A"/>
                <w:w w:val="99"/>
              </w:rPr>
              <w:t>8% - 12%</w:t>
            </w:r>
          </w:p>
        </w:tc>
        <w:tc>
          <w:tcPr>
            <w:tcW w:w="2640" w:type="dxa"/>
            <w:vAlign w:val="bottom"/>
            <w:shd w:val="clear" w:color="auto" w:fill="C6F4F9"/>
          </w:tcPr>
          <w:p>
            <w:pPr>
              <w:jc w:val="center"/>
              <w:spacing w:after="0" w:line="202" w:lineRule="exact"/>
              <w:rPr>
                <w:sz w:val="20"/>
                <w:szCs w:val="20"/>
                <w:color w:val="auto"/>
              </w:rPr>
            </w:pPr>
            <w:r>
              <w:rPr>
                <w:rFonts w:ascii="Arial" w:cs="Arial" w:eastAsia="Arial" w:hAnsi="Arial"/>
                <w:sz w:val="18"/>
                <w:szCs w:val="18"/>
                <w:color w:val="0A0A0A"/>
                <w:w w:val="99"/>
              </w:rPr>
              <w:t>(15.5)pp to (11.5)pp</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0A0A0A"/>
              </w:rPr>
              <w:t>Effective tax rate</w:t>
            </w:r>
          </w:p>
        </w:tc>
        <w:tc>
          <w:tcPr>
            <w:tcW w:w="3220" w:type="dxa"/>
            <w:vAlign w:val="bottom"/>
          </w:tcPr>
          <w:p>
            <w:pPr>
              <w:jc w:val="center"/>
              <w:ind w:left="890"/>
              <w:spacing w:after="0"/>
              <w:rPr>
                <w:sz w:val="20"/>
                <w:szCs w:val="20"/>
                <w:color w:val="auto"/>
              </w:rPr>
            </w:pPr>
            <w:r>
              <w:rPr>
                <w:rFonts w:ascii="Arial" w:cs="Arial" w:eastAsia="Arial" w:hAnsi="Arial"/>
                <w:sz w:val="18"/>
                <w:szCs w:val="18"/>
                <w:color w:val="0A0A0A"/>
                <w:w w:val="99"/>
              </w:rPr>
              <w:t>23%</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Total system ASMs - millions</w:t>
            </w:r>
          </w:p>
        </w:tc>
        <w:tc>
          <w:tcPr>
            <w:tcW w:w="3220" w:type="dxa"/>
            <w:vAlign w:val="bottom"/>
            <w:shd w:val="clear" w:color="auto" w:fill="C6F4F9"/>
          </w:tcPr>
          <w:p>
            <w:pPr>
              <w:jc w:val="center"/>
              <w:ind w:left="890"/>
              <w:spacing w:after="0" w:line="202" w:lineRule="exact"/>
              <w:rPr>
                <w:sz w:val="20"/>
                <w:szCs w:val="20"/>
                <w:color w:val="auto"/>
              </w:rPr>
            </w:pPr>
            <w:r>
              <w:rPr>
                <w:rFonts w:ascii="Arial" w:cs="Arial" w:eastAsia="Arial" w:hAnsi="Arial"/>
                <w:sz w:val="18"/>
                <w:szCs w:val="18"/>
                <w:color w:val="0A0A0A"/>
              </w:rPr>
              <w:t>1,900 to 2,000</w:t>
            </w:r>
          </w:p>
        </w:tc>
        <w:tc>
          <w:tcPr>
            <w:tcW w:w="2640" w:type="dxa"/>
            <w:vAlign w:val="bottom"/>
            <w:shd w:val="clear" w:color="auto" w:fill="C6F4F9"/>
          </w:tcPr>
          <w:p>
            <w:pPr>
              <w:jc w:val="center"/>
              <w:spacing w:after="0" w:line="202" w:lineRule="exact"/>
              <w:rPr>
                <w:sz w:val="20"/>
                <w:szCs w:val="20"/>
                <w:color w:val="auto"/>
              </w:rPr>
            </w:pPr>
            <w:r>
              <w:rPr>
                <w:rFonts w:ascii="Arial" w:cs="Arial" w:eastAsia="Arial" w:hAnsi="Arial"/>
                <w:sz w:val="18"/>
                <w:szCs w:val="18"/>
                <w:color w:val="0A0A0A"/>
                <w:w w:val="98"/>
              </w:rPr>
              <w:t>5% to 10%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0A0A0A"/>
        </w:rPr>
        <w:t xml:space="preserve">Sun Country Airlines will host a conference call to discuss its fourth quarter and full year 2021 results at 8:30 a.m. Eastern Time on Tuesday, February 8, 2022. A live broadcast of the conference call will be available via the investor relations section of Sun Country Airlines’ website at </w:t>
      </w:r>
      <w:r>
        <w:rPr>
          <w:rFonts w:ascii="Arial" w:cs="Arial" w:eastAsia="Arial" w:hAnsi="Arial"/>
          <w:sz w:val="17"/>
          <w:szCs w:val="17"/>
          <w:u w:val="single" w:color="auto"/>
          <w:color w:val="0563C1"/>
        </w:rPr>
        <w:t>https://ir.suncountry.com/news-events/events-and-presentations</w:t>
      </w:r>
      <w:r>
        <w:rPr>
          <w:rFonts w:ascii="Arial" w:cs="Arial" w:eastAsia="Arial" w:hAnsi="Arial"/>
          <w:sz w:val="17"/>
          <w:szCs w:val="17"/>
          <w:color w:val="000000"/>
        </w:rPr>
        <w:t>. The online replay will be available on the same website approximately one</w:t>
      </w:r>
      <w:r>
        <w:rPr>
          <w:rFonts w:ascii="Arial" w:cs="Arial" w:eastAsia="Arial" w:hAnsi="Arial"/>
          <w:sz w:val="17"/>
          <w:szCs w:val="17"/>
          <w:color w:val="0563C1"/>
        </w:rPr>
        <w:t xml:space="preserve"> </w:t>
      </w:r>
      <w:r>
        <w:rPr>
          <w:rFonts w:ascii="Arial" w:cs="Arial" w:eastAsia="Arial" w:hAnsi="Arial"/>
          <w:sz w:val="17"/>
          <w:szCs w:val="17"/>
          <w:color w:val="000000"/>
        </w:rPr>
        <w:t>hour after the call. The conference call can also be listened to live by dialing 1 (833) 458-0947 (U.S. toll free) or 1 (914) 987-7750 (U.S. toll).</w:t>
      </w:r>
    </w:p>
    <w:p>
      <w:pPr>
        <w:spacing w:after="0" w:line="283"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A0A0A"/>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About Sun Country Airlines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220"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0A0A0A"/>
        </w:rPr>
        <w:t>1 – See additional details in the tables below in the section titled “</w:t>
      </w:r>
      <w:r>
        <w:rPr>
          <w:rFonts w:ascii="Arial" w:cs="Arial" w:eastAsia="Arial" w:hAnsi="Arial"/>
          <w:sz w:val="18"/>
          <w:szCs w:val="18"/>
          <w:color w:val="000000"/>
        </w:rPr>
        <w:t>Adjusted Operating Income, Adjusted Operating Income Margin, Adjusted</w:t>
      </w:r>
      <w:r>
        <w:rPr>
          <w:rFonts w:ascii="Arial" w:cs="Arial" w:eastAsia="Arial" w:hAnsi="Arial"/>
          <w:sz w:val="18"/>
          <w:szCs w:val="18"/>
          <w:color w:val="0A0A0A"/>
        </w:rPr>
        <w:t xml:space="preserve"> </w:t>
      </w:r>
      <w:r>
        <w:rPr>
          <w:rFonts w:ascii="Arial" w:cs="Arial" w:eastAsia="Arial" w:hAnsi="Arial"/>
          <w:sz w:val="18"/>
          <w:szCs w:val="18"/>
          <w:color w:val="000000"/>
        </w:rPr>
        <w:t>Income Before Income Tax, Adjusted Pre-tax Margin, Adjusted Net Income, Adjusted EBITDAR and Adjusted EBITDAR Margin”</w:t>
      </w:r>
    </w:p>
    <w:p>
      <w:pPr>
        <w:spacing w:after="0" w:line="236" w:lineRule="auto"/>
        <w:rPr>
          <w:sz w:val="20"/>
          <w:szCs w:val="20"/>
          <w:color w:val="auto"/>
        </w:rPr>
      </w:pPr>
      <w:r>
        <w:rPr>
          <w:rFonts w:ascii="Arial" w:cs="Arial" w:eastAsia="Arial" w:hAnsi="Arial"/>
          <w:sz w:val="18"/>
          <w:szCs w:val="18"/>
          <w:color w:val="0A0A0A"/>
        </w:rPr>
        <w:t xml:space="preserve">2 – </w:t>
      </w:r>
      <w:r>
        <w:rPr>
          <w:rFonts w:ascii="Arial" w:cs="Arial" w:eastAsia="Arial" w:hAnsi="Arial"/>
          <w:sz w:val="18"/>
          <w:szCs w:val="18"/>
          <w:color w:val="000000"/>
        </w:rPr>
        <w:t>Total system TRASM = total revenue – cargo revenue / system ASMs</w:t>
      </w:r>
    </w:p>
    <w:p>
      <w:pPr>
        <w:spacing w:after="0" w:line="235" w:lineRule="auto"/>
        <w:rPr>
          <w:sz w:val="20"/>
          <w:szCs w:val="20"/>
          <w:color w:val="auto"/>
        </w:rPr>
      </w:pPr>
      <w:r>
        <w:rPr>
          <w:rFonts w:ascii="Arial" w:cs="Arial" w:eastAsia="Arial" w:hAnsi="Arial"/>
          <w:sz w:val="18"/>
          <w:szCs w:val="18"/>
          <w:color w:val="auto"/>
        </w:rPr>
        <w:t>3 – Scheduled service TRASM = scheduled service revenue + ancillary revenue + other revenue / scheduled service ASMs</w:t>
      </w:r>
    </w:p>
    <w:p>
      <w:pPr>
        <w:ind w:right="60"/>
        <w:spacing w:after="0" w:line="234" w:lineRule="auto"/>
        <w:rPr>
          <w:sz w:val="20"/>
          <w:szCs w:val="20"/>
          <w:color w:val="auto"/>
        </w:rPr>
      </w:pPr>
      <w:r>
        <w:rPr>
          <w:rFonts w:ascii="Arial" w:cs="Arial" w:eastAsia="Arial" w:hAnsi="Arial"/>
          <w:sz w:val="18"/>
          <w:szCs w:val="18"/>
          <w:color w:val="auto"/>
        </w:rPr>
        <w:t xml:space="preserve">4 – </w:t>
      </w:r>
      <w:r>
        <w:rPr>
          <w:rFonts w:ascii="Arial" w:cs="Arial" w:eastAsia="Arial" w:hAnsi="Arial"/>
          <w:sz w:val="18"/>
          <w:szCs w:val="18"/>
          <w:color w:val="0A0A0A"/>
        </w:rPr>
        <w:t>Adjusted CASM is a non-GAAP measure derived from CASM by excluding fuel costs, Special Items, non-cash management stock</w:t>
      </w:r>
      <w:r>
        <w:rPr>
          <w:rFonts w:ascii="Arial" w:cs="Arial" w:eastAsia="Arial" w:hAnsi="Arial"/>
          <w:sz w:val="18"/>
          <w:szCs w:val="18"/>
          <w:color w:val="auto"/>
        </w:rPr>
        <w:t xml:space="preserve"> </w:t>
      </w:r>
      <w:r>
        <w:rPr>
          <w:rFonts w:ascii="Arial" w:cs="Arial" w:eastAsia="Arial" w:hAnsi="Arial"/>
          <w:sz w:val="18"/>
          <w:szCs w:val="18"/>
          <w:color w:val="0A0A0A"/>
        </w:rPr>
        <w:t>compensation expense, costs arising from its cargo operations (starting in 2020 when the Company launched cargo operations), certain commissions, and other costs of selling its vacations product from this measure. See table titled “</w:t>
      </w:r>
      <w:r>
        <w:rPr>
          <w:rFonts w:ascii="Arial" w:cs="Arial" w:eastAsia="Arial" w:hAnsi="Arial"/>
          <w:sz w:val="18"/>
          <w:szCs w:val="18"/>
          <w:color w:val="000000"/>
        </w:rPr>
        <w:t>Reconciliation of CASM to Adjusted CASM”</w:t>
      </w:r>
      <w:r>
        <w:rPr>
          <w:rFonts w:ascii="Arial" w:cs="Arial" w:eastAsia="Arial" w:hAnsi="Arial"/>
          <w:sz w:val="18"/>
          <w:szCs w:val="18"/>
          <w:color w:val="0A0A0A"/>
        </w:rPr>
        <w:t xml:space="preserve"> </w:t>
      </w:r>
      <w:r>
        <w:rPr>
          <w:rFonts w:ascii="Arial" w:cs="Arial" w:eastAsia="Arial" w:hAnsi="Arial"/>
          <w:sz w:val="18"/>
          <w:szCs w:val="18"/>
          <w:color w:val="000000"/>
        </w:rPr>
        <w:t>5 – Net debt = current portion of long-term debt + long-term debt + finance lease obligations + operating lease obligations – cash and cash equivalents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 Total liquidity = cash and cash equivalents + amount of undrawn revolver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A0A0A"/>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Forward Looking Statements</w:t>
      </w:r>
    </w:p>
    <w:p>
      <w:pPr>
        <w:spacing w:after="0" w:line="220" w:lineRule="exact"/>
        <w:rPr>
          <w:sz w:val="20"/>
          <w:szCs w:val="20"/>
          <w:color w:val="auto"/>
        </w:rPr>
      </w:pPr>
    </w:p>
    <w:p>
      <w:pPr>
        <w:spacing w:after="0" w:line="234" w:lineRule="auto"/>
        <w:rPr>
          <w:sz w:val="20"/>
          <w:szCs w:val="20"/>
          <w:color w:val="auto"/>
        </w:rPr>
      </w:pPr>
      <w:r>
        <w:rPr>
          <w:rFonts w:ascii="Arial" w:cs="Arial" w:eastAsia="Arial" w:hAnsi="Arial"/>
          <w:sz w:val="18"/>
          <w:szCs w:val="18"/>
          <w:color w:val="0A0A0A"/>
        </w:rPr>
        <w:t>This report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report,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ind w:left="120" w:hanging="112"/>
        <w:spacing w:after="0" w:line="234" w:lineRule="auto"/>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ind w:left="120" w:hanging="112"/>
        <w:spacing w:after="0" w:line="234" w:lineRule="auto"/>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 and</w:t>
      </w: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198" w:lineRule="exact"/>
        <w:rPr>
          <w:sz w:val="20"/>
          <w:szCs w:val="20"/>
          <w:color w:val="auto"/>
        </w:rPr>
      </w:pPr>
    </w:p>
    <w:p>
      <w:pPr>
        <w:ind w:right="220"/>
        <w:spacing w:after="0"/>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7"/>
          <w:szCs w:val="17"/>
          <w:color w:val="0A0A0A"/>
        </w:rPr>
        <w:t>These forward-looking statements reflect our views with respect to future events as of the date of this report and are based on assumptions and subject to risks and uncertainties. Given these uncertainties, you should not place undue reliance on these forward-looking statements. These forward-looking statements represent our estimates and assumptions only as of the date of this report and, except as required by law, we undertake no obligation to update or review publicly any forward-looking statements, whether as a result of new information, future events or otherwise after the date of this report. We anticipate that subsequent events and developments will cause our views to change. You should read this report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Prospectus included in its registration statement on Form S-1, Quarterly Report on Form 10-Q, and Current Reports on Form 8-K.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80" w:type="dxa"/>
            <w:vAlign w:val="bottom"/>
            <w:gridSpan w:val="2"/>
          </w:tcPr>
          <w:p>
            <w:pPr>
              <w:jc w:val="right"/>
              <w:ind w:right="91"/>
              <w:spacing w:after="0"/>
              <w:rPr>
                <w:sz w:val="20"/>
                <w:szCs w:val="20"/>
                <w:color w:val="auto"/>
              </w:rPr>
            </w:pPr>
            <w:r>
              <w:rPr>
                <w:rFonts w:ascii="Arial" w:cs="Arial" w:eastAsia="Arial" w:hAnsi="Arial"/>
                <w:sz w:val="18"/>
                <w:szCs w:val="18"/>
                <w:b w:val="1"/>
                <w:bCs w:val="1"/>
                <w:color w:val="0A0A0A"/>
              </w:rPr>
              <w:t>Three Months Ended Dec 31,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0A0A0A"/>
              </w:rPr>
              <w:t>2021</w:t>
            </w:r>
          </w:p>
        </w:tc>
        <w:tc>
          <w:tcPr>
            <w:tcW w:w="840" w:type="dxa"/>
            <w:vAlign w:val="bottom"/>
          </w:tcPr>
          <w:p>
            <w:pPr>
              <w:spacing w:after="0"/>
              <w:rPr>
                <w:sz w:val="19"/>
                <w:szCs w:val="19"/>
                <w:color w:val="auto"/>
              </w:rPr>
            </w:pPr>
          </w:p>
        </w:tc>
        <w:tc>
          <w:tcPr>
            <w:tcW w:w="1840" w:type="dxa"/>
            <w:vAlign w:val="bottom"/>
          </w:tcPr>
          <w:p>
            <w:pPr>
              <w:jc w:val="right"/>
              <w:ind w:right="1091"/>
              <w:spacing w:after="0"/>
              <w:rPr>
                <w:sz w:val="20"/>
                <w:szCs w:val="20"/>
                <w:color w:val="auto"/>
              </w:rPr>
            </w:pPr>
            <w:r>
              <w:rPr>
                <w:rFonts w:ascii="Arial" w:cs="Arial" w:eastAsia="Arial" w:hAnsi="Arial"/>
                <w:sz w:val="18"/>
                <w:szCs w:val="18"/>
                <w:b w:val="1"/>
                <w:bCs w:val="1"/>
                <w:color w:val="0A0A0A"/>
              </w:rPr>
              <w:t>2020</w:t>
            </w: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0A0A0A"/>
              </w:rPr>
              <w:t>% Change</w:t>
            </w:r>
          </w:p>
        </w:tc>
      </w:tr>
      <w:tr>
        <w:trPr>
          <w:trHeight w:val="196"/>
        </w:trPr>
        <w:tc>
          <w:tcPr>
            <w:tcW w:w="410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1640" w:type="dxa"/>
            <w:vAlign w:val="bottom"/>
            <w:tcBorders>
              <w:top w:val="single" w:sz="8" w:color="auto"/>
            </w:tcBorders>
            <w:shd w:val="clear" w:color="auto" w:fill="C6F4F9"/>
          </w:tcPr>
          <w:p>
            <w:pPr>
              <w:spacing w:after="0"/>
              <w:rPr>
                <w:sz w:val="17"/>
                <w:szCs w:val="17"/>
                <w:color w:val="auto"/>
              </w:rPr>
            </w:pPr>
          </w:p>
        </w:tc>
        <w:tc>
          <w:tcPr>
            <w:tcW w:w="280" w:type="dxa"/>
            <w:vAlign w:val="bottom"/>
            <w:tcBorders>
              <w:top w:val="single" w:sz="8" w:color="auto"/>
            </w:tcBorders>
            <w:shd w:val="clear" w:color="auto" w:fill="C6F4F9"/>
          </w:tcPr>
          <w:p>
            <w:pPr>
              <w:spacing w:after="0"/>
              <w:rPr>
                <w:sz w:val="17"/>
                <w:szCs w:val="17"/>
                <w:color w:val="auto"/>
              </w:rPr>
            </w:pPr>
          </w:p>
        </w:tc>
        <w:tc>
          <w:tcPr>
            <w:tcW w:w="1200" w:type="dxa"/>
            <w:vAlign w:val="bottom"/>
            <w:tcBorders>
              <w:top w:val="single" w:sz="8" w:color="auto"/>
            </w:tcBorders>
            <w:shd w:val="clear" w:color="auto" w:fill="C6F4F9"/>
          </w:tcPr>
          <w:p>
            <w:pPr>
              <w:spacing w:after="0"/>
              <w:rPr>
                <w:sz w:val="17"/>
                <w:szCs w:val="17"/>
                <w:color w:val="auto"/>
              </w:rPr>
            </w:pPr>
          </w:p>
        </w:tc>
        <w:tc>
          <w:tcPr>
            <w:tcW w:w="840" w:type="dxa"/>
            <w:vAlign w:val="bottom"/>
            <w:tcBorders>
              <w:top w:val="single" w:sz="8" w:color="auto"/>
            </w:tcBorders>
            <w:shd w:val="clear" w:color="auto" w:fill="C6F4F9"/>
          </w:tcPr>
          <w:p>
            <w:pPr>
              <w:spacing w:after="0"/>
              <w:rPr>
                <w:sz w:val="17"/>
                <w:szCs w:val="17"/>
                <w:color w:val="auto"/>
              </w:rPr>
            </w:pPr>
          </w:p>
        </w:tc>
        <w:tc>
          <w:tcPr>
            <w:tcW w:w="1840" w:type="dxa"/>
            <w:vAlign w:val="bottom"/>
            <w:tcBorders>
              <w:top w:val="single" w:sz="8" w:color="auto"/>
            </w:tcBorders>
            <w:shd w:val="clear" w:color="auto" w:fill="C6F4F9"/>
          </w:tcPr>
          <w:p>
            <w:pPr>
              <w:spacing w:after="0"/>
              <w:rPr>
                <w:sz w:val="17"/>
                <w:szCs w:val="17"/>
                <w:color w:val="auto"/>
              </w:rPr>
            </w:pPr>
          </w:p>
        </w:tc>
        <w:tc>
          <w:tcPr>
            <w:tcW w:w="1340" w:type="dxa"/>
            <w:vAlign w:val="bottom"/>
            <w:tcBorders>
              <w:top w:val="single" w:sz="8" w:color="auto"/>
            </w:tcBorders>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Scheduled Service</w:t>
            </w:r>
          </w:p>
        </w:tc>
        <w:tc>
          <w:tcPr>
            <w:tcW w:w="1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0A0A0A"/>
              </w:rPr>
              <w:t>$</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77,472</w:t>
            </w: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33,984</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128.0</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Charter Service</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38,820</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37,148</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4.5</w:t>
            </w:r>
          </w:p>
        </w:tc>
        <w:tc>
          <w:tcPr>
            <w:tcW w:w="20" w:type="dxa"/>
            <w:vAlign w:val="bottom"/>
          </w:tcPr>
          <w:p>
            <w:pPr>
              <w:spacing w:after="0"/>
              <w:rPr>
                <w:sz w:val="17"/>
                <w:szCs w:val="17"/>
                <w:color w:val="auto"/>
              </w:rPr>
            </w:pPr>
          </w:p>
        </w:tc>
      </w:tr>
      <w:tr>
        <w:trPr>
          <w:trHeight w:val="216"/>
        </w:trPr>
        <w:tc>
          <w:tcPr>
            <w:tcW w:w="41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Ancillary</w:t>
            </w:r>
          </w:p>
        </w:tc>
        <w:tc>
          <w:tcPr>
            <w:tcW w:w="164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0A0A0A"/>
              </w:rPr>
              <w:t>30,611</w:t>
            </w:r>
          </w:p>
        </w:tc>
        <w:tc>
          <w:tcPr>
            <w:tcW w:w="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0A0A0A"/>
              </w:rPr>
              <w:t>15,801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93.7</w:t>
            </w:r>
          </w:p>
        </w:tc>
        <w:tc>
          <w:tcPr>
            <w:tcW w:w="20" w:type="dxa"/>
            <w:vAlign w:val="bottom"/>
          </w:tcPr>
          <w:p>
            <w:pPr>
              <w:spacing w:after="0"/>
              <w:rPr>
                <w:sz w:val="18"/>
                <w:szCs w:val="18"/>
                <w:color w:val="auto"/>
              </w:rPr>
            </w:pPr>
          </w:p>
        </w:tc>
      </w:tr>
      <w:tr>
        <w:trPr>
          <w:trHeight w:val="196"/>
        </w:trPr>
        <w:tc>
          <w:tcPr>
            <w:tcW w:w="41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Passenger</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146,902</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196" w:lineRule="exact"/>
              <w:rPr>
                <w:sz w:val="20"/>
                <w:szCs w:val="20"/>
                <w:color w:val="auto"/>
              </w:rPr>
            </w:pPr>
            <w:r>
              <w:rPr>
                <w:rFonts w:ascii="Arial" w:cs="Arial" w:eastAsia="Arial" w:hAnsi="Arial"/>
                <w:sz w:val="18"/>
                <w:szCs w:val="18"/>
                <w:color w:val="0A0A0A"/>
              </w:rPr>
              <w:t>86,932</w:t>
            </w:r>
          </w:p>
        </w:tc>
        <w:tc>
          <w:tcPr>
            <w:tcW w:w="13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69.0</w:t>
            </w: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Cargo</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23,344</w:t>
            </w:r>
          </w:p>
        </w:tc>
        <w:tc>
          <w:tcPr>
            <w:tcW w:w="840" w:type="dxa"/>
            <w:vAlign w:val="bottom"/>
          </w:tcPr>
          <w:p>
            <w:pPr>
              <w:spacing w:after="0"/>
              <w:rPr>
                <w:sz w:val="17"/>
                <w:szCs w:val="17"/>
                <w:color w:val="auto"/>
              </w:rPr>
            </w:pP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19,317</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20.8</w:t>
            </w:r>
          </w:p>
        </w:tc>
        <w:tc>
          <w:tcPr>
            <w:tcW w:w="20" w:type="dxa"/>
            <w:vAlign w:val="bottom"/>
          </w:tcPr>
          <w:p>
            <w:pPr>
              <w:spacing w:after="0"/>
              <w:rPr>
                <w:sz w:val="17"/>
                <w:szCs w:val="17"/>
                <w:color w:val="auto"/>
              </w:rPr>
            </w:pPr>
          </w:p>
        </w:tc>
      </w:tr>
      <w:tr>
        <w:trPr>
          <w:trHeight w:val="216"/>
        </w:trPr>
        <w:tc>
          <w:tcPr>
            <w:tcW w:w="410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164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ind w:right="30"/>
              <w:spacing w:after="0"/>
              <w:rPr>
                <w:sz w:val="20"/>
                <w:szCs w:val="20"/>
                <w:color w:val="auto"/>
              </w:rPr>
            </w:pPr>
            <w:r>
              <w:rPr>
                <w:rFonts w:ascii="Arial" w:cs="Arial" w:eastAsia="Arial" w:hAnsi="Arial"/>
                <w:sz w:val="18"/>
                <w:szCs w:val="18"/>
                <w:color w:val="0A0A0A"/>
              </w:rPr>
              <w:t>2,305</w:t>
            </w:r>
          </w:p>
        </w:tc>
        <w:tc>
          <w:tcPr>
            <w:tcW w:w="840" w:type="dxa"/>
            <w:vAlign w:val="bottom"/>
            <w:tcBorders>
              <w:bottom w:val="single" w:sz="8" w:color="auto"/>
            </w:tcBorders>
            <w:shd w:val="clear" w:color="auto" w:fill="C6F4F9"/>
          </w:tcPr>
          <w:p>
            <w:pPr>
              <w:spacing w:after="0"/>
              <w:rPr>
                <w:sz w:val="18"/>
                <w:szCs w:val="18"/>
                <w:color w:val="auto"/>
              </w:rPr>
            </w:pPr>
          </w:p>
        </w:tc>
        <w:tc>
          <w:tcPr>
            <w:tcW w:w="1840" w:type="dxa"/>
            <w:vAlign w:val="bottom"/>
            <w:tcBorders>
              <w:bottom w:val="single" w:sz="8" w:color="auto"/>
            </w:tcBorders>
            <w:shd w:val="clear" w:color="auto" w:fill="C6F4F9"/>
          </w:tcPr>
          <w:p>
            <w:pPr>
              <w:jc w:val="right"/>
              <w:ind w:right="671"/>
              <w:spacing w:after="0"/>
              <w:rPr>
                <w:sz w:val="20"/>
                <w:szCs w:val="20"/>
                <w:color w:val="auto"/>
              </w:rPr>
            </w:pPr>
            <w:r>
              <w:rPr>
                <w:rFonts w:ascii="Arial" w:cs="Arial" w:eastAsia="Arial" w:hAnsi="Arial"/>
                <w:sz w:val="18"/>
                <w:szCs w:val="18"/>
                <w:color w:val="0A0A0A"/>
              </w:rPr>
              <w:t>1,556</w:t>
            </w:r>
          </w:p>
        </w:tc>
        <w:tc>
          <w:tcPr>
            <w:tcW w:w="13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48.1</w:t>
            </w:r>
          </w:p>
        </w:tc>
        <w:tc>
          <w:tcPr>
            <w:tcW w:w="20" w:type="dxa"/>
            <w:vAlign w:val="bottom"/>
          </w:tcPr>
          <w:p>
            <w:pPr>
              <w:spacing w:after="0"/>
              <w:rPr>
                <w:sz w:val="18"/>
                <w:szCs w:val="18"/>
                <w:color w:val="auto"/>
              </w:rPr>
            </w:pPr>
          </w:p>
        </w:tc>
      </w:tr>
      <w:tr>
        <w:trPr>
          <w:trHeight w:val="196"/>
        </w:trPr>
        <w:tc>
          <w:tcPr>
            <w:tcW w:w="410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Total Operating Revenue</w:t>
            </w:r>
          </w:p>
        </w:tc>
        <w:tc>
          <w:tcPr>
            <w:tcW w:w="164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0A0A0A"/>
              </w:rPr>
              <w:t>172,552</w:t>
            </w:r>
          </w:p>
        </w:tc>
        <w:tc>
          <w:tcPr>
            <w:tcW w:w="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71"/>
              <w:spacing w:after="0" w:line="196" w:lineRule="exact"/>
              <w:rPr>
                <w:sz w:val="20"/>
                <w:szCs w:val="20"/>
                <w:color w:val="auto"/>
              </w:rPr>
            </w:pPr>
            <w:r>
              <w:rPr>
                <w:rFonts w:ascii="Arial" w:cs="Arial" w:eastAsia="Arial" w:hAnsi="Arial"/>
                <w:sz w:val="18"/>
                <w:szCs w:val="18"/>
                <w:color w:val="0A0A0A"/>
              </w:rPr>
              <w:t>107,807</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60.1</w:t>
            </w:r>
          </w:p>
        </w:tc>
        <w:tc>
          <w:tcPr>
            <w:tcW w:w="20" w:type="dxa"/>
            <w:vAlign w:val="bottom"/>
          </w:tcPr>
          <w:p>
            <w:pPr>
              <w:spacing w:after="0"/>
              <w:rPr>
                <w:sz w:val="17"/>
                <w:szCs w:val="17"/>
                <w:color w:val="auto"/>
              </w:rPr>
            </w:pPr>
          </w:p>
        </w:tc>
      </w:tr>
      <w:tr>
        <w:trPr>
          <w:trHeight w:val="196"/>
        </w:trPr>
        <w:tc>
          <w:tcPr>
            <w:tcW w:w="4100" w:type="dxa"/>
            <w:vAlign w:val="bottom"/>
            <w:shd w:val="clear" w:color="auto" w:fill="C6F4F9"/>
          </w:tcPr>
          <w:p>
            <w:pPr>
              <w:spacing w:after="0"/>
              <w:rPr>
                <w:sz w:val="17"/>
                <w:szCs w:val="17"/>
                <w:color w:val="auto"/>
              </w:rPr>
            </w:pP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0A0A0A"/>
              </w:rPr>
              <w:t>Operating Expenses:</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38,480</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14,015</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174.6</w:t>
            </w: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48,392</w:t>
            </w:r>
          </w:p>
        </w:tc>
        <w:tc>
          <w:tcPr>
            <w:tcW w:w="840" w:type="dxa"/>
            <w:vAlign w:val="bottom"/>
          </w:tcPr>
          <w:p>
            <w:pPr>
              <w:spacing w:after="0"/>
              <w:rPr>
                <w:sz w:val="17"/>
                <w:szCs w:val="17"/>
                <w:color w:val="auto"/>
              </w:rPr>
            </w:pP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34,718</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39.4</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4,314</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7,613</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(43.3)</w:t>
            </w: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9,925</w:t>
            </w:r>
          </w:p>
        </w:tc>
        <w:tc>
          <w:tcPr>
            <w:tcW w:w="840" w:type="dxa"/>
            <w:vAlign w:val="bottom"/>
          </w:tcPr>
          <w:p>
            <w:pPr>
              <w:spacing w:after="0"/>
              <w:rPr>
                <w:sz w:val="17"/>
                <w:szCs w:val="17"/>
                <w:color w:val="auto"/>
              </w:rPr>
            </w:pP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12,173</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0A0A0A"/>
              </w:rPr>
              <w:t>(18.5)</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5,658</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3,447</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64.1</w:t>
            </w: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14,916</w:t>
            </w:r>
          </w:p>
        </w:tc>
        <w:tc>
          <w:tcPr>
            <w:tcW w:w="840" w:type="dxa"/>
            <w:vAlign w:val="bottom"/>
          </w:tcPr>
          <w:p>
            <w:pPr>
              <w:spacing w:after="0"/>
              <w:rPr>
                <w:sz w:val="17"/>
                <w:szCs w:val="17"/>
                <w:color w:val="auto"/>
              </w:rPr>
            </w:pP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12,455</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19.8</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7,327</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4,810</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52.3</w:t>
            </w: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11,119</w:t>
            </w:r>
          </w:p>
        </w:tc>
        <w:tc>
          <w:tcPr>
            <w:tcW w:w="840" w:type="dxa"/>
            <w:vAlign w:val="bottom"/>
          </w:tcPr>
          <w:p>
            <w:pPr>
              <w:spacing w:after="0"/>
              <w:rPr>
                <w:sz w:val="17"/>
                <w:szCs w:val="17"/>
                <w:color w:val="auto"/>
              </w:rPr>
            </w:pP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8,878</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25.2</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0A0A0A"/>
              </w:rPr>
              <w:t>—</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11"/>
              <w:spacing w:after="0" w:line="202" w:lineRule="exact"/>
              <w:rPr>
                <w:sz w:val="20"/>
                <w:szCs w:val="20"/>
                <w:color w:val="auto"/>
              </w:rPr>
            </w:pPr>
            <w:r>
              <w:rPr>
                <w:rFonts w:ascii="Arial" w:cs="Arial" w:eastAsia="Arial" w:hAnsi="Arial"/>
                <w:sz w:val="18"/>
                <w:szCs w:val="18"/>
                <w:color w:val="0A0A0A"/>
              </w:rPr>
              <w:t>(229)</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16"/>
        </w:trPr>
        <w:tc>
          <w:tcPr>
            <w:tcW w:w="41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164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0A0A0A"/>
              </w:rPr>
              <w:t>21,554</w:t>
            </w:r>
          </w:p>
        </w:tc>
        <w:tc>
          <w:tcPr>
            <w:tcW w:w="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0A0A0A"/>
              </w:rPr>
              <w:t>14,354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50.2</w:t>
            </w:r>
          </w:p>
        </w:tc>
        <w:tc>
          <w:tcPr>
            <w:tcW w:w="20" w:type="dxa"/>
            <w:vAlign w:val="bottom"/>
          </w:tcPr>
          <w:p>
            <w:pPr>
              <w:spacing w:after="0"/>
              <w:rPr>
                <w:sz w:val="18"/>
                <w:szCs w:val="18"/>
                <w:color w:val="auto"/>
              </w:rPr>
            </w:pPr>
          </w:p>
        </w:tc>
      </w:tr>
      <w:tr>
        <w:trPr>
          <w:trHeight w:val="196"/>
        </w:trPr>
        <w:tc>
          <w:tcPr>
            <w:tcW w:w="41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Expenses</w:t>
            </w:r>
          </w:p>
        </w:tc>
        <w:tc>
          <w:tcPr>
            <w:tcW w:w="164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200" w:type="dxa"/>
            <w:vAlign w:val="bottom"/>
            <w:tcBorders>
              <w:bottom w:val="single" w:sz="8" w:color="auto"/>
            </w:tcBorders>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161,685</w:t>
            </w:r>
          </w:p>
        </w:tc>
        <w:tc>
          <w:tcPr>
            <w:tcW w:w="840" w:type="dxa"/>
            <w:vAlign w:val="bottom"/>
            <w:tcBorders>
              <w:bottom w:val="single" w:sz="8" w:color="auto"/>
            </w:tcBorders>
            <w:shd w:val="clear" w:color="auto" w:fill="C6F4F9"/>
          </w:tcPr>
          <w:p>
            <w:pPr>
              <w:spacing w:after="0"/>
              <w:rPr>
                <w:sz w:val="17"/>
                <w:szCs w:val="17"/>
                <w:color w:val="auto"/>
              </w:rPr>
            </w:pPr>
          </w:p>
        </w:tc>
        <w:tc>
          <w:tcPr>
            <w:tcW w:w="1840" w:type="dxa"/>
            <w:vAlign w:val="bottom"/>
            <w:tcBorders>
              <w:bottom w:val="single" w:sz="8" w:color="auto"/>
            </w:tcBorders>
            <w:shd w:val="clear" w:color="auto" w:fill="C6F4F9"/>
          </w:tcPr>
          <w:p>
            <w:pPr>
              <w:jc w:val="right"/>
              <w:ind w:right="671"/>
              <w:spacing w:after="0" w:line="196" w:lineRule="exact"/>
              <w:rPr>
                <w:sz w:val="20"/>
                <w:szCs w:val="20"/>
                <w:color w:val="auto"/>
              </w:rPr>
            </w:pPr>
            <w:r>
              <w:rPr>
                <w:rFonts w:ascii="Arial" w:cs="Arial" w:eastAsia="Arial" w:hAnsi="Arial"/>
                <w:sz w:val="18"/>
                <w:szCs w:val="18"/>
                <w:color w:val="0A0A0A"/>
              </w:rPr>
              <w:t>112,234</w:t>
            </w:r>
          </w:p>
        </w:tc>
        <w:tc>
          <w:tcPr>
            <w:tcW w:w="134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44.1</w:t>
            </w:r>
          </w:p>
        </w:tc>
        <w:tc>
          <w:tcPr>
            <w:tcW w:w="20" w:type="dxa"/>
            <w:vAlign w:val="bottom"/>
          </w:tcPr>
          <w:p>
            <w:pPr>
              <w:spacing w:after="0"/>
              <w:rPr>
                <w:sz w:val="17"/>
                <w:szCs w:val="17"/>
                <w:color w:val="auto"/>
              </w:rPr>
            </w:pPr>
          </w:p>
        </w:tc>
      </w:tr>
      <w:tr>
        <w:trPr>
          <w:trHeight w:val="196"/>
        </w:trPr>
        <w:tc>
          <w:tcPr>
            <w:tcW w:w="410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Operating Income</w:t>
            </w:r>
          </w:p>
        </w:tc>
        <w:tc>
          <w:tcPr>
            <w:tcW w:w="164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0A0A0A"/>
              </w:rPr>
              <w:t>10,867</w:t>
            </w:r>
          </w:p>
        </w:tc>
        <w:tc>
          <w:tcPr>
            <w:tcW w:w="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11"/>
              <w:spacing w:after="0" w:line="196" w:lineRule="exact"/>
              <w:rPr>
                <w:sz w:val="20"/>
                <w:szCs w:val="20"/>
                <w:color w:val="auto"/>
              </w:rPr>
            </w:pPr>
            <w:r>
              <w:rPr>
                <w:rFonts w:ascii="Arial" w:cs="Arial" w:eastAsia="Arial" w:hAnsi="Arial"/>
                <w:sz w:val="18"/>
                <w:szCs w:val="18"/>
                <w:color w:val="0A0A0A"/>
              </w:rPr>
              <w:t>(4,428)</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196"/>
        </w:trPr>
        <w:tc>
          <w:tcPr>
            <w:tcW w:w="4100" w:type="dxa"/>
            <w:vAlign w:val="bottom"/>
            <w:shd w:val="clear" w:color="auto" w:fill="C6F4F9"/>
          </w:tcPr>
          <w:p>
            <w:pPr>
              <w:spacing w:after="0"/>
              <w:rPr>
                <w:sz w:val="17"/>
                <w:szCs w:val="17"/>
                <w:color w:val="auto"/>
              </w:rPr>
            </w:pP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0A0A0A"/>
              </w:rPr>
              <w:t>Non-operating Income (Expense):</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Income</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33</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37</w:t>
            </w:r>
          </w:p>
        </w:tc>
        <w:tc>
          <w:tcPr>
            <w:tcW w:w="13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(10.8)</w:t>
            </w: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Interest Expense</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(6,840)</w:t>
            </w:r>
          </w:p>
        </w:tc>
        <w:tc>
          <w:tcPr>
            <w:tcW w:w="840" w:type="dxa"/>
            <w:vAlign w:val="bottom"/>
          </w:tcPr>
          <w:p>
            <w:pPr>
              <w:spacing w:after="0"/>
              <w:rPr>
                <w:sz w:val="17"/>
                <w:szCs w:val="17"/>
                <w:color w:val="auto"/>
              </w:rPr>
            </w:pPr>
          </w:p>
        </w:tc>
        <w:tc>
          <w:tcPr>
            <w:tcW w:w="1840" w:type="dxa"/>
            <w:vAlign w:val="bottom"/>
          </w:tcPr>
          <w:p>
            <w:pPr>
              <w:jc w:val="right"/>
              <w:ind w:right="611"/>
              <w:spacing w:after="0" w:line="202" w:lineRule="exact"/>
              <w:rPr>
                <w:sz w:val="20"/>
                <w:szCs w:val="20"/>
                <w:color w:val="auto"/>
              </w:rPr>
            </w:pPr>
            <w:r>
              <w:rPr>
                <w:rFonts w:ascii="Arial" w:cs="Arial" w:eastAsia="Arial" w:hAnsi="Arial"/>
                <w:sz w:val="18"/>
                <w:szCs w:val="18"/>
                <w:color w:val="0A0A0A"/>
              </w:rPr>
              <w:t>(5,858)</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16.8</w:t>
            </w:r>
          </w:p>
        </w:tc>
        <w:tc>
          <w:tcPr>
            <w:tcW w:w="20" w:type="dxa"/>
            <w:vAlign w:val="bottom"/>
          </w:tcPr>
          <w:p>
            <w:pPr>
              <w:spacing w:after="0"/>
              <w:rPr>
                <w:sz w:val="17"/>
                <w:szCs w:val="17"/>
                <w:color w:val="auto"/>
              </w:rPr>
            </w:pPr>
          </w:p>
        </w:tc>
      </w:tr>
      <w:tr>
        <w:trPr>
          <w:trHeight w:val="216"/>
        </w:trPr>
        <w:tc>
          <w:tcPr>
            <w:tcW w:w="4100" w:type="dxa"/>
            <w:vAlign w:val="bottom"/>
            <w:shd w:val="clear" w:color="auto" w:fill="C6F4F9"/>
          </w:tcPr>
          <w:p>
            <w:pPr>
              <w:spacing w:after="0"/>
              <w:rPr>
                <w:sz w:val="20"/>
                <w:szCs w:val="20"/>
                <w:color w:val="auto"/>
              </w:rPr>
            </w:pPr>
            <w:r>
              <w:rPr>
                <w:rFonts w:ascii="Arial" w:cs="Arial" w:eastAsia="Arial" w:hAnsi="Arial"/>
                <w:sz w:val="18"/>
                <w:szCs w:val="18"/>
                <w:color w:val="0A0A0A"/>
              </w:rPr>
              <w:t>Other, net</w:t>
            </w:r>
          </w:p>
        </w:tc>
        <w:tc>
          <w:tcPr>
            <w:tcW w:w="164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(3,881)</w:t>
            </w:r>
          </w:p>
        </w:tc>
        <w:tc>
          <w:tcPr>
            <w:tcW w:w="840" w:type="dxa"/>
            <w:vAlign w:val="bottom"/>
            <w:tcBorders>
              <w:bottom w:val="single" w:sz="8" w:color="auto"/>
            </w:tcBorders>
            <w:shd w:val="clear" w:color="auto" w:fill="C6F4F9"/>
          </w:tcPr>
          <w:p>
            <w:pPr>
              <w:spacing w:after="0"/>
              <w:rPr>
                <w:sz w:val="18"/>
                <w:szCs w:val="18"/>
                <w:color w:val="auto"/>
              </w:rPr>
            </w:pPr>
          </w:p>
        </w:tc>
        <w:tc>
          <w:tcPr>
            <w:tcW w:w="1840" w:type="dxa"/>
            <w:vAlign w:val="bottom"/>
            <w:tcBorders>
              <w:bottom w:val="single" w:sz="8" w:color="auto"/>
            </w:tcBorders>
            <w:shd w:val="clear" w:color="auto" w:fill="C6F4F9"/>
          </w:tcPr>
          <w:p>
            <w:pPr>
              <w:jc w:val="right"/>
              <w:ind w:right="611"/>
              <w:spacing w:after="0"/>
              <w:rPr>
                <w:sz w:val="20"/>
                <w:szCs w:val="20"/>
                <w:color w:val="auto"/>
              </w:rPr>
            </w:pPr>
            <w:r>
              <w:rPr>
                <w:rFonts w:ascii="Arial" w:cs="Arial" w:eastAsia="Arial" w:hAnsi="Arial"/>
                <w:sz w:val="18"/>
                <w:szCs w:val="18"/>
                <w:color w:val="0A0A0A"/>
              </w:rPr>
              <w:t>(39)</w:t>
            </w:r>
          </w:p>
        </w:tc>
        <w:tc>
          <w:tcPr>
            <w:tcW w:w="13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NM</w:t>
            </w:r>
          </w:p>
        </w:tc>
        <w:tc>
          <w:tcPr>
            <w:tcW w:w="20" w:type="dxa"/>
            <w:vAlign w:val="bottom"/>
          </w:tcPr>
          <w:p>
            <w:pPr>
              <w:spacing w:after="0"/>
              <w:rPr>
                <w:sz w:val="18"/>
                <w:szCs w:val="18"/>
                <w:color w:val="auto"/>
              </w:rPr>
            </w:pPr>
          </w:p>
        </w:tc>
      </w:tr>
      <w:tr>
        <w:trPr>
          <w:trHeight w:val="196"/>
        </w:trPr>
        <w:tc>
          <w:tcPr>
            <w:tcW w:w="4100" w:type="dxa"/>
            <w:vAlign w:val="bottom"/>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0A0A0A"/>
              </w:rPr>
              <w:t>(10,688)</w:t>
            </w:r>
          </w:p>
        </w:tc>
        <w:tc>
          <w:tcPr>
            <w:tcW w:w="840" w:type="dxa"/>
            <w:vAlign w:val="bottom"/>
          </w:tcPr>
          <w:p>
            <w:pPr>
              <w:spacing w:after="0"/>
              <w:rPr>
                <w:sz w:val="17"/>
                <w:szCs w:val="17"/>
                <w:color w:val="auto"/>
              </w:rPr>
            </w:pPr>
          </w:p>
        </w:tc>
        <w:tc>
          <w:tcPr>
            <w:tcW w:w="1840" w:type="dxa"/>
            <w:vAlign w:val="bottom"/>
          </w:tcPr>
          <w:p>
            <w:pPr>
              <w:jc w:val="right"/>
              <w:ind w:right="611"/>
              <w:spacing w:after="0" w:line="196" w:lineRule="exact"/>
              <w:rPr>
                <w:sz w:val="20"/>
                <w:szCs w:val="20"/>
                <w:color w:val="auto"/>
              </w:rPr>
            </w:pPr>
            <w:r>
              <w:rPr>
                <w:rFonts w:ascii="Arial" w:cs="Arial" w:eastAsia="Arial" w:hAnsi="Arial"/>
                <w:sz w:val="18"/>
                <w:szCs w:val="18"/>
                <w:color w:val="0A0A0A"/>
              </w:rPr>
              <w:t>(5,860)</w:t>
            </w: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0A0A0A"/>
              </w:rPr>
              <w:t>82.3</w:t>
            </w:r>
          </w:p>
        </w:tc>
        <w:tc>
          <w:tcPr>
            <w:tcW w:w="20" w:type="dxa"/>
            <w:vAlign w:val="bottom"/>
          </w:tcPr>
          <w:p>
            <w:pPr>
              <w:spacing w:after="0"/>
              <w:rPr>
                <w:sz w:val="17"/>
                <w:szCs w:val="17"/>
                <w:color w:val="auto"/>
              </w:rPr>
            </w:pPr>
          </w:p>
        </w:tc>
      </w:tr>
      <w:tr>
        <w:trPr>
          <w:trHeight w:val="216"/>
        </w:trPr>
        <w:tc>
          <w:tcPr>
            <w:tcW w:w="4100" w:type="dxa"/>
            <w:vAlign w:val="bottom"/>
            <w:shd w:val="clear" w:color="auto" w:fill="C6F4F9"/>
          </w:tcPr>
          <w:p>
            <w:pPr>
              <w:spacing w:after="0"/>
              <w:rPr>
                <w:sz w:val="18"/>
                <w:szCs w:val="18"/>
                <w:color w:val="auto"/>
              </w:rPr>
            </w:pPr>
          </w:p>
        </w:tc>
        <w:tc>
          <w:tcPr>
            <w:tcW w:w="164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spacing w:after="0"/>
              <w:rPr>
                <w:sz w:val="18"/>
                <w:szCs w:val="18"/>
                <w:color w:val="auto"/>
              </w:rPr>
            </w:pPr>
          </w:p>
        </w:tc>
        <w:tc>
          <w:tcPr>
            <w:tcW w:w="840" w:type="dxa"/>
            <w:vAlign w:val="bottom"/>
            <w:tcBorders>
              <w:bottom w:val="single" w:sz="8" w:color="auto"/>
            </w:tcBorders>
            <w:shd w:val="clear" w:color="auto" w:fill="C6F4F9"/>
          </w:tcPr>
          <w:p>
            <w:pPr>
              <w:spacing w:after="0"/>
              <w:rPr>
                <w:sz w:val="18"/>
                <w:szCs w:val="18"/>
                <w:color w:val="auto"/>
              </w:rPr>
            </w:pPr>
          </w:p>
        </w:tc>
        <w:tc>
          <w:tcPr>
            <w:tcW w:w="1840" w:type="dxa"/>
            <w:vAlign w:val="bottom"/>
            <w:tcBorders>
              <w:bottom w:val="single" w:sz="8" w:color="auto"/>
            </w:tcBorders>
            <w:shd w:val="clear" w:color="auto" w:fill="C6F4F9"/>
          </w:tcPr>
          <w:p>
            <w:pPr>
              <w:spacing w:after="0"/>
              <w:rPr>
                <w:sz w:val="18"/>
                <w:szCs w:val="18"/>
                <w:color w:val="auto"/>
              </w:rPr>
            </w:pPr>
          </w:p>
        </w:tc>
        <w:tc>
          <w:tcPr>
            <w:tcW w:w="1340" w:type="dxa"/>
            <w:vAlign w:val="bottom"/>
            <w:tcBorders>
              <w:bottom w:val="single" w:sz="8" w:color="auto"/>
            </w:tcBorders>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10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Income (Loss) before Income Tax</w:t>
            </w:r>
          </w:p>
        </w:tc>
        <w:tc>
          <w:tcPr>
            <w:tcW w:w="164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0A0A0A"/>
              </w:rPr>
              <w:t>178</w:t>
            </w:r>
          </w:p>
        </w:tc>
        <w:tc>
          <w:tcPr>
            <w:tcW w:w="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11"/>
              <w:spacing w:after="0" w:line="196" w:lineRule="exact"/>
              <w:rPr>
                <w:sz w:val="20"/>
                <w:szCs w:val="20"/>
                <w:color w:val="auto"/>
              </w:rPr>
            </w:pPr>
            <w:r>
              <w:rPr>
                <w:rFonts w:ascii="Arial" w:cs="Arial" w:eastAsia="Arial" w:hAnsi="Arial"/>
                <w:sz w:val="18"/>
                <w:szCs w:val="18"/>
                <w:color w:val="0A0A0A"/>
              </w:rPr>
              <w:t>(10,289)</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196"/>
        </w:trPr>
        <w:tc>
          <w:tcPr>
            <w:tcW w:w="41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Income Tax Expense (Benefit)</w:t>
            </w:r>
          </w:p>
        </w:tc>
        <w:tc>
          <w:tcPr>
            <w:tcW w:w="164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200" w:type="dxa"/>
            <w:vAlign w:val="bottom"/>
            <w:tcBorders>
              <w:bottom w:val="single" w:sz="8" w:color="auto"/>
            </w:tcBorders>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781</w:t>
            </w:r>
          </w:p>
        </w:tc>
        <w:tc>
          <w:tcPr>
            <w:tcW w:w="840" w:type="dxa"/>
            <w:vAlign w:val="bottom"/>
            <w:tcBorders>
              <w:bottom w:val="single" w:sz="8" w:color="auto"/>
            </w:tcBorders>
            <w:shd w:val="clear" w:color="auto" w:fill="C6F4F9"/>
          </w:tcPr>
          <w:p>
            <w:pPr>
              <w:spacing w:after="0"/>
              <w:rPr>
                <w:sz w:val="17"/>
                <w:szCs w:val="17"/>
                <w:color w:val="auto"/>
              </w:rPr>
            </w:pPr>
          </w:p>
        </w:tc>
        <w:tc>
          <w:tcPr>
            <w:tcW w:w="1840" w:type="dxa"/>
            <w:vAlign w:val="bottom"/>
            <w:tcBorders>
              <w:bottom w:val="single" w:sz="8" w:color="auto"/>
            </w:tcBorders>
            <w:shd w:val="clear" w:color="auto" w:fill="C6F4F9"/>
          </w:tcPr>
          <w:p>
            <w:pPr>
              <w:jc w:val="right"/>
              <w:ind w:right="611"/>
              <w:spacing w:after="0" w:line="196" w:lineRule="exact"/>
              <w:rPr>
                <w:sz w:val="20"/>
                <w:szCs w:val="20"/>
                <w:color w:val="auto"/>
              </w:rPr>
            </w:pPr>
            <w:r>
              <w:rPr>
                <w:rFonts w:ascii="Arial" w:cs="Arial" w:eastAsia="Arial" w:hAnsi="Arial"/>
                <w:sz w:val="18"/>
                <w:szCs w:val="18"/>
                <w:color w:val="0A0A0A"/>
              </w:rPr>
              <w:t>(2,248)</w:t>
            </w:r>
          </w:p>
        </w:tc>
        <w:tc>
          <w:tcPr>
            <w:tcW w:w="134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49"/>
        </w:trPr>
        <w:tc>
          <w:tcPr>
            <w:tcW w:w="4100" w:type="dxa"/>
            <w:vAlign w:val="bottom"/>
          </w:tcPr>
          <w:p>
            <w:pPr>
              <w:spacing w:after="0" w:line="197" w:lineRule="exact"/>
              <w:rPr>
                <w:sz w:val="20"/>
                <w:szCs w:val="20"/>
                <w:color w:val="auto"/>
              </w:rPr>
            </w:pPr>
            <w:r>
              <w:rPr>
                <w:rFonts w:ascii="Arial" w:cs="Arial" w:eastAsia="Arial" w:hAnsi="Arial"/>
                <w:sz w:val="18"/>
                <w:szCs w:val="18"/>
                <w:color w:val="0A0A0A"/>
              </w:rPr>
              <w:t>Net Loss</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0A0A0A"/>
              </w:rPr>
              <w:t>$</w:t>
            </w:r>
          </w:p>
        </w:tc>
        <w:tc>
          <w:tcPr>
            <w:tcW w:w="1200" w:type="dxa"/>
            <w:vAlign w:val="bottom"/>
          </w:tcPr>
          <w:p>
            <w:pPr>
              <w:jc w:val="right"/>
              <w:spacing w:after="0"/>
              <w:rPr>
                <w:sz w:val="20"/>
                <w:szCs w:val="20"/>
                <w:color w:val="auto"/>
              </w:rPr>
            </w:pPr>
            <w:r>
              <w:rPr>
                <w:rFonts w:ascii="Arial" w:cs="Arial" w:eastAsia="Arial" w:hAnsi="Arial"/>
                <w:sz w:val="18"/>
                <w:szCs w:val="18"/>
                <w:color w:val="0A0A0A"/>
              </w:rPr>
              <w:t>(602)</w:t>
            </w:r>
          </w:p>
        </w:tc>
        <w:tc>
          <w:tcPr>
            <w:tcW w:w="840" w:type="dxa"/>
            <w:vAlign w:val="bottom"/>
          </w:tcPr>
          <w:p>
            <w:pPr>
              <w:jc w:val="right"/>
              <w:ind w:right="70"/>
              <w:spacing w:after="0"/>
              <w:rPr>
                <w:sz w:val="20"/>
                <w:szCs w:val="20"/>
                <w:color w:val="auto"/>
              </w:rPr>
            </w:pPr>
            <w:r>
              <w:rPr>
                <w:rFonts w:ascii="Arial" w:cs="Arial" w:eastAsia="Arial" w:hAnsi="Arial"/>
                <w:sz w:val="18"/>
                <w:szCs w:val="18"/>
                <w:color w:val="0A0A0A"/>
              </w:rPr>
              <w:t>$</w:t>
            </w:r>
          </w:p>
        </w:tc>
        <w:tc>
          <w:tcPr>
            <w:tcW w:w="1840" w:type="dxa"/>
            <w:vAlign w:val="bottom"/>
          </w:tcPr>
          <w:p>
            <w:pPr>
              <w:jc w:val="right"/>
              <w:ind w:right="611"/>
              <w:spacing w:after="0"/>
              <w:rPr>
                <w:sz w:val="20"/>
                <w:szCs w:val="20"/>
                <w:color w:val="auto"/>
              </w:rPr>
            </w:pPr>
            <w:r>
              <w:rPr>
                <w:rFonts w:ascii="Arial" w:cs="Arial" w:eastAsia="Arial" w:hAnsi="Arial"/>
                <w:sz w:val="18"/>
                <w:szCs w:val="18"/>
                <w:color w:val="0A0A0A"/>
              </w:rPr>
              <w:t>(8,042)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0A0A0A"/>
              </w:rPr>
              <w:t>NM</w:t>
            </w:r>
          </w:p>
        </w:tc>
      </w:tr>
      <w:tr>
        <w:trPr>
          <w:trHeight w:val="183"/>
        </w:trPr>
        <w:tc>
          <w:tcPr>
            <w:tcW w:w="4100" w:type="dxa"/>
            <w:vAlign w:val="bottom"/>
            <w:tcBorders>
              <w:top w:val="single" w:sz="8" w:color="C6F4F9"/>
            </w:tcBorders>
            <w:shd w:val="clear" w:color="auto" w:fill="C6F4F9"/>
          </w:tcPr>
          <w:p>
            <w:pPr>
              <w:spacing w:after="0"/>
              <w:rPr>
                <w:sz w:val="15"/>
                <w:szCs w:val="15"/>
                <w:color w:val="auto"/>
              </w:rPr>
            </w:pPr>
          </w:p>
        </w:tc>
        <w:tc>
          <w:tcPr>
            <w:tcW w:w="1640" w:type="dxa"/>
            <w:vAlign w:val="bottom"/>
            <w:tcBorders>
              <w:top w:val="single" w:sz="8" w:color="C6F4F9"/>
            </w:tcBorders>
            <w:shd w:val="clear" w:color="auto" w:fill="C6F4F9"/>
          </w:tcPr>
          <w:p>
            <w:pPr>
              <w:spacing w:after="0"/>
              <w:rPr>
                <w:sz w:val="15"/>
                <w:szCs w:val="15"/>
                <w:color w:val="auto"/>
              </w:rPr>
            </w:pPr>
          </w:p>
        </w:tc>
        <w:tc>
          <w:tcPr>
            <w:tcW w:w="280" w:type="dxa"/>
            <w:vAlign w:val="bottom"/>
            <w:tcBorders>
              <w:top w:val="single" w:sz="8" w:color="auto"/>
            </w:tcBorders>
            <w:shd w:val="clear" w:color="auto" w:fill="C6F4F9"/>
          </w:tcPr>
          <w:p>
            <w:pPr>
              <w:spacing w:after="0"/>
              <w:rPr>
                <w:sz w:val="15"/>
                <w:szCs w:val="15"/>
                <w:color w:val="auto"/>
              </w:rPr>
            </w:pPr>
          </w:p>
        </w:tc>
        <w:tc>
          <w:tcPr>
            <w:tcW w:w="1200" w:type="dxa"/>
            <w:vAlign w:val="bottom"/>
            <w:tcBorders>
              <w:top w:val="single" w:sz="8" w:color="auto"/>
            </w:tcBorders>
            <w:shd w:val="clear" w:color="auto" w:fill="C6F4F9"/>
          </w:tcPr>
          <w:p>
            <w:pPr>
              <w:spacing w:after="0"/>
              <w:rPr>
                <w:sz w:val="15"/>
                <w:szCs w:val="15"/>
                <w:color w:val="auto"/>
              </w:rPr>
            </w:pPr>
          </w:p>
        </w:tc>
        <w:tc>
          <w:tcPr>
            <w:tcW w:w="840" w:type="dxa"/>
            <w:vAlign w:val="bottom"/>
            <w:tcBorders>
              <w:top w:val="single" w:sz="8" w:color="auto"/>
            </w:tcBorders>
            <w:shd w:val="clear" w:color="auto" w:fill="C6F4F9"/>
          </w:tcPr>
          <w:p>
            <w:pPr>
              <w:spacing w:after="0"/>
              <w:rPr>
                <w:sz w:val="15"/>
                <w:szCs w:val="15"/>
                <w:color w:val="auto"/>
              </w:rPr>
            </w:pPr>
          </w:p>
        </w:tc>
        <w:tc>
          <w:tcPr>
            <w:tcW w:w="1840" w:type="dxa"/>
            <w:vAlign w:val="bottom"/>
            <w:tcBorders>
              <w:top w:val="single" w:sz="8" w:color="auto"/>
            </w:tcBorders>
            <w:shd w:val="clear" w:color="auto" w:fill="C6F4F9"/>
          </w:tcPr>
          <w:p>
            <w:pPr>
              <w:spacing w:after="0"/>
              <w:rPr>
                <w:sz w:val="15"/>
                <w:szCs w:val="15"/>
                <w:color w:val="auto"/>
              </w:rPr>
            </w:pPr>
          </w:p>
        </w:tc>
        <w:tc>
          <w:tcPr>
            <w:tcW w:w="1340" w:type="dxa"/>
            <w:vAlign w:val="bottom"/>
            <w:tcBorders>
              <w:top w:val="single" w:sz="8" w:color="auto"/>
            </w:tcBorders>
            <w:shd w:val="clear" w:color="auto" w:fill="C6F4F9"/>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Net Loss per share to common stockholders:</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1920" w:type="dxa"/>
            <w:vAlign w:val="bottom"/>
            <w:gridSpan w:val="2"/>
            <w:shd w:val="clear" w:color="auto" w:fill="C6F4F9"/>
          </w:tcPr>
          <w:p>
            <w:pPr>
              <w:jc w:val="right"/>
              <w:ind w:right="180"/>
              <w:spacing w:after="0" w:line="202" w:lineRule="exact"/>
              <w:rPr>
                <w:sz w:val="20"/>
                <w:szCs w:val="20"/>
                <w:color w:val="auto"/>
              </w:rPr>
            </w:pPr>
            <w:r>
              <w:rPr>
                <w:rFonts w:ascii="Arial" w:cs="Arial" w:eastAsia="Arial" w:hAnsi="Arial"/>
                <w:sz w:val="18"/>
                <w:szCs w:val="18"/>
                <w:color w:val="0A0A0A"/>
              </w:rPr>
              <w:t>$</w:t>
            </w:r>
          </w:p>
        </w:tc>
        <w:tc>
          <w:tcPr>
            <w:tcW w:w="12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(0.01)</w:t>
            </w:r>
          </w:p>
        </w:tc>
        <w:tc>
          <w:tcPr>
            <w:tcW w:w="84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840" w:type="dxa"/>
            <w:vAlign w:val="bottom"/>
            <w:shd w:val="clear" w:color="auto" w:fill="C6F4F9"/>
          </w:tcPr>
          <w:p>
            <w:pPr>
              <w:jc w:val="right"/>
              <w:ind w:right="611"/>
              <w:spacing w:after="0" w:line="202" w:lineRule="exact"/>
              <w:rPr>
                <w:sz w:val="20"/>
                <w:szCs w:val="20"/>
                <w:color w:val="auto"/>
              </w:rPr>
            </w:pPr>
            <w:r>
              <w:rPr>
                <w:rFonts w:ascii="Arial" w:cs="Arial" w:eastAsia="Arial" w:hAnsi="Arial"/>
                <w:sz w:val="18"/>
                <w:szCs w:val="18"/>
                <w:color w:val="0A0A0A"/>
              </w:rPr>
              <w:t>(0.17)</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02"/>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Diluted</w:t>
            </w:r>
          </w:p>
        </w:tc>
        <w:tc>
          <w:tcPr>
            <w:tcW w:w="1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0A0A0A"/>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(0.01)</w:t>
            </w: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840" w:type="dxa"/>
            <w:vAlign w:val="bottom"/>
          </w:tcPr>
          <w:p>
            <w:pPr>
              <w:jc w:val="right"/>
              <w:ind w:right="611"/>
              <w:spacing w:after="0" w:line="202" w:lineRule="exact"/>
              <w:rPr>
                <w:sz w:val="20"/>
                <w:szCs w:val="20"/>
                <w:color w:val="auto"/>
              </w:rPr>
            </w:pPr>
            <w:r>
              <w:rPr>
                <w:rFonts w:ascii="Arial" w:cs="Arial" w:eastAsia="Arial" w:hAnsi="Arial"/>
                <w:sz w:val="18"/>
                <w:szCs w:val="18"/>
                <w:color w:val="0A0A0A"/>
              </w:rPr>
              <w:t>(0.17)</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57,712,097</w:t>
            </w:r>
          </w:p>
        </w:tc>
        <w:tc>
          <w:tcPr>
            <w:tcW w:w="840" w:type="dxa"/>
            <w:vAlign w:val="bottom"/>
          </w:tcPr>
          <w:p>
            <w:pPr>
              <w:spacing w:after="0"/>
              <w:rPr>
                <w:sz w:val="17"/>
                <w:szCs w:val="17"/>
                <w:color w:val="auto"/>
              </w:rPr>
            </w:pPr>
          </w:p>
        </w:tc>
        <w:tc>
          <w:tcPr>
            <w:tcW w:w="1840" w:type="dxa"/>
            <w:vAlign w:val="bottom"/>
          </w:tcPr>
          <w:p>
            <w:pPr>
              <w:jc w:val="right"/>
              <w:ind w:right="671"/>
              <w:spacing w:after="0" w:line="202" w:lineRule="exact"/>
              <w:rPr>
                <w:sz w:val="20"/>
                <w:szCs w:val="20"/>
                <w:color w:val="auto"/>
              </w:rPr>
            </w:pPr>
            <w:r>
              <w:rPr>
                <w:rFonts w:ascii="Arial" w:cs="Arial" w:eastAsia="Arial" w:hAnsi="Arial"/>
                <w:sz w:val="18"/>
                <w:szCs w:val="18"/>
                <w:color w:val="0A0A0A"/>
              </w:rPr>
              <w:t>46,806,317</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23.3</w:t>
            </w:r>
          </w:p>
        </w:tc>
        <w:tc>
          <w:tcPr>
            <w:tcW w:w="20" w:type="dxa"/>
            <w:vAlign w:val="bottom"/>
          </w:tcPr>
          <w:p>
            <w:pPr>
              <w:spacing w:after="0"/>
              <w:rPr>
                <w:sz w:val="17"/>
                <w:szCs w:val="17"/>
                <w:color w:val="auto"/>
              </w:rPr>
            </w:pPr>
          </w:p>
        </w:tc>
      </w:tr>
      <w:tr>
        <w:trPr>
          <w:trHeight w:val="203"/>
        </w:trPr>
        <w:tc>
          <w:tcPr>
            <w:tcW w:w="41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16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57,712,097</w:t>
            </w:r>
          </w:p>
        </w:tc>
        <w:tc>
          <w:tcPr>
            <w:tcW w:w="840" w:type="dxa"/>
            <w:vAlign w:val="bottom"/>
            <w:shd w:val="clear" w:color="auto" w:fill="C6F4F9"/>
          </w:tcPr>
          <w:p>
            <w:pPr>
              <w:spacing w:after="0"/>
              <w:rPr>
                <w:sz w:val="17"/>
                <w:szCs w:val="17"/>
                <w:color w:val="auto"/>
              </w:rPr>
            </w:pPr>
          </w:p>
        </w:tc>
        <w:tc>
          <w:tcPr>
            <w:tcW w:w="1840" w:type="dxa"/>
            <w:vAlign w:val="bottom"/>
            <w:shd w:val="clear" w:color="auto" w:fill="C6F4F9"/>
          </w:tcPr>
          <w:p>
            <w:pPr>
              <w:jc w:val="right"/>
              <w:ind w:right="671"/>
              <w:spacing w:after="0" w:line="202" w:lineRule="exact"/>
              <w:rPr>
                <w:sz w:val="20"/>
                <w:szCs w:val="20"/>
                <w:color w:val="auto"/>
              </w:rPr>
            </w:pPr>
            <w:r>
              <w:rPr>
                <w:rFonts w:ascii="Arial" w:cs="Arial" w:eastAsia="Arial" w:hAnsi="Arial"/>
                <w:sz w:val="18"/>
                <w:szCs w:val="18"/>
                <w:color w:val="0A0A0A"/>
              </w:rPr>
              <w:t>46,806,317</w:t>
            </w:r>
          </w:p>
        </w:tc>
        <w:tc>
          <w:tcPr>
            <w:tcW w:w="13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23.3</w:t>
            </w:r>
          </w:p>
        </w:tc>
        <w:tc>
          <w:tcPr>
            <w:tcW w:w="20" w:type="dxa"/>
            <w:vAlign w:val="bottom"/>
          </w:tcPr>
          <w:p>
            <w:pPr>
              <w:spacing w:after="0"/>
              <w:rPr>
                <w:sz w:val="17"/>
                <w:szCs w:val="17"/>
                <w:color w:val="auto"/>
              </w:rPr>
            </w:pPr>
          </w:p>
        </w:tc>
      </w:tr>
      <w:tr>
        <w:trPr>
          <w:trHeight w:val="777"/>
        </w:trPr>
        <w:tc>
          <w:tcPr>
            <w:tcW w:w="4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Page 6</w:t>
            </w: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34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gridSpan w:val="2"/>
          </w:tcPr>
          <w:p>
            <w:pPr>
              <w:jc w:val="right"/>
              <w:ind w:right="51"/>
              <w:spacing w:after="0"/>
              <w:rPr>
                <w:sz w:val="20"/>
                <w:szCs w:val="20"/>
                <w:color w:val="auto"/>
              </w:rPr>
            </w:pPr>
            <w:r>
              <w:rPr>
                <w:rFonts w:ascii="Arial" w:cs="Arial" w:eastAsia="Arial" w:hAnsi="Arial"/>
                <w:sz w:val="18"/>
                <w:szCs w:val="18"/>
                <w:b w:val="1"/>
                <w:bCs w:val="1"/>
                <w:color w:val="0A0A0A"/>
                <w:w w:val="99"/>
              </w:rPr>
              <w:t>Twelve Months Ended Dec 31,</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0A0A0A"/>
              </w:rPr>
              <w:t>2021</w:t>
            </w:r>
          </w:p>
        </w:tc>
        <w:tc>
          <w:tcPr>
            <w:tcW w:w="860" w:type="dxa"/>
            <w:vAlign w:val="bottom"/>
          </w:tcPr>
          <w:p>
            <w:pPr>
              <w:spacing w:after="0"/>
              <w:rPr>
                <w:sz w:val="19"/>
                <w:szCs w:val="19"/>
                <w:color w:val="auto"/>
              </w:rPr>
            </w:pPr>
          </w:p>
        </w:tc>
        <w:tc>
          <w:tcPr>
            <w:tcW w:w="1860" w:type="dxa"/>
            <w:vAlign w:val="bottom"/>
          </w:tcPr>
          <w:p>
            <w:pPr>
              <w:jc w:val="right"/>
              <w:ind w:right="1111"/>
              <w:spacing w:after="0"/>
              <w:rPr>
                <w:sz w:val="20"/>
                <w:szCs w:val="20"/>
                <w:color w:val="auto"/>
              </w:rPr>
            </w:pPr>
            <w:r>
              <w:rPr>
                <w:rFonts w:ascii="Arial" w:cs="Arial" w:eastAsia="Arial" w:hAnsi="Arial"/>
                <w:sz w:val="18"/>
                <w:szCs w:val="18"/>
                <w:b w:val="1"/>
                <w:bCs w:val="1"/>
                <w:color w:val="0A0A0A"/>
              </w:rPr>
              <w:t>2020</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0A0A0A"/>
              </w:rPr>
              <w:t>% Change</w:t>
            </w:r>
          </w:p>
        </w:tc>
      </w:tr>
      <w:tr>
        <w:trPr>
          <w:trHeight w:val="196"/>
        </w:trPr>
        <w:tc>
          <w:tcPr>
            <w:tcW w:w="44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8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spacing w:after="0"/>
              <w:rPr>
                <w:sz w:val="17"/>
                <w:szCs w:val="17"/>
                <w:color w:val="auto"/>
              </w:rPr>
            </w:pP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Scheduled Service</w:t>
            </w: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0A0A0A"/>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279,377</w:t>
            </w: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193,047</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44.7</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Charter Service</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127,331</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98,130</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29.8</w:t>
            </w:r>
          </w:p>
        </w:tc>
        <w:tc>
          <w:tcPr>
            <w:tcW w:w="20" w:type="dxa"/>
            <w:vAlign w:val="bottom"/>
          </w:tcPr>
          <w:p>
            <w:pPr>
              <w:spacing w:after="0"/>
              <w:rPr>
                <w:sz w:val="17"/>
                <w:szCs w:val="17"/>
                <w:color w:val="auto"/>
              </w:rPr>
            </w:pPr>
          </w:p>
        </w:tc>
      </w:tr>
      <w:tr>
        <w:trPr>
          <w:trHeight w:val="216"/>
        </w:trPr>
        <w:tc>
          <w:tcPr>
            <w:tcW w:w="44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Ancillary</w:t>
            </w:r>
          </w:p>
        </w:tc>
        <w:tc>
          <w:tcPr>
            <w:tcW w:w="126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117,237</w:t>
            </w:r>
          </w:p>
        </w:tc>
        <w:tc>
          <w:tcPr>
            <w:tcW w:w="8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0A0A0A"/>
              </w:rPr>
              <w:t>68,055</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72.3</w:t>
            </w:r>
          </w:p>
        </w:tc>
        <w:tc>
          <w:tcPr>
            <w:tcW w:w="20" w:type="dxa"/>
            <w:vAlign w:val="bottom"/>
          </w:tcPr>
          <w:p>
            <w:pPr>
              <w:spacing w:after="0"/>
              <w:rPr>
                <w:sz w:val="18"/>
                <w:szCs w:val="18"/>
                <w:color w:val="auto"/>
              </w:rPr>
            </w:pPr>
          </w:p>
        </w:tc>
      </w:tr>
      <w:tr>
        <w:trPr>
          <w:trHeight w:val="196"/>
        </w:trPr>
        <w:tc>
          <w:tcPr>
            <w:tcW w:w="44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Passenger</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523,945</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196" w:lineRule="exact"/>
              <w:rPr>
                <w:sz w:val="20"/>
                <w:szCs w:val="20"/>
                <w:color w:val="auto"/>
              </w:rPr>
            </w:pPr>
            <w:r>
              <w:rPr>
                <w:rFonts w:ascii="Arial" w:cs="Arial" w:eastAsia="Arial" w:hAnsi="Arial"/>
                <w:sz w:val="18"/>
                <w:szCs w:val="18"/>
                <w:color w:val="0A0A0A"/>
              </w:rPr>
              <w:t>359,232</w:t>
            </w:r>
          </w:p>
        </w:tc>
        <w:tc>
          <w:tcPr>
            <w:tcW w:w="13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45.9</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Cargo</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91,428</w:t>
            </w:r>
          </w:p>
        </w:tc>
        <w:tc>
          <w:tcPr>
            <w:tcW w:w="860" w:type="dxa"/>
            <w:vAlign w:val="bottom"/>
          </w:tcPr>
          <w:p>
            <w:pPr>
              <w:spacing w:after="0"/>
              <w:rPr>
                <w:sz w:val="17"/>
                <w:szCs w:val="17"/>
                <w:color w:val="auto"/>
              </w:rPr>
            </w:pP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36,809</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148.4</w:t>
            </w:r>
          </w:p>
        </w:tc>
        <w:tc>
          <w:tcPr>
            <w:tcW w:w="20" w:type="dxa"/>
            <w:vAlign w:val="bottom"/>
          </w:tcPr>
          <w:p>
            <w:pPr>
              <w:spacing w:after="0"/>
              <w:rPr>
                <w:sz w:val="17"/>
                <w:szCs w:val="17"/>
                <w:color w:val="auto"/>
              </w:rPr>
            </w:pPr>
          </w:p>
        </w:tc>
      </w:tr>
      <w:tr>
        <w:trPr>
          <w:trHeight w:val="216"/>
        </w:trPr>
        <w:tc>
          <w:tcPr>
            <w:tcW w:w="448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126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18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7,642</w:t>
            </w:r>
          </w:p>
        </w:tc>
        <w:tc>
          <w:tcPr>
            <w:tcW w:w="860" w:type="dxa"/>
            <w:vAlign w:val="bottom"/>
            <w:tcBorders>
              <w:bottom w:val="single" w:sz="8" w:color="auto"/>
            </w:tcBorders>
            <w:shd w:val="clear" w:color="auto" w:fill="C6F4F9"/>
          </w:tcPr>
          <w:p>
            <w:pPr>
              <w:spacing w:after="0"/>
              <w:rPr>
                <w:sz w:val="18"/>
                <w:szCs w:val="18"/>
                <w:color w:val="auto"/>
              </w:rPr>
            </w:pPr>
          </w:p>
        </w:tc>
        <w:tc>
          <w:tcPr>
            <w:tcW w:w="1860" w:type="dxa"/>
            <w:vAlign w:val="bottom"/>
            <w:tcBorders>
              <w:bottom w:val="single" w:sz="8" w:color="auto"/>
            </w:tcBorders>
            <w:shd w:val="clear" w:color="auto" w:fill="C6F4F9"/>
          </w:tcPr>
          <w:p>
            <w:pPr>
              <w:jc w:val="right"/>
              <w:ind w:right="691"/>
              <w:spacing w:after="0"/>
              <w:rPr>
                <w:sz w:val="20"/>
                <w:szCs w:val="20"/>
                <w:color w:val="auto"/>
              </w:rPr>
            </w:pPr>
            <w:r>
              <w:rPr>
                <w:rFonts w:ascii="Arial" w:cs="Arial" w:eastAsia="Arial" w:hAnsi="Arial"/>
                <w:sz w:val="18"/>
                <w:szCs w:val="18"/>
                <w:color w:val="0A0A0A"/>
              </w:rPr>
              <w:t>5,445</w:t>
            </w:r>
          </w:p>
        </w:tc>
        <w:tc>
          <w:tcPr>
            <w:tcW w:w="13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40.3</w:t>
            </w:r>
          </w:p>
        </w:tc>
        <w:tc>
          <w:tcPr>
            <w:tcW w:w="20" w:type="dxa"/>
            <w:vAlign w:val="bottom"/>
          </w:tcPr>
          <w:p>
            <w:pPr>
              <w:spacing w:after="0"/>
              <w:rPr>
                <w:sz w:val="18"/>
                <w:szCs w:val="18"/>
                <w:color w:val="auto"/>
              </w:rPr>
            </w:pPr>
          </w:p>
        </w:tc>
      </w:tr>
      <w:tr>
        <w:trPr>
          <w:trHeight w:val="196"/>
        </w:trPr>
        <w:tc>
          <w:tcPr>
            <w:tcW w:w="44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Total Operating Revenue</w:t>
            </w:r>
          </w:p>
        </w:tc>
        <w:tc>
          <w:tcPr>
            <w:tcW w:w="126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623,015</w:t>
            </w:r>
          </w:p>
        </w:tc>
        <w:tc>
          <w:tcPr>
            <w:tcW w:w="8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91"/>
              <w:spacing w:after="0" w:line="196" w:lineRule="exact"/>
              <w:rPr>
                <w:sz w:val="20"/>
                <w:szCs w:val="20"/>
                <w:color w:val="auto"/>
              </w:rPr>
            </w:pPr>
            <w:r>
              <w:rPr>
                <w:rFonts w:ascii="Arial" w:cs="Arial" w:eastAsia="Arial" w:hAnsi="Arial"/>
                <w:sz w:val="18"/>
                <w:szCs w:val="18"/>
                <w:color w:val="0A0A0A"/>
              </w:rPr>
              <w:t>401,486</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55.2</w:t>
            </w:r>
          </w:p>
        </w:tc>
        <w:tc>
          <w:tcPr>
            <w:tcW w:w="20" w:type="dxa"/>
            <w:vAlign w:val="bottom"/>
          </w:tcPr>
          <w:p>
            <w:pPr>
              <w:spacing w:after="0"/>
              <w:rPr>
                <w:sz w:val="17"/>
                <w:szCs w:val="17"/>
                <w:color w:val="auto"/>
              </w:rPr>
            </w:pPr>
          </w:p>
        </w:tc>
      </w:tr>
      <w:tr>
        <w:trPr>
          <w:trHeight w:val="196"/>
        </w:trPr>
        <w:tc>
          <w:tcPr>
            <w:tcW w:w="4480" w:type="dxa"/>
            <w:vAlign w:val="bottom"/>
            <w:shd w:val="clear" w:color="auto" w:fill="C6F4F9"/>
          </w:tcPr>
          <w:p>
            <w:pPr>
              <w:spacing w:after="0"/>
              <w:rPr>
                <w:sz w:val="17"/>
                <w:szCs w:val="17"/>
                <w:color w:val="auto"/>
              </w:rPr>
            </w:pP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spacing w:after="0"/>
              <w:rPr>
                <w:sz w:val="17"/>
                <w:szCs w:val="17"/>
                <w:color w:val="auto"/>
              </w:rPr>
            </w:pP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b w:val="1"/>
                <w:bCs w:val="1"/>
                <w:color w:val="0A0A0A"/>
              </w:rPr>
              <w:t>Operating Expenses: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129,110</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83,392</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54.8</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178,207</w:t>
            </w:r>
          </w:p>
        </w:tc>
        <w:tc>
          <w:tcPr>
            <w:tcW w:w="860" w:type="dxa"/>
            <w:vAlign w:val="bottom"/>
          </w:tcPr>
          <w:p>
            <w:pPr>
              <w:spacing w:after="0"/>
              <w:rPr>
                <w:sz w:val="17"/>
                <w:szCs w:val="17"/>
                <w:color w:val="auto"/>
              </w:rPr>
            </w:pP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141,641</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25.8</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17,653</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30,989</w:t>
            </w:r>
          </w:p>
        </w:tc>
        <w:tc>
          <w:tcPr>
            <w:tcW w:w="13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(43.0)</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40,095</w:t>
            </w:r>
          </w:p>
        </w:tc>
        <w:tc>
          <w:tcPr>
            <w:tcW w:w="860" w:type="dxa"/>
            <w:vAlign w:val="bottom"/>
          </w:tcPr>
          <w:p>
            <w:pPr>
              <w:spacing w:after="0"/>
              <w:rPr>
                <w:sz w:val="17"/>
                <w:szCs w:val="17"/>
                <w:color w:val="auto"/>
              </w:rPr>
            </w:pP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27,416</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46.2</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22,060</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16,570</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33.1</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55,019</w:t>
            </w:r>
          </w:p>
        </w:tc>
        <w:tc>
          <w:tcPr>
            <w:tcW w:w="860" w:type="dxa"/>
            <w:vAlign w:val="bottom"/>
          </w:tcPr>
          <w:p>
            <w:pPr>
              <w:spacing w:after="0"/>
              <w:rPr>
                <w:sz w:val="17"/>
                <w:szCs w:val="17"/>
                <w:color w:val="auto"/>
              </w:rPr>
            </w:pP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48,086</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14.4</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26,981</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20,596</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31.0</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40,726</w:t>
            </w:r>
          </w:p>
        </w:tc>
        <w:tc>
          <w:tcPr>
            <w:tcW w:w="860" w:type="dxa"/>
            <w:vAlign w:val="bottom"/>
          </w:tcPr>
          <w:p>
            <w:pPr>
              <w:spacing w:after="0"/>
              <w:rPr>
                <w:sz w:val="17"/>
                <w:szCs w:val="17"/>
                <w:color w:val="auto"/>
              </w:rPr>
            </w:pP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31,256</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30.3</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(65,456)</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31"/>
              <w:spacing w:after="0" w:line="202" w:lineRule="exact"/>
              <w:rPr>
                <w:sz w:val="20"/>
                <w:szCs w:val="20"/>
                <w:color w:val="auto"/>
              </w:rPr>
            </w:pPr>
            <w:r>
              <w:rPr>
                <w:rFonts w:ascii="Arial" w:cs="Arial" w:eastAsia="Arial" w:hAnsi="Arial"/>
                <w:sz w:val="18"/>
                <w:szCs w:val="18"/>
                <w:color w:val="0A0A0A"/>
              </w:rPr>
              <w:t>(64,563)</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1.4</w:t>
            </w:r>
          </w:p>
        </w:tc>
        <w:tc>
          <w:tcPr>
            <w:tcW w:w="20" w:type="dxa"/>
            <w:vAlign w:val="bottom"/>
          </w:tcPr>
          <w:p>
            <w:pPr>
              <w:spacing w:after="0"/>
              <w:rPr>
                <w:sz w:val="17"/>
                <w:szCs w:val="17"/>
                <w:color w:val="auto"/>
              </w:rPr>
            </w:pPr>
          </w:p>
        </w:tc>
      </w:tr>
      <w:tr>
        <w:trPr>
          <w:trHeight w:val="216"/>
        </w:trPr>
        <w:tc>
          <w:tcPr>
            <w:tcW w:w="44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1260" w:type="dxa"/>
            <w:vAlign w:val="bottom"/>
            <w:tcBorders>
              <w:bottom w:val="single" w:sz="8" w:color="C6F4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71,580</w:t>
            </w:r>
          </w:p>
        </w:tc>
        <w:tc>
          <w:tcPr>
            <w:tcW w:w="8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0A0A0A"/>
              </w:rPr>
              <w:t>48,718</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0A0A0A"/>
              </w:rPr>
              <w:t>46.9</w:t>
            </w:r>
          </w:p>
        </w:tc>
        <w:tc>
          <w:tcPr>
            <w:tcW w:w="20" w:type="dxa"/>
            <w:vAlign w:val="bottom"/>
          </w:tcPr>
          <w:p>
            <w:pPr>
              <w:spacing w:after="0"/>
              <w:rPr>
                <w:sz w:val="18"/>
                <w:szCs w:val="18"/>
                <w:color w:val="auto"/>
              </w:rPr>
            </w:pPr>
          </w:p>
        </w:tc>
      </w:tr>
      <w:tr>
        <w:trPr>
          <w:trHeight w:val="196"/>
        </w:trPr>
        <w:tc>
          <w:tcPr>
            <w:tcW w:w="44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Expenses</w:t>
            </w:r>
          </w:p>
        </w:tc>
        <w:tc>
          <w:tcPr>
            <w:tcW w:w="126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18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515,975</w:t>
            </w:r>
          </w:p>
        </w:tc>
        <w:tc>
          <w:tcPr>
            <w:tcW w:w="860" w:type="dxa"/>
            <w:vAlign w:val="bottom"/>
            <w:tcBorders>
              <w:bottom w:val="single" w:sz="8" w:color="auto"/>
            </w:tcBorders>
            <w:shd w:val="clear" w:color="auto" w:fill="C6F4F9"/>
          </w:tcPr>
          <w:p>
            <w:pPr>
              <w:spacing w:after="0"/>
              <w:rPr>
                <w:sz w:val="17"/>
                <w:szCs w:val="17"/>
                <w:color w:val="auto"/>
              </w:rPr>
            </w:pPr>
          </w:p>
        </w:tc>
        <w:tc>
          <w:tcPr>
            <w:tcW w:w="1860" w:type="dxa"/>
            <w:vAlign w:val="bottom"/>
            <w:tcBorders>
              <w:bottom w:val="single" w:sz="8" w:color="auto"/>
            </w:tcBorders>
            <w:shd w:val="clear" w:color="auto" w:fill="C6F4F9"/>
          </w:tcPr>
          <w:p>
            <w:pPr>
              <w:jc w:val="right"/>
              <w:ind w:right="691"/>
              <w:spacing w:after="0" w:line="196" w:lineRule="exact"/>
              <w:rPr>
                <w:sz w:val="20"/>
                <w:szCs w:val="20"/>
                <w:color w:val="auto"/>
              </w:rPr>
            </w:pPr>
            <w:r>
              <w:rPr>
                <w:rFonts w:ascii="Arial" w:cs="Arial" w:eastAsia="Arial" w:hAnsi="Arial"/>
                <w:sz w:val="18"/>
                <w:szCs w:val="18"/>
                <w:color w:val="0A0A0A"/>
              </w:rPr>
              <w:t>384,101</w:t>
            </w:r>
          </w:p>
        </w:tc>
        <w:tc>
          <w:tcPr>
            <w:tcW w:w="132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34.3</w:t>
            </w:r>
          </w:p>
        </w:tc>
        <w:tc>
          <w:tcPr>
            <w:tcW w:w="20" w:type="dxa"/>
            <w:vAlign w:val="bottom"/>
          </w:tcPr>
          <w:p>
            <w:pPr>
              <w:spacing w:after="0"/>
              <w:rPr>
                <w:sz w:val="17"/>
                <w:szCs w:val="17"/>
                <w:color w:val="auto"/>
              </w:rPr>
            </w:pPr>
          </w:p>
        </w:tc>
      </w:tr>
      <w:tr>
        <w:trPr>
          <w:trHeight w:val="196"/>
        </w:trPr>
        <w:tc>
          <w:tcPr>
            <w:tcW w:w="44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Operating Income</w:t>
            </w:r>
          </w:p>
        </w:tc>
        <w:tc>
          <w:tcPr>
            <w:tcW w:w="126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107,040</w:t>
            </w:r>
          </w:p>
        </w:tc>
        <w:tc>
          <w:tcPr>
            <w:tcW w:w="8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91"/>
              <w:spacing w:after="0" w:line="196" w:lineRule="exact"/>
              <w:rPr>
                <w:sz w:val="20"/>
                <w:szCs w:val="20"/>
                <w:color w:val="auto"/>
              </w:rPr>
            </w:pPr>
            <w:r>
              <w:rPr>
                <w:rFonts w:ascii="Arial" w:cs="Arial" w:eastAsia="Arial" w:hAnsi="Arial"/>
                <w:sz w:val="18"/>
                <w:szCs w:val="18"/>
                <w:color w:val="0A0A0A"/>
              </w:rPr>
              <w:t>17,385</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515.7</w:t>
            </w:r>
          </w:p>
        </w:tc>
        <w:tc>
          <w:tcPr>
            <w:tcW w:w="20" w:type="dxa"/>
            <w:vAlign w:val="bottom"/>
          </w:tcPr>
          <w:p>
            <w:pPr>
              <w:spacing w:after="0"/>
              <w:rPr>
                <w:sz w:val="17"/>
                <w:szCs w:val="17"/>
                <w:color w:val="auto"/>
              </w:rPr>
            </w:pPr>
          </w:p>
        </w:tc>
      </w:tr>
      <w:tr>
        <w:trPr>
          <w:trHeight w:val="196"/>
        </w:trPr>
        <w:tc>
          <w:tcPr>
            <w:tcW w:w="4480" w:type="dxa"/>
            <w:vAlign w:val="bottom"/>
            <w:shd w:val="clear" w:color="auto" w:fill="C6F4F9"/>
          </w:tcPr>
          <w:p>
            <w:pPr>
              <w:spacing w:after="0"/>
              <w:rPr>
                <w:sz w:val="17"/>
                <w:szCs w:val="17"/>
                <w:color w:val="auto"/>
              </w:rPr>
            </w:pP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spacing w:after="0"/>
              <w:rPr>
                <w:sz w:val="17"/>
                <w:szCs w:val="17"/>
                <w:color w:val="auto"/>
              </w:rPr>
            </w:pP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b w:val="1"/>
                <w:bCs w:val="1"/>
                <w:color w:val="0A0A0A"/>
              </w:rPr>
              <w:t>Non-operating Income (Expense):</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Income</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85</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377</w:t>
            </w:r>
          </w:p>
        </w:tc>
        <w:tc>
          <w:tcPr>
            <w:tcW w:w="13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(77.5)</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Interest Expense</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0A0A0A"/>
              </w:rPr>
              <w:t>(26,326)</w:t>
            </w:r>
          </w:p>
        </w:tc>
        <w:tc>
          <w:tcPr>
            <w:tcW w:w="860" w:type="dxa"/>
            <w:vAlign w:val="bottom"/>
          </w:tcPr>
          <w:p>
            <w:pPr>
              <w:spacing w:after="0"/>
              <w:rPr>
                <w:sz w:val="17"/>
                <w:szCs w:val="17"/>
                <w:color w:val="auto"/>
              </w:rPr>
            </w:pPr>
          </w:p>
        </w:tc>
        <w:tc>
          <w:tcPr>
            <w:tcW w:w="1860" w:type="dxa"/>
            <w:vAlign w:val="bottom"/>
          </w:tcPr>
          <w:p>
            <w:pPr>
              <w:jc w:val="right"/>
              <w:ind w:right="631"/>
              <w:spacing w:after="0" w:line="202" w:lineRule="exact"/>
              <w:rPr>
                <w:sz w:val="20"/>
                <w:szCs w:val="20"/>
                <w:color w:val="auto"/>
              </w:rPr>
            </w:pPr>
            <w:r>
              <w:rPr>
                <w:rFonts w:ascii="Arial" w:cs="Arial" w:eastAsia="Arial" w:hAnsi="Arial"/>
                <w:sz w:val="18"/>
                <w:szCs w:val="18"/>
                <w:color w:val="0A0A0A"/>
              </w:rPr>
              <w:t>(22,073)</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19.3</w:t>
            </w:r>
          </w:p>
        </w:tc>
        <w:tc>
          <w:tcPr>
            <w:tcW w:w="20" w:type="dxa"/>
            <w:vAlign w:val="bottom"/>
          </w:tcPr>
          <w:p>
            <w:pPr>
              <w:spacing w:after="0"/>
              <w:rPr>
                <w:sz w:val="17"/>
                <w:szCs w:val="17"/>
                <w:color w:val="auto"/>
              </w:rPr>
            </w:pPr>
          </w:p>
        </w:tc>
      </w:tr>
      <w:tr>
        <w:trPr>
          <w:trHeight w:val="216"/>
        </w:trPr>
        <w:tc>
          <w:tcPr>
            <w:tcW w:w="4480" w:type="dxa"/>
            <w:vAlign w:val="bottom"/>
            <w:shd w:val="clear" w:color="auto" w:fill="C6F4F9"/>
          </w:tcPr>
          <w:p>
            <w:pPr>
              <w:spacing w:after="0"/>
              <w:rPr>
                <w:sz w:val="20"/>
                <w:szCs w:val="20"/>
                <w:color w:val="auto"/>
              </w:rPr>
            </w:pPr>
            <w:r>
              <w:rPr>
                <w:rFonts w:ascii="Arial" w:cs="Arial" w:eastAsia="Arial" w:hAnsi="Arial"/>
                <w:sz w:val="18"/>
                <w:szCs w:val="18"/>
                <w:color w:val="0A0A0A"/>
              </w:rPr>
              <w:t>Other, net</w:t>
            </w:r>
          </w:p>
        </w:tc>
        <w:tc>
          <w:tcPr>
            <w:tcW w:w="126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18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14,624</w:t>
            </w:r>
          </w:p>
        </w:tc>
        <w:tc>
          <w:tcPr>
            <w:tcW w:w="860" w:type="dxa"/>
            <w:vAlign w:val="bottom"/>
            <w:tcBorders>
              <w:bottom w:val="single" w:sz="8" w:color="auto"/>
            </w:tcBorders>
            <w:shd w:val="clear" w:color="auto" w:fill="C6F4F9"/>
          </w:tcPr>
          <w:p>
            <w:pPr>
              <w:spacing w:after="0"/>
              <w:rPr>
                <w:sz w:val="18"/>
                <w:szCs w:val="18"/>
                <w:color w:val="auto"/>
              </w:rPr>
            </w:pPr>
          </w:p>
        </w:tc>
        <w:tc>
          <w:tcPr>
            <w:tcW w:w="1860" w:type="dxa"/>
            <w:vAlign w:val="bottom"/>
            <w:tcBorders>
              <w:bottom w:val="single" w:sz="8" w:color="auto"/>
            </w:tcBorders>
            <w:shd w:val="clear" w:color="auto" w:fill="C6F4F9"/>
          </w:tcPr>
          <w:p>
            <w:pPr>
              <w:jc w:val="right"/>
              <w:ind w:right="631"/>
              <w:spacing w:after="0"/>
              <w:rPr>
                <w:sz w:val="20"/>
                <w:szCs w:val="20"/>
                <w:color w:val="auto"/>
              </w:rPr>
            </w:pPr>
            <w:r>
              <w:rPr>
                <w:rFonts w:ascii="Arial" w:cs="Arial" w:eastAsia="Arial" w:hAnsi="Arial"/>
                <w:sz w:val="18"/>
                <w:szCs w:val="18"/>
                <w:color w:val="0A0A0A"/>
              </w:rPr>
              <w:t>(371)</w:t>
            </w:r>
          </w:p>
        </w:tc>
        <w:tc>
          <w:tcPr>
            <w:tcW w:w="13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NM</w:t>
            </w:r>
          </w:p>
        </w:tc>
        <w:tc>
          <w:tcPr>
            <w:tcW w:w="20" w:type="dxa"/>
            <w:vAlign w:val="bottom"/>
          </w:tcPr>
          <w:p>
            <w:pPr>
              <w:spacing w:after="0"/>
              <w:rPr>
                <w:sz w:val="18"/>
                <w:szCs w:val="18"/>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0A0A0A"/>
              </w:rPr>
              <w:t>(11,617)</w:t>
            </w:r>
          </w:p>
        </w:tc>
        <w:tc>
          <w:tcPr>
            <w:tcW w:w="860" w:type="dxa"/>
            <w:vAlign w:val="bottom"/>
          </w:tcPr>
          <w:p>
            <w:pPr>
              <w:spacing w:after="0"/>
              <w:rPr>
                <w:sz w:val="17"/>
                <w:szCs w:val="17"/>
                <w:color w:val="auto"/>
              </w:rPr>
            </w:pPr>
          </w:p>
        </w:tc>
        <w:tc>
          <w:tcPr>
            <w:tcW w:w="1860" w:type="dxa"/>
            <w:vAlign w:val="bottom"/>
          </w:tcPr>
          <w:p>
            <w:pPr>
              <w:jc w:val="right"/>
              <w:ind w:right="631"/>
              <w:spacing w:after="0" w:line="196" w:lineRule="exact"/>
              <w:rPr>
                <w:sz w:val="20"/>
                <w:szCs w:val="20"/>
                <w:color w:val="auto"/>
              </w:rPr>
            </w:pPr>
            <w:r>
              <w:rPr>
                <w:rFonts w:ascii="Arial" w:cs="Arial" w:eastAsia="Arial" w:hAnsi="Arial"/>
                <w:sz w:val="18"/>
                <w:szCs w:val="18"/>
                <w:color w:val="0A0A0A"/>
              </w:rPr>
              <w:t>(22,067)</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0A0A0A"/>
              </w:rPr>
              <w:t>(47.4)</w:t>
            </w:r>
          </w:p>
        </w:tc>
        <w:tc>
          <w:tcPr>
            <w:tcW w:w="20" w:type="dxa"/>
            <w:vAlign w:val="bottom"/>
          </w:tcPr>
          <w:p>
            <w:pPr>
              <w:spacing w:after="0"/>
              <w:rPr>
                <w:sz w:val="17"/>
                <w:szCs w:val="17"/>
                <w:color w:val="auto"/>
              </w:rPr>
            </w:pPr>
          </w:p>
        </w:tc>
      </w:tr>
      <w:tr>
        <w:trPr>
          <w:trHeight w:val="216"/>
        </w:trPr>
        <w:tc>
          <w:tcPr>
            <w:tcW w:w="4480" w:type="dxa"/>
            <w:vAlign w:val="bottom"/>
            <w:shd w:val="clear" w:color="auto" w:fill="C6F4F9"/>
          </w:tcPr>
          <w:p>
            <w:pPr>
              <w:spacing w:after="0"/>
              <w:rPr>
                <w:sz w:val="18"/>
                <w:szCs w:val="18"/>
                <w:color w:val="auto"/>
              </w:rPr>
            </w:pPr>
          </w:p>
        </w:tc>
        <w:tc>
          <w:tcPr>
            <w:tcW w:w="1260" w:type="dxa"/>
            <w:vAlign w:val="bottom"/>
            <w:shd w:val="clear" w:color="auto" w:fill="C6F4F9"/>
          </w:tcPr>
          <w:p>
            <w:pPr>
              <w:spacing w:after="0"/>
              <w:rPr>
                <w:sz w:val="18"/>
                <w:szCs w:val="18"/>
                <w:color w:val="auto"/>
              </w:rPr>
            </w:pPr>
          </w:p>
        </w:tc>
        <w:tc>
          <w:tcPr>
            <w:tcW w:w="280" w:type="dxa"/>
            <w:vAlign w:val="bottom"/>
            <w:tcBorders>
              <w:bottom w:val="single" w:sz="8" w:color="auto"/>
            </w:tcBorders>
            <w:shd w:val="clear" w:color="auto" w:fill="C6F4F9"/>
          </w:tcPr>
          <w:p>
            <w:pPr>
              <w:spacing w:after="0"/>
              <w:rPr>
                <w:sz w:val="18"/>
                <w:szCs w:val="18"/>
                <w:color w:val="auto"/>
              </w:rPr>
            </w:pPr>
          </w:p>
        </w:tc>
        <w:tc>
          <w:tcPr>
            <w:tcW w:w="1180" w:type="dxa"/>
            <w:vAlign w:val="bottom"/>
            <w:tcBorders>
              <w:bottom w:val="single" w:sz="8" w:color="auto"/>
            </w:tcBorders>
            <w:shd w:val="clear" w:color="auto" w:fill="C6F4F9"/>
          </w:tcPr>
          <w:p>
            <w:pPr>
              <w:spacing w:after="0"/>
              <w:rPr>
                <w:sz w:val="18"/>
                <w:szCs w:val="18"/>
                <w:color w:val="auto"/>
              </w:rPr>
            </w:pPr>
          </w:p>
        </w:tc>
        <w:tc>
          <w:tcPr>
            <w:tcW w:w="860" w:type="dxa"/>
            <w:vAlign w:val="bottom"/>
            <w:tcBorders>
              <w:bottom w:val="single" w:sz="8" w:color="auto"/>
            </w:tcBorders>
            <w:shd w:val="clear" w:color="auto" w:fill="C6F4F9"/>
          </w:tcPr>
          <w:p>
            <w:pPr>
              <w:spacing w:after="0"/>
              <w:rPr>
                <w:sz w:val="18"/>
                <w:szCs w:val="18"/>
                <w:color w:val="auto"/>
              </w:rPr>
            </w:pPr>
          </w:p>
        </w:tc>
        <w:tc>
          <w:tcPr>
            <w:tcW w:w="1860" w:type="dxa"/>
            <w:vAlign w:val="bottom"/>
            <w:tcBorders>
              <w:bottom w:val="single" w:sz="8" w:color="auto"/>
            </w:tcBorders>
            <w:shd w:val="clear" w:color="auto" w:fill="C6F4F9"/>
          </w:tcPr>
          <w:p>
            <w:pPr>
              <w:spacing w:after="0"/>
              <w:rPr>
                <w:sz w:val="18"/>
                <w:szCs w:val="18"/>
                <w:color w:val="auto"/>
              </w:rPr>
            </w:pPr>
          </w:p>
        </w:tc>
        <w:tc>
          <w:tcPr>
            <w:tcW w:w="1320" w:type="dxa"/>
            <w:vAlign w:val="bottom"/>
            <w:tcBorders>
              <w:bottom w:val="single" w:sz="8" w:color="auto"/>
            </w:tcBorders>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4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Income before Income Tax</w:t>
            </w:r>
          </w:p>
        </w:tc>
        <w:tc>
          <w:tcPr>
            <w:tcW w:w="1260" w:type="dxa"/>
            <w:vAlign w:val="bottom"/>
            <w:tcBorders>
              <w:bottom w:val="single" w:sz="8" w:color="C6F4F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95,423</w:t>
            </w:r>
          </w:p>
        </w:tc>
        <w:tc>
          <w:tcPr>
            <w:tcW w:w="8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31"/>
              <w:spacing w:after="0" w:line="196" w:lineRule="exact"/>
              <w:rPr>
                <w:sz w:val="20"/>
                <w:szCs w:val="20"/>
                <w:color w:val="auto"/>
              </w:rPr>
            </w:pPr>
            <w:r>
              <w:rPr>
                <w:rFonts w:ascii="Arial" w:cs="Arial" w:eastAsia="Arial" w:hAnsi="Arial"/>
                <w:sz w:val="18"/>
                <w:szCs w:val="18"/>
                <w:color w:val="0A0A0A"/>
              </w:rPr>
              <w:t>(4,682)</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196"/>
        </w:trPr>
        <w:tc>
          <w:tcPr>
            <w:tcW w:w="44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Income Tax Expense (Benefit)</w:t>
            </w:r>
          </w:p>
        </w:tc>
        <w:tc>
          <w:tcPr>
            <w:tcW w:w="1260" w:type="dxa"/>
            <w:vAlign w:val="bottom"/>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118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17,953</w:t>
            </w:r>
          </w:p>
        </w:tc>
        <w:tc>
          <w:tcPr>
            <w:tcW w:w="860" w:type="dxa"/>
            <w:vAlign w:val="bottom"/>
            <w:tcBorders>
              <w:bottom w:val="single" w:sz="8" w:color="auto"/>
            </w:tcBorders>
            <w:shd w:val="clear" w:color="auto" w:fill="C6F4F9"/>
          </w:tcPr>
          <w:p>
            <w:pPr>
              <w:spacing w:after="0"/>
              <w:rPr>
                <w:sz w:val="17"/>
                <w:szCs w:val="17"/>
                <w:color w:val="auto"/>
              </w:rPr>
            </w:pPr>
          </w:p>
        </w:tc>
        <w:tc>
          <w:tcPr>
            <w:tcW w:w="1860" w:type="dxa"/>
            <w:vAlign w:val="bottom"/>
            <w:tcBorders>
              <w:bottom w:val="single" w:sz="8" w:color="auto"/>
            </w:tcBorders>
            <w:shd w:val="clear" w:color="auto" w:fill="C6F4F9"/>
          </w:tcPr>
          <w:p>
            <w:pPr>
              <w:jc w:val="right"/>
              <w:ind w:right="631"/>
              <w:spacing w:after="0" w:line="196" w:lineRule="exact"/>
              <w:rPr>
                <w:sz w:val="20"/>
                <w:szCs w:val="20"/>
                <w:color w:val="auto"/>
              </w:rPr>
            </w:pPr>
            <w:r>
              <w:rPr>
                <w:rFonts w:ascii="Arial" w:cs="Arial" w:eastAsia="Arial" w:hAnsi="Arial"/>
                <w:sz w:val="18"/>
                <w:szCs w:val="18"/>
                <w:color w:val="0A0A0A"/>
              </w:rPr>
              <w:t>(778)</w:t>
            </w:r>
          </w:p>
        </w:tc>
        <w:tc>
          <w:tcPr>
            <w:tcW w:w="132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50"/>
        </w:trPr>
        <w:tc>
          <w:tcPr>
            <w:tcW w:w="4480" w:type="dxa"/>
            <w:vAlign w:val="bottom"/>
          </w:tcPr>
          <w:p>
            <w:pPr>
              <w:spacing w:after="0" w:line="197" w:lineRule="exact"/>
              <w:rPr>
                <w:sz w:val="20"/>
                <w:szCs w:val="20"/>
                <w:color w:val="auto"/>
              </w:rPr>
            </w:pPr>
            <w:r>
              <w:rPr>
                <w:rFonts w:ascii="Arial" w:cs="Arial" w:eastAsia="Arial" w:hAnsi="Arial"/>
                <w:sz w:val="18"/>
                <w:szCs w:val="18"/>
                <w:color w:val="0A0A0A"/>
              </w:rPr>
              <w:t>Net Income (Loss)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0A0A0A"/>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0A0A0A"/>
              </w:rPr>
              <w:t>77,470</w:t>
            </w:r>
          </w:p>
        </w:tc>
        <w:tc>
          <w:tcPr>
            <w:tcW w:w="860" w:type="dxa"/>
            <w:vAlign w:val="bottom"/>
          </w:tcPr>
          <w:p>
            <w:pPr>
              <w:jc w:val="right"/>
              <w:ind w:right="70"/>
              <w:spacing w:after="0"/>
              <w:rPr>
                <w:sz w:val="20"/>
                <w:szCs w:val="20"/>
                <w:color w:val="auto"/>
              </w:rPr>
            </w:pPr>
            <w:r>
              <w:rPr>
                <w:rFonts w:ascii="Arial" w:cs="Arial" w:eastAsia="Arial" w:hAnsi="Arial"/>
                <w:sz w:val="18"/>
                <w:szCs w:val="18"/>
                <w:color w:val="0A0A0A"/>
              </w:rPr>
              <w:t>$</w:t>
            </w:r>
          </w:p>
        </w:tc>
        <w:tc>
          <w:tcPr>
            <w:tcW w:w="1860" w:type="dxa"/>
            <w:vAlign w:val="bottom"/>
          </w:tcPr>
          <w:p>
            <w:pPr>
              <w:jc w:val="right"/>
              <w:ind w:right="631"/>
              <w:spacing w:after="0"/>
              <w:rPr>
                <w:sz w:val="20"/>
                <w:szCs w:val="20"/>
                <w:color w:val="auto"/>
              </w:rPr>
            </w:pPr>
            <w:r>
              <w:rPr>
                <w:rFonts w:ascii="Arial" w:cs="Arial" w:eastAsia="Arial" w:hAnsi="Arial"/>
                <w:sz w:val="18"/>
                <w:szCs w:val="18"/>
                <w:color w:val="0A0A0A"/>
              </w:rPr>
              <w:t>(3,904)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0A0A0A"/>
              </w:rPr>
              <w:t>NM</w:t>
            </w:r>
          </w:p>
        </w:tc>
      </w:tr>
      <w:tr>
        <w:trPr>
          <w:trHeight w:val="183"/>
        </w:trPr>
        <w:tc>
          <w:tcPr>
            <w:tcW w:w="4480" w:type="dxa"/>
            <w:vAlign w:val="bottom"/>
            <w:tcBorders>
              <w:top w:val="single" w:sz="8" w:color="C6F4F9"/>
            </w:tcBorders>
            <w:shd w:val="clear" w:color="auto" w:fill="C6F4F9"/>
          </w:tcPr>
          <w:p>
            <w:pPr>
              <w:spacing w:after="0"/>
              <w:rPr>
                <w:sz w:val="15"/>
                <w:szCs w:val="15"/>
                <w:color w:val="auto"/>
              </w:rPr>
            </w:pPr>
          </w:p>
        </w:tc>
        <w:tc>
          <w:tcPr>
            <w:tcW w:w="1260" w:type="dxa"/>
            <w:vAlign w:val="bottom"/>
            <w:tcBorders>
              <w:top w:val="single" w:sz="8" w:color="C6F4F9"/>
            </w:tcBorders>
            <w:shd w:val="clear" w:color="auto" w:fill="C6F4F9"/>
          </w:tcPr>
          <w:p>
            <w:pPr>
              <w:spacing w:after="0"/>
              <w:rPr>
                <w:sz w:val="15"/>
                <w:szCs w:val="15"/>
                <w:color w:val="auto"/>
              </w:rPr>
            </w:pPr>
          </w:p>
        </w:tc>
        <w:tc>
          <w:tcPr>
            <w:tcW w:w="280" w:type="dxa"/>
            <w:vAlign w:val="bottom"/>
            <w:tcBorders>
              <w:top w:val="single" w:sz="8" w:color="auto"/>
            </w:tcBorders>
            <w:shd w:val="clear" w:color="auto" w:fill="C6F4F9"/>
          </w:tcPr>
          <w:p>
            <w:pPr>
              <w:spacing w:after="0"/>
              <w:rPr>
                <w:sz w:val="15"/>
                <w:szCs w:val="15"/>
                <w:color w:val="auto"/>
              </w:rPr>
            </w:pPr>
          </w:p>
        </w:tc>
        <w:tc>
          <w:tcPr>
            <w:tcW w:w="1180" w:type="dxa"/>
            <w:vAlign w:val="bottom"/>
            <w:tcBorders>
              <w:top w:val="single" w:sz="8" w:color="auto"/>
            </w:tcBorders>
            <w:shd w:val="clear" w:color="auto" w:fill="C6F4F9"/>
          </w:tcPr>
          <w:p>
            <w:pPr>
              <w:spacing w:after="0"/>
              <w:rPr>
                <w:sz w:val="15"/>
                <w:szCs w:val="15"/>
                <w:color w:val="auto"/>
              </w:rPr>
            </w:pPr>
          </w:p>
        </w:tc>
        <w:tc>
          <w:tcPr>
            <w:tcW w:w="860" w:type="dxa"/>
            <w:vAlign w:val="bottom"/>
            <w:tcBorders>
              <w:top w:val="single" w:sz="8" w:color="auto"/>
            </w:tcBorders>
            <w:shd w:val="clear" w:color="auto" w:fill="C6F4F9"/>
          </w:tcPr>
          <w:p>
            <w:pPr>
              <w:spacing w:after="0"/>
              <w:rPr>
                <w:sz w:val="15"/>
                <w:szCs w:val="15"/>
                <w:color w:val="auto"/>
              </w:rPr>
            </w:pPr>
          </w:p>
        </w:tc>
        <w:tc>
          <w:tcPr>
            <w:tcW w:w="1860" w:type="dxa"/>
            <w:vAlign w:val="bottom"/>
            <w:tcBorders>
              <w:top w:val="single" w:sz="8" w:color="auto"/>
            </w:tcBorders>
            <w:shd w:val="clear" w:color="auto" w:fill="C6F4F9"/>
          </w:tcPr>
          <w:p>
            <w:pPr>
              <w:spacing w:after="0"/>
              <w:rPr>
                <w:sz w:val="15"/>
                <w:szCs w:val="15"/>
                <w:color w:val="auto"/>
              </w:rPr>
            </w:pPr>
          </w:p>
        </w:tc>
        <w:tc>
          <w:tcPr>
            <w:tcW w:w="1320" w:type="dxa"/>
            <w:vAlign w:val="bottom"/>
            <w:tcBorders>
              <w:top w:val="single" w:sz="8" w:color="auto"/>
            </w:tcBorders>
            <w:shd w:val="clear" w:color="auto" w:fill="C6F4F9"/>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Net Income (Loss) per share to common stockholders: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1540" w:type="dxa"/>
            <w:vAlign w:val="bottom"/>
            <w:gridSpan w:val="2"/>
            <w:shd w:val="clear" w:color="auto" w:fill="C6F4F9"/>
          </w:tcPr>
          <w:p>
            <w:pPr>
              <w:jc w:val="right"/>
              <w:ind w:right="180"/>
              <w:spacing w:after="0" w:line="202" w:lineRule="exact"/>
              <w:rPr>
                <w:sz w:val="20"/>
                <w:szCs w:val="20"/>
                <w:color w:val="auto"/>
              </w:rPr>
            </w:pPr>
            <w:r>
              <w:rPr>
                <w:rFonts w:ascii="Arial" w:cs="Arial" w:eastAsia="Arial" w:hAnsi="Arial"/>
                <w:sz w:val="18"/>
                <w:szCs w:val="18"/>
                <w:color w:val="0A0A0A"/>
              </w:rPr>
              <w:t>$</w:t>
            </w: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1.40</w:t>
            </w:r>
          </w:p>
        </w:tc>
        <w:tc>
          <w:tcPr>
            <w:tcW w:w="8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860" w:type="dxa"/>
            <w:vAlign w:val="bottom"/>
            <w:shd w:val="clear" w:color="auto" w:fill="C6F4F9"/>
          </w:tcPr>
          <w:p>
            <w:pPr>
              <w:jc w:val="right"/>
              <w:ind w:right="631"/>
              <w:spacing w:after="0" w:line="202" w:lineRule="exact"/>
              <w:rPr>
                <w:sz w:val="20"/>
                <w:szCs w:val="20"/>
                <w:color w:val="auto"/>
              </w:rPr>
            </w:pPr>
            <w:r>
              <w:rPr>
                <w:rFonts w:ascii="Arial" w:cs="Arial" w:eastAsia="Arial" w:hAnsi="Arial"/>
                <w:sz w:val="18"/>
                <w:szCs w:val="18"/>
                <w:color w:val="0A0A0A"/>
              </w:rPr>
              <w:t>(0.08)</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Diluted</w:t>
            </w: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0A0A0A"/>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1.31</w:t>
            </w: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860" w:type="dxa"/>
            <w:vAlign w:val="bottom"/>
          </w:tcPr>
          <w:p>
            <w:pPr>
              <w:jc w:val="right"/>
              <w:ind w:right="631"/>
              <w:spacing w:after="0" w:line="202" w:lineRule="exact"/>
              <w:rPr>
                <w:sz w:val="20"/>
                <w:szCs w:val="20"/>
                <w:color w:val="auto"/>
              </w:rPr>
            </w:pPr>
            <w:r>
              <w:rPr>
                <w:rFonts w:ascii="Arial" w:cs="Arial" w:eastAsia="Arial" w:hAnsi="Arial"/>
                <w:sz w:val="18"/>
                <w:szCs w:val="18"/>
                <w:color w:val="0A0A0A"/>
              </w:rPr>
              <w:t>(0.08)</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spacing w:after="0"/>
              <w:rPr>
                <w:sz w:val="17"/>
                <w:szCs w:val="17"/>
                <w:color w:val="auto"/>
              </w:rPr>
            </w:pP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55,182,811</w:t>
            </w:r>
          </w:p>
        </w:tc>
        <w:tc>
          <w:tcPr>
            <w:tcW w:w="860" w:type="dxa"/>
            <w:vAlign w:val="bottom"/>
          </w:tcPr>
          <w:p>
            <w:pPr>
              <w:spacing w:after="0"/>
              <w:rPr>
                <w:sz w:val="17"/>
                <w:szCs w:val="17"/>
                <w:color w:val="auto"/>
              </w:rPr>
            </w:pPr>
          </w:p>
        </w:tc>
        <w:tc>
          <w:tcPr>
            <w:tcW w:w="1860" w:type="dxa"/>
            <w:vAlign w:val="bottom"/>
          </w:tcPr>
          <w:p>
            <w:pPr>
              <w:jc w:val="right"/>
              <w:ind w:right="691"/>
              <w:spacing w:after="0" w:line="202" w:lineRule="exact"/>
              <w:rPr>
                <w:sz w:val="20"/>
                <w:szCs w:val="20"/>
                <w:color w:val="auto"/>
              </w:rPr>
            </w:pPr>
            <w:r>
              <w:rPr>
                <w:rFonts w:ascii="Arial" w:cs="Arial" w:eastAsia="Arial" w:hAnsi="Arial"/>
                <w:sz w:val="18"/>
                <w:szCs w:val="18"/>
                <w:color w:val="0A0A0A"/>
              </w:rPr>
              <w:t>46,806,042</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17.9</w:t>
            </w:r>
          </w:p>
        </w:tc>
        <w:tc>
          <w:tcPr>
            <w:tcW w:w="20" w:type="dxa"/>
            <w:vAlign w:val="bottom"/>
          </w:tcPr>
          <w:p>
            <w:pPr>
              <w:spacing w:after="0"/>
              <w:rPr>
                <w:sz w:val="17"/>
                <w:szCs w:val="17"/>
                <w:color w:val="auto"/>
              </w:rPr>
            </w:pPr>
          </w:p>
        </w:tc>
      </w:tr>
      <w:tr>
        <w:trPr>
          <w:trHeight w:val="203"/>
        </w:trPr>
        <w:tc>
          <w:tcPr>
            <w:tcW w:w="44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126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59,324,040</w:t>
            </w:r>
          </w:p>
        </w:tc>
        <w:tc>
          <w:tcPr>
            <w:tcW w:w="860" w:type="dxa"/>
            <w:vAlign w:val="bottom"/>
            <w:shd w:val="clear" w:color="auto" w:fill="C6F4F9"/>
          </w:tcPr>
          <w:p>
            <w:pPr>
              <w:spacing w:after="0"/>
              <w:rPr>
                <w:sz w:val="17"/>
                <w:szCs w:val="17"/>
                <w:color w:val="auto"/>
              </w:rPr>
            </w:pPr>
          </w:p>
        </w:tc>
        <w:tc>
          <w:tcPr>
            <w:tcW w:w="1860" w:type="dxa"/>
            <w:vAlign w:val="bottom"/>
            <w:shd w:val="clear" w:color="auto" w:fill="C6F4F9"/>
          </w:tcPr>
          <w:p>
            <w:pPr>
              <w:jc w:val="right"/>
              <w:ind w:right="691"/>
              <w:spacing w:after="0" w:line="202" w:lineRule="exact"/>
              <w:rPr>
                <w:sz w:val="20"/>
                <w:szCs w:val="20"/>
                <w:color w:val="auto"/>
              </w:rPr>
            </w:pPr>
            <w:r>
              <w:rPr>
                <w:rFonts w:ascii="Arial" w:cs="Arial" w:eastAsia="Arial" w:hAnsi="Arial"/>
                <w:sz w:val="18"/>
                <w:szCs w:val="18"/>
                <w:color w:val="0A0A0A"/>
              </w:rPr>
              <w:t>46,806,042</w:t>
            </w:r>
          </w:p>
        </w:tc>
        <w:tc>
          <w:tcPr>
            <w:tcW w:w="13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26.7</w:t>
            </w:r>
          </w:p>
        </w:tc>
        <w:tc>
          <w:tcPr>
            <w:tcW w:w="20" w:type="dxa"/>
            <w:vAlign w:val="bottom"/>
          </w:tcPr>
          <w:p>
            <w:pPr>
              <w:spacing w:after="0"/>
              <w:rPr>
                <w:sz w:val="17"/>
                <w:szCs w:val="17"/>
                <w:color w:val="auto"/>
              </w:rPr>
            </w:pPr>
          </w:p>
        </w:tc>
      </w:tr>
      <w:tr>
        <w:trPr>
          <w:trHeight w:val="560"/>
        </w:trPr>
        <w:tc>
          <w:tcPr>
            <w:tcW w:w="4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Page 7</w:t>
            </w:r>
          </w:p>
        </w:tc>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34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Key Operating Statistics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months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0A0A0A"/>
                <w:w w:val="99"/>
              </w:rPr>
              <w:t>Three Months Ended Dec 31,</w:t>
            </w:r>
          </w:p>
        </w:tc>
        <w:tc>
          <w:tcPr>
            <w:tcW w:w="1360" w:type="dxa"/>
            <w:vAlign w:val="bottom"/>
            <w:tcBorders>
              <w:bottom w:val="single" w:sz="8" w:color="auto"/>
            </w:tcBorders>
          </w:tcPr>
          <w:p>
            <w:pPr>
              <w:spacing w:after="0"/>
              <w:rPr>
                <w:sz w:val="19"/>
                <w:szCs w:val="19"/>
                <w:color w:val="auto"/>
              </w:rPr>
            </w:pPr>
          </w:p>
        </w:tc>
      </w:tr>
      <w:tr>
        <w:trPr>
          <w:trHeight w:val="196"/>
        </w:trPr>
        <w:tc>
          <w:tcPr>
            <w:tcW w:w="4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090"/>
              <w:spacing w:after="0" w:line="196" w:lineRule="exact"/>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 Change</w:t>
            </w:r>
          </w:p>
        </w:tc>
      </w:tr>
      <w:tr>
        <w:trPr>
          <w:trHeight w:val="196"/>
        </w:trPr>
        <w:tc>
          <w:tcPr>
            <w:tcW w:w="47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912,238</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529,747</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72.2</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1,190,868</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876,634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35.8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Load factor</w:t>
            </w:r>
          </w:p>
        </w:tc>
        <w:tc>
          <w:tcPr>
            <w:tcW w:w="1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c>
          <w:tcPr>
            <w:tcW w:w="840" w:type="dxa"/>
            <w:vAlign w:val="bottom"/>
          </w:tcPr>
          <w:p>
            <w:pPr>
              <w:spacing w:after="0"/>
              <w:rPr>
                <w:sz w:val="17"/>
                <w:szCs w:val="17"/>
                <w:color w:val="auto"/>
              </w:rPr>
            </w:pPr>
          </w:p>
        </w:tc>
        <w:tc>
          <w:tcPr>
            <w:tcW w:w="182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60.4%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 pts</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passengers carried</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694,965</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405,495</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71.4</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4,929</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3,571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16,164</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11,571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39.7</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17"/>
                <w:szCs w:val="17"/>
                <w:color w:val="auto"/>
              </w:rPr>
              <w:t>Scheduled service TRASM</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 cents</w:t>
            </w:r>
          </w:p>
        </w:tc>
        <w:tc>
          <w:tcPr>
            <w:tcW w:w="12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9.27</w:t>
            </w:r>
          </w:p>
        </w:tc>
        <w:tc>
          <w:tcPr>
            <w:tcW w:w="840" w:type="dxa"/>
            <w:vAlign w:val="bottom"/>
          </w:tcPr>
          <w:p>
            <w:pPr>
              <w:spacing w:after="0"/>
              <w:rPr>
                <w:sz w:val="21"/>
                <w:szCs w:val="21"/>
                <w:color w:val="auto"/>
              </w:rPr>
            </w:pPr>
          </w:p>
        </w:tc>
        <w:tc>
          <w:tcPr>
            <w:tcW w:w="1820" w:type="dxa"/>
            <w:vAlign w:val="bottom"/>
          </w:tcPr>
          <w:p>
            <w:pPr>
              <w:jc w:val="right"/>
              <w:ind w:right="710"/>
              <w:spacing w:after="0"/>
              <w:rPr>
                <w:sz w:val="20"/>
                <w:szCs w:val="20"/>
                <w:color w:val="auto"/>
              </w:rPr>
            </w:pPr>
            <w:r>
              <w:rPr>
                <w:rFonts w:ascii="Arial" w:cs="Arial" w:eastAsia="Arial" w:hAnsi="Arial"/>
                <w:sz w:val="18"/>
                <w:szCs w:val="18"/>
                <w:color w:val="auto"/>
              </w:rPr>
              <w:t>5.86</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2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111.48</w:t>
            </w:r>
          </w:p>
        </w:tc>
        <w:tc>
          <w:tcPr>
            <w:tcW w:w="8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83.81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33.0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44.05</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38.97</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12,386</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8,587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44.2</w:t>
            </w:r>
          </w:p>
        </w:tc>
      </w:tr>
      <w:tr>
        <w:trPr>
          <w:trHeight w:val="203"/>
        </w:trPr>
        <w:tc>
          <w:tcPr>
            <w:tcW w:w="4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2,057</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2,101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4,145</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4,259</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257,250</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279,571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2,990</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3,076</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4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3,066</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2,411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27.2</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8,962</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7,604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17.9</w:t>
            </w:r>
          </w:p>
        </w:tc>
      </w:tr>
      <w:tr>
        <w:trPr>
          <w:trHeight w:val="203"/>
        </w:trPr>
        <w:tc>
          <w:tcPr>
            <w:tcW w:w="4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Average passenger aircraft</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34.0</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31.0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36</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31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16.1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12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1,457,855</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1,161,953</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25.5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10,121</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8,122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29,458</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23,542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Daily utilization – hours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6.6</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5.6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17.3</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stage length – miles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1,138</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1,109</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2.6</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17"/>
                <w:szCs w:val="17"/>
                <w:color w:val="auto"/>
              </w:rPr>
              <w:t>Total revenue per ASM (TRASM)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 cents</w:t>
            </w:r>
          </w:p>
        </w:tc>
        <w:tc>
          <w:tcPr>
            <w:tcW w:w="12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10.23</w:t>
            </w:r>
          </w:p>
        </w:tc>
        <w:tc>
          <w:tcPr>
            <w:tcW w:w="840" w:type="dxa"/>
            <w:vAlign w:val="bottom"/>
          </w:tcPr>
          <w:p>
            <w:pPr>
              <w:spacing w:after="0"/>
              <w:rPr>
                <w:sz w:val="21"/>
                <w:szCs w:val="21"/>
                <w:color w:val="auto"/>
              </w:rPr>
            </w:pPr>
          </w:p>
        </w:tc>
        <w:tc>
          <w:tcPr>
            <w:tcW w:w="1820" w:type="dxa"/>
            <w:vAlign w:val="bottom"/>
          </w:tcPr>
          <w:p>
            <w:pPr>
              <w:jc w:val="right"/>
              <w:ind w:right="710"/>
              <w:spacing w:after="0"/>
              <w:rPr>
                <w:sz w:val="20"/>
                <w:szCs w:val="20"/>
                <w:color w:val="auto"/>
              </w:rPr>
            </w:pPr>
            <w:r>
              <w:rPr>
                <w:rFonts w:ascii="Arial" w:cs="Arial" w:eastAsia="Arial" w:hAnsi="Arial"/>
                <w:sz w:val="18"/>
                <w:szCs w:val="18"/>
                <w:color w:val="auto"/>
              </w:rPr>
              <w:t>7.62</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Cost per ASM (CASM) - cents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11.09</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9.66</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Adjusted CASM - cents</w:t>
            </w:r>
          </w:p>
        </w:tc>
        <w:tc>
          <w:tcPr>
            <w:tcW w:w="12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6.91</w:t>
            </w:r>
          </w:p>
        </w:tc>
        <w:tc>
          <w:tcPr>
            <w:tcW w:w="84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7.07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15,470</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11,724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32.0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2.49</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1.49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Employees at end of period</w:t>
            </w:r>
          </w:p>
        </w:tc>
        <w:tc>
          <w:tcPr>
            <w:tcW w:w="126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2,181</w:t>
            </w:r>
          </w:p>
        </w:tc>
        <w:tc>
          <w:tcPr>
            <w:tcW w:w="840" w:type="dxa"/>
            <w:vAlign w:val="bottom"/>
            <w:shd w:val="clear" w:color="auto" w:fill="C6F4F9"/>
          </w:tcPr>
          <w:p>
            <w:pPr>
              <w:spacing w:after="0"/>
              <w:rPr>
                <w:sz w:val="17"/>
                <w:szCs w:val="17"/>
                <w:color w:val="auto"/>
              </w:rPr>
            </w:pPr>
          </w:p>
        </w:tc>
        <w:tc>
          <w:tcPr>
            <w:tcW w:w="1820" w:type="dxa"/>
            <w:vAlign w:val="bottom"/>
            <w:shd w:val="clear" w:color="auto" w:fill="C6F4F9"/>
          </w:tcPr>
          <w:p>
            <w:pPr>
              <w:jc w:val="right"/>
              <w:ind w:right="710"/>
              <w:spacing w:after="0" w:line="202" w:lineRule="exact"/>
              <w:rPr>
                <w:sz w:val="20"/>
                <w:szCs w:val="20"/>
                <w:color w:val="auto"/>
              </w:rPr>
            </w:pPr>
            <w:r>
              <w:rPr>
                <w:rFonts w:ascii="Arial" w:cs="Arial" w:eastAsia="Arial" w:hAnsi="Arial"/>
                <w:sz w:val="18"/>
                <w:szCs w:val="18"/>
                <w:color w:val="auto"/>
              </w:rPr>
              <w:t>1,699</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28.4</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 – Scheduled service TRASM = scheduled service revenue + ancillary revenue + other revenue / scheduled service ASMs</w:t>
      </w:r>
    </w:p>
    <w:p>
      <w:pPr>
        <w:spacing w:after="0"/>
        <w:rPr>
          <w:sz w:val="20"/>
          <w:szCs w:val="20"/>
          <w:color w:val="auto"/>
        </w:rPr>
      </w:pPr>
      <w:r>
        <w:rPr>
          <w:rFonts w:ascii="Arial" w:cs="Arial" w:eastAsia="Arial" w:hAnsi="Arial"/>
          <w:sz w:val="18"/>
          <w:szCs w:val="18"/>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8</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The following table presents key operating statistics and metrics for the twelve months ended 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Twelve Months Ended Dec 31,</w:t>
            </w:r>
          </w:p>
        </w:tc>
        <w:tc>
          <w:tcPr>
            <w:tcW w:w="1580" w:type="dxa"/>
            <w:vAlign w:val="bottom"/>
            <w:tcBorders>
              <w:bottom w:val="single" w:sz="8" w:color="auto"/>
            </w:tcBorders>
          </w:tcPr>
          <w:p>
            <w:pPr>
              <w:spacing w:after="0"/>
              <w:rPr>
                <w:sz w:val="19"/>
                <w:szCs w:val="19"/>
                <w:color w:val="auto"/>
              </w:rPr>
            </w:pPr>
          </w:p>
        </w:tc>
      </w:tr>
      <w:tr>
        <w:trPr>
          <w:trHeight w:val="196"/>
        </w:trPr>
        <w:tc>
          <w:tcPr>
            <w:tcW w:w="4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2020</w:t>
            </w:r>
          </w:p>
        </w:tc>
        <w:tc>
          <w:tcPr>
            <w:tcW w:w="1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 Change</w:t>
            </w:r>
          </w:p>
        </w:tc>
      </w:tr>
      <w:tr>
        <w:trPr>
          <w:trHeight w:val="196"/>
        </w:trPr>
        <w:tc>
          <w:tcPr>
            <w:tcW w:w="47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spacing w:after="0"/>
              <w:rPr>
                <w:sz w:val="17"/>
                <w:szCs w:val="17"/>
                <w:color w:val="auto"/>
              </w:rPr>
            </w:pPr>
          </w:p>
        </w:tc>
        <w:tc>
          <w:tcPr>
            <w:tcW w:w="158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3,618,208</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2,250,974</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60.7</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4,844,203</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3,466,240</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39.8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Load factor</w:t>
            </w:r>
          </w:p>
        </w:tc>
        <w:tc>
          <w:tcPr>
            <w:tcW w:w="1260" w:type="dxa"/>
            <w:vAlign w:val="bottom"/>
          </w:tcPr>
          <w:p>
            <w:pPr>
              <w:spacing w:after="0"/>
              <w:rPr>
                <w:sz w:val="17"/>
                <w:szCs w:val="17"/>
                <w:color w:val="auto"/>
              </w:rPr>
            </w:pP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74.7%</w:t>
            </w:r>
          </w:p>
        </w:tc>
        <w:tc>
          <w:tcPr>
            <w:tcW w:w="600" w:type="dxa"/>
            <w:vAlign w:val="bottom"/>
          </w:tcPr>
          <w:p>
            <w:pPr>
              <w:spacing w:after="0"/>
              <w:rPr>
                <w:sz w:val="17"/>
                <w:szCs w:val="17"/>
                <w:color w:val="auto"/>
              </w:rPr>
            </w:pPr>
          </w:p>
        </w:tc>
        <w:tc>
          <w:tcPr>
            <w:tcW w:w="16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64.9%</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 pts</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passengers carried</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2,733,364</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1,679,242</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62.8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19,706</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14,117</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39.6</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64,584</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45,988</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40.4</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17"/>
                <w:szCs w:val="17"/>
                <w:color w:val="auto"/>
              </w:rPr>
              <w:t>Scheduled service TRASM</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 cents</w:t>
            </w:r>
          </w:p>
        </w:tc>
        <w:tc>
          <w:tcPr>
            <w:tcW w:w="126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8.35</w:t>
            </w:r>
          </w:p>
        </w:tc>
        <w:tc>
          <w:tcPr>
            <w:tcW w:w="600" w:type="dxa"/>
            <w:vAlign w:val="bottom"/>
          </w:tcPr>
          <w:p>
            <w:pPr>
              <w:spacing w:after="0"/>
              <w:rPr>
                <w:sz w:val="21"/>
                <w:szCs w:val="21"/>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7.69</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2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102.21</w:t>
            </w:r>
          </w:p>
        </w:tc>
        <w:tc>
          <w:tcPr>
            <w:tcW w:w="6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114.96</w:t>
            </w:r>
          </w:p>
        </w:tc>
        <w:tc>
          <w:tcPr>
            <w:tcW w:w="15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42.89</w:t>
            </w:r>
          </w:p>
        </w:tc>
        <w:tc>
          <w:tcPr>
            <w:tcW w:w="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40.53</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49,685</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34,769</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42.9</w:t>
            </w:r>
          </w:p>
        </w:tc>
      </w:tr>
      <w:tr>
        <w:trPr>
          <w:trHeight w:val="203"/>
        </w:trPr>
        <w:tc>
          <w:tcPr>
            <w:tcW w:w="4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spacing w:after="0"/>
              <w:rPr>
                <w:sz w:val="17"/>
                <w:szCs w:val="17"/>
                <w:color w:val="auto"/>
              </w:rPr>
            </w:pPr>
          </w:p>
        </w:tc>
        <w:tc>
          <w:tcPr>
            <w:tcW w:w="158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7,093</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5,581</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14,967</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12,113</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23.6</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951,086</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819,855</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10,729</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8,820</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21.6</w:t>
            </w:r>
          </w:p>
        </w:tc>
      </w:tr>
      <w:tr>
        <w:trPr>
          <w:trHeight w:val="203"/>
        </w:trPr>
        <w:tc>
          <w:tcPr>
            <w:tcW w:w="4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spacing w:after="0"/>
              <w:rPr>
                <w:sz w:val="17"/>
                <w:szCs w:val="17"/>
                <w:color w:val="auto"/>
              </w:rPr>
            </w:pPr>
          </w:p>
        </w:tc>
        <w:tc>
          <w:tcPr>
            <w:tcW w:w="158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11,295</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4,642</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143.3</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33,934</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13,847</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145.1</w:t>
            </w:r>
          </w:p>
        </w:tc>
      </w:tr>
      <w:tr>
        <w:trPr>
          <w:trHeight w:val="202"/>
        </w:trPr>
        <w:tc>
          <w:tcPr>
            <w:tcW w:w="4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spacing w:after="0"/>
              <w:rPr>
                <w:sz w:val="17"/>
                <w:szCs w:val="17"/>
                <w:color w:val="auto"/>
              </w:rPr>
            </w:pPr>
          </w:p>
        </w:tc>
        <w:tc>
          <w:tcPr>
            <w:tcW w:w="158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Average passenger aircraft</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32.2</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31.3</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36</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31</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16.1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12</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12</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5,826,827</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4,311,142</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35.2</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38,317</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24,518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114,106</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72,424</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57.6</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Daily utilization – hours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6.8</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5.1</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stage length – miles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1,183</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1,179</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0.4</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17"/>
                <w:szCs w:val="17"/>
                <w:color w:val="auto"/>
              </w:rPr>
              <w:t>Total revenue per ASM (TRASM)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 cents</w:t>
            </w:r>
          </w:p>
        </w:tc>
        <w:tc>
          <w:tcPr>
            <w:tcW w:w="126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9.12</w:t>
            </w:r>
          </w:p>
        </w:tc>
        <w:tc>
          <w:tcPr>
            <w:tcW w:w="600" w:type="dxa"/>
            <w:vAlign w:val="bottom"/>
          </w:tcPr>
          <w:p>
            <w:pPr>
              <w:spacing w:after="0"/>
              <w:rPr>
                <w:sz w:val="21"/>
                <w:szCs w:val="21"/>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8.46</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Cost per ASM (CASM) - cents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8.86</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8.91</w:t>
            </w:r>
          </w:p>
        </w:tc>
        <w:tc>
          <w:tcPr>
            <w:tcW w:w="15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Adjusted CASM - cents</w:t>
            </w:r>
          </w:p>
        </w:tc>
        <w:tc>
          <w:tcPr>
            <w:tcW w:w="1260" w:type="dxa"/>
            <w:vAlign w:val="bottom"/>
          </w:tcPr>
          <w:p>
            <w:pPr>
              <w:spacing w:after="0"/>
              <w:rPr>
                <w:sz w:val="17"/>
                <w:szCs w:val="17"/>
                <w:color w:val="auto"/>
              </w:rPr>
            </w:pP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6.44</w:t>
            </w:r>
          </w:p>
        </w:tc>
        <w:tc>
          <w:tcPr>
            <w:tcW w:w="600" w:type="dxa"/>
            <w:vAlign w:val="bottom"/>
          </w:tcPr>
          <w:p>
            <w:pPr>
              <w:spacing w:after="0"/>
              <w:rPr>
                <w:sz w:val="17"/>
                <w:szCs w:val="17"/>
                <w:color w:val="auto"/>
              </w:rPr>
            </w:pP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7.57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60,739</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43,844</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38.5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2.19</w:t>
            </w:r>
          </w:p>
        </w:tc>
        <w:tc>
          <w:tcPr>
            <w:tcW w:w="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1.58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38.0</w:t>
            </w: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Employees at end of period</w:t>
            </w:r>
          </w:p>
        </w:tc>
        <w:tc>
          <w:tcPr>
            <w:tcW w:w="126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2,181</w:t>
            </w:r>
          </w:p>
        </w:tc>
        <w:tc>
          <w:tcPr>
            <w:tcW w:w="600" w:type="dxa"/>
            <w:vAlign w:val="bottom"/>
            <w:shd w:val="clear" w:color="auto" w:fill="C6F4F9"/>
          </w:tcPr>
          <w:p>
            <w:pPr>
              <w:spacing w:after="0"/>
              <w:rPr>
                <w:sz w:val="17"/>
                <w:szCs w:val="17"/>
                <w:color w:val="auto"/>
              </w:rPr>
            </w:pPr>
          </w:p>
        </w:tc>
        <w:tc>
          <w:tcPr>
            <w:tcW w:w="160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1,699</w:t>
            </w:r>
          </w:p>
        </w:tc>
        <w:tc>
          <w:tcPr>
            <w:tcW w:w="15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28.4</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1 – Scheduled service TRASM = scheduled service revenue + ancillary revenue + other revenue / scheduled service ASMs</w:t>
      </w:r>
    </w:p>
    <w:p>
      <w:pPr>
        <w:spacing w:after="0"/>
        <w:rPr>
          <w:sz w:val="20"/>
          <w:szCs w:val="20"/>
          <w:color w:val="auto"/>
        </w:rPr>
      </w:pPr>
      <w:r>
        <w:rPr>
          <w:rFonts w:ascii="Arial" w:cs="Arial" w:eastAsia="Arial" w:hAnsi="Arial"/>
          <w:sz w:val="18"/>
          <w:szCs w:val="18"/>
          <w:color w:val="auto"/>
        </w:rPr>
        <w:t>2 – Total system TRASM = total revenue – cargo revenue / system ASMs</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9</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2" w:name="page13"/>
    <w:bookmarkEnd w:id="1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SUMMARY BALANCE SHEET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35" w:lineRule="auto"/>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3"/>
          </w:tcPr>
          <w:p>
            <w:pPr>
              <w:ind w:left="240"/>
              <w:spacing w:after="0" w:line="196" w:lineRule="exact"/>
              <w:rPr>
                <w:sz w:val="20"/>
                <w:szCs w:val="20"/>
                <w:color w:val="auto"/>
              </w:rPr>
            </w:pPr>
            <w:r>
              <w:rPr>
                <w:rFonts w:ascii="Arial" w:cs="Arial" w:eastAsia="Arial" w:hAnsi="Arial"/>
                <w:sz w:val="18"/>
                <w:szCs w:val="18"/>
                <w:b w:val="1"/>
                <w:bCs w:val="1"/>
                <w:color w:val="auto"/>
              </w:rPr>
              <w:t>12/31/2021</w:t>
            </w:r>
          </w:p>
        </w:tc>
        <w:tc>
          <w:tcPr>
            <w:tcW w:w="2020" w:type="dxa"/>
            <w:vAlign w:val="bottom"/>
            <w:tcBorders>
              <w:top w:val="single" w:sz="8" w:color="auto"/>
              <w:bottom w:val="single" w:sz="8" w:color="auto"/>
            </w:tcBorders>
            <w:gridSpan w:val="2"/>
          </w:tcPr>
          <w:p>
            <w:pPr>
              <w:ind w:left="320"/>
              <w:spacing w:after="0" w:line="196" w:lineRule="exact"/>
              <w:rPr>
                <w:sz w:val="20"/>
                <w:szCs w:val="20"/>
                <w:color w:val="auto"/>
              </w:rPr>
            </w:pPr>
            <w:r>
              <w:rPr>
                <w:rFonts w:ascii="Arial" w:cs="Arial" w:eastAsia="Arial" w:hAnsi="Arial"/>
                <w:sz w:val="18"/>
                <w:szCs w:val="18"/>
                <w:b w:val="1"/>
                <w:bCs w:val="1"/>
                <w:color w:val="auto"/>
              </w:rPr>
              <w:t>12/31/2020</w:t>
            </w:r>
          </w:p>
        </w:tc>
        <w:tc>
          <w:tcPr>
            <w:tcW w:w="17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Cash and cash equivalents</w:t>
            </w:r>
          </w:p>
        </w:tc>
        <w:tc>
          <w:tcPr>
            <w:tcW w:w="540" w:type="dxa"/>
            <w:vAlign w:val="bottom"/>
            <w:gridSpan w:val="2"/>
            <w:shd w:val="clear" w:color="auto" w:fill="C6F4F9"/>
          </w:tcPr>
          <w:p>
            <w:pPr>
              <w:ind w:left="24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6F4F9"/>
          </w:tcPr>
          <w:p>
            <w:pPr>
              <w:jc w:val="right"/>
              <w:ind w:right="290"/>
              <w:spacing w:after="0" w:line="196" w:lineRule="exact"/>
              <w:rPr>
                <w:sz w:val="20"/>
                <w:szCs w:val="20"/>
                <w:color w:val="auto"/>
              </w:rPr>
            </w:pPr>
            <w:r>
              <w:rPr>
                <w:rFonts w:ascii="Arial" w:cs="Arial" w:eastAsia="Arial" w:hAnsi="Arial"/>
                <w:sz w:val="18"/>
                <w:szCs w:val="18"/>
                <w:color w:val="auto"/>
              </w:rPr>
              <w:t>309.3</w:t>
            </w:r>
          </w:p>
        </w:tc>
        <w:tc>
          <w:tcPr>
            <w:tcW w:w="620" w:type="dxa"/>
            <w:vAlign w:val="bottom"/>
            <w:shd w:val="clear" w:color="auto" w:fill="C6F4F9"/>
          </w:tcPr>
          <w:p>
            <w:pPr>
              <w:ind w:left="3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6F4F9"/>
          </w:tcPr>
          <w:p>
            <w:pPr>
              <w:jc w:val="right"/>
              <w:ind w:right="271"/>
              <w:spacing w:after="0" w:line="196" w:lineRule="exact"/>
              <w:rPr>
                <w:sz w:val="20"/>
                <w:szCs w:val="20"/>
                <w:color w:val="auto"/>
              </w:rPr>
            </w:pPr>
            <w:r>
              <w:rPr>
                <w:rFonts w:ascii="Arial" w:cs="Arial" w:eastAsia="Arial" w:hAnsi="Arial"/>
                <w:sz w:val="18"/>
                <w:szCs w:val="18"/>
                <w:color w:val="auto"/>
              </w:rPr>
              <w:t>62.0</w:t>
            </w:r>
          </w:p>
        </w:tc>
        <w:tc>
          <w:tcPr>
            <w:tcW w:w="17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398.9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current assets</w:t>
            </w:r>
          </w:p>
        </w:tc>
        <w:tc>
          <w:tcPr>
            <w:tcW w:w="240" w:type="dxa"/>
            <w:vAlign w:val="bottom"/>
            <w:tcBorders>
              <w:bottom w:val="single" w:sz="8" w:color="C6F4F9"/>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66.1</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64.7</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current assets</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196" w:lineRule="exact"/>
              <w:rPr>
                <w:sz w:val="20"/>
                <w:szCs w:val="20"/>
                <w:color w:val="auto"/>
              </w:rPr>
            </w:pPr>
            <w:r>
              <w:rPr>
                <w:rFonts w:ascii="Arial" w:cs="Arial" w:eastAsia="Arial" w:hAnsi="Arial"/>
                <w:sz w:val="18"/>
                <w:szCs w:val="18"/>
                <w:color w:val="auto"/>
              </w:rPr>
              <w:t>375.4</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196" w:lineRule="exact"/>
              <w:rPr>
                <w:sz w:val="20"/>
                <w:szCs w:val="20"/>
                <w:color w:val="auto"/>
              </w:rPr>
            </w:pPr>
            <w:r>
              <w:rPr>
                <w:rFonts w:ascii="Arial" w:cs="Arial" w:eastAsia="Arial" w:hAnsi="Arial"/>
                <w:sz w:val="18"/>
                <w:szCs w:val="18"/>
                <w:color w:val="auto"/>
              </w:rPr>
              <w:t>126.7</w:t>
            </w:r>
          </w:p>
        </w:tc>
        <w:tc>
          <w:tcPr>
            <w:tcW w:w="17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Total property &amp; equipment, net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573.6</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414.5</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240" w:type="dxa"/>
            <w:vAlign w:val="bottom"/>
            <w:shd w:val="clear" w:color="auto" w:fill="C6F4F9"/>
          </w:tcPr>
          <w:p>
            <w:pPr>
              <w:spacing w:after="0"/>
              <w:rPr>
                <w:sz w:val="18"/>
                <w:szCs w:val="18"/>
                <w:color w:val="auto"/>
              </w:rPr>
            </w:pPr>
          </w:p>
        </w:tc>
        <w:tc>
          <w:tcPr>
            <w:tcW w:w="300" w:type="dxa"/>
            <w:vAlign w:val="bottom"/>
            <w:tcBorders>
              <w:bottom w:val="single" w:sz="8" w:color="auto"/>
            </w:tcBorders>
            <w:shd w:val="clear" w:color="auto" w:fill="C6F4F9"/>
          </w:tcPr>
          <w:p>
            <w:pPr>
              <w:spacing w:after="0"/>
              <w:rPr>
                <w:sz w:val="18"/>
                <w:szCs w:val="18"/>
                <w:color w:val="auto"/>
              </w:rPr>
            </w:pPr>
          </w:p>
        </w:tc>
        <w:tc>
          <w:tcPr>
            <w:tcW w:w="1440" w:type="dxa"/>
            <w:vAlign w:val="bottom"/>
            <w:tcBorders>
              <w:bottom w:val="single" w:sz="8" w:color="auto"/>
            </w:tcBorders>
            <w:shd w:val="clear" w:color="auto" w:fill="C6F4F9"/>
          </w:tcPr>
          <w:p>
            <w:pPr>
              <w:jc w:val="right"/>
              <w:ind w:right="290"/>
              <w:spacing w:after="0"/>
              <w:rPr>
                <w:sz w:val="20"/>
                <w:szCs w:val="20"/>
                <w:color w:val="auto"/>
              </w:rPr>
            </w:pPr>
            <w:r>
              <w:rPr>
                <w:rFonts w:ascii="Arial" w:cs="Arial" w:eastAsia="Arial" w:hAnsi="Arial"/>
                <w:sz w:val="18"/>
                <w:szCs w:val="18"/>
                <w:color w:val="auto"/>
              </w:rPr>
              <w:t>427.6</w:t>
            </w:r>
          </w:p>
        </w:tc>
        <w:tc>
          <w:tcPr>
            <w:tcW w:w="620" w:type="dxa"/>
            <w:vAlign w:val="bottom"/>
            <w:tcBorders>
              <w:bottom w:val="single" w:sz="8" w:color="auto"/>
            </w:tcBorders>
            <w:shd w:val="clear" w:color="auto" w:fill="C6F4F9"/>
          </w:tcPr>
          <w:p>
            <w:pPr>
              <w:spacing w:after="0"/>
              <w:rPr>
                <w:sz w:val="18"/>
                <w:szCs w:val="18"/>
                <w:color w:val="auto"/>
              </w:rPr>
            </w:pPr>
          </w:p>
        </w:tc>
        <w:tc>
          <w:tcPr>
            <w:tcW w:w="1400" w:type="dxa"/>
            <w:vAlign w:val="bottom"/>
            <w:tcBorders>
              <w:bottom w:val="single" w:sz="8" w:color="auto"/>
            </w:tcBorders>
            <w:shd w:val="clear" w:color="auto" w:fill="C6F4F9"/>
          </w:tcPr>
          <w:p>
            <w:pPr>
              <w:jc w:val="right"/>
              <w:ind w:right="271"/>
              <w:spacing w:after="0"/>
              <w:rPr>
                <w:sz w:val="20"/>
                <w:szCs w:val="20"/>
                <w:color w:val="auto"/>
              </w:rPr>
            </w:pPr>
            <w:r>
              <w:rPr>
                <w:rFonts w:ascii="Arial" w:cs="Arial" w:eastAsia="Arial" w:hAnsi="Arial"/>
                <w:sz w:val="18"/>
                <w:szCs w:val="18"/>
                <w:color w:val="auto"/>
              </w:rPr>
              <w:t>512.0</w:t>
            </w:r>
          </w:p>
        </w:tc>
        <w:tc>
          <w:tcPr>
            <w:tcW w:w="174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b w:val="1"/>
                <w:bCs w:val="1"/>
                <w:color w:val="0A0A0A"/>
              </w:rPr>
              <w:t>Total assets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1,376.6</w:t>
            </w:r>
          </w:p>
        </w:tc>
        <w:tc>
          <w:tcPr>
            <w:tcW w:w="620" w:type="dxa"/>
            <w:vAlign w:val="bottom"/>
          </w:tcPr>
          <w:p>
            <w:pPr>
              <w:spacing w:after="0"/>
              <w:rPr>
                <w:sz w:val="17"/>
                <w:szCs w:val="17"/>
                <w:color w:val="auto"/>
              </w:rPr>
            </w:pPr>
          </w:p>
        </w:tc>
        <w:tc>
          <w:tcPr>
            <w:tcW w:w="140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1,053.3</w:t>
            </w:r>
          </w:p>
        </w:tc>
        <w:tc>
          <w:tcPr>
            <w:tcW w:w="1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spacing w:after="0"/>
              <w:rPr>
                <w:sz w:val="17"/>
                <w:szCs w:val="17"/>
                <w:color w:val="auto"/>
              </w:rPr>
            </w:pP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spacing w:after="0"/>
              <w:rPr>
                <w:sz w:val="17"/>
                <w:szCs w:val="17"/>
                <w:color w:val="auto"/>
              </w:rPr>
            </w:pPr>
          </w:p>
        </w:tc>
        <w:tc>
          <w:tcPr>
            <w:tcW w:w="174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Air traffic liabilities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118.6</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101.1</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Current finance lease obligations</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11.7</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11.5</w:t>
            </w:r>
          </w:p>
        </w:tc>
        <w:tc>
          <w:tcPr>
            <w:tcW w:w="17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Current operating lease obligations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17.2</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34.5</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Current maturities of long-term debt</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29.4</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26.1</w:t>
            </w:r>
          </w:p>
        </w:tc>
        <w:tc>
          <w:tcPr>
            <w:tcW w:w="17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current liabilities</w:t>
            </w:r>
          </w:p>
        </w:tc>
        <w:tc>
          <w:tcPr>
            <w:tcW w:w="240" w:type="dxa"/>
            <w:vAlign w:val="bottom"/>
            <w:tcBorders>
              <w:bottom w:val="single" w:sz="8" w:color="C6F4F9"/>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104.8</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80.5</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current liabilities</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196" w:lineRule="exact"/>
              <w:rPr>
                <w:sz w:val="20"/>
                <w:szCs w:val="20"/>
                <w:color w:val="auto"/>
              </w:rPr>
            </w:pPr>
            <w:r>
              <w:rPr>
                <w:rFonts w:ascii="Arial" w:cs="Arial" w:eastAsia="Arial" w:hAnsi="Arial"/>
                <w:sz w:val="18"/>
                <w:szCs w:val="18"/>
                <w:color w:val="auto"/>
              </w:rPr>
              <w:t>281.7</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196" w:lineRule="exact"/>
              <w:rPr>
                <w:sz w:val="20"/>
                <w:szCs w:val="20"/>
                <w:color w:val="auto"/>
              </w:rPr>
            </w:pPr>
            <w:r>
              <w:rPr>
                <w:rFonts w:ascii="Arial" w:cs="Arial" w:eastAsia="Arial" w:hAnsi="Arial"/>
                <w:sz w:val="18"/>
                <w:szCs w:val="18"/>
                <w:color w:val="auto"/>
              </w:rPr>
              <w:t>253.7</w:t>
            </w:r>
          </w:p>
        </w:tc>
        <w:tc>
          <w:tcPr>
            <w:tcW w:w="17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Finance lease obligations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180.5</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95.7</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Operating lease obligations</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58.8</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112.7</w:t>
            </w:r>
          </w:p>
        </w:tc>
        <w:tc>
          <w:tcPr>
            <w:tcW w:w="17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Long-term debt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248.0</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256.3</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tax receivable agreement</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98.8</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0</w:t>
            </w:r>
          </w:p>
        </w:tc>
        <w:tc>
          <w:tcPr>
            <w:tcW w:w="17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240" w:type="dxa"/>
            <w:vAlign w:val="bottom"/>
            <w:tcBorders>
              <w:bottom w:val="single" w:sz="8" w:color="C6F4F9"/>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22.0</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51.1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liabilities</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196" w:lineRule="exact"/>
              <w:rPr>
                <w:sz w:val="20"/>
                <w:szCs w:val="20"/>
                <w:color w:val="auto"/>
              </w:rPr>
            </w:pPr>
            <w:r>
              <w:rPr>
                <w:rFonts w:ascii="Arial" w:cs="Arial" w:eastAsia="Arial" w:hAnsi="Arial"/>
                <w:sz w:val="18"/>
                <w:szCs w:val="18"/>
                <w:color w:val="auto"/>
              </w:rPr>
              <w:t>889.8</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196" w:lineRule="exact"/>
              <w:rPr>
                <w:sz w:val="20"/>
                <w:szCs w:val="20"/>
                <w:color w:val="auto"/>
              </w:rPr>
            </w:pPr>
            <w:r>
              <w:rPr>
                <w:rFonts w:ascii="Arial" w:cs="Arial" w:eastAsia="Arial" w:hAnsi="Arial"/>
                <w:sz w:val="18"/>
                <w:szCs w:val="18"/>
                <w:color w:val="auto"/>
              </w:rPr>
              <w:t>769.5</w:t>
            </w:r>
          </w:p>
        </w:tc>
        <w:tc>
          <w:tcPr>
            <w:tcW w:w="174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Total stockholders equity</w:t>
            </w:r>
          </w:p>
        </w:tc>
        <w:tc>
          <w:tcPr>
            <w:tcW w:w="540" w:type="dxa"/>
            <w:vAlign w:val="bottom"/>
            <w:gridSpan w:val="2"/>
            <w:shd w:val="clear" w:color="auto" w:fill="C6F4F9"/>
          </w:tcPr>
          <w:p>
            <w:pPr>
              <w:ind w:left="24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486.8</w:t>
            </w:r>
          </w:p>
        </w:tc>
        <w:tc>
          <w:tcPr>
            <w:tcW w:w="620" w:type="dxa"/>
            <w:vAlign w:val="bottom"/>
            <w:shd w:val="clear" w:color="auto" w:fill="C6F4F9"/>
          </w:tcPr>
          <w:p>
            <w:pPr>
              <w:ind w:left="3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283.8</w:t>
            </w:r>
          </w:p>
        </w:tc>
        <w:tc>
          <w:tcPr>
            <w:tcW w:w="17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5500" w:type="dxa"/>
            <w:vAlign w:val="bottom"/>
          </w:tcPr>
          <w:p>
            <w:pPr>
              <w:spacing w:after="0"/>
              <w:rPr>
                <w:sz w:val="20"/>
                <w:szCs w:val="20"/>
                <w:color w:val="auto"/>
              </w:rPr>
            </w:pPr>
            <w:r>
              <w:rPr>
                <w:rFonts w:ascii="Arial" w:cs="Arial" w:eastAsia="Arial" w:hAnsi="Arial"/>
                <w:sz w:val="18"/>
                <w:szCs w:val="18"/>
                <w:b w:val="1"/>
                <w:bCs w:val="1"/>
                <w:color w:val="auto"/>
              </w:rPr>
              <w:t>SUMMARY CASH FLOW</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(Dollars in millions)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(Unaudited - amounts may not recalculate due to rounding)</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60" w:type="dxa"/>
            <w:vAlign w:val="bottom"/>
            <w:gridSpan w:val="3"/>
          </w:tcPr>
          <w:p>
            <w:pPr>
              <w:jc w:val="right"/>
              <w:ind w:right="631"/>
              <w:spacing w:after="0" w:line="173" w:lineRule="exact"/>
              <w:rPr>
                <w:sz w:val="20"/>
                <w:szCs w:val="20"/>
                <w:color w:val="auto"/>
              </w:rPr>
            </w:pPr>
            <w:r>
              <w:rPr>
                <w:rFonts w:ascii="Arial" w:cs="Arial" w:eastAsia="Arial" w:hAnsi="Arial"/>
                <w:sz w:val="18"/>
                <w:szCs w:val="18"/>
                <w:b w:val="1"/>
                <w:bCs w:val="1"/>
                <w:color w:val="auto"/>
              </w:rPr>
              <w:t>Twelve Months Ended Dec 31,</w:t>
            </w: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9"/>
                <w:szCs w:val="19"/>
                <w:color w:val="auto"/>
              </w:rPr>
            </w:pPr>
          </w:p>
        </w:tc>
        <w:tc>
          <w:tcPr>
            <w:tcW w:w="1400" w:type="dxa"/>
            <w:vAlign w:val="bottom"/>
          </w:tcPr>
          <w:p>
            <w:pPr>
              <w:jc w:val="right"/>
              <w:ind w:right="691"/>
              <w:spacing w:after="0"/>
              <w:rPr>
                <w:sz w:val="20"/>
                <w:szCs w:val="20"/>
                <w:color w:val="auto"/>
              </w:rPr>
            </w:pPr>
            <w:r>
              <w:rPr>
                <w:rFonts w:ascii="Arial" w:cs="Arial" w:eastAsia="Arial" w:hAnsi="Arial"/>
                <w:sz w:val="18"/>
                <w:szCs w:val="18"/>
                <w:b w:val="1"/>
                <w:bCs w:val="1"/>
                <w:color w:val="auto"/>
              </w:rPr>
              <w:t>2020</w:t>
            </w: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provided by operating activities</w:t>
            </w:r>
          </w:p>
        </w:tc>
        <w:tc>
          <w:tcPr>
            <w:tcW w:w="540" w:type="dxa"/>
            <w:vAlign w:val="bottom"/>
            <w:tcBorders>
              <w:top w:val="single" w:sz="8" w:color="auto"/>
            </w:tcBorders>
            <w:gridSpan w:val="2"/>
            <w:shd w:val="clear" w:color="auto" w:fill="C6F4F9"/>
          </w:tcPr>
          <w:p>
            <w:pPr>
              <w:ind w:left="24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6F4F9"/>
          </w:tcPr>
          <w:p>
            <w:pPr>
              <w:jc w:val="right"/>
              <w:ind w:right="290"/>
              <w:spacing w:after="0" w:line="196" w:lineRule="exact"/>
              <w:rPr>
                <w:sz w:val="20"/>
                <w:szCs w:val="20"/>
                <w:color w:val="auto"/>
              </w:rPr>
            </w:pPr>
            <w:r>
              <w:rPr>
                <w:rFonts w:ascii="Arial" w:cs="Arial" w:eastAsia="Arial" w:hAnsi="Arial"/>
                <w:sz w:val="18"/>
                <w:szCs w:val="18"/>
                <w:color w:val="auto"/>
              </w:rPr>
              <w:t>152.0</w:t>
            </w:r>
          </w:p>
        </w:tc>
        <w:tc>
          <w:tcPr>
            <w:tcW w:w="620" w:type="dxa"/>
            <w:vAlign w:val="bottom"/>
            <w:tcBorders>
              <w:top w:val="single" w:sz="8" w:color="auto"/>
            </w:tcBorders>
            <w:shd w:val="clear" w:color="auto" w:fill="C6F4F9"/>
          </w:tcPr>
          <w:p>
            <w:pPr>
              <w:ind w:left="32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6F4F9"/>
          </w:tcPr>
          <w:p>
            <w:pPr>
              <w:jc w:val="right"/>
              <w:ind w:right="271"/>
              <w:spacing w:after="0" w:line="196" w:lineRule="exact"/>
              <w:rPr>
                <w:sz w:val="20"/>
                <w:szCs w:val="20"/>
                <w:color w:val="auto"/>
              </w:rPr>
            </w:pPr>
            <w:r>
              <w:rPr>
                <w:rFonts w:ascii="Arial" w:cs="Arial" w:eastAsia="Arial" w:hAnsi="Arial"/>
                <w:sz w:val="18"/>
                <w:szCs w:val="18"/>
                <w:color w:val="auto"/>
              </w:rPr>
              <w:t>0.4</w:t>
            </w:r>
          </w:p>
        </w:tc>
        <w:tc>
          <w:tcPr>
            <w:tcW w:w="174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Purchases of property &amp; equipment</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(116.3)</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11"/>
              <w:spacing w:after="0" w:line="202" w:lineRule="exact"/>
              <w:rPr>
                <w:sz w:val="20"/>
                <w:szCs w:val="20"/>
                <w:color w:val="auto"/>
              </w:rPr>
            </w:pPr>
            <w:r>
              <w:rPr>
                <w:rFonts w:ascii="Arial" w:cs="Arial" w:eastAsia="Arial" w:hAnsi="Arial"/>
                <w:sz w:val="18"/>
                <w:szCs w:val="18"/>
                <w:color w:val="auto"/>
              </w:rPr>
              <w:t>(96.3)</w:t>
            </w:r>
          </w:p>
        </w:tc>
        <w:tc>
          <w:tcPr>
            <w:tcW w:w="17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0A0A0A"/>
              </w:rPr>
              <w:t>Other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0.3</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50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used in investing activities</w:t>
            </w:r>
          </w:p>
        </w:tc>
        <w:tc>
          <w:tcPr>
            <w:tcW w:w="240" w:type="dxa"/>
            <w:vAlign w:val="bottom"/>
            <w:tcBorders>
              <w:top w:val="single" w:sz="8" w:color="C6F4F9"/>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440" w:type="dxa"/>
            <w:vAlign w:val="bottom"/>
            <w:tcBorders>
              <w:top w:val="single" w:sz="8" w:color="auto"/>
            </w:tcBorders>
            <w:shd w:val="clear" w:color="auto" w:fill="C6F4F9"/>
          </w:tcPr>
          <w:p>
            <w:pPr>
              <w:jc w:val="right"/>
              <w:ind w:right="230"/>
              <w:spacing w:after="0" w:line="196" w:lineRule="exact"/>
              <w:rPr>
                <w:sz w:val="20"/>
                <w:szCs w:val="20"/>
                <w:color w:val="auto"/>
              </w:rPr>
            </w:pPr>
            <w:r>
              <w:rPr>
                <w:rFonts w:ascii="Arial" w:cs="Arial" w:eastAsia="Arial" w:hAnsi="Arial"/>
                <w:sz w:val="18"/>
                <w:szCs w:val="18"/>
                <w:color w:val="auto"/>
              </w:rPr>
              <w:t>(117.0)</w:t>
            </w:r>
          </w:p>
        </w:tc>
        <w:tc>
          <w:tcPr>
            <w:tcW w:w="620" w:type="dxa"/>
            <w:vAlign w:val="bottom"/>
            <w:tcBorders>
              <w:top w:val="single" w:sz="8" w:color="auto"/>
            </w:tcBorders>
            <w:shd w:val="clear" w:color="auto" w:fill="C6F4F9"/>
          </w:tcPr>
          <w:p>
            <w:pPr>
              <w:spacing w:after="0"/>
              <w:rPr>
                <w:sz w:val="17"/>
                <w:szCs w:val="17"/>
                <w:color w:val="auto"/>
              </w:rPr>
            </w:pPr>
          </w:p>
        </w:tc>
        <w:tc>
          <w:tcPr>
            <w:tcW w:w="1400" w:type="dxa"/>
            <w:vAlign w:val="bottom"/>
            <w:tcBorders>
              <w:top w:val="single" w:sz="8" w:color="auto"/>
            </w:tcBorders>
            <w:shd w:val="clear" w:color="auto" w:fill="C6F4F9"/>
          </w:tcPr>
          <w:p>
            <w:pPr>
              <w:jc w:val="right"/>
              <w:ind w:right="211"/>
              <w:spacing w:after="0" w:line="196" w:lineRule="exact"/>
              <w:rPr>
                <w:sz w:val="20"/>
                <w:szCs w:val="20"/>
                <w:color w:val="auto"/>
              </w:rPr>
            </w:pPr>
            <w:r>
              <w:rPr>
                <w:rFonts w:ascii="Arial" w:cs="Arial" w:eastAsia="Arial" w:hAnsi="Arial"/>
                <w:sz w:val="18"/>
                <w:szCs w:val="18"/>
                <w:color w:val="auto"/>
              </w:rPr>
              <w:t>(96.0)</w:t>
            </w:r>
          </w:p>
        </w:tc>
        <w:tc>
          <w:tcPr>
            <w:tcW w:w="174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received from stock offering</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235.9</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0.0</w:t>
            </w:r>
          </w:p>
        </w:tc>
        <w:tc>
          <w:tcPr>
            <w:tcW w:w="174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Proceeds from borrowing</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80.5</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265.3</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Repayment of finance lease obligations</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(11.9)</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11"/>
              <w:spacing w:after="0" w:line="202" w:lineRule="exact"/>
              <w:rPr>
                <w:sz w:val="20"/>
                <w:szCs w:val="20"/>
                <w:color w:val="auto"/>
              </w:rPr>
            </w:pPr>
            <w:r>
              <w:rPr>
                <w:rFonts w:ascii="Arial" w:cs="Arial" w:eastAsia="Arial" w:hAnsi="Arial"/>
                <w:sz w:val="18"/>
                <w:szCs w:val="18"/>
                <w:color w:val="auto"/>
              </w:rPr>
              <w:t>(89.7)</w:t>
            </w:r>
          </w:p>
        </w:tc>
        <w:tc>
          <w:tcPr>
            <w:tcW w:w="17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Repayment of borrowings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(85.4)</w:t>
            </w:r>
          </w:p>
        </w:tc>
        <w:tc>
          <w:tcPr>
            <w:tcW w:w="620" w:type="dxa"/>
            <w:vAlign w:val="bottom"/>
          </w:tcPr>
          <w:p>
            <w:pPr>
              <w:spacing w:after="0"/>
              <w:rPr>
                <w:sz w:val="17"/>
                <w:szCs w:val="17"/>
                <w:color w:val="auto"/>
              </w:rPr>
            </w:pPr>
          </w:p>
        </w:tc>
        <w:tc>
          <w:tcPr>
            <w:tcW w:w="14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(69.9)</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240" w:type="dxa"/>
            <w:vAlign w:val="bottom"/>
            <w:shd w:val="clear" w:color="auto" w:fill="C6F4F9"/>
          </w:tcPr>
          <w:p>
            <w:pPr>
              <w:spacing w:after="0"/>
              <w:rPr>
                <w:sz w:val="18"/>
                <w:szCs w:val="18"/>
                <w:color w:val="auto"/>
              </w:rPr>
            </w:pPr>
          </w:p>
        </w:tc>
        <w:tc>
          <w:tcPr>
            <w:tcW w:w="300" w:type="dxa"/>
            <w:vAlign w:val="bottom"/>
            <w:tcBorders>
              <w:bottom w:val="single" w:sz="8" w:color="auto"/>
            </w:tcBorders>
            <w:shd w:val="clear" w:color="auto" w:fill="C6F4F9"/>
          </w:tcPr>
          <w:p>
            <w:pPr>
              <w:spacing w:after="0"/>
              <w:rPr>
                <w:sz w:val="18"/>
                <w:szCs w:val="18"/>
                <w:color w:val="auto"/>
              </w:rPr>
            </w:pPr>
          </w:p>
        </w:tc>
        <w:tc>
          <w:tcPr>
            <w:tcW w:w="1440" w:type="dxa"/>
            <w:vAlign w:val="bottom"/>
            <w:tcBorders>
              <w:bottom w:val="single" w:sz="8" w:color="auto"/>
            </w:tcBorders>
            <w:shd w:val="clear" w:color="auto" w:fill="C6F4F9"/>
          </w:tcPr>
          <w:p>
            <w:pPr>
              <w:jc w:val="right"/>
              <w:ind w:right="230"/>
              <w:spacing w:after="0"/>
              <w:rPr>
                <w:sz w:val="20"/>
                <w:szCs w:val="20"/>
                <w:color w:val="auto"/>
              </w:rPr>
            </w:pPr>
            <w:r>
              <w:rPr>
                <w:rFonts w:ascii="Arial" w:cs="Arial" w:eastAsia="Arial" w:hAnsi="Arial"/>
                <w:sz w:val="18"/>
                <w:szCs w:val="18"/>
                <w:color w:val="auto"/>
              </w:rPr>
              <w:t>(6.7)</w:t>
            </w:r>
          </w:p>
        </w:tc>
        <w:tc>
          <w:tcPr>
            <w:tcW w:w="620" w:type="dxa"/>
            <w:vAlign w:val="bottom"/>
            <w:tcBorders>
              <w:bottom w:val="single" w:sz="8" w:color="auto"/>
            </w:tcBorders>
            <w:shd w:val="clear" w:color="auto" w:fill="C6F4F9"/>
          </w:tcPr>
          <w:p>
            <w:pPr>
              <w:spacing w:after="0"/>
              <w:rPr>
                <w:sz w:val="18"/>
                <w:szCs w:val="18"/>
                <w:color w:val="auto"/>
              </w:rPr>
            </w:pPr>
          </w:p>
        </w:tc>
        <w:tc>
          <w:tcPr>
            <w:tcW w:w="1400" w:type="dxa"/>
            <w:vAlign w:val="bottom"/>
            <w:tcBorders>
              <w:bottom w:val="single" w:sz="8" w:color="auto"/>
            </w:tcBorders>
            <w:shd w:val="clear" w:color="auto" w:fill="C6F4F9"/>
          </w:tcPr>
          <w:p>
            <w:pPr>
              <w:jc w:val="right"/>
              <w:ind w:right="211"/>
              <w:spacing w:after="0"/>
              <w:rPr>
                <w:sz w:val="20"/>
                <w:szCs w:val="20"/>
                <w:color w:val="auto"/>
              </w:rPr>
            </w:pPr>
            <w:r>
              <w:rPr>
                <w:rFonts w:ascii="Arial" w:cs="Arial" w:eastAsia="Arial" w:hAnsi="Arial"/>
                <w:sz w:val="18"/>
                <w:szCs w:val="18"/>
                <w:color w:val="auto"/>
              </w:rPr>
              <w:t>(4.2)</w:t>
            </w:r>
          </w:p>
        </w:tc>
        <w:tc>
          <w:tcPr>
            <w:tcW w:w="17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b w:val="1"/>
                <w:bCs w:val="1"/>
                <w:color w:val="0A0A0A"/>
              </w:rPr>
              <w:t>Net cash provided by financing activities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212.4</w:t>
            </w:r>
          </w:p>
        </w:tc>
        <w:tc>
          <w:tcPr>
            <w:tcW w:w="620" w:type="dxa"/>
            <w:vAlign w:val="bottom"/>
          </w:tcPr>
          <w:p>
            <w:pPr>
              <w:spacing w:after="0"/>
              <w:rPr>
                <w:sz w:val="17"/>
                <w:szCs w:val="17"/>
                <w:color w:val="auto"/>
              </w:rPr>
            </w:pPr>
          </w:p>
        </w:tc>
        <w:tc>
          <w:tcPr>
            <w:tcW w:w="140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101.5</w:t>
            </w:r>
          </w:p>
        </w:tc>
        <w:tc>
          <w:tcPr>
            <w:tcW w:w="1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spacing w:after="0"/>
              <w:rPr>
                <w:sz w:val="17"/>
                <w:szCs w:val="17"/>
                <w:color w:val="auto"/>
              </w:rPr>
            </w:pP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spacing w:after="0"/>
              <w:rPr>
                <w:sz w:val="17"/>
                <w:szCs w:val="17"/>
                <w:color w:val="auto"/>
              </w:rPr>
            </w:pPr>
          </w:p>
        </w:tc>
        <w:tc>
          <w:tcPr>
            <w:tcW w:w="174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0A0A0A"/>
              </w:rPr>
              <w:t>Change in cash</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247.4</w:t>
            </w:r>
          </w:p>
        </w:tc>
        <w:tc>
          <w:tcPr>
            <w:tcW w:w="620" w:type="dxa"/>
            <w:vAlign w:val="bottom"/>
          </w:tcPr>
          <w:p>
            <w:pPr>
              <w:spacing w:after="0"/>
              <w:rPr>
                <w:sz w:val="17"/>
                <w:szCs w:val="17"/>
                <w:color w:val="auto"/>
              </w:rPr>
            </w:pPr>
          </w:p>
        </w:tc>
        <w:tc>
          <w:tcPr>
            <w:tcW w:w="140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5.9</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6F4F9"/>
          </w:tcPr>
          <w:p>
            <w:pPr>
              <w:spacing w:after="0" w:line="201" w:lineRule="exact"/>
              <w:rPr>
                <w:sz w:val="20"/>
                <w:szCs w:val="20"/>
                <w:color w:val="auto"/>
              </w:rPr>
            </w:pPr>
            <w:r>
              <w:rPr>
                <w:rFonts w:ascii="Arial" w:cs="Arial" w:eastAsia="Arial" w:hAnsi="Arial"/>
                <w:sz w:val="18"/>
                <w:szCs w:val="18"/>
                <w:color w:val="0A0A0A"/>
              </w:rPr>
              <w:t>Cash and equivalents and restricted cash – beginning of the</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spacing w:after="0"/>
              <w:rPr>
                <w:sz w:val="17"/>
                <w:szCs w:val="17"/>
                <w:color w:val="auto"/>
              </w:rPr>
            </w:pP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spacing w:after="0"/>
              <w:rPr>
                <w:sz w:val="17"/>
                <w:szCs w:val="17"/>
                <w:color w:val="auto"/>
              </w:rPr>
            </w:pPr>
          </w:p>
        </w:tc>
        <w:tc>
          <w:tcPr>
            <w:tcW w:w="174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6F4F9"/>
          </w:tcPr>
          <w:p>
            <w:pPr>
              <w:spacing w:after="0" w:line="203" w:lineRule="exact"/>
              <w:rPr>
                <w:sz w:val="20"/>
                <w:szCs w:val="20"/>
                <w:color w:val="auto"/>
              </w:rPr>
            </w:pPr>
            <w:r>
              <w:rPr>
                <w:rFonts w:ascii="Arial" w:cs="Arial" w:eastAsia="Arial" w:hAnsi="Arial"/>
                <w:sz w:val="18"/>
                <w:szCs w:val="18"/>
                <w:color w:val="0A0A0A"/>
              </w:rPr>
              <w:t>period</w:t>
            </w:r>
          </w:p>
        </w:tc>
        <w:tc>
          <w:tcPr>
            <w:tcW w:w="24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440" w:type="dxa"/>
            <w:vAlign w:val="bottom"/>
            <w:shd w:val="clear" w:color="auto" w:fill="C6F4F9"/>
          </w:tcPr>
          <w:p>
            <w:pPr>
              <w:jc w:val="right"/>
              <w:ind w:right="290"/>
              <w:spacing w:after="0" w:line="203" w:lineRule="exact"/>
              <w:rPr>
                <w:sz w:val="20"/>
                <w:szCs w:val="20"/>
                <w:color w:val="auto"/>
              </w:rPr>
            </w:pPr>
            <w:r>
              <w:rPr>
                <w:rFonts w:ascii="Arial" w:cs="Arial" w:eastAsia="Arial" w:hAnsi="Arial"/>
                <w:sz w:val="18"/>
                <w:szCs w:val="18"/>
                <w:color w:val="auto"/>
              </w:rPr>
              <w:t>70.4</w:t>
            </w:r>
          </w:p>
        </w:tc>
        <w:tc>
          <w:tcPr>
            <w:tcW w:w="620" w:type="dxa"/>
            <w:vAlign w:val="bottom"/>
            <w:shd w:val="clear" w:color="auto" w:fill="C6F4F9"/>
          </w:tcPr>
          <w:p>
            <w:pPr>
              <w:spacing w:after="0"/>
              <w:rPr>
                <w:sz w:val="17"/>
                <w:szCs w:val="17"/>
                <w:color w:val="auto"/>
              </w:rPr>
            </w:pPr>
          </w:p>
        </w:tc>
        <w:tc>
          <w:tcPr>
            <w:tcW w:w="1400" w:type="dxa"/>
            <w:vAlign w:val="bottom"/>
            <w:shd w:val="clear" w:color="auto" w:fill="C6F4F9"/>
          </w:tcPr>
          <w:p>
            <w:pPr>
              <w:jc w:val="right"/>
              <w:ind w:right="271"/>
              <w:spacing w:after="0" w:line="203" w:lineRule="exact"/>
              <w:rPr>
                <w:sz w:val="20"/>
                <w:szCs w:val="20"/>
                <w:color w:val="auto"/>
              </w:rPr>
            </w:pPr>
            <w:r>
              <w:rPr>
                <w:rFonts w:ascii="Arial" w:cs="Arial" w:eastAsia="Arial" w:hAnsi="Arial"/>
                <w:sz w:val="18"/>
                <w:szCs w:val="18"/>
                <w:color w:val="auto"/>
              </w:rPr>
              <w:t>64.5</w:t>
            </w:r>
          </w:p>
        </w:tc>
        <w:tc>
          <w:tcPr>
            <w:tcW w:w="1740" w:type="dxa"/>
            <w:vAlign w:val="bottom"/>
            <w:shd w:val="clear" w:color="auto" w:fill="C6F4F9"/>
          </w:tcPr>
          <w:p>
            <w:pPr>
              <w:jc w:val="right"/>
              <w:ind w:right="10"/>
              <w:spacing w:after="0" w:line="203"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0A0A0A"/>
              </w:rPr>
              <w:t>Cash and equivalents and restricted cash – end of the period</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317.8</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70.4</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6"/>
        </w:trPr>
        <w:tc>
          <w:tcPr>
            <w:tcW w:w="550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Page 10</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Calculation of Special Items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lists the items that are included as Special Items, net.</w:t>
      </w:r>
    </w:p>
    <w:p>
      <w:pPr>
        <w:spacing w:after="0" w:line="16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 Dec 31,</w:t>
      </w:r>
    </w:p>
    <w:p>
      <w:pPr>
        <w:spacing w:after="0" w:line="14" w:lineRule="exact"/>
        <w:rPr>
          <w:sz w:val="20"/>
          <w:szCs w:val="20"/>
          <w:color w:val="auto"/>
        </w:rPr>
      </w:pPr>
    </w:p>
    <w:p>
      <w:pPr>
        <w:ind w:left="7800"/>
        <w:spacing w:after="0"/>
        <w:tabs>
          <w:tab w:leader="none" w:pos="102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tbl>
      <w:tblPr>
        <w:tblLayout w:type="fixed"/>
        <w:tblInd w:w="0" w:type="dxa"/>
        <w:tblCellMar>
          <w:top w:w="0" w:type="dxa"/>
          <w:left w:w="0" w:type="dxa"/>
          <w:bottom w:w="0" w:type="dxa"/>
          <w:right w:w="0" w:type="dxa"/>
        </w:tblCellMar>
      </w:tblPr>
      <w:tr>
        <w:trPr>
          <w:trHeight w:val="250"/>
        </w:trPr>
        <w:tc>
          <w:tcPr>
            <w:tcW w:w="7200" w:type="dxa"/>
            <w:vAlign w:val="bottom"/>
            <w:tcBorders>
              <w:top w:val="single" w:sz="8" w:color="auto"/>
            </w:tcBorders>
            <w:shd w:val="clear" w:color="auto" w:fill="C6F4F9"/>
          </w:tcPr>
          <w:p>
            <w:pPr>
              <w:spacing w:after="0" w:line="250"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(1)</w:t>
            </w:r>
          </w:p>
        </w:tc>
        <w:tc>
          <w:tcPr>
            <w:tcW w:w="640" w:type="dxa"/>
            <w:vAlign w:val="bottom"/>
            <w:tcBorders>
              <w:top w:val="single" w:sz="8" w:color="auto"/>
              <w:bottom w:val="single" w:sz="8" w:color="auto"/>
            </w:tcBorders>
            <w:shd w:val="clear" w:color="auto" w:fill="C6F4F9"/>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6F4F9"/>
          </w:tcPr>
          <w:p>
            <w:pPr>
              <w:ind w:left="56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6F4F9"/>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(0.2)</w:t>
            </w:r>
          </w:p>
        </w:tc>
      </w:tr>
      <w:tr>
        <w:trPr>
          <w:trHeight w:val="209"/>
        </w:trPr>
        <w:tc>
          <w:tcPr>
            <w:tcW w:w="7200" w:type="dxa"/>
            <w:vAlign w:val="bottom"/>
          </w:tcPr>
          <w:p>
            <w:pPr>
              <w:spacing w:after="0" w:line="197" w:lineRule="exact"/>
              <w:rPr>
                <w:sz w:val="20"/>
                <w:szCs w:val="20"/>
                <w:color w:val="auto"/>
              </w:rPr>
            </w:pPr>
            <w:r>
              <w:rPr>
                <w:rFonts w:ascii="Arial" w:cs="Arial" w:eastAsia="Arial" w:hAnsi="Arial"/>
                <w:sz w:val="18"/>
                <w:szCs w:val="18"/>
                <w:color w:val="auto"/>
              </w:rPr>
              <w:t>Total special items, net</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7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CARES Act Employee Retention credit relates to a refundable tax credit against certain employee taxes.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5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Twelve Months Ended Dec 31,</w:t>
            </w:r>
          </w:p>
        </w:tc>
        <w:tc>
          <w:tcPr>
            <w:tcW w:w="540" w:type="dxa"/>
            <w:vAlign w:val="bottom"/>
          </w:tcPr>
          <w:p>
            <w:pPr>
              <w:spacing w:after="0"/>
              <w:rPr>
                <w:sz w:val="17"/>
                <w:szCs w:val="17"/>
                <w:color w:val="auto"/>
              </w:rPr>
            </w:pPr>
          </w:p>
        </w:tc>
      </w:tr>
      <w:tr>
        <w:trPr>
          <w:trHeight w:val="225"/>
        </w:trPr>
        <w:tc>
          <w:tcPr>
            <w:tcW w:w="5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r>
      <w:tr>
        <w:trPr>
          <w:trHeight w:val="237"/>
        </w:trPr>
        <w:tc>
          <w:tcPr>
            <w:tcW w:w="5220" w:type="dxa"/>
            <w:vAlign w:val="bottom"/>
            <w:shd w:val="clear" w:color="auto" w:fill="C6F4F9"/>
          </w:tcPr>
          <w:p>
            <w:pPr>
              <w:spacing w:after="0" w:line="236" w:lineRule="exact"/>
              <w:rPr>
                <w:sz w:val="20"/>
                <w:szCs w:val="20"/>
                <w:color w:val="auto"/>
              </w:rPr>
            </w:pPr>
            <w:r>
              <w:rPr>
                <w:rFonts w:ascii="Arial" w:cs="Arial" w:eastAsia="Arial" w:hAnsi="Arial"/>
                <w:sz w:val="17"/>
                <w:szCs w:val="17"/>
                <w:color w:val="auto"/>
              </w:rPr>
              <w:t xml:space="preserve">CARES Act grant recognition </w:t>
            </w:r>
            <w:r>
              <w:rPr>
                <w:rFonts w:ascii="Arial" w:cs="Arial" w:eastAsia="Arial" w:hAnsi="Arial"/>
                <w:sz w:val="27"/>
                <w:szCs w:val="27"/>
                <w:color w:val="auto"/>
                <w:vertAlign w:val="superscript"/>
              </w:rPr>
              <w:t>(1)</w:t>
            </w:r>
          </w:p>
        </w:tc>
        <w:tc>
          <w:tcPr>
            <w:tcW w:w="3020" w:type="dxa"/>
            <w:vAlign w:val="bottom"/>
            <w:gridSpan w:val="2"/>
            <w:shd w:val="clear" w:color="auto" w:fill="C6F4F9"/>
          </w:tcPr>
          <w:p>
            <w:pPr>
              <w:jc w:val="right"/>
              <w:ind w:right="8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6F4F9"/>
          </w:tcPr>
          <w:p>
            <w:pPr>
              <w:jc w:val="right"/>
              <w:ind w:right="390"/>
              <w:spacing w:after="0"/>
              <w:rPr>
                <w:sz w:val="20"/>
                <w:szCs w:val="20"/>
                <w:color w:val="auto"/>
              </w:rPr>
            </w:pPr>
            <w:r>
              <w:rPr>
                <w:rFonts w:ascii="Arial" w:cs="Arial" w:eastAsia="Arial" w:hAnsi="Arial"/>
                <w:sz w:val="18"/>
                <w:szCs w:val="18"/>
                <w:color w:val="auto"/>
              </w:rPr>
              <w:t>(71.6)</w:t>
            </w:r>
          </w:p>
        </w:tc>
        <w:tc>
          <w:tcPr>
            <w:tcW w:w="1480" w:type="dxa"/>
            <w:vAlign w:val="bottom"/>
            <w:shd w:val="clear" w:color="auto" w:fill="C6F4F9"/>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(62.3)</w:t>
            </w:r>
          </w:p>
        </w:tc>
      </w:tr>
      <w:tr>
        <w:trPr>
          <w:trHeight w:val="243"/>
        </w:trPr>
        <w:tc>
          <w:tcPr>
            <w:tcW w:w="5220" w:type="dxa"/>
            <w:vAlign w:val="bottom"/>
          </w:tcPr>
          <w:p>
            <w:pPr>
              <w:spacing w:after="0" w:line="243"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tc>
        <w:tc>
          <w:tcPr>
            <w:tcW w:w="1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14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22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Aircraft lease buy-out expense </w:t>
            </w:r>
            <w:r>
              <w:rPr>
                <w:rFonts w:ascii="Arial" w:cs="Arial" w:eastAsia="Arial" w:hAnsi="Arial"/>
                <w:sz w:val="28"/>
                <w:szCs w:val="28"/>
                <w:color w:val="auto"/>
                <w:vertAlign w:val="superscript"/>
              </w:rPr>
              <w:t>(3)</w:t>
            </w:r>
          </w:p>
        </w:tc>
        <w:tc>
          <w:tcPr>
            <w:tcW w:w="1980" w:type="dxa"/>
            <w:vAlign w:val="bottom"/>
            <w:shd w:val="clear" w:color="auto" w:fill="C6F4F9"/>
          </w:tcPr>
          <w:p>
            <w:pPr>
              <w:spacing w:after="0"/>
              <w:rPr>
                <w:sz w:val="21"/>
                <w:szCs w:val="21"/>
                <w:color w:val="auto"/>
              </w:rPr>
            </w:pPr>
          </w:p>
        </w:tc>
        <w:tc>
          <w:tcPr>
            <w:tcW w:w="1040" w:type="dxa"/>
            <w:vAlign w:val="bottom"/>
            <w:shd w:val="clear" w:color="auto" w:fill="C6F4F9"/>
          </w:tcPr>
          <w:p>
            <w:pPr>
              <w:spacing w:after="0"/>
              <w:rPr>
                <w:sz w:val="21"/>
                <w:szCs w:val="21"/>
                <w:color w:val="auto"/>
              </w:rPr>
            </w:pPr>
          </w:p>
        </w:tc>
        <w:tc>
          <w:tcPr>
            <w:tcW w:w="980" w:type="dxa"/>
            <w:vAlign w:val="bottom"/>
            <w:shd w:val="clear" w:color="auto" w:fill="C6F4F9"/>
          </w:tcPr>
          <w:p>
            <w:pPr>
              <w:jc w:val="right"/>
              <w:ind w:right="450"/>
              <w:spacing w:after="0"/>
              <w:rPr>
                <w:sz w:val="20"/>
                <w:szCs w:val="20"/>
                <w:color w:val="auto"/>
              </w:rPr>
            </w:pPr>
            <w:r>
              <w:rPr>
                <w:rFonts w:ascii="Arial" w:cs="Arial" w:eastAsia="Arial" w:hAnsi="Arial"/>
                <w:sz w:val="18"/>
                <w:szCs w:val="18"/>
                <w:color w:val="auto"/>
              </w:rPr>
              <w:t>7.0</w:t>
            </w:r>
          </w:p>
        </w:tc>
        <w:tc>
          <w:tcPr>
            <w:tcW w:w="1480" w:type="dxa"/>
            <w:vAlign w:val="bottom"/>
            <w:shd w:val="clear" w:color="auto" w:fill="C6F4F9"/>
          </w:tcPr>
          <w:p>
            <w:pPr>
              <w:spacing w:after="0"/>
              <w:rPr>
                <w:sz w:val="21"/>
                <w:szCs w:val="21"/>
                <w:color w:val="auto"/>
              </w:rPr>
            </w:pPr>
          </w:p>
        </w:tc>
        <w:tc>
          <w:tcPr>
            <w:tcW w:w="54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6F4F9"/>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09"/>
        </w:trPr>
        <w:tc>
          <w:tcPr>
            <w:tcW w:w="5220" w:type="dxa"/>
            <w:vAlign w:val="bottom"/>
            <w:shd w:val="clear" w:color="auto" w:fill="C6F4F9"/>
          </w:tcPr>
          <w:p>
            <w:pPr>
              <w:spacing w:after="0" w:line="197" w:lineRule="exact"/>
              <w:rPr>
                <w:sz w:val="20"/>
                <w:szCs w:val="20"/>
                <w:color w:val="auto"/>
              </w:rPr>
            </w:pPr>
            <w:r>
              <w:rPr>
                <w:rFonts w:ascii="Arial" w:cs="Arial" w:eastAsia="Arial" w:hAnsi="Arial"/>
                <w:sz w:val="18"/>
                <w:szCs w:val="18"/>
                <w:color w:val="auto"/>
              </w:rPr>
              <w:t>Total special items, net</w:t>
            </w:r>
          </w:p>
        </w:tc>
        <w:tc>
          <w:tcPr>
            <w:tcW w:w="3020" w:type="dxa"/>
            <w:vAlign w:val="bottom"/>
            <w:gridSpan w:val="2"/>
            <w:shd w:val="clear" w:color="auto" w:fill="C6F4F9"/>
          </w:tcPr>
          <w:p>
            <w:pPr>
              <w:jc w:val="right"/>
              <w:ind w:right="8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6F4F9"/>
          </w:tcPr>
          <w:p>
            <w:pPr>
              <w:jc w:val="right"/>
              <w:ind w:right="390"/>
              <w:spacing w:after="0"/>
              <w:rPr>
                <w:sz w:val="20"/>
                <w:szCs w:val="20"/>
                <w:color w:val="auto"/>
              </w:rPr>
            </w:pPr>
            <w:r>
              <w:rPr>
                <w:rFonts w:ascii="Arial" w:cs="Arial" w:eastAsia="Arial" w:hAnsi="Arial"/>
                <w:sz w:val="18"/>
                <w:szCs w:val="18"/>
                <w:color w:val="auto"/>
              </w:rPr>
              <w:t>(65.5)</w:t>
            </w:r>
          </w:p>
        </w:tc>
        <w:tc>
          <w:tcPr>
            <w:tcW w:w="1480" w:type="dxa"/>
            <w:vAlign w:val="bottom"/>
            <w:shd w:val="clear" w:color="auto" w:fill="C6F4F9"/>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(64.6)</w:t>
            </w:r>
          </w:p>
        </w:tc>
      </w:tr>
      <w:tr>
        <w:trPr>
          <w:trHeight w:val="20"/>
        </w:trPr>
        <w:tc>
          <w:tcPr>
            <w:tcW w:w="5220" w:type="dxa"/>
            <w:vAlign w:val="bottom"/>
            <w:tcBorders>
              <w:top w:val="single" w:sz="8" w:color="C6F4F9"/>
            </w:tcBorders>
          </w:tcPr>
          <w:p>
            <w:pPr>
              <w:spacing w:after="0" w:line="20" w:lineRule="exact"/>
              <w:rPr>
                <w:sz w:val="1"/>
                <w:szCs w:val="1"/>
                <w:color w:val="auto"/>
              </w:rPr>
            </w:pPr>
          </w:p>
        </w:tc>
        <w:tc>
          <w:tcPr>
            <w:tcW w:w="1980" w:type="dxa"/>
            <w:vAlign w:val="bottom"/>
            <w:tcBorders>
              <w:top w:val="single" w:sz="8" w:color="C6F4F9"/>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CARES Act grant recognition relates to grants received under the Payroll Support Program</w:t>
      </w: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CARES Act Employee Retention credit relates to a refundable tax credit against certain employment taxes.</w:t>
      </w:r>
    </w:p>
    <w:p>
      <w:pPr>
        <w:jc w:val="both"/>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212529"/>
        </w:rPr>
        <w:t xml:space="preserve">Six aircraft were purchased in 2021 that were previously under operating leases. </w:t>
      </w:r>
      <w:r>
        <w:rPr>
          <w:rFonts w:ascii="Arial" w:cs="Arial" w:eastAsia="Arial" w:hAnsi="Arial"/>
          <w:sz w:val="18"/>
          <w:szCs w:val="18"/>
          <w:color w:val="000000"/>
        </w:rPr>
        <w:t>Aircraft lease buy-out expense represents the net</w:t>
      </w:r>
      <w:r>
        <w:rPr>
          <w:rFonts w:ascii="Arial" w:cs="Arial" w:eastAsia="Arial" w:hAnsi="Arial"/>
          <w:sz w:val="18"/>
          <w:szCs w:val="18"/>
          <w:color w:val="212529"/>
        </w:rPr>
        <w:t xml:space="preserve"> </w:t>
      </w:r>
      <w:r>
        <w:rPr>
          <w:rFonts w:ascii="Arial" w:cs="Arial" w:eastAsia="Arial" w:hAnsi="Arial"/>
          <w:sz w:val="18"/>
          <w:szCs w:val="18"/>
          <w:color w:val="000000"/>
        </w:rPr>
        <w:t>impact of the transactions, including the associated lease termination costs, write-off of previously capitalized maintenance deposits, and the write-off of over-market liabilities</w:t>
      </w:r>
    </w:p>
    <w:p>
      <w:pPr>
        <w:spacing w:after="0" w:line="2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4" w:name="page15"/>
    <w:bookmarkEnd w:id="1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r>
    </w:p>
    <w:p>
      <w:pPr>
        <w:ind w:right="380"/>
        <w:spacing w:after="0" w:line="271"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EBITDAR and Adjusted EBITDAR Margin</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and Adjusted EBITDAR Margin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and Adjusted EBITDAR Margin may be recurring in nature and should not be disregarded in evaluation of our earnings performance, Adjusted EBITDAR and Adjusted EBITDAR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and Adjusted EBITDAR Margin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21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EBITDAR and Adjusted EBITDAR Margin have limitations as analytical tools. Some of the limitations applicable to these measures include: Adjusted Operating Income, Adjusted Operating Income Margin, Adjusted Income Before Income Tax, Adjusted Pre-tax Margin, Adjusted Net Income, Adjusted EBITDAR and Adjusted EBITDAR Margin do not reflect the impact of certain cash charges resulting from matters we consider not to be indicative of our ongoing operations; Adjusted EBITDAR and Adjusted EBITDAR Margin does not reflect our cash expenditures, or future requirements, for capital expenditures or contractual commitments; Adjusted EBITDAR and Adjusted EBITDAR Margin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and Adjusted EBITDAR Margin does not reflect any cash requirements for such replacements; and other companies in our industry may calculate Adjusted Operating Income, Adjusted Operating Income Margin, Adjusted Income Before Income Tax, Adjusted Pre-tax Margin, Adjusted Net Income, Adjusted EBITDAR and Adjusted EBITDAR Margin differently than we do, limiting each measure’s usefulness as a comparative measure. Because of these limitations, Adjusted Operating Income, Adjusted Operating Income Margin, Adjusted Income Before Income Tax, Adjusted Pre-tax Margin, Adjusted Net Income, Adjusted EBITDAR and Adjusted EBITDAR Margin should not be considered in isolation or as a substitute for performance measures calculated in accordance with GAAP.</w:t>
      </w:r>
    </w:p>
    <w:p>
      <w:pPr>
        <w:spacing w:after="0" w:line="21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derivations of Adjusted Operating Income, Adjusted Operating Income Margin, Adjusted Income Before Income Tax, Adjusted Pre-tax Margin, Adjusted Net Income, Adjusted EBITDAR and Adjusted EBITDAR Margin are not determined in accordance with GAAP, such measures are susceptible to varying calculations and not all companies calculate the measures in the same manner. As a result, derivations of net income, including Adjusted Operating Income, Adjusted Operating Income Margin, Adjusted Income Before Income</w:t>
      </w:r>
    </w:p>
    <w:p>
      <w:pPr>
        <w:spacing w:after="0" w:line="9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r>
    </w:p>
    <w:p>
      <w:pPr>
        <w:ind w:right="40"/>
        <w:spacing w:after="0" w:line="238" w:lineRule="auto"/>
        <w:rPr>
          <w:sz w:val="20"/>
          <w:szCs w:val="20"/>
          <w:color w:val="auto"/>
        </w:rPr>
      </w:pPr>
      <w:r>
        <w:rPr>
          <w:rFonts w:ascii="Arial" w:cs="Arial" w:eastAsia="Arial" w:hAnsi="Arial"/>
          <w:sz w:val="18"/>
          <w:szCs w:val="18"/>
          <w:color w:val="auto"/>
        </w:rPr>
        <w:t>Tax, Adjusted Pre-tax Margin, Adjusted Net Income, Adjusted EBITDAR and Adjusted EBITDAR Margin, as presented may not be directly comparable to similarly titled measures presented by other companies. For the foregoing reasons, each of Adjusted Operating Income, Adjusted Operating Income Margin, Adjusted Income Before Income Tax, Adjusted Pre-tax Margin, Adjusted Net Income, Adjusted EBITDAR and Adjusted EBITDAR Margin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Reconciliation of Adjusted Operating Income (Loss) to GAAP Operating Income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operating income (loss) to GAAP operating income (loss).</w:t>
      </w:r>
    </w:p>
    <w:p>
      <w:pPr>
        <w:spacing w:after="0" w:line="190"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Three Months Ended Dec 31,</w:t>
      </w:r>
    </w:p>
    <w:p>
      <w:pPr>
        <w:spacing w:after="0" w:line="31" w:lineRule="exact"/>
        <w:rPr>
          <w:sz w:val="20"/>
          <w:szCs w:val="20"/>
          <w:color w:val="auto"/>
        </w:rPr>
      </w:pPr>
    </w:p>
    <w:p>
      <w:pPr>
        <w:jc w:val="both"/>
        <w:ind w:left="7680"/>
        <w:spacing w:after="0"/>
        <w:tabs>
          <w:tab w:leader="none" w:pos="101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w:t>
      </w:r>
    </w:p>
    <w:p>
      <w:pPr>
        <w:spacing w:after="0" w:line="234" w:lineRule="auto"/>
        <w:rPr>
          <w:sz w:val="20"/>
          <w:szCs w:val="20"/>
          <w:color w:val="auto"/>
        </w:rPr>
      </w:pPr>
      <w:r>
        <w:rPr>
          <w:rFonts w:ascii="Arial" w:cs="Arial" w:eastAsia="Arial" w:hAnsi="Arial"/>
          <w:sz w:val="18"/>
          <w:szCs w:val="18"/>
          <w:color w:val="auto"/>
        </w:rPr>
        <w:t>Operating income (loss)</w:t>
      </w:r>
    </w:p>
    <w:p>
      <w:pPr>
        <w:spacing w:after="0" w:line="181" w:lineRule="auto"/>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Stock compensation expense</w:t>
      </w:r>
    </w:p>
    <w:p>
      <w:pPr>
        <w:spacing w:after="0" w:line="181" w:lineRule="auto"/>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Other adjustments</w:t>
      </w:r>
      <w:r>
        <w:rPr>
          <w:rFonts w:ascii="Arial" w:cs="Arial" w:eastAsia="Arial" w:hAnsi="Arial"/>
          <w:sz w:val="29"/>
          <w:szCs w:val="29"/>
          <w:color w:val="auto"/>
          <w:vertAlign w:val="superscript"/>
        </w:rPr>
        <w:t>(3)</w:t>
      </w:r>
    </w:p>
    <w:p>
      <w:pPr>
        <w:spacing w:after="0"/>
        <w:rPr>
          <w:sz w:val="20"/>
          <w:szCs w:val="20"/>
          <w:color w:val="auto"/>
        </w:rPr>
      </w:pPr>
      <w:r>
        <w:rPr>
          <w:rFonts w:ascii="Arial" w:cs="Arial" w:eastAsia="Arial" w:hAnsi="Arial"/>
          <w:sz w:val="18"/>
          <w:szCs w:val="18"/>
          <w:color w:val="auto"/>
        </w:rPr>
        <w:t>Adjusted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 margin</w:t>
      </w:r>
    </w:p>
    <w:p>
      <w:pPr>
        <w:spacing w:after="0"/>
        <w:rPr>
          <w:sz w:val="20"/>
          <w:szCs w:val="20"/>
          <w:color w:val="auto"/>
        </w:rPr>
      </w:pPr>
      <w:r>
        <w:rPr>
          <w:rFonts w:ascii="Arial" w:cs="Arial" w:eastAsia="Arial" w:hAnsi="Arial"/>
          <w:sz w:val="18"/>
          <w:szCs w:val="18"/>
          <w:color w:val="auto"/>
        </w:rPr>
        <w:t>Adjusted operating income (loss)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See special items table above for more details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172.6</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107.8</w:t>
            </w:r>
          </w:p>
        </w:tc>
      </w:tr>
      <w:tr>
        <w:trPr>
          <w:trHeight w:val="217"/>
        </w:trPr>
        <w:tc>
          <w:tcPr>
            <w:tcW w:w="54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10.9</w:t>
            </w:r>
          </w:p>
        </w:tc>
        <w:tc>
          <w:tcPr>
            <w:tcW w:w="10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w:t>
            </w:r>
          </w:p>
        </w:tc>
      </w:tr>
      <w:tr>
        <w:trPr>
          <w:trHeight w:val="229"/>
        </w:trPr>
        <w:tc>
          <w:tcPr>
            <w:tcW w:w="540" w:type="dxa"/>
            <w:vAlign w:val="bottom"/>
          </w:tcPr>
          <w:p>
            <w:pPr>
              <w:spacing w:after="0"/>
              <w:rPr>
                <w:sz w:val="19"/>
                <w:szCs w:val="19"/>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17"/>
        </w:trPr>
        <w:tc>
          <w:tcPr>
            <w:tcW w:w="54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43"/>
        </w:trPr>
        <w:tc>
          <w:tcPr>
            <w:tcW w:w="540" w:type="dxa"/>
            <w:vAlign w:val="bottom"/>
          </w:tcPr>
          <w:p>
            <w:pPr>
              <w:spacing w:after="0"/>
              <w:rPr>
                <w:sz w:val="21"/>
                <w:szCs w:val="21"/>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43"/>
        </w:trPr>
        <w:tc>
          <w:tcPr>
            <w:tcW w:w="5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r>
        <w:trPr>
          <w:trHeight w:val="210"/>
        </w:trPr>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14.8</w:t>
            </w: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150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6.3%</w:t>
            </w:r>
          </w:p>
        </w:tc>
        <w:tc>
          <w:tcPr>
            <w:tcW w:w="100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17"/>
        </w:trPr>
        <w:tc>
          <w:tcPr>
            <w:tcW w:w="54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8.6%</w:t>
            </w:r>
          </w:p>
        </w:tc>
        <w:tc>
          <w:tcPr>
            <w:tcW w:w="10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391" w:lineRule="exact"/>
        <w:rPr>
          <w:sz w:val="20"/>
          <w:szCs w:val="20"/>
          <w:color w:val="auto"/>
        </w:rPr>
      </w:pPr>
    </w:p>
    <w:p>
      <w:pPr>
        <w:sectPr>
          <w:pgSz w:w="11900" w:h="16838" w:orient="portrait"/>
          <w:cols w:equalWidth="0" w:num="2">
            <w:col w:w="6360" w:space="720"/>
            <w:col w:w="4160"/>
          </w:cols>
          <w:pgMar w:left="320" w:top="1345" w:right="339" w:bottom="1440" w:gutter="0" w:footer="0" w:header="0"/>
          <w:type w:val="continuous"/>
        </w:sectPr>
      </w:pPr>
    </w:p>
    <w:p>
      <w:pPr>
        <w:jc w:val="both"/>
        <w:ind w:left="660" w:right="4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176" w:lineRule="exact"/>
        <w:rPr>
          <w:sz w:val="20"/>
          <w:szCs w:val="20"/>
          <w:color w:val="auto"/>
        </w:rPr>
      </w:pPr>
    </w:p>
    <w:p>
      <w:pPr>
        <w:ind w:right="4420"/>
        <w:spacing w:after="0" w:line="255" w:lineRule="auto"/>
        <w:rPr>
          <w:sz w:val="20"/>
          <w:szCs w:val="20"/>
          <w:color w:val="auto"/>
        </w:rPr>
      </w:pPr>
      <w:r>
        <w:rPr>
          <w:rFonts w:ascii="Arial" w:cs="Arial" w:eastAsia="Arial" w:hAnsi="Arial"/>
          <w:sz w:val="18"/>
          <w:szCs w:val="18"/>
          <w:b w:val="1"/>
          <w:bCs w:val="1"/>
          <w:color w:val="auto"/>
        </w:rPr>
        <w:t>Reconciliation of Adjusted Operating Income (Loss) to GAAP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operating income (loss) to GAAP operating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Twelve Months Ended Dec 31,</w:t>
            </w:r>
          </w:p>
        </w:tc>
      </w:tr>
      <w:tr>
        <w:trPr>
          <w:trHeight w:val="225"/>
        </w:trPr>
        <w:tc>
          <w:tcPr>
            <w:tcW w:w="7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196"/>
        </w:trPr>
        <w:tc>
          <w:tcPr>
            <w:tcW w:w="70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360" w:type="dxa"/>
            <w:vAlign w:val="bottom"/>
            <w:shd w:val="clear" w:color="auto" w:fill="C6F4F9"/>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6F4F9"/>
          </w:tcPr>
          <w:p>
            <w:pPr>
              <w:jc w:val="right"/>
              <w:ind w:right="510"/>
              <w:spacing w:after="0" w:line="196" w:lineRule="exact"/>
              <w:rPr>
                <w:sz w:val="20"/>
                <w:szCs w:val="20"/>
                <w:color w:val="auto"/>
              </w:rPr>
            </w:pPr>
            <w:r>
              <w:rPr>
                <w:rFonts w:ascii="Arial" w:cs="Arial" w:eastAsia="Arial" w:hAnsi="Arial"/>
                <w:sz w:val="18"/>
                <w:szCs w:val="18"/>
                <w:color w:val="auto"/>
              </w:rPr>
              <w:t>623.0</w:t>
            </w:r>
          </w:p>
        </w:tc>
        <w:tc>
          <w:tcPr>
            <w:tcW w:w="820" w:type="dxa"/>
            <w:vAlign w:val="bottom"/>
            <w:shd w:val="clear" w:color="auto" w:fill="C6F4F9"/>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401.5</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7"/>
                <w:szCs w:val="17"/>
                <w:color w:val="auto"/>
              </w:rPr>
            </w:pPr>
          </w:p>
        </w:tc>
        <w:tc>
          <w:tcPr>
            <w:tcW w:w="16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107.0</w:t>
            </w:r>
          </w:p>
        </w:tc>
        <w:tc>
          <w:tcPr>
            <w:tcW w:w="82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17.4</w:t>
            </w:r>
          </w:p>
        </w:tc>
      </w:tr>
      <w:tr>
        <w:trPr>
          <w:trHeight w:val="243"/>
        </w:trPr>
        <w:tc>
          <w:tcPr>
            <w:tcW w:w="70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360" w:type="dxa"/>
            <w:vAlign w:val="bottom"/>
            <w:shd w:val="clear" w:color="auto" w:fill="C6F4F9"/>
          </w:tcPr>
          <w:p>
            <w:pPr>
              <w:spacing w:after="0"/>
              <w:rPr>
                <w:sz w:val="21"/>
                <w:szCs w:val="21"/>
                <w:color w:val="auto"/>
              </w:rPr>
            </w:pPr>
          </w:p>
        </w:tc>
        <w:tc>
          <w:tcPr>
            <w:tcW w:w="1680" w:type="dxa"/>
            <w:vAlign w:val="bottom"/>
            <w:shd w:val="clear" w:color="auto" w:fill="C6F4F9"/>
          </w:tcPr>
          <w:p>
            <w:pPr>
              <w:jc w:val="right"/>
              <w:ind w:right="450"/>
              <w:spacing w:after="0"/>
              <w:rPr>
                <w:sz w:val="20"/>
                <w:szCs w:val="20"/>
                <w:color w:val="auto"/>
              </w:rPr>
            </w:pPr>
            <w:r>
              <w:rPr>
                <w:rFonts w:ascii="Arial" w:cs="Arial" w:eastAsia="Arial" w:hAnsi="Arial"/>
                <w:sz w:val="18"/>
                <w:szCs w:val="18"/>
                <w:color w:val="auto"/>
              </w:rPr>
              <w:t>(65.5)</w:t>
            </w:r>
          </w:p>
        </w:tc>
        <w:tc>
          <w:tcPr>
            <w:tcW w:w="82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(64.6)</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7"/>
                <w:szCs w:val="17"/>
                <w:color w:val="auto"/>
              </w:rPr>
            </w:pPr>
          </w:p>
        </w:tc>
        <w:tc>
          <w:tcPr>
            <w:tcW w:w="16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5.6</w:t>
            </w:r>
          </w:p>
        </w:tc>
        <w:tc>
          <w:tcPr>
            <w:tcW w:w="82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w:t>
            </w:r>
          </w:p>
        </w:tc>
      </w:tr>
      <w:tr>
        <w:trPr>
          <w:trHeight w:val="243"/>
        </w:trPr>
        <w:tc>
          <w:tcPr>
            <w:tcW w:w="70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(3)</w:t>
            </w:r>
          </w:p>
        </w:tc>
        <w:tc>
          <w:tcPr>
            <w:tcW w:w="360" w:type="dxa"/>
            <w:vAlign w:val="bottom"/>
            <w:shd w:val="clear" w:color="auto" w:fill="C6F4F9"/>
          </w:tcPr>
          <w:p>
            <w:pPr>
              <w:spacing w:after="0"/>
              <w:rPr>
                <w:sz w:val="21"/>
                <w:szCs w:val="21"/>
                <w:color w:val="auto"/>
              </w:rPr>
            </w:pPr>
          </w:p>
        </w:tc>
        <w:tc>
          <w:tcPr>
            <w:tcW w:w="1680" w:type="dxa"/>
            <w:vAlign w:val="bottom"/>
            <w:shd w:val="clear" w:color="auto" w:fill="C6F4F9"/>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4.9</w:t>
            </w:r>
          </w:p>
        </w:tc>
      </w:tr>
      <w:tr>
        <w:trPr>
          <w:trHeight w:val="243"/>
        </w:trPr>
        <w:tc>
          <w:tcPr>
            <w:tcW w:w="7080" w:type="dxa"/>
            <w:vAlign w:val="bottom"/>
          </w:tcPr>
          <w:p>
            <w:pPr>
              <w:spacing w:after="0" w:line="243" w:lineRule="exact"/>
              <w:rPr>
                <w:sz w:val="20"/>
                <w:szCs w:val="20"/>
                <w:color w:val="auto"/>
              </w:rPr>
            </w:pPr>
            <w:r>
              <w:rPr>
                <w:rFonts w:ascii="Arial" w:cs="Arial" w:eastAsia="Arial" w:hAnsi="Arial"/>
                <w:sz w:val="17"/>
                <w:szCs w:val="17"/>
                <w:color w:val="auto"/>
              </w:rPr>
              <w:t>Other adjustments</w:t>
            </w:r>
            <w:r>
              <w:rPr>
                <w:rFonts w:ascii="Arial" w:cs="Arial" w:eastAsia="Arial" w:hAnsi="Arial"/>
                <w:sz w:val="28"/>
                <w:szCs w:val="28"/>
                <w:color w:val="auto"/>
                <w:vertAlign w:val="superscript"/>
              </w:rPr>
              <w:t>(4)</w:t>
            </w:r>
          </w:p>
        </w:tc>
        <w:tc>
          <w:tcPr>
            <w:tcW w:w="360" w:type="dxa"/>
            <w:vAlign w:val="bottom"/>
          </w:tcPr>
          <w:p>
            <w:pPr>
              <w:spacing w:after="0"/>
              <w:rPr>
                <w:sz w:val="21"/>
                <w:szCs w:val="21"/>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Tax receivable agreement expense</w:t>
            </w:r>
            <w:r>
              <w:rPr>
                <w:rFonts w:ascii="Arial" w:cs="Arial" w:eastAsia="Arial" w:hAnsi="Arial"/>
                <w:sz w:val="29"/>
                <w:szCs w:val="29"/>
                <w:color w:val="auto"/>
                <w:vertAlign w:val="superscript"/>
              </w:rPr>
              <w:t>(2)</w:t>
            </w:r>
          </w:p>
        </w:tc>
        <w:tc>
          <w:tcPr>
            <w:tcW w:w="360" w:type="dxa"/>
            <w:vAlign w:val="bottom"/>
            <w:tcBorders>
              <w:bottom w:val="single" w:sz="8" w:color="auto"/>
            </w:tcBorders>
            <w:shd w:val="clear" w:color="auto" w:fill="C6F4F9"/>
          </w:tcPr>
          <w:p>
            <w:pPr>
              <w:spacing w:after="0"/>
              <w:rPr>
                <w:sz w:val="22"/>
                <w:szCs w:val="22"/>
                <w:color w:val="auto"/>
              </w:rPr>
            </w:pPr>
          </w:p>
        </w:tc>
        <w:tc>
          <w:tcPr>
            <w:tcW w:w="1680" w:type="dxa"/>
            <w:vAlign w:val="bottom"/>
            <w:tcBorders>
              <w:bottom w:val="single" w:sz="8" w:color="auto"/>
            </w:tcBorders>
            <w:shd w:val="clear" w:color="auto" w:fill="C6F4F9"/>
          </w:tcPr>
          <w:p>
            <w:pPr>
              <w:jc w:val="right"/>
              <w:ind w:right="510"/>
              <w:spacing w:after="0"/>
              <w:rPr>
                <w:sz w:val="20"/>
                <w:szCs w:val="20"/>
                <w:color w:val="auto"/>
              </w:rPr>
            </w:pPr>
            <w:r>
              <w:rPr>
                <w:rFonts w:ascii="Arial" w:cs="Arial" w:eastAsia="Arial" w:hAnsi="Arial"/>
                <w:sz w:val="18"/>
                <w:szCs w:val="18"/>
                <w:color w:val="auto"/>
              </w:rPr>
              <w:t>0.3</w:t>
            </w:r>
          </w:p>
        </w:tc>
        <w:tc>
          <w:tcPr>
            <w:tcW w:w="820" w:type="dxa"/>
            <w:vAlign w:val="bottom"/>
            <w:tcBorders>
              <w:bottom w:val="single" w:sz="8" w:color="auto"/>
            </w:tcBorders>
            <w:shd w:val="clear" w:color="auto" w:fill="C6F4F9"/>
          </w:tcPr>
          <w:p>
            <w:pPr>
              <w:spacing w:after="0"/>
              <w:rPr>
                <w:sz w:val="22"/>
                <w:szCs w:val="22"/>
                <w:color w:val="auto"/>
              </w:rPr>
            </w:pPr>
          </w:p>
        </w:tc>
        <w:tc>
          <w:tcPr>
            <w:tcW w:w="1300" w:type="dxa"/>
            <w:vAlign w:val="bottom"/>
            <w:tcBorders>
              <w:bottom w:val="single" w:sz="8" w:color="auto"/>
            </w:tcBorders>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operating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50.5</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(40.2)</w:t>
            </w:r>
          </w:p>
        </w:tc>
      </w:tr>
      <w:tr>
        <w:trPr>
          <w:trHeight w:val="183"/>
        </w:trPr>
        <w:tc>
          <w:tcPr>
            <w:tcW w:w="708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Operating income margin</w:t>
            </w:r>
          </w:p>
        </w:tc>
        <w:tc>
          <w:tcPr>
            <w:tcW w:w="360" w:type="dxa"/>
            <w:vAlign w:val="bottom"/>
            <w:shd w:val="clear" w:color="auto" w:fill="C6F4F9"/>
          </w:tcPr>
          <w:p>
            <w:pPr>
              <w:spacing w:after="0"/>
              <w:rPr>
                <w:sz w:val="15"/>
                <w:szCs w:val="15"/>
                <w:color w:val="auto"/>
              </w:rPr>
            </w:pPr>
          </w:p>
        </w:tc>
        <w:tc>
          <w:tcPr>
            <w:tcW w:w="1680" w:type="dxa"/>
            <w:vAlign w:val="bottom"/>
            <w:shd w:val="clear" w:color="auto" w:fill="C6F4F9"/>
          </w:tcPr>
          <w:p>
            <w:pPr>
              <w:jc w:val="right"/>
              <w:ind w:right="350"/>
              <w:spacing w:after="0" w:line="183" w:lineRule="exact"/>
              <w:rPr>
                <w:sz w:val="20"/>
                <w:szCs w:val="20"/>
                <w:color w:val="auto"/>
              </w:rPr>
            </w:pPr>
            <w:r>
              <w:rPr>
                <w:rFonts w:ascii="Arial" w:cs="Arial" w:eastAsia="Arial" w:hAnsi="Arial"/>
                <w:sz w:val="18"/>
                <w:szCs w:val="18"/>
                <w:color w:val="auto"/>
              </w:rPr>
              <w:t>17.2%</w:t>
            </w:r>
          </w:p>
        </w:tc>
        <w:tc>
          <w:tcPr>
            <w:tcW w:w="820" w:type="dxa"/>
            <w:vAlign w:val="bottom"/>
            <w:shd w:val="clear" w:color="auto" w:fill="C6F4F9"/>
          </w:tcPr>
          <w:p>
            <w:pPr>
              <w:spacing w:after="0"/>
              <w:rPr>
                <w:sz w:val="15"/>
                <w:szCs w:val="15"/>
                <w:color w:val="auto"/>
              </w:rPr>
            </w:pPr>
          </w:p>
        </w:tc>
        <w:tc>
          <w:tcPr>
            <w:tcW w:w="130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4.3%</w:t>
            </w: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Adjusted operating income (loss) margin</w:t>
            </w:r>
          </w:p>
        </w:tc>
        <w:tc>
          <w:tcPr>
            <w:tcW w:w="36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8.1%</w:t>
            </w:r>
          </w:p>
        </w:tc>
        <w:tc>
          <w:tcPr>
            <w:tcW w:w="8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8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17" w:name="page18"/>
    <w:bookmarkEnd w:id="17"/>
    <w:p>
      <w:pPr>
        <w:ind w:right="240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Reconciliation of Adjusted Income Before Income (Loss)Tax to GAAP Income (Loss)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income (loss) before income tax to GAAP income (loss) before income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41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 Dec 31,</w:t>
            </w:r>
          </w:p>
        </w:tc>
      </w:tr>
      <w:tr>
        <w:trPr>
          <w:trHeight w:val="225"/>
        </w:trPr>
        <w:tc>
          <w:tcPr>
            <w:tcW w:w="7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196"/>
        </w:trPr>
        <w:tc>
          <w:tcPr>
            <w:tcW w:w="70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loss</w:t>
            </w:r>
          </w:p>
        </w:tc>
        <w:tc>
          <w:tcPr>
            <w:tcW w:w="1060" w:type="dxa"/>
            <w:vAlign w:val="bottom"/>
            <w:shd w:val="clear" w:color="auto" w:fill="C6F4F9"/>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6F4F9"/>
          </w:tcPr>
          <w:p>
            <w:pPr>
              <w:jc w:val="right"/>
              <w:ind w:right="450"/>
              <w:spacing w:after="0" w:line="196" w:lineRule="exact"/>
              <w:rPr>
                <w:sz w:val="20"/>
                <w:szCs w:val="20"/>
                <w:color w:val="auto"/>
              </w:rPr>
            </w:pPr>
            <w:r>
              <w:rPr>
                <w:rFonts w:ascii="Arial" w:cs="Arial" w:eastAsia="Arial" w:hAnsi="Arial"/>
                <w:sz w:val="18"/>
                <w:szCs w:val="18"/>
                <w:color w:val="auto"/>
              </w:rPr>
              <w:t>(0.6)</w:t>
            </w:r>
          </w:p>
        </w:tc>
        <w:tc>
          <w:tcPr>
            <w:tcW w:w="820" w:type="dxa"/>
            <w:vAlign w:val="bottom"/>
            <w:shd w:val="clear" w:color="auto" w:fill="C6F4F9"/>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(8.0)</w:t>
            </w:r>
          </w:p>
        </w:tc>
      </w:tr>
      <w:tr>
        <w:trPr>
          <w:trHeight w:val="216"/>
        </w:trPr>
        <w:tc>
          <w:tcPr>
            <w:tcW w:w="708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 (benefit)</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0.8</w:t>
            </w:r>
          </w:p>
        </w:tc>
        <w:tc>
          <w:tcPr>
            <w:tcW w:w="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r>
      <w:tr>
        <w:trPr>
          <w:trHeight w:val="196"/>
        </w:trPr>
        <w:tc>
          <w:tcPr>
            <w:tcW w:w="70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(loss) before income tax, as reported</w:t>
            </w:r>
          </w:p>
        </w:tc>
        <w:tc>
          <w:tcPr>
            <w:tcW w:w="1060" w:type="dxa"/>
            <w:vAlign w:val="bottom"/>
            <w:shd w:val="clear" w:color="auto" w:fill="C6F4F9"/>
          </w:tcPr>
          <w:p>
            <w:pPr>
              <w:spacing w:after="0"/>
              <w:rPr>
                <w:sz w:val="17"/>
                <w:szCs w:val="17"/>
                <w:color w:val="auto"/>
              </w:rPr>
            </w:pPr>
          </w:p>
        </w:tc>
        <w:tc>
          <w:tcPr>
            <w:tcW w:w="980" w:type="dxa"/>
            <w:vAlign w:val="bottom"/>
            <w:shd w:val="clear" w:color="auto" w:fill="C6F4F9"/>
          </w:tcPr>
          <w:p>
            <w:pPr>
              <w:jc w:val="right"/>
              <w:ind w:right="510"/>
              <w:spacing w:after="0" w:line="196" w:lineRule="exact"/>
              <w:rPr>
                <w:sz w:val="20"/>
                <w:szCs w:val="20"/>
                <w:color w:val="auto"/>
              </w:rPr>
            </w:pPr>
            <w:r>
              <w:rPr>
                <w:rFonts w:ascii="Arial" w:cs="Arial" w:eastAsia="Arial" w:hAnsi="Arial"/>
                <w:sz w:val="18"/>
                <w:szCs w:val="18"/>
                <w:color w:val="auto"/>
              </w:rPr>
              <w:t>0.2</w:t>
            </w: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(10.3)</w:t>
            </w:r>
          </w:p>
        </w:tc>
      </w:tr>
      <w:tr>
        <w:trPr>
          <w:trHeight w:val="202"/>
        </w:trPr>
        <w:tc>
          <w:tcPr>
            <w:tcW w:w="708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1060" w:type="dxa"/>
            <w:vAlign w:val="bottom"/>
          </w:tcPr>
          <w:p>
            <w:pPr>
              <w:spacing w:after="0"/>
              <w:rPr>
                <w:sz w:val="17"/>
                <w:szCs w:val="17"/>
                <w:color w:val="auto"/>
              </w:rPr>
            </w:pPr>
          </w:p>
        </w:tc>
        <w:tc>
          <w:tcPr>
            <w:tcW w:w="9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0.1%</w:t>
            </w:r>
          </w:p>
        </w:tc>
        <w:tc>
          <w:tcPr>
            <w:tcW w:w="8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708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980" w:type="dxa"/>
            <w:vAlign w:val="bottom"/>
            <w:shd w:val="clear" w:color="auto" w:fill="C6F4F9"/>
          </w:tcPr>
          <w:p>
            <w:pPr>
              <w:spacing w:after="0"/>
              <w:rPr>
                <w:sz w:val="17"/>
                <w:szCs w:val="17"/>
                <w:color w:val="auto"/>
              </w:rPr>
            </w:pP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spacing w:after="0"/>
              <w:rPr>
                <w:sz w:val="17"/>
                <w:szCs w:val="17"/>
                <w:color w:val="auto"/>
              </w:rPr>
            </w:pPr>
          </w:p>
        </w:tc>
      </w:tr>
      <w:tr>
        <w:trPr>
          <w:trHeight w:val="243"/>
        </w:trPr>
        <w:tc>
          <w:tcPr>
            <w:tcW w:w="708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060" w:type="dxa"/>
            <w:vAlign w:val="bottom"/>
          </w:tcPr>
          <w:p>
            <w:pPr>
              <w:spacing w:after="0"/>
              <w:rPr>
                <w:sz w:val="21"/>
                <w:szCs w:val="21"/>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03"/>
        </w:trPr>
        <w:tc>
          <w:tcPr>
            <w:tcW w:w="70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1060" w:type="dxa"/>
            <w:vAlign w:val="bottom"/>
            <w:shd w:val="clear" w:color="auto" w:fill="C6F4F9"/>
          </w:tcPr>
          <w:p>
            <w:pPr>
              <w:spacing w:after="0"/>
              <w:rPr>
                <w:sz w:val="17"/>
                <w:szCs w:val="17"/>
                <w:color w:val="auto"/>
              </w:rPr>
            </w:pPr>
          </w:p>
        </w:tc>
        <w:tc>
          <w:tcPr>
            <w:tcW w:w="98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1.0</w:t>
            </w: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0.9</w:t>
            </w:r>
          </w:p>
        </w:tc>
      </w:tr>
      <w:tr>
        <w:trPr>
          <w:trHeight w:val="243"/>
        </w:trPr>
        <w:tc>
          <w:tcPr>
            <w:tcW w:w="708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(2)</w:t>
            </w:r>
          </w:p>
        </w:tc>
        <w:tc>
          <w:tcPr>
            <w:tcW w:w="1060" w:type="dxa"/>
            <w:vAlign w:val="bottom"/>
          </w:tcPr>
          <w:p>
            <w:pPr>
              <w:spacing w:after="0"/>
              <w:rPr>
                <w:sz w:val="21"/>
                <w:szCs w:val="21"/>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03"/>
        </w:trPr>
        <w:tc>
          <w:tcPr>
            <w:tcW w:w="70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Secondary offering related expense</w:t>
            </w:r>
          </w:p>
        </w:tc>
        <w:tc>
          <w:tcPr>
            <w:tcW w:w="1060" w:type="dxa"/>
            <w:vAlign w:val="bottom"/>
            <w:shd w:val="clear" w:color="auto" w:fill="C6F4F9"/>
          </w:tcPr>
          <w:p>
            <w:pPr>
              <w:spacing w:after="0"/>
              <w:rPr>
                <w:sz w:val="17"/>
                <w:szCs w:val="17"/>
                <w:color w:val="auto"/>
              </w:rPr>
            </w:pPr>
          </w:p>
        </w:tc>
        <w:tc>
          <w:tcPr>
            <w:tcW w:w="98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0.5</w:t>
            </w: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060" w:type="dxa"/>
            <w:vAlign w:val="bottom"/>
          </w:tcPr>
          <w:p>
            <w:pPr>
              <w:spacing w:after="0"/>
              <w:rPr>
                <w:sz w:val="21"/>
                <w:szCs w:val="21"/>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Other adjustments</w:t>
            </w:r>
            <w:r>
              <w:rPr>
                <w:rFonts w:ascii="Arial" w:cs="Arial" w:eastAsia="Arial" w:hAnsi="Arial"/>
                <w:sz w:val="29"/>
                <w:szCs w:val="29"/>
                <w:color w:val="auto"/>
                <w:vertAlign w:val="superscript"/>
              </w:rPr>
              <w:t>(4)</w:t>
            </w:r>
          </w:p>
        </w:tc>
        <w:tc>
          <w:tcPr>
            <w:tcW w:w="1060" w:type="dxa"/>
            <w:vAlign w:val="bottom"/>
            <w:tcBorders>
              <w:bottom w:val="single" w:sz="8" w:color="auto"/>
            </w:tcBorders>
            <w:shd w:val="clear" w:color="auto" w:fill="C6F4F9"/>
          </w:tcPr>
          <w:p>
            <w:pPr>
              <w:spacing w:after="0"/>
              <w:rPr>
                <w:sz w:val="22"/>
                <w:szCs w:val="22"/>
                <w:color w:val="auto"/>
              </w:rPr>
            </w:pPr>
          </w:p>
        </w:tc>
        <w:tc>
          <w:tcPr>
            <w:tcW w:w="980" w:type="dxa"/>
            <w:vAlign w:val="bottom"/>
            <w:tcBorders>
              <w:bottom w:val="single" w:sz="8" w:color="auto"/>
            </w:tcBorders>
            <w:shd w:val="clear" w:color="auto" w:fill="C6F4F9"/>
          </w:tcPr>
          <w:p>
            <w:pPr>
              <w:jc w:val="right"/>
              <w:ind w:right="510"/>
              <w:spacing w:after="0"/>
              <w:rPr>
                <w:sz w:val="20"/>
                <w:szCs w:val="20"/>
                <w:color w:val="auto"/>
              </w:rPr>
            </w:pPr>
            <w:r>
              <w:rPr>
                <w:rFonts w:ascii="Arial" w:cs="Arial" w:eastAsia="Arial" w:hAnsi="Arial"/>
                <w:sz w:val="18"/>
                <w:szCs w:val="18"/>
                <w:color w:val="auto"/>
              </w:rPr>
              <w:t>3.0</w:t>
            </w:r>
          </w:p>
        </w:tc>
        <w:tc>
          <w:tcPr>
            <w:tcW w:w="820" w:type="dxa"/>
            <w:vAlign w:val="bottom"/>
            <w:tcBorders>
              <w:bottom w:val="single" w:sz="8" w:color="auto"/>
            </w:tcBorders>
            <w:shd w:val="clear" w:color="auto" w:fill="C6F4F9"/>
          </w:tcPr>
          <w:p>
            <w:pPr>
              <w:spacing w:after="0"/>
              <w:rPr>
                <w:sz w:val="22"/>
                <w:szCs w:val="22"/>
                <w:color w:val="auto"/>
              </w:rPr>
            </w:pPr>
          </w:p>
        </w:tc>
        <w:tc>
          <w:tcPr>
            <w:tcW w:w="1300" w:type="dxa"/>
            <w:vAlign w:val="bottom"/>
            <w:tcBorders>
              <w:bottom w:val="single" w:sz="8" w:color="auto"/>
            </w:tcBorders>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r>
      <w:tr>
        <w:trPr>
          <w:trHeight w:val="249"/>
        </w:trPr>
        <w:tc>
          <w:tcPr>
            <w:tcW w:w="708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8.0</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w:t>
            </w:r>
          </w:p>
        </w:tc>
      </w:tr>
      <w:tr>
        <w:trPr>
          <w:trHeight w:val="183"/>
        </w:trPr>
        <w:tc>
          <w:tcPr>
            <w:tcW w:w="708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Pre-tax margin</w:t>
            </w:r>
          </w:p>
        </w:tc>
        <w:tc>
          <w:tcPr>
            <w:tcW w:w="1060" w:type="dxa"/>
            <w:vAlign w:val="bottom"/>
            <w:shd w:val="clear" w:color="auto" w:fill="C6F4F9"/>
          </w:tcPr>
          <w:p>
            <w:pPr>
              <w:spacing w:after="0"/>
              <w:rPr>
                <w:sz w:val="15"/>
                <w:szCs w:val="15"/>
                <w:color w:val="auto"/>
              </w:rPr>
            </w:pPr>
          </w:p>
        </w:tc>
        <w:tc>
          <w:tcPr>
            <w:tcW w:w="980" w:type="dxa"/>
            <w:vAlign w:val="bottom"/>
            <w:shd w:val="clear" w:color="auto" w:fill="C6F4F9"/>
          </w:tcPr>
          <w:p>
            <w:pPr>
              <w:jc w:val="right"/>
              <w:ind w:right="350"/>
              <w:spacing w:after="0" w:line="183" w:lineRule="exact"/>
              <w:rPr>
                <w:sz w:val="20"/>
                <w:szCs w:val="20"/>
                <w:color w:val="auto"/>
              </w:rPr>
            </w:pPr>
            <w:r>
              <w:rPr>
                <w:rFonts w:ascii="Arial" w:cs="Arial" w:eastAsia="Arial" w:hAnsi="Arial"/>
                <w:sz w:val="18"/>
                <w:szCs w:val="18"/>
                <w:color w:val="auto"/>
              </w:rPr>
              <w:t>4.7%</w:t>
            </w:r>
          </w:p>
        </w:tc>
        <w:tc>
          <w:tcPr>
            <w:tcW w:w="820" w:type="dxa"/>
            <w:vAlign w:val="bottom"/>
            <w:shd w:val="clear" w:color="auto" w:fill="C6F4F9"/>
          </w:tcPr>
          <w:p>
            <w:pPr>
              <w:spacing w:after="0"/>
              <w:rPr>
                <w:sz w:val="15"/>
                <w:szCs w:val="15"/>
                <w:color w:val="auto"/>
              </w:rPr>
            </w:pPr>
          </w:p>
        </w:tc>
        <w:tc>
          <w:tcPr>
            <w:tcW w:w="130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(8.5%)</w:t>
            </w:r>
          </w:p>
        </w:tc>
      </w:tr>
    </w:tbl>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jc w:val="both"/>
        <w:ind w:left="660" w:right="4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306" w:lineRule="exact"/>
        <w:rPr>
          <w:sz w:val="20"/>
          <w:szCs w:val="20"/>
          <w:color w:val="auto"/>
        </w:rPr>
      </w:pPr>
    </w:p>
    <w:p>
      <w:pPr>
        <w:ind w:left="4560"/>
        <w:spacing w:after="0"/>
        <w:tabs>
          <w:tab w:leader="none" w:pos="8320" w:val="left"/>
        </w:tabs>
        <w:rPr>
          <w:sz w:val="20"/>
          <w:szCs w:val="20"/>
          <w:color w:val="auto"/>
        </w:rPr>
      </w:pPr>
      <w:r>
        <w:rPr>
          <w:rFonts w:ascii="Arial" w:cs="Arial" w:eastAsia="Arial" w:hAnsi="Arial"/>
          <w:sz w:val="18"/>
          <w:szCs w:val="18"/>
          <w:color w:val="auto"/>
        </w:rPr>
        <w:t>Page 15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8" w:name="page19"/>
    <w:bookmarkEnd w:id="18"/>
    <w:p>
      <w:pPr>
        <w:ind w:right="23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330"/>
                    </a:xfrm>
                    <a:prstGeom prst="rect">
                      <a:avLst/>
                    </a:prstGeom>
                    <a:noFill/>
                  </pic:spPr>
                </pic:pic>
              </a:graphicData>
            </a:graphic>
          </wp:anchor>
        </w:drawing>
        <w:t>Reconciliation of Adjusted Income (Loss) Before Income Tax to GAAP Income (Loss)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income (loss) before income tax to GAAP income (loss) before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41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Twelve Months Ended Dec 31,</w:t>
            </w:r>
          </w:p>
        </w:tc>
      </w:tr>
      <w:tr>
        <w:trPr>
          <w:trHeight w:val="225"/>
        </w:trPr>
        <w:tc>
          <w:tcPr>
            <w:tcW w:w="70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196"/>
        </w:trPr>
        <w:tc>
          <w:tcPr>
            <w:tcW w:w="70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 (loss)</w:t>
            </w:r>
          </w:p>
        </w:tc>
        <w:tc>
          <w:tcPr>
            <w:tcW w:w="1020" w:type="dxa"/>
            <w:vAlign w:val="bottom"/>
            <w:shd w:val="clear" w:color="auto" w:fill="C6F4F9"/>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6F4F9"/>
          </w:tcPr>
          <w:p>
            <w:pPr>
              <w:jc w:val="right"/>
              <w:ind w:right="510"/>
              <w:spacing w:after="0" w:line="196" w:lineRule="exact"/>
              <w:rPr>
                <w:sz w:val="20"/>
                <w:szCs w:val="20"/>
                <w:color w:val="auto"/>
              </w:rPr>
            </w:pPr>
            <w:r>
              <w:rPr>
                <w:rFonts w:ascii="Arial" w:cs="Arial" w:eastAsia="Arial" w:hAnsi="Arial"/>
                <w:sz w:val="18"/>
                <w:szCs w:val="18"/>
                <w:color w:val="auto"/>
              </w:rPr>
              <w:t>77.5</w:t>
            </w:r>
          </w:p>
        </w:tc>
        <w:tc>
          <w:tcPr>
            <w:tcW w:w="820" w:type="dxa"/>
            <w:vAlign w:val="bottom"/>
            <w:shd w:val="clear" w:color="auto" w:fill="C6F4F9"/>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(3.9)</w:t>
            </w:r>
          </w:p>
        </w:tc>
      </w:tr>
      <w:tr>
        <w:trPr>
          <w:trHeight w:val="216"/>
        </w:trPr>
        <w:tc>
          <w:tcPr>
            <w:tcW w:w="708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 (benefit)</w:t>
            </w: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18.0</w:t>
            </w:r>
          </w:p>
        </w:tc>
        <w:tc>
          <w:tcPr>
            <w:tcW w:w="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r>
      <w:tr>
        <w:trPr>
          <w:trHeight w:val="196"/>
        </w:trPr>
        <w:tc>
          <w:tcPr>
            <w:tcW w:w="70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(loss) before income tax, as reported</w:t>
            </w:r>
          </w:p>
        </w:tc>
        <w:tc>
          <w:tcPr>
            <w:tcW w:w="102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0"/>
              <w:spacing w:after="0" w:line="196" w:lineRule="exact"/>
              <w:rPr>
                <w:sz w:val="20"/>
                <w:szCs w:val="20"/>
                <w:color w:val="auto"/>
              </w:rPr>
            </w:pPr>
            <w:r>
              <w:rPr>
                <w:rFonts w:ascii="Arial" w:cs="Arial" w:eastAsia="Arial" w:hAnsi="Arial"/>
                <w:sz w:val="18"/>
                <w:szCs w:val="18"/>
                <w:color w:val="auto"/>
              </w:rPr>
              <w:t>95.4</w:t>
            </w: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(4.7)</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1020" w:type="dxa"/>
            <w:vAlign w:val="bottom"/>
          </w:tcPr>
          <w:p>
            <w:pPr>
              <w:spacing w:after="0"/>
              <w:rPr>
                <w:sz w:val="17"/>
                <w:szCs w:val="17"/>
                <w:color w:val="auto"/>
              </w:rPr>
            </w:pPr>
          </w:p>
        </w:tc>
        <w:tc>
          <w:tcPr>
            <w:tcW w:w="10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15.3%</w:t>
            </w:r>
          </w:p>
        </w:tc>
        <w:tc>
          <w:tcPr>
            <w:tcW w:w="8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708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spacing w:after="0"/>
              <w:rPr>
                <w:sz w:val="17"/>
                <w:szCs w:val="17"/>
                <w:color w:val="auto"/>
              </w:rPr>
            </w:pPr>
          </w:p>
        </w:tc>
      </w:tr>
      <w:tr>
        <w:trPr>
          <w:trHeight w:val="243"/>
        </w:trPr>
        <w:tc>
          <w:tcPr>
            <w:tcW w:w="708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0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w w:val="97"/>
              </w:rPr>
              <w:t>(65.5)</w:t>
            </w:r>
          </w:p>
        </w:tc>
        <w:tc>
          <w:tcPr>
            <w:tcW w:w="8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(64.6)</w:t>
            </w:r>
          </w:p>
        </w:tc>
      </w:tr>
      <w:tr>
        <w:trPr>
          <w:trHeight w:val="203"/>
        </w:trPr>
        <w:tc>
          <w:tcPr>
            <w:tcW w:w="70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102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5.6</w:t>
            </w: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2.1</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020" w:type="dxa"/>
            <w:vAlign w:val="bottom"/>
          </w:tcPr>
          <w:p>
            <w:pPr>
              <w:spacing w:after="0"/>
              <w:rPr>
                <w:sz w:val="17"/>
                <w:szCs w:val="17"/>
                <w:color w:val="auto"/>
              </w:rPr>
            </w:pPr>
          </w:p>
        </w:tc>
        <w:tc>
          <w:tcPr>
            <w:tcW w:w="102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0.4</w:t>
            </w:r>
          </w:p>
        </w:tc>
      </w:tr>
      <w:tr>
        <w:trPr>
          <w:trHeight w:val="203"/>
        </w:trPr>
        <w:tc>
          <w:tcPr>
            <w:tcW w:w="70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102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0.8</w:t>
            </w:r>
          </w:p>
        </w:tc>
        <w:tc>
          <w:tcPr>
            <w:tcW w:w="820" w:type="dxa"/>
            <w:vAlign w:val="bottom"/>
            <w:shd w:val="clear" w:color="auto" w:fill="C6F4F9"/>
          </w:tcPr>
          <w:p>
            <w:pPr>
              <w:spacing w:after="0"/>
              <w:rPr>
                <w:sz w:val="17"/>
                <w:szCs w:val="17"/>
                <w:color w:val="auto"/>
              </w:rPr>
            </w:pPr>
          </w:p>
        </w:tc>
        <w:tc>
          <w:tcPr>
            <w:tcW w:w="130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02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0.3</w:t>
            </w:r>
          </w:p>
        </w:tc>
        <w:tc>
          <w:tcPr>
            <w:tcW w:w="82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020" w:type="dxa"/>
            <w:vAlign w:val="bottom"/>
            <w:shd w:val="clear" w:color="auto" w:fill="C6F4F9"/>
          </w:tcPr>
          <w:p>
            <w:pPr>
              <w:spacing w:after="0"/>
              <w:rPr>
                <w:sz w:val="21"/>
                <w:szCs w:val="21"/>
                <w:color w:val="auto"/>
              </w:rPr>
            </w:pPr>
          </w:p>
        </w:tc>
        <w:tc>
          <w:tcPr>
            <w:tcW w:w="1020" w:type="dxa"/>
            <w:vAlign w:val="bottom"/>
            <w:shd w:val="clear" w:color="auto" w:fill="C6F4F9"/>
          </w:tcPr>
          <w:p>
            <w:pPr>
              <w:jc w:val="right"/>
              <w:ind w:right="450"/>
              <w:spacing w:after="0"/>
              <w:rPr>
                <w:sz w:val="20"/>
                <w:szCs w:val="20"/>
                <w:color w:val="auto"/>
              </w:rPr>
            </w:pPr>
            <w:r>
              <w:rPr>
                <w:rFonts w:ascii="Arial" w:cs="Arial" w:eastAsia="Arial" w:hAnsi="Arial"/>
                <w:sz w:val="18"/>
                <w:szCs w:val="18"/>
                <w:color w:val="auto"/>
                <w:w w:val="97"/>
              </w:rPr>
              <w:t>(16.4)</w:t>
            </w:r>
          </w:p>
        </w:tc>
        <w:tc>
          <w:tcPr>
            <w:tcW w:w="82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1020" w:type="dxa"/>
            <w:vAlign w:val="bottom"/>
          </w:tcPr>
          <w:p>
            <w:pPr>
              <w:spacing w:after="0"/>
              <w:rPr>
                <w:sz w:val="17"/>
                <w:szCs w:val="17"/>
                <w:color w:val="auto"/>
              </w:rPr>
            </w:pPr>
          </w:p>
        </w:tc>
        <w:tc>
          <w:tcPr>
            <w:tcW w:w="10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0.4</w:t>
            </w:r>
          </w:p>
        </w:tc>
        <w:tc>
          <w:tcPr>
            <w:tcW w:w="820" w:type="dxa"/>
            <w:vAlign w:val="bottom"/>
          </w:tcPr>
          <w:p>
            <w:pPr>
              <w:spacing w:after="0"/>
              <w:rPr>
                <w:sz w:val="17"/>
                <w:szCs w:val="17"/>
                <w:color w:val="auto"/>
              </w:rPr>
            </w:pPr>
          </w:p>
        </w:tc>
        <w:tc>
          <w:tcPr>
            <w:tcW w:w="13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43"/>
        </w:trPr>
        <w:tc>
          <w:tcPr>
            <w:tcW w:w="70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020" w:type="dxa"/>
            <w:vAlign w:val="bottom"/>
            <w:shd w:val="clear" w:color="auto" w:fill="C6F4F9"/>
          </w:tcPr>
          <w:p>
            <w:pPr>
              <w:spacing w:after="0"/>
              <w:rPr>
                <w:sz w:val="21"/>
                <w:szCs w:val="21"/>
                <w:color w:val="auto"/>
              </w:rPr>
            </w:pPr>
          </w:p>
        </w:tc>
        <w:tc>
          <w:tcPr>
            <w:tcW w:w="1020" w:type="dxa"/>
            <w:vAlign w:val="bottom"/>
            <w:shd w:val="clear" w:color="auto" w:fill="C6F4F9"/>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4.9</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Secondary offering related expense</w:t>
            </w:r>
          </w:p>
        </w:tc>
        <w:tc>
          <w:tcPr>
            <w:tcW w:w="1020" w:type="dxa"/>
            <w:vAlign w:val="bottom"/>
          </w:tcPr>
          <w:p>
            <w:pPr>
              <w:spacing w:after="0"/>
              <w:rPr>
                <w:sz w:val="17"/>
                <w:szCs w:val="17"/>
                <w:color w:val="auto"/>
              </w:rPr>
            </w:pPr>
          </w:p>
        </w:tc>
        <w:tc>
          <w:tcPr>
            <w:tcW w:w="10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1.8</w:t>
            </w:r>
          </w:p>
        </w:tc>
        <w:tc>
          <w:tcPr>
            <w:tcW w:w="820" w:type="dxa"/>
            <w:vAlign w:val="bottom"/>
          </w:tcPr>
          <w:p>
            <w:pPr>
              <w:spacing w:after="0"/>
              <w:rPr>
                <w:sz w:val="17"/>
                <w:szCs w:val="17"/>
                <w:color w:val="auto"/>
              </w:rPr>
            </w:pPr>
          </w:p>
        </w:tc>
        <w:tc>
          <w:tcPr>
            <w:tcW w:w="13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56"/>
        </w:trPr>
        <w:tc>
          <w:tcPr>
            <w:tcW w:w="708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Other adjustments</w:t>
            </w:r>
            <w:r>
              <w:rPr>
                <w:rFonts w:ascii="Arial" w:cs="Arial" w:eastAsia="Arial" w:hAnsi="Arial"/>
                <w:sz w:val="29"/>
                <w:szCs w:val="29"/>
                <w:color w:val="auto"/>
                <w:vertAlign w:val="superscript"/>
              </w:rPr>
              <w:t>(5)</w:t>
            </w:r>
          </w:p>
        </w:tc>
        <w:tc>
          <w:tcPr>
            <w:tcW w:w="1020" w:type="dxa"/>
            <w:vAlign w:val="bottom"/>
            <w:tcBorders>
              <w:bottom w:val="single" w:sz="8" w:color="auto"/>
            </w:tcBorders>
            <w:shd w:val="clear" w:color="auto" w:fill="C6F4F9"/>
          </w:tcPr>
          <w:p>
            <w:pPr>
              <w:spacing w:after="0"/>
              <w:rPr>
                <w:sz w:val="22"/>
                <w:szCs w:val="22"/>
                <w:color w:val="auto"/>
              </w:rPr>
            </w:pPr>
          </w:p>
        </w:tc>
        <w:tc>
          <w:tcPr>
            <w:tcW w:w="1020" w:type="dxa"/>
            <w:vAlign w:val="bottom"/>
            <w:tcBorders>
              <w:bottom w:val="single" w:sz="8" w:color="auto"/>
            </w:tcBorders>
            <w:shd w:val="clear" w:color="auto" w:fill="C6F4F9"/>
          </w:tcPr>
          <w:p>
            <w:pPr>
              <w:jc w:val="right"/>
              <w:ind w:right="510"/>
              <w:spacing w:after="0"/>
              <w:rPr>
                <w:sz w:val="20"/>
                <w:szCs w:val="20"/>
                <w:color w:val="auto"/>
              </w:rPr>
            </w:pPr>
            <w:r>
              <w:rPr>
                <w:rFonts w:ascii="Arial" w:cs="Arial" w:eastAsia="Arial" w:hAnsi="Arial"/>
                <w:sz w:val="18"/>
                <w:szCs w:val="18"/>
                <w:color w:val="auto"/>
              </w:rPr>
              <w:t>3.0</w:t>
            </w:r>
          </w:p>
        </w:tc>
        <w:tc>
          <w:tcPr>
            <w:tcW w:w="820" w:type="dxa"/>
            <w:vAlign w:val="bottom"/>
            <w:tcBorders>
              <w:bottom w:val="single" w:sz="8" w:color="auto"/>
            </w:tcBorders>
            <w:shd w:val="clear" w:color="auto" w:fill="C6F4F9"/>
          </w:tcPr>
          <w:p>
            <w:pPr>
              <w:spacing w:after="0"/>
              <w:rPr>
                <w:sz w:val="22"/>
                <w:szCs w:val="22"/>
                <w:color w:val="auto"/>
              </w:rPr>
            </w:pPr>
          </w:p>
        </w:tc>
        <w:tc>
          <w:tcPr>
            <w:tcW w:w="1300" w:type="dxa"/>
            <w:vAlign w:val="bottom"/>
            <w:tcBorders>
              <w:bottom w:val="single" w:sz="8" w:color="auto"/>
            </w:tcBorders>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25.4</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(61.8)</w:t>
            </w:r>
          </w:p>
        </w:tc>
      </w:tr>
      <w:tr>
        <w:trPr>
          <w:trHeight w:val="183"/>
        </w:trPr>
        <w:tc>
          <w:tcPr>
            <w:tcW w:w="708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Pre-tax margin</w:t>
            </w:r>
          </w:p>
        </w:tc>
        <w:tc>
          <w:tcPr>
            <w:tcW w:w="1020" w:type="dxa"/>
            <w:vAlign w:val="bottom"/>
            <w:shd w:val="clear" w:color="auto" w:fill="C6F4F9"/>
          </w:tcPr>
          <w:p>
            <w:pPr>
              <w:spacing w:after="0"/>
              <w:rPr>
                <w:sz w:val="15"/>
                <w:szCs w:val="15"/>
                <w:color w:val="auto"/>
              </w:rPr>
            </w:pPr>
          </w:p>
        </w:tc>
        <w:tc>
          <w:tcPr>
            <w:tcW w:w="1020" w:type="dxa"/>
            <w:vAlign w:val="bottom"/>
            <w:shd w:val="clear" w:color="auto" w:fill="C6F4F9"/>
          </w:tcPr>
          <w:p>
            <w:pPr>
              <w:jc w:val="right"/>
              <w:ind w:right="350"/>
              <w:spacing w:after="0" w:line="183" w:lineRule="exact"/>
              <w:rPr>
                <w:sz w:val="20"/>
                <w:szCs w:val="20"/>
                <w:color w:val="auto"/>
              </w:rPr>
            </w:pPr>
            <w:r>
              <w:rPr>
                <w:rFonts w:ascii="Arial" w:cs="Arial" w:eastAsia="Arial" w:hAnsi="Arial"/>
                <w:sz w:val="18"/>
                <w:szCs w:val="18"/>
                <w:color w:val="auto"/>
              </w:rPr>
              <w:t>4.1%</w:t>
            </w:r>
          </w:p>
        </w:tc>
        <w:tc>
          <w:tcPr>
            <w:tcW w:w="820" w:type="dxa"/>
            <w:vAlign w:val="bottom"/>
            <w:shd w:val="clear" w:color="auto" w:fill="C6F4F9"/>
          </w:tcPr>
          <w:p>
            <w:pPr>
              <w:spacing w:after="0"/>
              <w:rPr>
                <w:sz w:val="15"/>
                <w:szCs w:val="15"/>
                <w:color w:val="auto"/>
              </w:rPr>
            </w:pPr>
          </w:p>
        </w:tc>
        <w:tc>
          <w:tcPr>
            <w:tcW w:w="130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(15.4%)</w:t>
            </w:r>
          </w:p>
        </w:tc>
      </w:tr>
    </w:tbl>
    <w:p>
      <w:pPr>
        <w:spacing w:after="0" w:line="19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jc w:val="both"/>
        <w:ind w:left="660" w:right="4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16</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965"/>
                    </a:xfrm>
                    <a:prstGeom prst="rect">
                      <a:avLst/>
                    </a:prstGeom>
                    <a:noFill/>
                  </pic:spPr>
                </pic:pic>
              </a:graphicData>
            </a:graphic>
          </wp:anchor>
        </w:drawing>
        <w:t>Reconciliation of Adjusted Net Income (Loss) and Adjusted Earnings per Share to GAAP 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net income (loss) and adjusted earnings per share to GAAP net loss.</w:t>
      </w:r>
    </w:p>
    <w:p>
      <w:pPr>
        <w:spacing w:after="0" w:line="17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Three Months Ended Dec 31,</w:t>
      </w:r>
    </w:p>
    <w:p>
      <w:pPr>
        <w:spacing w:after="0" w:line="18" w:lineRule="exact"/>
        <w:rPr>
          <w:sz w:val="20"/>
          <w:szCs w:val="20"/>
          <w:color w:val="auto"/>
        </w:rPr>
      </w:pPr>
    </w:p>
    <w:p>
      <w:pPr>
        <w:jc w:val="both"/>
        <w:ind w:left="7800"/>
        <w:spacing w:after="0"/>
        <w:tabs>
          <w:tab w:leader="none" w:pos="102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rPr>
          <w:sz w:val="20"/>
          <w:szCs w:val="20"/>
          <w:color w:val="auto"/>
        </w:rPr>
      </w:pPr>
      <w:r>
        <w:rPr>
          <w:rFonts w:ascii="Arial" w:cs="Arial" w:eastAsia="Arial" w:hAnsi="Arial"/>
          <w:sz w:val="18"/>
          <w:szCs w:val="18"/>
          <w:color w:val="auto"/>
        </w:rPr>
        <w:t>Net loss per share – diluted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9"/>
          <w:szCs w:val="29"/>
          <w:color w:val="auto"/>
          <w:vertAlign w:val="superscript"/>
        </w:rPr>
        <w:t>(1)</w:t>
      </w:r>
    </w:p>
    <w:p>
      <w:pPr>
        <w:spacing w:after="0" w:line="234" w:lineRule="auto"/>
        <w:rPr>
          <w:sz w:val="20"/>
          <w:szCs w:val="20"/>
          <w:color w:val="auto"/>
        </w:rPr>
      </w:pPr>
      <w:r>
        <w:rPr>
          <w:rFonts w:ascii="Arial" w:cs="Arial" w:eastAsia="Arial" w:hAnsi="Arial"/>
          <w:sz w:val="18"/>
          <w:szCs w:val="18"/>
          <w:color w:val="auto"/>
        </w:rPr>
        <w:t>Stock compensation expense</w:t>
      </w:r>
    </w:p>
    <w:p>
      <w:pPr>
        <w:spacing w:after="0" w:line="181" w:lineRule="auto"/>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(2)</w:t>
      </w:r>
    </w:p>
    <w:p>
      <w:pPr>
        <w:spacing w:after="0" w:line="235" w:lineRule="auto"/>
        <w:rPr>
          <w:sz w:val="20"/>
          <w:szCs w:val="20"/>
          <w:color w:val="auto"/>
        </w:rPr>
      </w:pPr>
      <w:r>
        <w:rPr>
          <w:rFonts w:ascii="Arial" w:cs="Arial" w:eastAsia="Arial" w:hAnsi="Arial"/>
          <w:sz w:val="18"/>
          <w:szCs w:val="18"/>
          <w:color w:val="auto"/>
        </w:rPr>
        <w:t>Secondary offering costs</w:t>
      </w:r>
    </w:p>
    <w:p>
      <w:pPr>
        <w:spacing w:after="0" w:line="204" w:lineRule="auto"/>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5"/>
          <w:szCs w:val="15"/>
          <w:color w:val="auto"/>
        </w:rPr>
        <w:t>Other adjustments</w:t>
      </w:r>
      <w:r>
        <w:rPr>
          <w:rFonts w:ascii="Arial" w:cs="Arial" w:eastAsia="Arial" w:hAnsi="Arial"/>
          <w:sz w:val="23"/>
          <w:szCs w:val="23"/>
          <w:color w:val="auto"/>
          <w:vertAlign w:val="superscript"/>
        </w:rPr>
        <w:t>(4)</w:t>
      </w:r>
    </w:p>
    <w:p>
      <w:pPr>
        <w:spacing w:after="0" w:line="184" w:lineRule="auto"/>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 (loss)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Diluted share count</w:t>
      </w:r>
    </w:p>
    <w:p>
      <w:pPr>
        <w:spacing w:after="0"/>
        <w:rPr>
          <w:sz w:val="20"/>
          <w:szCs w:val="20"/>
          <w:color w:val="auto"/>
        </w:rPr>
      </w:pPr>
      <w:r>
        <w:rPr>
          <w:rFonts w:ascii="Arial" w:cs="Arial" w:eastAsia="Arial" w:hAnsi="Arial"/>
          <w:sz w:val="17"/>
          <w:szCs w:val="17"/>
          <w:color w:val="auto"/>
        </w:rPr>
        <w:t>Adjusted net income (loss) per share -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(0.6)</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7"/>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(0.01)</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431"/>
        </w:trPr>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7"/>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29"/>
        </w:trPr>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17"/>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10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10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9"/>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6.2</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83"/>
        </w:trPr>
        <w:tc>
          <w:tcPr>
            <w:tcW w:w="900" w:type="dxa"/>
            <w:vAlign w:val="bottom"/>
            <w:tcBorders>
              <w:top w:val="single" w:sz="8" w:color="C6F4F9"/>
            </w:tcBorders>
            <w:shd w:val="clear" w:color="auto" w:fill="C6F4F9"/>
          </w:tcPr>
          <w:p>
            <w:pPr>
              <w:spacing w:after="0"/>
              <w:rPr>
                <w:sz w:val="15"/>
                <w:szCs w:val="15"/>
                <w:color w:val="auto"/>
              </w:rPr>
            </w:pPr>
          </w:p>
        </w:tc>
        <w:tc>
          <w:tcPr>
            <w:tcW w:w="580" w:type="dxa"/>
            <w:vAlign w:val="bottom"/>
            <w:tcBorders>
              <w:top w:val="single" w:sz="8" w:color="auto"/>
            </w:tcBorders>
            <w:shd w:val="clear" w:color="auto" w:fill="C6F4F9"/>
          </w:tcPr>
          <w:p>
            <w:pPr>
              <w:spacing w:after="0"/>
              <w:rPr>
                <w:sz w:val="15"/>
                <w:szCs w:val="15"/>
                <w:color w:val="auto"/>
              </w:rPr>
            </w:pPr>
          </w:p>
        </w:tc>
        <w:tc>
          <w:tcPr>
            <w:tcW w:w="1440" w:type="dxa"/>
            <w:vAlign w:val="bottom"/>
            <w:tcBorders>
              <w:top w:val="single" w:sz="8" w:color="auto"/>
            </w:tcBorders>
            <w:shd w:val="clear" w:color="auto" w:fill="C6F4F9"/>
          </w:tcPr>
          <w:p>
            <w:pPr>
              <w:jc w:val="right"/>
              <w:ind w:right="450"/>
              <w:spacing w:after="0" w:line="183" w:lineRule="exact"/>
              <w:rPr>
                <w:sz w:val="20"/>
                <w:szCs w:val="20"/>
                <w:color w:val="auto"/>
              </w:rPr>
            </w:pPr>
            <w:r>
              <w:rPr>
                <w:rFonts w:ascii="Arial" w:cs="Arial" w:eastAsia="Arial" w:hAnsi="Arial"/>
                <w:sz w:val="18"/>
                <w:szCs w:val="18"/>
                <w:color w:val="0A0A0A"/>
              </w:rPr>
              <w:t>61.9</w:t>
            </w:r>
          </w:p>
        </w:tc>
        <w:tc>
          <w:tcPr>
            <w:tcW w:w="1040" w:type="dxa"/>
            <w:vAlign w:val="bottom"/>
            <w:tcBorders>
              <w:top w:val="single" w:sz="8" w:color="auto"/>
            </w:tcBorders>
            <w:shd w:val="clear" w:color="auto" w:fill="C6F4F9"/>
          </w:tcPr>
          <w:p>
            <w:pPr>
              <w:spacing w:after="0"/>
              <w:rPr>
                <w:sz w:val="15"/>
                <w:szCs w:val="15"/>
                <w:color w:val="auto"/>
              </w:rPr>
            </w:pPr>
          </w:p>
        </w:tc>
        <w:tc>
          <w:tcPr>
            <w:tcW w:w="980" w:type="dxa"/>
            <w:vAlign w:val="bottom"/>
            <w:tcBorders>
              <w:top w:val="single" w:sz="8" w:color="auto"/>
            </w:tcBorders>
            <w:shd w:val="clear" w:color="auto" w:fill="C6F4F9"/>
          </w:tcPr>
          <w:p>
            <w:pPr>
              <w:jc w:val="right"/>
              <w:ind w:right="10"/>
              <w:spacing w:after="0" w:line="183" w:lineRule="exact"/>
              <w:rPr>
                <w:sz w:val="20"/>
                <w:szCs w:val="20"/>
                <w:color w:val="auto"/>
              </w:rPr>
            </w:pPr>
            <w:r>
              <w:rPr>
                <w:rFonts w:ascii="Arial" w:cs="Arial" w:eastAsia="Arial" w:hAnsi="Arial"/>
                <w:sz w:val="18"/>
                <w:szCs w:val="18"/>
                <w:color w:val="0A0A0A"/>
              </w:rPr>
              <w:t>46.8</w:t>
            </w:r>
          </w:p>
        </w:tc>
      </w:tr>
      <w:tr>
        <w:trPr>
          <w:trHeight w:val="217"/>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0.10</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-1602740</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-1320165</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-1036955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-754380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-436880</wp:posOffset>
            </wp:positionV>
            <wp:extent cx="713232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5580" w:space="720"/>
            <w:col w:w="4940"/>
          </w:cols>
          <w:pgMar w:left="320" w:top="1345" w:right="339" w:bottom="1440" w:gutter="0" w:footer="0" w:header="0"/>
          <w:type w:val="continuous"/>
        </w:sect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jc w:val="both"/>
        <w:ind w:left="660" w:right="4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306"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17</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20" w:name="page21"/>
    <w:bookmarkEnd w:id="20"/>
    <w:p>
      <w:pPr>
        <w:ind w:right="172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965"/>
                    </a:xfrm>
                    <a:prstGeom prst="rect">
                      <a:avLst/>
                    </a:prstGeom>
                    <a:noFill/>
                  </pic:spPr>
                </pic:pic>
              </a:graphicData>
            </a:graphic>
          </wp:anchor>
        </w:drawing>
        <w:t>Reconciliation of Adjusted Net Income (Loss) and Adjusted Earnings per Share to GAAP Net Income (Loss)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following table presents the reconciliation of adjusted net income (loss) and adjusted earnings per share to GAAP net income (loss).</w:t>
      </w:r>
    </w:p>
    <w:p>
      <w:pPr>
        <w:spacing w:after="0" w:line="188"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Twelve Months Ended Dec 31,</w:t>
      </w:r>
    </w:p>
    <w:p>
      <w:pPr>
        <w:spacing w:after="0" w:line="18" w:lineRule="exact"/>
        <w:rPr>
          <w:sz w:val="20"/>
          <w:szCs w:val="20"/>
          <w:color w:val="auto"/>
        </w:rPr>
      </w:pPr>
    </w:p>
    <w:p>
      <w:pPr>
        <w:ind w:left="7800"/>
        <w:spacing w:after="0"/>
        <w:tabs>
          <w:tab w:leader="none" w:pos="102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rPr>
          <w:sz w:val="20"/>
          <w:szCs w:val="20"/>
          <w:color w:val="auto"/>
        </w:rPr>
      </w:pPr>
      <w:r>
        <w:rPr>
          <w:rFonts w:ascii="Arial" w:cs="Arial" w:eastAsia="Arial" w:hAnsi="Arial"/>
          <w:sz w:val="18"/>
          <w:szCs w:val="18"/>
          <w:color w:val="auto"/>
        </w:rPr>
        <w:t>Net income (loss) per share – diluted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9"/>
          <w:szCs w:val="29"/>
          <w:color w:val="auto"/>
          <w:vertAlign w:val="superscript"/>
        </w:rPr>
        <w:t>(1)</w:t>
      </w:r>
    </w:p>
    <w:p>
      <w:pPr>
        <w:spacing w:after="0" w:line="234" w:lineRule="auto"/>
        <w:rPr>
          <w:sz w:val="20"/>
          <w:szCs w:val="20"/>
          <w:color w:val="auto"/>
        </w:rPr>
      </w:pPr>
      <w:r>
        <w:rPr>
          <w:rFonts w:ascii="Arial" w:cs="Arial" w:eastAsia="Arial" w:hAnsi="Arial"/>
          <w:sz w:val="18"/>
          <w:szCs w:val="18"/>
          <w:color w:val="auto"/>
        </w:rPr>
        <w:t>Stock compensation expense</w:t>
      </w:r>
    </w:p>
    <w:p>
      <w:pPr>
        <w:spacing w:after="0" w:line="235" w:lineRule="auto"/>
        <w:rPr>
          <w:sz w:val="20"/>
          <w:szCs w:val="20"/>
          <w:color w:val="auto"/>
        </w:rPr>
      </w:pPr>
      <w:r>
        <w:rPr>
          <w:rFonts w:ascii="Arial" w:cs="Arial" w:eastAsia="Arial" w:hAnsi="Arial"/>
          <w:sz w:val="18"/>
          <w:szCs w:val="18"/>
          <w:color w:val="auto"/>
        </w:rPr>
        <w:t>Loss on asset transactions, net</w:t>
      </w:r>
    </w:p>
    <w:p>
      <w:pPr>
        <w:spacing w:after="0" w:line="235" w:lineRule="auto"/>
        <w:rPr>
          <w:sz w:val="20"/>
          <w:szCs w:val="20"/>
          <w:color w:val="auto"/>
        </w:rPr>
      </w:pPr>
      <w:r>
        <w:rPr>
          <w:rFonts w:ascii="Arial" w:cs="Arial" w:eastAsia="Arial" w:hAnsi="Arial"/>
          <w:sz w:val="18"/>
          <w:szCs w:val="18"/>
          <w:color w:val="auto"/>
        </w:rPr>
        <w:t>Early pay-off of US Treasury loan</w:t>
      </w:r>
    </w:p>
    <w:p>
      <w:pPr>
        <w:spacing w:after="0" w:line="181" w:lineRule="auto"/>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p>
      <w:pPr>
        <w:spacing w:after="0" w:line="181" w:lineRule="auto"/>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p>
      <w:pPr>
        <w:spacing w:after="0" w:line="235" w:lineRule="auto"/>
        <w:rPr>
          <w:sz w:val="20"/>
          <w:szCs w:val="20"/>
          <w:color w:val="auto"/>
        </w:rPr>
      </w:pPr>
      <w:r>
        <w:rPr>
          <w:rFonts w:ascii="Arial" w:cs="Arial" w:eastAsia="Arial" w:hAnsi="Arial"/>
          <w:sz w:val="18"/>
          <w:szCs w:val="18"/>
          <w:color w:val="auto"/>
        </w:rPr>
        <w:t>Loss on refinancing credit facility</w:t>
      </w:r>
    </w:p>
    <w:p>
      <w:pPr>
        <w:spacing w:after="0" w:line="181" w:lineRule="auto"/>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p>
      <w:pPr>
        <w:spacing w:after="0" w:line="235" w:lineRule="auto"/>
        <w:rPr>
          <w:sz w:val="20"/>
          <w:szCs w:val="20"/>
          <w:color w:val="auto"/>
        </w:rPr>
      </w:pPr>
      <w:r>
        <w:rPr>
          <w:rFonts w:ascii="Arial" w:cs="Arial" w:eastAsia="Arial" w:hAnsi="Arial"/>
          <w:sz w:val="18"/>
          <w:szCs w:val="18"/>
          <w:color w:val="auto"/>
        </w:rPr>
        <w:t>Secondary offering costs</w:t>
      </w:r>
    </w:p>
    <w:p>
      <w:pPr>
        <w:spacing w:after="0" w:line="181" w:lineRule="auto"/>
        <w:rPr>
          <w:sz w:val="20"/>
          <w:szCs w:val="20"/>
          <w:color w:val="auto"/>
        </w:rPr>
      </w:pPr>
      <w:r>
        <w:rPr>
          <w:rFonts w:ascii="Arial" w:cs="Arial" w:eastAsia="Arial" w:hAnsi="Arial"/>
          <w:sz w:val="17"/>
          <w:szCs w:val="17"/>
          <w:color w:val="auto"/>
        </w:rPr>
        <w:t>Other adjustments</w:t>
      </w:r>
      <w:r>
        <w:rPr>
          <w:rFonts w:ascii="Arial" w:cs="Arial" w:eastAsia="Arial" w:hAnsi="Arial"/>
          <w:sz w:val="28"/>
          <w:szCs w:val="28"/>
          <w:color w:val="auto"/>
          <w:vertAlign w:val="superscript"/>
        </w:rPr>
        <w:t>(5)</w:t>
      </w:r>
    </w:p>
    <w:p>
      <w:pPr>
        <w:spacing w:after="0" w:line="185" w:lineRule="auto"/>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(6)</w:t>
      </w:r>
    </w:p>
    <w:p>
      <w:pPr>
        <w:spacing w:after="0"/>
        <w:rPr>
          <w:sz w:val="20"/>
          <w:szCs w:val="20"/>
          <w:color w:val="auto"/>
        </w:rPr>
      </w:pPr>
      <w:r>
        <w:rPr>
          <w:rFonts w:ascii="Arial" w:cs="Arial" w:eastAsia="Arial" w:hAnsi="Arial"/>
          <w:sz w:val="18"/>
          <w:szCs w:val="18"/>
          <w:color w:val="auto"/>
        </w:rPr>
        <w:t>Adjusted net income (loss)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Diluted share count</w:t>
      </w:r>
    </w:p>
    <w:p>
      <w:pPr>
        <w:spacing w:after="0"/>
        <w:rPr>
          <w:sz w:val="20"/>
          <w:szCs w:val="20"/>
          <w:color w:val="auto"/>
        </w:rPr>
      </w:pPr>
      <w:r>
        <w:rPr>
          <w:rFonts w:ascii="Arial" w:cs="Arial" w:eastAsia="Arial" w:hAnsi="Arial"/>
          <w:sz w:val="17"/>
          <w:szCs w:val="17"/>
          <w:color w:val="auto"/>
        </w:rPr>
        <w:t>Adjusted net income (loss) per share -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77.5</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1.31</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431"/>
        </w:trPr>
        <w:tc>
          <w:tcPr>
            <w:tcW w:w="58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(65.5)</w:t>
            </w:r>
          </w:p>
        </w:tc>
        <w:tc>
          <w:tcPr>
            <w:tcW w:w="10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03"/>
        </w:trPr>
        <w:tc>
          <w:tcPr>
            <w:tcW w:w="580" w:type="dxa"/>
            <w:vAlign w:val="bottom"/>
          </w:tcPr>
          <w:p>
            <w:pPr>
              <w:spacing w:after="0"/>
              <w:rPr>
                <w:sz w:val="17"/>
                <w:szCs w:val="17"/>
                <w:color w:val="auto"/>
              </w:rPr>
            </w:pPr>
          </w:p>
        </w:tc>
        <w:tc>
          <w:tcPr>
            <w:tcW w:w="1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5.6</w:t>
            </w:r>
          </w:p>
        </w:tc>
        <w:tc>
          <w:tcPr>
            <w:tcW w:w="10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r>
      <w:tr>
        <w:trPr>
          <w:trHeight w:val="203"/>
        </w:trPr>
        <w:tc>
          <w:tcPr>
            <w:tcW w:w="580" w:type="dxa"/>
            <w:vAlign w:val="bottom"/>
          </w:tcPr>
          <w:p>
            <w:pPr>
              <w:spacing w:after="0"/>
              <w:rPr>
                <w:sz w:val="17"/>
                <w:szCs w:val="17"/>
                <w:color w:val="auto"/>
              </w:rPr>
            </w:pPr>
          </w:p>
        </w:tc>
        <w:tc>
          <w:tcPr>
            <w:tcW w:w="14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w:t>
            </w:r>
          </w:p>
        </w:tc>
      </w:tr>
      <w:tr>
        <w:trPr>
          <w:trHeight w:val="217"/>
        </w:trPr>
        <w:tc>
          <w:tcPr>
            <w:tcW w:w="5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0.8</w:t>
            </w:r>
          </w:p>
        </w:tc>
        <w:tc>
          <w:tcPr>
            <w:tcW w:w="10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8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0.3</w:t>
            </w:r>
          </w:p>
        </w:tc>
        <w:tc>
          <w:tcPr>
            <w:tcW w:w="10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580" w:type="dxa"/>
            <w:vAlign w:val="bottom"/>
          </w:tcPr>
          <w:p>
            <w:pPr>
              <w:spacing w:after="0"/>
              <w:rPr>
                <w:sz w:val="19"/>
                <w:szCs w:val="19"/>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(16.4)</w:t>
            </w:r>
          </w:p>
        </w:tc>
        <w:tc>
          <w:tcPr>
            <w:tcW w:w="10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7"/>
        </w:trPr>
        <w:tc>
          <w:tcPr>
            <w:tcW w:w="5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10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5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7"/>
        </w:trPr>
        <w:tc>
          <w:tcPr>
            <w:tcW w:w="5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8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10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12.3</w:t>
            </w:r>
          </w:p>
        </w:tc>
        <w:tc>
          <w:tcPr>
            <w:tcW w:w="10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r>
      <w:tr>
        <w:trPr>
          <w:trHeight w:val="209"/>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19.8</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2"/>
        </w:trPr>
        <w:tc>
          <w:tcPr>
            <w:tcW w:w="580" w:type="dxa"/>
            <w:vAlign w:val="bottom"/>
          </w:tcPr>
          <w:p>
            <w:pPr>
              <w:spacing w:after="0"/>
              <w:rPr>
                <w:sz w:val="15"/>
                <w:szCs w:val="15"/>
                <w:color w:val="auto"/>
              </w:rPr>
            </w:pPr>
          </w:p>
        </w:tc>
        <w:tc>
          <w:tcPr>
            <w:tcW w:w="1440" w:type="dxa"/>
            <w:vAlign w:val="bottom"/>
          </w:tcPr>
          <w:p>
            <w:pPr>
              <w:jc w:val="right"/>
              <w:ind w:right="450"/>
              <w:spacing w:after="0" w:line="182" w:lineRule="exact"/>
              <w:rPr>
                <w:sz w:val="20"/>
                <w:szCs w:val="20"/>
                <w:color w:val="auto"/>
              </w:rPr>
            </w:pPr>
            <w:r>
              <w:rPr>
                <w:rFonts w:ascii="Arial" w:cs="Arial" w:eastAsia="Arial" w:hAnsi="Arial"/>
                <w:sz w:val="18"/>
                <w:szCs w:val="18"/>
                <w:color w:val="0A0A0A"/>
              </w:rPr>
              <w:t>59.3</w:t>
            </w:r>
          </w:p>
        </w:tc>
        <w:tc>
          <w:tcPr>
            <w:tcW w:w="1040" w:type="dxa"/>
            <w:vAlign w:val="bottom"/>
          </w:tcPr>
          <w:p>
            <w:pPr>
              <w:spacing w:after="0"/>
              <w:rPr>
                <w:sz w:val="15"/>
                <w:szCs w:val="15"/>
                <w:color w:val="auto"/>
              </w:rPr>
            </w:pPr>
          </w:p>
        </w:tc>
        <w:tc>
          <w:tcPr>
            <w:tcW w:w="980" w:type="dxa"/>
            <w:vAlign w:val="bottom"/>
          </w:tcPr>
          <w:p>
            <w:pPr>
              <w:jc w:val="right"/>
              <w:ind w:right="10"/>
              <w:spacing w:after="0" w:line="182" w:lineRule="exact"/>
              <w:rPr>
                <w:sz w:val="20"/>
                <w:szCs w:val="20"/>
                <w:color w:val="auto"/>
              </w:rPr>
            </w:pPr>
            <w:r>
              <w:rPr>
                <w:rFonts w:ascii="Arial" w:cs="Arial" w:eastAsia="Arial" w:hAnsi="Arial"/>
                <w:sz w:val="18"/>
                <w:szCs w:val="18"/>
                <w:color w:val="0A0A0A"/>
              </w:rPr>
              <w:t>46.8</w:t>
            </w:r>
          </w:p>
        </w:tc>
      </w:tr>
      <w:tr>
        <w:trPr>
          <w:trHeight w:val="217"/>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0.33</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-2142490</wp:posOffset>
            </wp:positionV>
            <wp:extent cx="71323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-1859280</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-1602105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-1319530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-1036320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-753745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-436245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-136525</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480" w:space="720"/>
            <w:col w:w="4040"/>
          </w:cols>
          <w:pgMar w:left="320" w:top="1345" w:right="339" w:bottom="1440" w:gutter="0" w:footer="0" w:header="0"/>
          <w:type w:val="continuous"/>
        </w:sect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jc w:val="both"/>
        <w:ind w:left="660" w:right="4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18</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965"/>
                    </a:xfrm>
                    <a:prstGeom prst="rect">
                      <a:avLst/>
                    </a:prstGeom>
                    <a:noFill/>
                  </pic:spPr>
                </pic:pic>
              </a:graphicData>
            </a:graphic>
          </wp:anchor>
        </w:drawing>
        <w:t>Reconciliation of Adjusted EBITDAR to GAAP 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present the reconciliation of net loss to Adjusted EBITDAR for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Dec 31,</w:t>
            </w:r>
          </w:p>
        </w:tc>
        <w:tc>
          <w:tcPr>
            <w:tcW w:w="560" w:type="dxa"/>
            <w:vAlign w:val="bottom"/>
          </w:tcPr>
          <w:p>
            <w:pPr>
              <w:spacing w:after="0"/>
              <w:rPr>
                <w:sz w:val="17"/>
                <w:szCs w:val="17"/>
                <w:color w:val="auto"/>
              </w:rPr>
            </w:pPr>
          </w:p>
        </w:tc>
      </w:tr>
      <w:tr>
        <w:trPr>
          <w:trHeight w:val="225"/>
        </w:trPr>
        <w:tc>
          <w:tcPr>
            <w:tcW w:w="6240" w:type="dxa"/>
            <w:vAlign w:val="bottom"/>
            <w:tcBorders>
              <w:bottom w:val="single" w:sz="8" w:color="C6F4F9"/>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r>
      <w:tr>
        <w:trPr>
          <w:trHeight w:val="196"/>
        </w:trPr>
        <w:tc>
          <w:tcPr>
            <w:tcW w:w="62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loss</w:t>
            </w:r>
          </w:p>
        </w:tc>
        <w:tc>
          <w:tcPr>
            <w:tcW w:w="900" w:type="dxa"/>
            <w:vAlign w:val="bottom"/>
            <w:shd w:val="clear" w:color="auto" w:fill="C6F4F9"/>
          </w:tcPr>
          <w:p>
            <w:pPr>
              <w:spacing w:after="0"/>
              <w:rPr>
                <w:sz w:val="17"/>
                <w:szCs w:val="17"/>
                <w:color w:val="auto"/>
              </w:rPr>
            </w:pPr>
          </w:p>
        </w:tc>
        <w:tc>
          <w:tcPr>
            <w:tcW w:w="1040" w:type="dxa"/>
            <w:vAlign w:val="bottom"/>
            <w:shd w:val="clear" w:color="auto" w:fill="C6F4F9"/>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6F4F9"/>
          </w:tcPr>
          <w:p>
            <w:pPr>
              <w:jc w:val="right"/>
              <w:ind w:right="450"/>
              <w:spacing w:after="0" w:line="196" w:lineRule="exact"/>
              <w:rPr>
                <w:sz w:val="20"/>
                <w:szCs w:val="20"/>
                <w:color w:val="auto"/>
              </w:rPr>
            </w:pPr>
            <w:r>
              <w:rPr>
                <w:rFonts w:ascii="Arial" w:cs="Arial" w:eastAsia="Arial" w:hAnsi="Arial"/>
                <w:sz w:val="18"/>
                <w:szCs w:val="18"/>
                <w:color w:val="auto"/>
              </w:rPr>
              <w:t>(0.6)</w:t>
            </w:r>
          </w:p>
        </w:tc>
        <w:tc>
          <w:tcPr>
            <w:tcW w:w="1500" w:type="dxa"/>
            <w:vAlign w:val="bottom"/>
            <w:shd w:val="clear" w:color="auto" w:fill="C6F4F9"/>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(8.0)</w:t>
            </w:r>
          </w:p>
        </w:tc>
      </w:tr>
      <w:tr>
        <w:trPr>
          <w:trHeight w:val="243"/>
        </w:trPr>
        <w:tc>
          <w:tcPr>
            <w:tcW w:w="714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040" w:type="dxa"/>
            <w:vAlign w:val="bottom"/>
          </w:tcPr>
          <w:p>
            <w:pPr>
              <w:spacing w:after="0"/>
              <w:rPr>
                <w:sz w:val="21"/>
                <w:szCs w:val="21"/>
                <w:color w:val="auto"/>
              </w:rPr>
            </w:pPr>
          </w:p>
        </w:tc>
        <w:tc>
          <w:tcPr>
            <w:tcW w:w="10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03"/>
        </w:trPr>
        <w:tc>
          <w:tcPr>
            <w:tcW w:w="7140" w:type="dxa"/>
            <w:vAlign w:val="bottom"/>
            <w:gridSpan w:val="2"/>
            <w:shd w:val="clear" w:color="auto" w:fill="C6F4F9"/>
          </w:tcPr>
          <w:p>
            <w:pPr>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6.8</w:t>
            </w:r>
          </w:p>
        </w:tc>
        <w:tc>
          <w:tcPr>
            <w:tcW w:w="150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5.9</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Stock compensation expense</w:t>
            </w:r>
          </w:p>
        </w:tc>
        <w:tc>
          <w:tcPr>
            <w:tcW w:w="1040" w:type="dxa"/>
            <w:vAlign w:val="bottom"/>
          </w:tcPr>
          <w:p>
            <w:pPr>
              <w:spacing w:after="0"/>
              <w:rPr>
                <w:sz w:val="17"/>
                <w:szCs w:val="17"/>
                <w:color w:val="auto"/>
              </w:rPr>
            </w:pPr>
          </w:p>
        </w:tc>
        <w:tc>
          <w:tcPr>
            <w:tcW w:w="10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w:t>
            </w:r>
          </w:p>
        </w:tc>
        <w:tc>
          <w:tcPr>
            <w:tcW w:w="1500" w:type="dxa"/>
            <w:vAlign w:val="bottom"/>
          </w:tcPr>
          <w:p>
            <w:pPr>
              <w:spacing w:after="0"/>
              <w:rPr>
                <w:sz w:val="17"/>
                <w:szCs w:val="17"/>
                <w:color w:val="auto"/>
              </w:rPr>
            </w:pPr>
          </w:p>
        </w:tc>
        <w:tc>
          <w:tcPr>
            <w:tcW w:w="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0.9</w:t>
            </w:r>
          </w:p>
        </w:tc>
      </w:tr>
      <w:tr>
        <w:trPr>
          <w:trHeight w:val="243"/>
        </w:trPr>
        <w:tc>
          <w:tcPr>
            <w:tcW w:w="7140" w:type="dxa"/>
            <w:vAlign w:val="bottom"/>
            <w:gridSpan w:val="2"/>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(2)</w:t>
            </w:r>
          </w:p>
        </w:tc>
        <w:tc>
          <w:tcPr>
            <w:tcW w:w="1040" w:type="dxa"/>
            <w:vAlign w:val="bottom"/>
            <w:shd w:val="clear" w:color="auto" w:fill="C6F4F9"/>
          </w:tcPr>
          <w:p>
            <w:pPr>
              <w:spacing w:after="0"/>
              <w:rPr>
                <w:sz w:val="21"/>
                <w:szCs w:val="21"/>
                <w:color w:val="auto"/>
              </w:rPr>
            </w:pPr>
          </w:p>
        </w:tc>
        <w:tc>
          <w:tcPr>
            <w:tcW w:w="1000" w:type="dxa"/>
            <w:vAlign w:val="bottom"/>
            <w:shd w:val="clear" w:color="auto" w:fill="C6F4F9"/>
          </w:tcPr>
          <w:p>
            <w:pPr>
              <w:jc w:val="right"/>
              <w:ind w:right="6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6F4F9"/>
          </w:tcPr>
          <w:p>
            <w:pPr>
              <w:spacing w:after="0"/>
              <w:rPr>
                <w:sz w:val="21"/>
                <w:szCs w:val="21"/>
                <w:color w:val="auto"/>
              </w:rPr>
            </w:pPr>
          </w:p>
        </w:tc>
        <w:tc>
          <w:tcPr>
            <w:tcW w:w="56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0.5</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Secondary offering costs</w:t>
            </w:r>
          </w:p>
        </w:tc>
        <w:tc>
          <w:tcPr>
            <w:tcW w:w="1040" w:type="dxa"/>
            <w:vAlign w:val="bottom"/>
          </w:tcPr>
          <w:p>
            <w:pPr>
              <w:spacing w:after="0"/>
              <w:rPr>
                <w:sz w:val="17"/>
                <w:szCs w:val="17"/>
                <w:color w:val="auto"/>
              </w:rPr>
            </w:pPr>
          </w:p>
        </w:tc>
        <w:tc>
          <w:tcPr>
            <w:tcW w:w="10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0.5</w:t>
            </w:r>
          </w:p>
        </w:tc>
        <w:tc>
          <w:tcPr>
            <w:tcW w:w="1500" w:type="dxa"/>
            <w:vAlign w:val="bottom"/>
          </w:tcPr>
          <w:p>
            <w:pPr>
              <w:spacing w:after="0"/>
              <w:rPr>
                <w:sz w:val="17"/>
                <w:szCs w:val="17"/>
                <w:color w:val="auto"/>
              </w:rPr>
            </w:pP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43"/>
        </w:trPr>
        <w:tc>
          <w:tcPr>
            <w:tcW w:w="7140" w:type="dxa"/>
            <w:vAlign w:val="bottom"/>
            <w:gridSpan w:val="2"/>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040" w:type="dxa"/>
            <w:vAlign w:val="bottom"/>
            <w:shd w:val="clear" w:color="auto" w:fill="C6F4F9"/>
          </w:tcPr>
          <w:p>
            <w:pPr>
              <w:spacing w:after="0"/>
              <w:rPr>
                <w:sz w:val="21"/>
                <w:szCs w:val="21"/>
                <w:color w:val="auto"/>
              </w:rPr>
            </w:pPr>
          </w:p>
        </w:tc>
        <w:tc>
          <w:tcPr>
            <w:tcW w:w="1000" w:type="dxa"/>
            <w:vAlign w:val="bottom"/>
            <w:shd w:val="clear" w:color="auto" w:fill="C6F4F9"/>
          </w:tcPr>
          <w:p>
            <w:pPr>
              <w:jc w:val="right"/>
              <w:ind w:right="510"/>
              <w:spacing w:after="0"/>
              <w:rPr>
                <w:sz w:val="20"/>
                <w:szCs w:val="20"/>
                <w:color w:val="auto"/>
              </w:rPr>
            </w:pPr>
            <w:r>
              <w:rPr>
                <w:rFonts w:ascii="Arial" w:cs="Arial" w:eastAsia="Arial" w:hAnsi="Arial"/>
                <w:sz w:val="18"/>
                <w:szCs w:val="18"/>
                <w:color w:val="auto"/>
              </w:rPr>
              <w:t>3.4</w:t>
            </w:r>
          </w:p>
        </w:tc>
        <w:tc>
          <w:tcPr>
            <w:tcW w:w="1500" w:type="dxa"/>
            <w:vAlign w:val="bottom"/>
            <w:shd w:val="clear" w:color="auto" w:fill="C6F4F9"/>
          </w:tcPr>
          <w:p>
            <w:pPr>
              <w:spacing w:after="0"/>
              <w:rPr>
                <w:sz w:val="21"/>
                <w:szCs w:val="21"/>
                <w:color w:val="auto"/>
              </w:rPr>
            </w:pPr>
          </w:p>
        </w:tc>
        <w:tc>
          <w:tcPr>
            <w:tcW w:w="560" w:type="dxa"/>
            <w:vAlign w:val="bottom"/>
            <w:shd w:val="clear" w:color="auto" w:fill="C6F4F9"/>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gridSpan w:val="2"/>
          </w:tcPr>
          <w:p>
            <w:pPr>
              <w:spacing w:after="0" w:line="243" w:lineRule="exact"/>
              <w:rPr>
                <w:sz w:val="20"/>
                <w:szCs w:val="20"/>
                <w:color w:val="auto"/>
              </w:rPr>
            </w:pPr>
            <w:r>
              <w:rPr>
                <w:rFonts w:ascii="Arial" w:cs="Arial" w:eastAsia="Arial" w:hAnsi="Arial"/>
                <w:sz w:val="17"/>
                <w:szCs w:val="17"/>
                <w:color w:val="auto"/>
              </w:rPr>
              <w:t>Other adjustments</w:t>
            </w:r>
            <w:r>
              <w:rPr>
                <w:rFonts w:ascii="Arial" w:cs="Arial" w:eastAsia="Arial" w:hAnsi="Arial"/>
                <w:sz w:val="28"/>
                <w:szCs w:val="28"/>
                <w:color w:val="auto"/>
                <w:vertAlign w:val="superscript"/>
              </w:rPr>
              <w:t>(4)</w:t>
            </w:r>
          </w:p>
        </w:tc>
        <w:tc>
          <w:tcPr>
            <w:tcW w:w="1040" w:type="dxa"/>
            <w:vAlign w:val="bottom"/>
          </w:tcPr>
          <w:p>
            <w:pPr>
              <w:spacing w:after="0"/>
              <w:rPr>
                <w:sz w:val="21"/>
                <w:szCs w:val="21"/>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1500" w:type="dxa"/>
            <w:vAlign w:val="bottom"/>
          </w:tcPr>
          <w:p>
            <w:pPr>
              <w:spacing w:after="0"/>
              <w:rPr>
                <w:sz w:val="21"/>
                <w:szCs w:val="21"/>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03"/>
        </w:trPr>
        <w:tc>
          <w:tcPr>
            <w:tcW w:w="7140" w:type="dxa"/>
            <w:vAlign w:val="bottom"/>
            <w:gridSpan w:val="2"/>
            <w:shd w:val="clear" w:color="auto" w:fill="C6F4F9"/>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0.8</w:t>
            </w:r>
          </w:p>
        </w:tc>
        <w:tc>
          <w:tcPr>
            <w:tcW w:w="150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7"/>
                <w:szCs w:val="17"/>
                <w:color w:val="auto"/>
              </w:rPr>
            </w:pPr>
          </w:p>
        </w:tc>
        <w:tc>
          <w:tcPr>
            <w:tcW w:w="10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14.9</w:t>
            </w:r>
          </w:p>
        </w:tc>
        <w:tc>
          <w:tcPr>
            <w:tcW w:w="1500" w:type="dxa"/>
            <w:vAlign w:val="bottom"/>
          </w:tcPr>
          <w:p>
            <w:pPr>
              <w:spacing w:after="0"/>
              <w:rPr>
                <w:sz w:val="17"/>
                <w:szCs w:val="17"/>
                <w:color w:val="auto"/>
              </w:rPr>
            </w:pPr>
          </w:p>
        </w:tc>
        <w:tc>
          <w:tcPr>
            <w:tcW w:w="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12.5</w:t>
            </w:r>
          </w:p>
        </w:tc>
      </w:tr>
      <w:tr>
        <w:trPr>
          <w:trHeight w:val="216"/>
        </w:trPr>
        <w:tc>
          <w:tcPr>
            <w:tcW w:w="71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Aircraft rent</w:t>
            </w:r>
          </w:p>
        </w:tc>
        <w:tc>
          <w:tcPr>
            <w:tcW w:w="1040" w:type="dxa"/>
            <w:vAlign w:val="bottom"/>
            <w:tcBorders>
              <w:bottom w:val="single" w:sz="8" w:color="auto"/>
            </w:tcBorders>
            <w:shd w:val="clear" w:color="auto" w:fill="C6F4F9"/>
          </w:tcPr>
          <w:p>
            <w:pPr>
              <w:spacing w:after="0"/>
              <w:rPr>
                <w:sz w:val="18"/>
                <w:szCs w:val="18"/>
                <w:color w:val="auto"/>
              </w:rPr>
            </w:pPr>
          </w:p>
        </w:tc>
        <w:tc>
          <w:tcPr>
            <w:tcW w:w="1000" w:type="dxa"/>
            <w:vAlign w:val="bottom"/>
            <w:tcBorders>
              <w:bottom w:val="single" w:sz="8" w:color="auto"/>
            </w:tcBorders>
            <w:shd w:val="clear" w:color="auto" w:fill="C6F4F9"/>
          </w:tcPr>
          <w:p>
            <w:pPr>
              <w:jc w:val="right"/>
              <w:ind w:right="510"/>
              <w:spacing w:after="0"/>
              <w:rPr>
                <w:sz w:val="20"/>
                <w:szCs w:val="20"/>
                <w:color w:val="auto"/>
              </w:rPr>
            </w:pPr>
            <w:r>
              <w:rPr>
                <w:rFonts w:ascii="Arial" w:cs="Arial" w:eastAsia="Arial" w:hAnsi="Arial"/>
                <w:sz w:val="18"/>
                <w:szCs w:val="18"/>
                <w:color w:val="auto"/>
              </w:rPr>
              <w:t>4.3</w:t>
            </w:r>
          </w:p>
        </w:tc>
        <w:tc>
          <w:tcPr>
            <w:tcW w:w="1500" w:type="dxa"/>
            <w:vAlign w:val="bottom"/>
            <w:tcBorders>
              <w:bottom w:val="single" w:sz="8" w:color="auto"/>
            </w:tcBorders>
            <w:shd w:val="clear" w:color="auto" w:fill="C6F4F9"/>
          </w:tcPr>
          <w:p>
            <w:pPr>
              <w:spacing w:after="0"/>
              <w:rPr>
                <w:sz w:val="18"/>
                <w:szCs w:val="18"/>
                <w:color w:val="auto"/>
              </w:rPr>
            </w:pPr>
          </w:p>
        </w:tc>
        <w:tc>
          <w:tcPr>
            <w:tcW w:w="56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auto"/>
              </w:rPr>
              <w:t>7.6</w:t>
            </w:r>
          </w:p>
        </w:tc>
      </w:tr>
      <w:tr>
        <w:trPr>
          <w:trHeight w:val="250"/>
        </w:trPr>
        <w:tc>
          <w:tcPr>
            <w:tcW w:w="7140" w:type="dxa"/>
            <w:vAlign w:val="bottom"/>
            <w:tcBorders>
              <w:bottom w:val="single" w:sz="8" w:color="C6F4F9"/>
            </w:tcBorders>
            <w:gridSpan w:val="2"/>
          </w:tcPr>
          <w:p>
            <w:pPr>
              <w:spacing w:after="0" w:line="197" w:lineRule="exact"/>
              <w:rPr>
                <w:sz w:val="20"/>
                <w:szCs w:val="20"/>
                <w:color w:val="auto"/>
              </w:rPr>
            </w:pPr>
            <w:r>
              <w:rPr>
                <w:rFonts w:ascii="Arial" w:cs="Arial" w:eastAsia="Arial" w:hAnsi="Arial"/>
                <w:sz w:val="18"/>
                <w:szCs w:val="18"/>
                <w:color w:val="auto"/>
              </w:rPr>
              <w:t>Adjusted EBITDAR</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34.1</w:t>
            </w:r>
          </w:p>
        </w:tc>
        <w:tc>
          <w:tcPr>
            <w:tcW w:w="15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16.7</w:t>
            </w:r>
          </w:p>
        </w:tc>
      </w:tr>
      <w:tr>
        <w:trPr>
          <w:trHeight w:val="183"/>
        </w:trPr>
        <w:tc>
          <w:tcPr>
            <w:tcW w:w="7140" w:type="dxa"/>
            <w:vAlign w:val="bottom"/>
            <w:gridSpan w:val="2"/>
            <w:shd w:val="clear" w:color="auto" w:fill="C6F4F9"/>
          </w:tcPr>
          <w:p>
            <w:pPr>
              <w:spacing w:after="0" w:line="183" w:lineRule="exact"/>
              <w:rPr>
                <w:sz w:val="20"/>
                <w:szCs w:val="20"/>
                <w:color w:val="auto"/>
              </w:rPr>
            </w:pPr>
            <w:r>
              <w:rPr>
                <w:rFonts w:ascii="Arial" w:cs="Arial" w:eastAsia="Arial" w:hAnsi="Arial"/>
                <w:sz w:val="18"/>
                <w:szCs w:val="18"/>
                <w:color w:val="auto"/>
              </w:rPr>
              <w:t>Adjusted EBITDAR margin</w:t>
            </w:r>
          </w:p>
        </w:tc>
        <w:tc>
          <w:tcPr>
            <w:tcW w:w="1040" w:type="dxa"/>
            <w:vAlign w:val="bottom"/>
            <w:shd w:val="clear" w:color="auto" w:fill="C6F4F9"/>
          </w:tcPr>
          <w:p>
            <w:pPr>
              <w:spacing w:after="0"/>
              <w:rPr>
                <w:sz w:val="15"/>
                <w:szCs w:val="15"/>
                <w:color w:val="auto"/>
              </w:rPr>
            </w:pPr>
          </w:p>
        </w:tc>
        <w:tc>
          <w:tcPr>
            <w:tcW w:w="1000" w:type="dxa"/>
            <w:vAlign w:val="bottom"/>
            <w:shd w:val="clear" w:color="auto" w:fill="C6F4F9"/>
          </w:tcPr>
          <w:p>
            <w:pPr>
              <w:jc w:val="right"/>
              <w:ind w:right="350"/>
              <w:spacing w:after="0" w:line="183" w:lineRule="exact"/>
              <w:rPr>
                <w:sz w:val="20"/>
                <w:szCs w:val="20"/>
                <w:color w:val="auto"/>
              </w:rPr>
            </w:pPr>
            <w:r>
              <w:rPr>
                <w:rFonts w:ascii="Arial" w:cs="Arial" w:eastAsia="Arial" w:hAnsi="Arial"/>
                <w:sz w:val="18"/>
                <w:szCs w:val="18"/>
                <w:color w:val="auto"/>
              </w:rPr>
              <w:t>19.7%</w:t>
            </w:r>
          </w:p>
        </w:tc>
        <w:tc>
          <w:tcPr>
            <w:tcW w:w="1500" w:type="dxa"/>
            <w:vAlign w:val="bottom"/>
            <w:shd w:val="clear" w:color="auto" w:fill="C6F4F9"/>
          </w:tcPr>
          <w:p>
            <w:pPr>
              <w:spacing w:after="0"/>
              <w:rPr>
                <w:sz w:val="15"/>
                <w:szCs w:val="15"/>
                <w:color w:val="auto"/>
              </w:rPr>
            </w:pPr>
          </w:p>
        </w:tc>
        <w:tc>
          <w:tcPr>
            <w:tcW w:w="56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15.5%</w:t>
            </w:r>
          </w:p>
        </w:tc>
      </w:tr>
    </w:tbl>
    <w:p>
      <w:pPr>
        <w:spacing w:after="0" w:line="2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jc w:val="both"/>
        <w:ind w:left="660" w:right="4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34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19</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9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965"/>
                    </a:xfrm>
                    <a:prstGeom prst="rect">
                      <a:avLst/>
                    </a:prstGeom>
                    <a:noFill/>
                  </pic:spPr>
                </pic:pic>
              </a:graphicData>
            </a:graphic>
          </wp:anchor>
        </w:drawing>
        <w:t>Reconciliation of Adjusted EBITDAR to GAAP Net Income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176"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Twelve Months Ended Dec 31,</w:t>
      </w:r>
    </w:p>
    <w:p>
      <w:pPr>
        <w:spacing w:after="0" w:line="18" w:lineRule="exact"/>
        <w:rPr>
          <w:sz w:val="20"/>
          <w:szCs w:val="20"/>
          <w:color w:val="auto"/>
        </w:rPr>
      </w:pPr>
    </w:p>
    <w:p>
      <w:pPr>
        <w:jc w:val="both"/>
        <w:ind w:left="7740"/>
        <w:spacing w:after="0"/>
        <w:tabs>
          <w:tab w:leader="none" w:pos="102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181" w:lineRule="auto"/>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p>
      <w:pPr>
        <w:spacing w:after="0" w:line="234" w:lineRule="auto"/>
        <w:rPr>
          <w:sz w:val="20"/>
          <w:szCs w:val="20"/>
          <w:color w:val="auto"/>
        </w:rPr>
      </w:pPr>
      <w:r>
        <w:rPr>
          <w:rFonts w:ascii="Arial" w:cs="Arial" w:eastAsia="Arial" w:hAnsi="Arial"/>
          <w:sz w:val="18"/>
          <w:szCs w:val="18"/>
          <w:color w:val="auto"/>
        </w:rPr>
        <w:t>Loss on asset transactions,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Interest expense</w:t>
      </w:r>
    </w:p>
    <w:p>
      <w:pPr>
        <w:spacing w:after="0" w:line="235" w:lineRule="auto"/>
        <w:rPr>
          <w:sz w:val="20"/>
          <w:szCs w:val="20"/>
          <w:color w:val="auto"/>
        </w:rPr>
      </w:pPr>
      <w:r>
        <w:rPr>
          <w:rFonts w:ascii="Arial" w:cs="Arial" w:eastAsia="Arial" w:hAnsi="Arial"/>
          <w:sz w:val="18"/>
          <w:szCs w:val="18"/>
          <w:color w:val="auto"/>
        </w:rPr>
        <w:t>Stock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2" w:lineRule="auto"/>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6"/>
          <w:szCs w:val="26"/>
          <w:color w:val="auto"/>
          <w:vertAlign w:val="superscript"/>
        </w:rPr>
        <w:t>(</w:t>
      </w:r>
      <w:r>
        <w:rPr>
          <w:rFonts w:ascii="Arial" w:cs="Arial" w:eastAsia="Arial" w:hAnsi="Arial"/>
          <w:sz w:val="31"/>
          <w:szCs w:val="31"/>
          <w:color w:val="auto"/>
          <w:vertAlign w:val="superscript"/>
        </w:rPr>
        <w:t>2)</w:t>
      </w:r>
    </w:p>
    <w:p>
      <w:pPr>
        <w:spacing w:after="0" w:line="181" w:lineRule="auto"/>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Interest income</w:t>
      </w:r>
    </w:p>
    <w:p>
      <w:pPr>
        <w:spacing w:after="0" w:line="181" w:lineRule="auto"/>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Secondary offering costs</w:t>
      </w:r>
    </w:p>
    <w:p>
      <w:pPr>
        <w:spacing w:after="0" w:line="181" w:lineRule="auto"/>
        <w:rPr>
          <w:sz w:val="20"/>
          <w:szCs w:val="20"/>
          <w:color w:val="auto"/>
        </w:rPr>
      </w:pPr>
      <w:r>
        <w:rPr>
          <w:rFonts w:ascii="Arial" w:cs="Arial" w:eastAsia="Arial" w:hAnsi="Arial"/>
          <w:sz w:val="17"/>
          <w:szCs w:val="17"/>
          <w:color w:val="auto"/>
        </w:rPr>
        <w:t>Other adjustments</w:t>
      </w:r>
      <w:r>
        <w:rPr>
          <w:rFonts w:ascii="Arial" w:cs="Arial" w:eastAsia="Arial" w:hAnsi="Arial"/>
          <w:sz w:val="28"/>
          <w:szCs w:val="2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Provision for income taxes</w:t>
      </w:r>
    </w:p>
    <w:p>
      <w:pPr>
        <w:spacing w:after="0" w:line="234" w:lineRule="auto"/>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Aircraft 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EBITDAR margin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See special items table above for more details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77.5</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29"/>
        </w:trPr>
        <w:tc>
          <w:tcPr>
            <w:tcW w:w="54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(65.5)</w:t>
            </w:r>
          </w:p>
        </w:tc>
        <w:tc>
          <w:tcPr>
            <w:tcW w:w="10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(64.6)</w:t>
            </w:r>
          </w:p>
        </w:tc>
      </w:tr>
      <w:tr>
        <w:trPr>
          <w:trHeight w:val="203"/>
        </w:trPr>
        <w:tc>
          <w:tcPr>
            <w:tcW w:w="540" w:type="dxa"/>
            <w:vAlign w:val="bottom"/>
          </w:tcPr>
          <w:p>
            <w:pPr>
              <w:spacing w:after="0"/>
              <w:rPr>
                <w:sz w:val="17"/>
                <w:szCs w:val="17"/>
                <w:color w:val="auto"/>
              </w:rPr>
            </w:pP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0.4</w:t>
            </w:r>
          </w:p>
        </w:tc>
      </w:tr>
      <w:tr>
        <w:trPr>
          <w:trHeight w:val="203"/>
        </w:trPr>
        <w:tc>
          <w:tcPr>
            <w:tcW w:w="540" w:type="dxa"/>
            <w:vAlign w:val="bottom"/>
          </w:tcPr>
          <w:p>
            <w:pPr>
              <w:spacing w:after="0"/>
              <w:rPr>
                <w:sz w:val="17"/>
                <w:szCs w:val="17"/>
                <w:color w:val="auto"/>
              </w:rPr>
            </w:pPr>
          </w:p>
        </w:tc>
        <w:tc>
          <w:tcPr>
            <w:tcW w:w="15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26.3</w:t>
            </w:r>
          </w:p>
        </w:tc>
        <w:tc>
          <w:tcPr>
            <w:tcW w:w="102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22.1</w:t>
            </w:r>
          </w:p>
        </w:tc>
      </w:tr>
      <w:tr>
        <w:trPr>
          <w:trHeight w:val="217"/>
        </w:trPr>
        <w:tc>
          <w:tcPr>
            <w:tcW w:w="54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5.6</w:t>
            </w:r>
          </w:p>
        </w:tc>
        <w:tc>
          <w:tcPr>
            <w:tcW w:w="10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0"/>
        </w:trPr>
        <w:tc>
          <w:tcPr>
            <w:tcW w:w="540" w:type="dxa"/>
            <w:vAlign w:val="bottom"/>
          </w:tcPr>
          <w:p>
            <w:pPr>
              <w:spacing w:after="0"/>
              <w:rPr>
                <w:sz w:val="23"/>
                <w:szCs w:val="23"/>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0.3</w:t>
            </w:r>
          </w:p>
        </w:tc>
        <w:tc>
          <w:tcPr>
            <w:tcW w:w="1020" w:type="dxa"/>
            <w:vAlign w:val="bottom"/>
          </w:tcPr>
          <w:p>
            <w:pPr>
              <w:spacing w:after="0"/>
              <w:rPr>
                <w:sz w:val="23"/>
                <w:szCs w:val="23"/>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29"/>
        </w:trPr>
        <w:tc>
          <w:tcPr>
            <w:tcW w:w="54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(16.4)</w:t>
            </w:r>
          </w:p>
        </w:tc>
        <w:tc>
          <w:tcPr>
            <w:tcW w:w="10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7"/>
        </w:trPr>
        <w:tc>
          <w:tcPr>
            <w:tcW w:w="54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0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29"/>
        </w:trPr>
        <w:tc>
          <w:tcPr>
            <w:tcW w:w="540" w:type="dxa"/>
            <w:vAlign w:val="bottom"/>
          </w:tcPr>
          <w:p>
            <w:pPr>
              <w:spacing w:after="0"/>
              <w:rPr>
                <w:sz w:val="19"/>
                <w:szCs w:val="19"/>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w:t>
            </w:r>
          </w:p>
        </w:tc>
      </w:tr>
      <w:tr>
        <w:trPr>
          <w:trHeight w:val="217"/>
        </w:trPr>
        <w:tc>
          <w:tcPr>
            <w:tcW w:w="54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29"/>
        </w:trPr>
        <w:tc>
          <w:tcPr>
            <w:tcW w:w="540" w:type="dxa"/>
            <w:vAlign w:val="bottom"/>
          </w:tcPr>
          <w:p>
            <w:pPr>
              <w:spacing w:after="0"/>
              <w:rPr>
                <w:sz w:val="19"/>
                <w:szCs w:val="19"/>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03"/>
        </w:trPr>
        <w:tc>
          <w:tcPr>
            <w:tcW w:w="540" w:type="dxa"/>
            <w:vAlign w:val="bottom"/>
          </w:tcPr>
          <w:p>
            <w:pPr>
              <w:spacing w:after="0"/>
              <w:rPr>
                <w:sz w:val="17"/>
                <w:szCs w:val="17"/>
                <w:color w:val="auto"/>
              </w:rPr>
            </w:pPr>
          </w:p>
        </w:tc>
        <w:tc>
          <w:tcPr>
            <w:tcW w:w="15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18.0</w:t>
            </w:r>
          </w:p>
        </w:tc>
        <w:tc>
          <w:tcPr>
            <w:tcW w:w="102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(0.8)</w:t>
            </w:r>
          </w:p>
        </w:tc>
      </w:tr>
      <w:tr>
        <w:trPr>
          <w:trHeight w:val="216"/>
        </w:trPr>
        <w:tc>
          <w:tcPr>
            <w:tcW w:w="54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55.0</w:t>
            </w:r>
          </w:p>
        </w:tc>
        <w:tc>
          <w:tcPr>
            <w:tcW w:w="10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48.1</w:t>
            </w:r>
          </w:p>
        </w:tc>
      </w:tr>
      <w:tr>
        <w:trPr>
          <w:trHeight w:val="203"/>
        </w:trPr>
        <w:tc>
          <w:tcPr>
            <w:tcW w:w="5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17.7</w:t>
            </w: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31.0</w:t>
            </w:r>
          </w:p>
        </w:tc>
      </w:tr>
      <w:tr>
        <w:trPr>
          <w:trHeight w:val="210"/>
        </w:trPr>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123.1</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38.9</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1500" w:type="dxa"/>
            <w:vAlign w:val="bottom"/>
          </w:tcPr>
          <w:p>
            <w:pPr>
              <w:jc w:val="right"/>
              <w:ind w:right="350"/>
              <w:spacing w:after="0" w:line="197" w:lineRule="exact"/>
              <w:rPr>
                <w:sz w:val="20"/>
                <w:szCs w:val="20"/>
                <w:color w:val="auto"/>
              </w:rPr>
            </w:pPr>
            <w:r>
              <w:rPr>
                <w:rFonts w:ascii="Arial" w:cs="Arial" w:eastAsia="Arial" w:hAnsi="Arial"/>
                <w:sz w:val="18"/>
                <w:szCs w:val="18"/>
                <w:color w:val="auto"/>
              </w:rPr>
              <w:t>19.8%</w:t>
            </w:r>
          </w:p>
        </w:tc>
        <w:tc>
          <w:tcPr>
            <w:tcW w:w="1020" w:type="dxa"/>
            <w:vAlign w:val="bottom"/>
          </w:tcPr>
          <w:p>
            <w:pPr>
              <w:spacing w:after="0"/>
              <w:rPr>
                <w:sz w:val="17"/>
                <w:szCs w:val="17"/>
                <w:color w:val="auto"/>
              </w:rPr>
            </w:pPr>
          </w:p>
        </w:tc>
        <w:tc>
          <w:tcPr>
            <w:tcW w:w="1040" w:type="dxa"/>
            <w:vAlign w:val="bottom"/>
          </w:tcPr>
          <w:p>
            <w:pPr>
              <w:jc w:val="right"/>
              <w:spacing w:after="0" w:line="197" w:lineRule="exact"/>
              <w:rPr>
                <w:sz w:val="20"/>
                <w:szCs w:val="20"/>
                <w:color w:val="auto"/>
              </w:rPr>
            </w:pPr>
            <w:r>
              <w:rPr>
                <w:rFonts w:ascii="Arial" w:cs="Arial" w:eastAsia="Arial" w:hAnsi="Arial"/>
                <w:sz w:val="18"/>
                <w:szCs w:val="18"/>
                <w:color w:val="auto"/>
              </w:rPr>
              <w:t>9.7%</w:t>
            </w:r>
          </w:p>
        </w:tc>
      </w:tr>
    </w:tbl>
    <w:p>
      <w:pPr>
        <w:spacing w:after="0" w:line="390" w:lineRule="exact"/>
        <w:rPr>
          <w:sz w:val="20"/>
          <w:szCs w:val="20"/>
          <w:color w:val="auto"/>
        </w:rPr>
      </w:pPr>
    </w:p>
    <w:p>
      <w:pPr>
        <w:sectPr>
          <w:pgSz w:w="11900" w:h="16838" w:orient="portrait"/>
          <w:cols w:equalWidth="0" w:num="2">
            <w:col w:w="6420" w:space="720"/>
            <w:col w:w="4100"/>
          </w:cols>
          <w:pgMar w:left="320" w:top="1345" w:right="339" w:bottom="1440" w:gutter="0" w:footer="0" w:header="0"/>
          <w:type w:val="continuous"/>
        </w:sectPr>
      </w:pP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jc w:val="both"/>
        <w:ind w:left="660" w:right="4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20</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23" w:name="page24"/>
    <w:bookmarkEnd w:id="23"/>
    <w:p>
      <w:pPr>
        <w:ind w:right="2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9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965"/>
                    </a:xfrm>
                    <a:prstGeom prst="rect">
                      <a:avLst/>
                    </a:prstGeom>
                    <a:noFill/>
                  </pic:spPr>
                </pic:pic>
              </a:graphicData>
            </a:graphic>
          </wp:anchor>
        </w:drawing>
        <w:t>Adjusted CASM is a non-GAAP measure derived from CASM by excluding fuel costs, costs related to our cargo operations (starting in 2020 when we launched our cargo operations), stock based compensation,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30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4965700</wp:posOffset>
            </wp:positionH>
            <wp:positionV relativeFrom="page">
              <wp:posOffset>157480</wp:posOffset>
            </wp:positionV>
            <wp:extent cx="2374265" cy="608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608965"/>
                    </a:xfrm>
                    <a:prstGeom prst="rect">
                      <a:avLst/>
                    </a:prstGeom>
                    <a:noFill/>
                  </pic:spPr>
                </pic:pic>
              </a:graphicData>
            </a:graphic>
          </wp:anchor>
        </w:drawing>
        <w:t>Reconciliation of CASM to Adjusted CASM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8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Dec 31,</w:t>
            </w:r>
          </w:p>
        </w:tc>
        <w:tc>
          <w:tcPr>
            <w:tcW w:w="170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89"/>
        </w:trPr>
        <w:tc>
          <w:tcPr>
            <w:tcW w:w="4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ind w:right="570"/>
              <w:spacing w:after="0" w:line="173" w:lineRule="exact"/>
              <w:rPr>
                <w:sz w:val="20"/>
                <w:szCs w:val="20"/>
                <w:color w:val="auto"/>
              </w:rPr>
            </w:pPr>
            <w:r>
              <w:rPr>
                <w:rFonts w:ascii="Arial" w:cs="Arial" w:eastAsia="Arial" w:hAnsi="Arial"/>
                <w:sz w:val="18"/>
                <w:szCs w:val="18"/>
                <w:b w:val="1"/>
                <w:bCs w:val="1"/>
                <w:color w:val="auto"/>
              </w:rPr>
              <w:t>Operating</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center"/>
              <w:ind w:right="50"/>
              <w:spacing w:after="0" w:line="173" w:lineRule="exact"/>
              <w:rPr>
                <w:sz w:val="20"/>
                <w:szCs w:val="20"/>
                <w:color w:val="auto"/>
              </w:rPr>
            </w:pPr>
            <w:r>
              <w:rPr>
                <w:rFonts w:ascii="Arial" w:cs="Arial" w:eastAsia="Arial" w:hAnsi="Arial"/>
                <w:sz w:val="18"/>
                <w:szCs w:val="18"/>
                <w:b w:val="1"/>
                <w:bCs w:val="1"/>
                <w:color w:val="auto"/>
              </w:rPr>
              <w:t>Operating</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ind w:right="590"/>
              <w:spacing w:after="0" w:line="202" w:lineRule="exact"/>
              <w:rPr>
                <w:sz w:val="20"/>
                <w:szCs w:val="20"/>
                <w:color w:val="auto"/>
              </w:rPr>
            </w:pPr>
            <w:r>
              <w:rPr>
                <w:rFonts w:ascii="Arial" w:cs="Arial" w:eastAsia="Arial" w:hAnsi="Arial"/>
                <w:sz w:val="18"/>
                <w:szCs w:val="18"/>
                <w:b w:val="1"/>
                <w:bCs w:val="1"/>
                <w:color w:val="auto"/>
                <w:w w:val="99"/>
              </w:rPr>
              <w:t>Expenses</w:t>
            </w:r>
          </w:p>
        </w:tc>
        <w:tc>
          <w:tcPr>
            <w:tcW w:w="13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Per ASM</w:t>
            </w:r>
          </w:p>
        </w:tc>
        <w:tc>
          <w:tcPr>
            <w:tcW w:w="40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Expenses</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Per ASM</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7"/>
              </w:rPr>
              <w:t>- mm</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(cents)</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 mm</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(cents)</w:t>
            </w:r>
          </w:p>
        </w:tc>
        <w:tc>
          <w:tcPr>
            <w:tcW w:w="0" w:type="dxa"/>
            <w:vAlign w:val="bottom"/>
          </w:tcPr>
          <w:p>
            <w:pPr>
              <w:spacing w:after="0"/>
              <w:rPr>
                <w:sz w:val="1"/>
                <w:szCs w:val="1"/>
                <w:color w:val="auto"/>
              </w:rPr>
            </w:pPr>
          </w:p>
        </w:tc>
      </w:tr>
      <w:tr>
        <w:trPr>
          <w:trHeight w:val="196"/>
        </w:trPr>
        <w:tc>
          <w:tcPr>
            <w:tcW w:w="48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1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6F4F9"/>
          </w:tcPr>
          <w:p>
            <w:pPr>
              <w:jc w:val="right"/>
              <w:ind w:right="510"/>
              <w:spacing w:after="0" w:line="196" w:lineRule="exact"/>
              <w:rPr>
                <w:sz w:val="20"/>
                <w:szCs w:val="20"/>
                <w:color w:val="auto"/>
              </w:rPr>
            </w:pPr>
            <w:r>
              <w:rPr>
                <w:rFonts w:ascii="Arial" w:cs="Arial" w:eastAsia="Arial" w:hAnsi="Arial"/>
                <w:sz w:val="18"/>
                <w:szCs w:val="18"/>
                <w:color w:val="auto"/>
              </w:rPr>
              <w:t>161.7</w:t>
            </w:r>
          </w:p>
        </w:tc>
        <w:tc>
          <w:tcPr>
            <w:tcW w:w="1320" w:type="dxa"/>
            <w:vAlign w:val="bottom"/>
            <w:shd w:val="clear" w:color="auto" w:fill="C6F4F9"/>
          </w:tcPr>
          <w:p>
            <w:pPr>
              <w:jc w:val="right"/>
              <w:ind w:right="110"/>
              <w:spacing w:after="0" w:line="196" w:lineRule="exact"/>
              <w:rPr>
                <w:sz w:val="20"/>
                <w:szCs w:val="20"/>
                <w:color w:val="auto"/>
              </w:rPr>
            </w:pPr>
            <w:r>
              <w:rPr>
                <w:rFonts w:ascii="Arial" w:cs="Arial" w:eastAsia="Arial" w:hAnsi="Arial"/>
                <w:sz w:val="18"/>
                <w:szCs w:val="18"/>
                <w:color w:val="auto"/>
              </w:rPr>
              <w:t>11.09</w:t>
            </w:r>
          </w:p>
        </w:tc>
        <w:tc>
          <w:tcPr>
            <w:tcW w:w="4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112.2</w:t>
            </w:r>
          </w:p>
        </w:tc>
        <w:tc>
          <w:tcPr>
            <w:tcW w:w="17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180" w:type="dxa"/>
            <w:vAlign w:val="bottom"/>
            <w:shd w:val="clear" w:color="auto" w:fill="C6F4F9"/>
          </w:tcPr>
          <w:p>
            <w:pPr>
              <w:spacing w:after="0"/>
              <w:rPr>
                <w:sz w:val="17"/>
                <w:szCs w:val="17"/>
                <w:color w:val="auto"/>
              </w:rPr>
            </w:pPr>
          </w:p>
        </w:tc>
        <w:tc>
          <w:tcPr>
            <w:tcW w:w="1680" w:type="dxa"/>
            <w:vAlign w:val="bottom"/>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38.5</w:t>
            </w:r>
          </w:p>
        </w:tc>
        <w:tc>
          <w:tcPr>
            <w:tcW w:w="13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2.64</w:t>
            </w:r>
          </w:p>
        </w:tc>
        <w:tc>
          <w:tcPr>
            <w:tcW w:w="400" w:type="dxa"/>
            <w:vAlign w:val="bottom"/>
            <w:shd w:val="clear" w:color="auto" w:fill="C6F4F9"/>
          </w:tcPr>
          <w:p>
            <w:pPr>
              <w:spacing w:after="0"/>
              <w:rPr>
                <w:sz w:val="17"/>
                <w:szCs w:val="17"/>
                <w:color w:val="auto"/>
              </w:rPr>
            </w:pP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14.0</w:t>
            </w:r>
          </w:p>
        </w:tc>
        <w:tc>
          <w:tcPr>
            <w:tcW w:w="17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80" w:type="dxa"/>
            <w:vAlign w:val="bottom"/>
          </w:tcPr>
          <w:p>
            <w:pPr>
              <w:spacing w:after="0"/>
              <w:rPr>
                <w:sz w:val="17"/>
                <w:szCs w:val="17"/>
                <w:color w:val="auto"/>
              </w:rPr>
            </w:pPr>
          </w:p>
        </w:tc>
        <w:tc>
          <w:tcPr>
            <w:tcW w:w="16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0.07</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48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80" w:type="dxa"/>
            <w:vAlign w:val="bottom"/>
            <w:shd w:val="clear" w:color="auto" w:fill="C6F4F9"/>
          </w:tcPr>
          <w:p>
            <w:pPr>
              <w:spacing w:after="0"/>
              <w:rPr>
                <w:sz w:val="21"/>
                <w:szCs w:val="21"/>
                <w:color w:val="auto"/>
              </w:rPr>
            </w:pPr>
          </w:p>
        </w:tc>
        <w:tc>
          <w:tcPr>
            <w:tcW w:w="1680" w:type="dxa"/>
            <w:vAlign w:val="bottom"/>
            <w:shd w:val="clear" w:color="auto" w:fill="C6F4F9"/>
          </w:tcPr>
          <w:p>
            <w:pPr>
              <w:jc w:val="right"/>
              <w:ind w:right="6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(0.2)</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48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Other adjustments</w:t>
            </w:r>
            <w:r>
              <w:rPr>
                <w:rFonts w:ascii="Arial" w:cs="Arial" w:eastAsia="Arial" w:hAnsi="Arial"/>
                <w:sz w:val="28"/>
                <w:szCs w:val="28"/>
                <w:color w:val="auto"/>
                <w:vertAlign w:val="superscript"/>
              </w:rPr>
              <w:t>(3)</w:t>
            </w:r>
          </w:p>
        </w:tc>
        <w:tc>
          <w:tcPr>
            <w:tcW w:w="180" w:type="dxa"/>
            <w:vAlign w:val="bottom"/>
            <w:shd w:val="clear" w:color="auto" w:fill="C6F4F9"/>
          </w:tcPr>
          <w:p>
            <w:pPr>
              <w:spacing w:after="0"/>
              <w:rPr>
                <w:sz w:val="21"/>
                <w:szCs w:val="21"/>
                <w:color w:val="auto"/>
              </w:rPr>
            </w:pPr>
          </w:p>
        </w:tc>
        <w:tc>
          <w:tcPr>
            <w:tcW w:w="1680" w:type="dxa"/>
            <w:vAlign w:val="bottom"/>
            <w:shd w:val="clear" w:color="auto" w:fill="C6F4F9"/>
          </w:tcPr>
          <w:p>
            <w:pPr>
              <w:jc w:val="right"/>
              <w:ind w:right="510"/>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6F4F9"/>
          </w:tcPr>
          <w:p>
            <w:pPr>
              <w:spacing w:after="0"/>
              <w:rPr>
                <w:sz w:val="21"/>
                <w:szCs w:val="21"/>
                <w:color w:val="auto"/>
              </w:rPr>
            </w:pPr>
          </w:p>
        </w:tc>
        <w:tc>
          <w:tcPr>
            <w:tcW w:w="112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180" w:type="dxa"/>
            <w:vAlign w:val="bottom"/>
          </w:tcPr>
          <w:p>
            <w:pPr>
              <w:spacing w:after="0"/>
              <w:rPr>
                <w:sz w:val="17"/>
                <w:szCs w:val="17"/>
                <w:color w:val="auto"/>
              </w:rPr>
            </w:pPr>
          </w:p>
        </w:tc>
        <w:tc>
          <w:tcPr>
            <w:tcW w:w="16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18.3</w:t>
            </w: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1.25</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840" w:type="dxa"/>
            <w:vAlign w:val="bottom"/>
            <w:shd w:val="clear" w:color="auto" w:fill="C6F4F9"/>
          </w:tcPr>
          <w:p>
            <w:pPr>
              <w:spacing w:after="0"/>
              <w:rPr>
                <w:sz w:val="20"/>
                <w:szCs w:val="20"/>
                <w:color w:val="auto"/>
              </w:rPr>
            </w:pPr>
            <w:r>
              <w:rPr>
                <w:rFonts w:ascii="Arial" w:cs="Arial" w:eastAsia="Arial" w:hAnsi="Arial"/>
                <w:sz w:val="18"/>
                <w:szCs w:val="18"/>
                <w:color w:val="auto"/>
              </w:rPr>
              <w:t>Sun Country Vacations</w:t>
            </w:r>
          </w:p>
        </w:tc>
        <w:tc>
          <w:tcPr>
            <w:tcW w:w="180" w:type="dxa"/>
            <w:vAlign w:val="bottom"/>
            <w:tcBorders>
              <w:bottom w:val="single" w:sz="8" w:color="auto"/>
            </w:tcBorders>
            <w:shd w:val="clear" w:color="auto" w:fill="C6F4F9"/>
          </w:tcPr>
          <w:p>
            <w:pPr>
              <w:spacing w:after="0"/>
              <w:rPr>
                <w:sz w:val="18"/>
                <w:szCs w:val="18"/>
                <w:color w:val="auto"/>
              </w:rPr>
            </w:pPr>
          </w:p>
        </w:tc>
        <w:tc>
          <w:tcPr>
            <w:tcW w:w="1680" w:type="dxa"/>
            <w:vAlign w:val="bottom"/>
            <w:tcBorders>
              <w:bottom w:val="single" w:sz="8" w:color="auto"/>
            </w:tcBorders>
            <w:shd w:val="clear" w:color="auto" w:fill="C6F4F9"/>
          </w:tcPr>
          <w:p>
            <w:pPr>
              <w:jc w:val="right"/>
              <w:ind w:right="510"/>
              <w:spacing w:after="0"/>
              <w:rPr>
                <w:sz w:val="20"/>
                <w:szCs w:val="20"/>
                <w:color w:val="auto"/>
              </w:rPr>
            </w:pPr>
            <w:r>
              <w:rPr>
                <w:rFonts w:ascii="Arial" w:cs="Arial" w:eastAsia="Arial" w:hAnsi="Arial"/>
                <w:sz w:val="18"/>
                <w:szCs w:val="18"/>
                <w:color w:val="auto"/>
              </w:rPr>
              <w:t>0.2</w:t>
            </w:r>
          </w:p>
        </w:tc>
        <w:tc>
          <w:tcPr>
            <w:tcW w:w="1320" w:type="dxa"/>
            <w:vAlign w:val="bottom"/>
            <w:tcBorders>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rPr>
              <w:t>0.01</w:t>
            </w:r>
          </w:p>
        </w:tc>
        <w:tc>
          <w:tcPr>
            <w:tcW w:w="400" w:type="dxa"/>
            <w:vAlign w:val="bottom"/>
            <w:tcBorders>
              <w:bottom w:val="single" w:sz="8" w:color="auto"/>
            </w:tcBorders>
            <w:shd w:val="clear" w:color="auto" w:fill="C6F4F9"/>
          </w:tcPr>
          <w:p>
            <w:pPr>
              <w:spacing w:after="0"/>
              <w:rPr>
                <w:sz w:val="18"/>
                <w:szCs w:val="18"/>
                <w:color w:val="auto"/>
              </w:rPr>
            </w:pPr>
          </w:p>
        </w:tc>
        <w:tc>
          <w:tcPr>
            <w:tcW w:w="11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0.1</w:t>
            </w:r>
          </w:p>
        </w:tc>
        <w:tc>
          <w:tcPr>
            <w:tcW w:w="17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CASM</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100.7</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83"/>
        </w:trPr>
        <w:tc>
          <w:tcPr>
            <w:tcW w:w="484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Available seat miles (ASMs) - mm</w:t>
            </w:r>
          </w:p>
        </w:tc>
        <w:tc>
          <w:tcPr>
            <w:tcW w:w="180" w:type="dxa"/>
            <w:vAlign w:val="bottom"/>
            <w:shd w:val="clear" w:color="auto" w:fill="C6F4F9"/>
          </w:tcPr>
          <w:p>
            <w:pPr>
              <w:spacing w:after="0"/>
              <w:rPr>
                <w:sz w:val="15"/>
                <w:szCs w:val="15"/>
                <w:color w:val="auto"/>
              </w:rPr>
            </w:pPr>
          </w:p>
        </w:tc>
        <w:tc>
          <w:tcPr>
            <w:tcW w:w="1680" w:type="dxa"/>
            <w:vAlign w:val="bottom"/>
            <w:shd w:val="clear" w:color="auto" w:fill="C6F4F9"/>
          </w:tcPr>
          <w:p>
            <w:pPr>
              <w:jc w:val="right"/>
              <w:ind w:right="510"/>
              <w:spacing w:after="0" w:line="183" w:lineRule="exact"/>
              <w:rPr>
                <w:sz w:val="20"/>
                <w:szCs w:val="20"/>
                <w:color w:val="auto"/>
              </w:rPr>
            </w:pPr>
            <w:r>
              <w:rPr>
                <w:rFonts w:ascii="Arial" w:cs="Arial" w:eastAsia="Arial" w:hAnsi="Arial"/>
                <w:sz w:val="18"/>
                <w:szCs w:val="18"/>
                <w:color w:val="auto"/>
              </w:rPr>
              <w:t>1,457.9</w:t>
            </w:r>
          </w:p>
        </w:tc>
        <w:tc>
          <w:tcPr>
            <w:tcW w:w="1320" w:type="dxa"/>
            <w:vAlign w:val="bottom"/>
            <w:shd w:val="clear" w:color="auto" w:fill="C6F4F9"/>
          </w:tcPr>
          <w:p>
            <w:pPr>
              <w:spacing w:after="0"/>
              <w:rPr>
                <w:sz w:val="15"/>
                <w:szCs w:val="15"/>
                <w:color w:val="auto"/>
              </w:rPr>
            </w:pPr>
          </w:p>
        </w:tc>
        <w:tc>
          <w:tcPr>
            <w:tcW w:w="400" w:type="dxa"/>
            <w:vAlign w:val="bottom"/>
            <w:shd w:val="clear" w:color="auto" w:fill="C6F4F9"/>
          </w:tcPr>
          <w:p>
            <w:pPr>
              <w:spacing w:after="0"/>
              <w:rPr>
                <w:sz w:val="15"/>
                <w:szCs w:val="15"/>
                <w:color w:val="auto"/>
              </w:rPr>
            </w:pPr>
          </w:p>
        </w:tc>
        <w:tc>
          <w:tcPr>
            <w:tcW w:w="11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1,162.0</w:t>
            </w:r>
          </w:p>
        </w:tc>
        <w:tc>
          <w:tcPr>
            <w:tcW w:w="1700" w:type="dxa"/>
            <w:vAlign w:val="bottom"/>
            <w:shd w:val="clear" w:color="auto" w:fill="C6F4F9"/>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jc w:val="both"/>
        <w:ind w:left="660" w:right="4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18" w:lineRule="exact"/>
        <w:rPr>
          <w:sz w:val="20"/>
          <w:szCs w:val="20"/>
          <w:color w:val="auto"/>
        </w:rPr>
      </w:pPr>
    </w:p>
    <w:p>
      <w:pPr>
        <w:ind w:right="5000"/>
        <w:spacing w:after="0" w:line="246" w:lineRule="auto"/>
        <w:rPr>
          <w:sz w:val="20"/>
          <w:szCs w:val="20"/>
          <w:color w:val="auto"/>
        </w:rPr>
      </w:pPr>
      <w:r>
        <w:rPr>
          <w:rFonts w:ascii="Arial" w:cs="Arial" w:eastAsia="Arial" w:hAnsi="Arial"/>
          <w:sz w:val="18"/>
          <w:szCs w:val="18"/>
          <w:b w:val="1"/>
          <w:bCs w:val="1"/>
          <w:color w:val="auto"/>
        </w:rPr>
        <w:t xml:space="preserve">amounts may not recalculate due to rounding, dollar amounts in millions </w:t>
      </w:r>
      <w:r>
        <w:rPr>
          <w:rFonts w:ascii="Arial" w:cs="Arial" w:eastAsia="Arial" w:hAnsi="Arial"/>
          <w:sz w:val="18"/>
          <w:szCs w:val="18"/>
          <w:color w:val="auto"/>
        </w:rPr>
        <w:t>The following table presents the reconciliation of CASM to Adjusted CASM.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Twelve Months Ended Dec 31,</w:t>
            </w:r>
          </w:p>
        </w:tc>
        <w:tc>
          <w:tcPr>
            <w:tcW w:w="170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89"/>
        </w:trPr>
        <w:tc>
          <w:tcPr>
            <w:tcW w:w="4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550"/>
              <w:spacing w:after="0" w:line="173" w:lineRule="exact"/>
              <w:rPr>
                <w:sz w:val="20"/>
                <w:szCs w:val="20"/>
                <w:color w:val="auto"/>
              </w:rPr>
            </w:pPr>
            <w:r>
              <w:rPr>
                <w:rFonts w:ascii="Arial" w:cs="Arial" w:eastAsia="Arial" w:hAnsi="Arial"/>
                <w:sz w:val="18"/>
                <w:szCs w:val="18"/>
                <w:b w:val="1"/>
                <w:bCs w:val="1"/>
                <w:color w:val="auto"/>
              </w:rPr>
              <w:t>Operating</w:t>
            </w: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50"/>
              <w:spacing w:after="0" w:line="173" w:lineRule="exact"/>
              <w:rPr>
                <w:sz w:val="20"/>
                <w:szCs w:val="20"/>
                <w:color w:val="auto"/>
              </w:rPr>
            </w:pPr>
            <w:r>
              <w:rPr>
                <w:rFonts w:ascii="Arial" w:cs="Arial" w:eastAsia="Arial" w:hAnsi="Arial"/>
                <w:sz w:val="18"/>
                <w:szCs w:val="18"/>
                <w:b w:val="1"/>
                <w:bCs w:val="1"/>
                <w:color w:val="auto"/>
              </w:rPr>
              <w:t>Operating</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ind w:right="570"/>
              <w:spacing w:after="0" w:line="202" w:lineRule="exact"/>
              <w:rPr>
                <w:sz w:val="20"/>
                <w:szCs w:val="20"/>
                <w:color w:val="auto"/>
              </w:rPr>
            </w:pPr>
            <w:r>
              <w:rPr>
                <w:rFonts w:ascii="Arial" w:cs="Arial" w:eastAsia="Arial" w:hAnsi="Arial"/>
                <w:sz w:val="18"/>
                <w:szCs w:val="18"/>
                <w:b w:val="1"/>
                <w:bCs w:val="1"/>
                <w:color w:val="auto"/>
                <w:w w:val="99"/>
              </w:rPr>
              <w:t>Expenses</w:t>
            </w:r>
          </w:p>
        </w:tc>
        <w:tc>
          <w:tcPr>
            <w:tcW w:w="13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Per ASM</w:t>
            </w:r>
          </w:p>
        </w:tc>
        <w:tc>
          <w:tcPr>
            <w:tcW w:w="36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Expenses</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Per ASM</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7"/>
              </w:rPr>
              <w:t>- mm</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 mm</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(cents)</w:t>
            </w:r>
          </w:p>
        </w:tc>
        <w:tc>
          <w:tcPr>
            <w:tcW w:w="0" w:type="dxa"/>
            <w:vAlign w:val="bottom"/>
          </w:tcPr>
          <w:p>
            <w:pPr>
              <w:spacing w:after="0"/>
              <w:rPr>
                <w:sz w:val="1"/>
                <w:szCs w:val="1"/>
                <w:color w:val="auto"/>
              </w:rPr>
            </w:pPr>
          </w:p>
        </w:tc>
      </w:tr>
      <w:tr>
        <w:trPr>
          <w:trHeight w:val="196"/>
        </w:trPr>
        <w:tc>
          <w:tcPr>
            <w:tcW w:w="48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1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6F4F9"/>
          </w:tcPr>
          <w:p>
            <w:pPr>
              <w:jc w:val="right"/>
              <w:ind w:right="490"/>
              <w:spacing w:after="0" w:line="196" w:lineRule="exact"/>
              <w:rPr>
                <w:sz w:val="20"/>
                <w:szCs w:val="20"/>
                <w:color w:val="auto"/>
              </w:rPr>
            </w:pPr>
            <w:r>
              <w:rPr>
                <w:rFonts w:ascii="Arial" w:cs="Arial" w:eastAsia="Arial" w:hAnsi="Arial"/>
                <w:sz w:val="18"/>
                <w:szCs w:val="18"/>
                <w:color w:val="auto"/>
              </w:rPr>
              <w:t>516.0</w:t>
            </w:r>
          </w:p>
        </w:tc>
        <w:tc>
          <w:tcPr>
            <w:tcW w:w="138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8.86</w:t>
            </w:r>
          </w:p>
        </w:tc>
        <w:tc>
          <w:tcPr>
            <w:tcW w:w="3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384.1</w:t>
            </w:r>
          </w:p>
        </w:tc>
        <w:tc>
          <w:tcPr>
            <w:tcW w:w="17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180" w:type="dxa"/>
            <w:vAlign w:val="bottom"/>
            <w:shd w:val="clear" w:color="auto" w:fill="C6F4F9"/>
          </w:tcPr>
          <w:p>
            <w:pPr>
              <w:spacing w:after="0"/>
              <w:rPr>
                <w:sz w:val="17"/>
                <w:szCs w:val="17"/>
                <w:color w:val="auto"/>
              </w:rPr>
            </w:pPr>
          </w:p>
        </w:tc>
        <w:tc>
          <w:tcPr>
            <w:tcW w:w="166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129.1</w:t>
            </w:r>
          </w:p>
        </w:tc>
        <w:tc>
          <w:tcPr>
            <w:tcW w:w="138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2.22</w:t>
            </w:r>
          </w:p>
        </w:tc>
        <w:tc>
          <w:tcPr>
            <w:tcW w:w="360" w:type="dxa"/>
            <w:vAlign w:val="bottom"/>
            <w:shd w:val="clear" w:color="auto" w:fill="C6F4F9"/>
          </w:tcPr>
          <w:p>
            <w:pPr>
              <w:spacing w:after="0"/>
              <w:rPr>
                <w:sz w:val="17"/>
                <w:szCs w:val="17"/>
                <w:color w:val="auto"/>
              </w:rPr>
            </w:pP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83.4</w:t>
            </w:r>
          </w:p>
        </w:tc>
        <w:tc>
          <w:tcPr>
            <w:tcW w:w="17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80" w:type="dxa"/>
            <w:vAlign w:val="bottom"/>
          </w:tcPr>
          <w:p>
            <w:pPr>
              <w:spacing w:after="0"/>
              <w:rPr>
                <w:sz w:val="17"/>
                <w:szCs w:val="17"/>
                <w:color w:val="auto"/>
              </w:rPr>
            </w:pPr>
          </w:p>
        </w:tc>
        <w:tc>
          <w:tcPr>
            <w:tcW w:w="16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5.6</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0.10</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48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80" w:type="dxa"/>
            <w:vAlign w:val="bottom"/>
            <w:shd w:val="clear" w:color="auto" w:fill="C6F4F9"/>
          </w:tcPr>
          <w:p>
            <w:pPr>
              <w:spacing w:after="0"/>
              <w:rPr>
                <w:sz w:val="21"/>
                <w:szCs w:val="21"/>
                <w:color w:val="auto"/>
              </w:rPr>
            </w:pPr>
          </w:p>
        </w:tc>
        <w:tc>
          <w:tcPr>
            <w:tcW w:w="1660" w:type="dxa"/>
            <w:vAlign w:val="bottom"/>
            <w:shd w:val="clear" w:color="auto" w:fill="C6F4F9"/>
          </w:tcPr>
          <w:p>
            <w:pPr>
              <w:jc w:val="right"/>
              <w:ind w:right="430"/>
              <w:spacing w:after="0"/>
              <w:rPr>
                <w:sz w:val="20"/>
                <w:szCs w:val="20"/>
                <w:color w:val="auto"/>
              </w:rPr>
            </w:pPr>
            <w:r>
              <w:rPr>
                <w:rFonts w:ascii="Arial" w:cs="Arial" w:eastAsia="Arial" w:hAnsi="Arial"/>
                <w:sz w:val="18"/>
                <w:szCs w:val="18"/>
                <w:color w:val="auto"/>
              </w:rPr>
              <w:t>(65.5)</w:t>
            </w:r>
          </w:p>
        </w:tc>
        <w:tc>
          <w:tcPr>
            <w:tcW w:w="138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(64.6)</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0.3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48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(3)</w:t>
            </w:r>
          </w:p>
        </w:tc>
        <w:tc>
          <w:tcPr>
            <w:tcW w:w="180" w:type="dxa"/>
            <w:vAlign w:val="bottom"/>
            <w:shd w:val="clear" w:color="auto" w:fill="C6F4F9"/>
          </w:tcPr>
          <w:p>
            <w:pPr>
              <w:spacing w:after="0"/>
              <w:rPr>
                <w:sz w:val="21"/>
                <w:szCs w:val="21"/>
                <w:color w:val="auto"/>
              </w:rPr>
            </w:pPr>
          </w:p>
        </w:tc>
        <w:tc>
          <w:tcPr>
            <w:tcW w:w="1660" w:type="dxa"/>
            <w:vAlign w:val="bottom"/>
            <w:shd w:val="clear" w:color="auto" w:fill="C6F4F9"/>
          </w:tcPr>
          <w:p>
            <w:pPr>
              <w:jc w:val="right"/>
              <w:ind w:right="5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17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17"/>
                <w:szCs w:val="17"/>
                <w:color w:val="auto"/>
              </w:rPr>
              <w:t>Other adjustments</w:t>
            </w:r>
            <w:r>
              <w:rPr>
                <w:rFonts w:ascii="Arial" w:cs="Arial" w:eastAsia="Arial" w:hAnsi="Arial"/>
                <w:sz w:val="28"/>
                <w:szCs w:val="28"/>
                <w:color w:val="auto"/>
                <w:vertAlign w:val="superscript"/>
              </w:rPr>
              <w:t>(4)</w:t>
            </w:r>
          </w:p>
        </w:tc>
        <w:tc>
          <w:tcPr>
            <w:tcW w:w="180" w:type="dxa"/>
            <w:vAlign w:val="bottom"/>
          </w:tcPr>
          <w:p>
            <w:pPr>
              <w:spacing w:after="0"/>
              <w:rPr>
                <w:sz w:val="21"/>
                <w:szCs w:val="21"/>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180" w:type="dxa"/>
            <w:vAlign w:val="bottom"/>
            <w:shd w:val="clear" w:color="auto" w:fill="C6F4F9"/>
          </w:tcPr>
          <w:p>
            <w:pPr>
              <w:spacing w:after="0"/>
              <w:rPr>
                <w:sz w:val="17"/>
                <w:szCs w:val="17"/>
                <w:color w:val="auto"/>
              </w:rPr>
            </w:pPr>
          </w:p>
        </w:tc>
        <w:tc>
          <w:tcPr>
            <w:tcW w:w="1660" w:type="dxa"/>
            <w:vAlign w:val="bottom"/>
            <w:shd w:val="clear" w:color="auto" w:fill="C6F4F9"/>
          </w:tcPr>
          <w:p>
            <w:pPr>
              <w:jc w:val="right"/>
              <w:ind w:right="490"/>
              <w:spacing w:after="0" w:line="202" w:lineRule="exact"/>
              <w:rPr>
                <w:sz w:val="20"/>
                <w:szCs w:val="20"/>
                <w:color w:val="auto"/>
              </w:rPr>
            </w:pPr>
            <w:r>
              <w:rPr>
                <w:rFonts w:ascii="Arial" w:cs="Arial" w:eastAsia="Arial" w:hAnsi="Arial"/>
                <w:sz w:val="18"/>
                <w:szCs w:val="18"/>
                <w:color w:val="auto"/>
              </w:rPr>
              <w:t>67.2</w:t>
            </w:r>
          </w:p>
        </w:tc>
        <w:tc>
          <w:tcPr>
            <w:tcW w:w="138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1.15</w:t>
            </w:r>
          </w:p>
        </w:tc>
        <w:tc>
          <w:tcPr>
            <w:tcW w:w="360" w:type="dxa"/>
            <w:vAlign w:val="bottom"/>
            <w:shd w:val="clear" w:color="auto" w:fill="C6F4F9"/>
          </w:tcPr>
          <w:p>
            <w:pPr>
              <w:spacing w:after="0"/>
              <w:rPr>
                <w:sz w:val="17"/>
                <w:szCs w:val="17"/>
                <w:color w:val="auto"/>
              </w:rPr>
            </w:pP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31.4</w:t>
            </w:r>
          </w:p>
        </w:tc>
        <w:tc>
          <w:tcPr>
            <w:tcW w:w="17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Sun Country Vacations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0.8</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auto"/>
              </w:rPr>
              <w:t>Adjusted CASM</w:t>
            </w:r>
          </w:p>
        </w:tc>
        <w:tc>
          <w:tcPr>
            <w:tcW w:w="18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6F4F9"/>
          </w:tcPr>
          <w:p>
            <w:pPr>
              <w:jc w:val="right"/>
              <w:ind w:right="490"/>
              <w:spacing w:after="0"/>
              <w:rPr>
                <w:sz w:val="20"/>
                <w:szCs w:val="20"/>
                <w:color w:val="auto"/>
              </w:rPr>
            </w:pPr>
            <w:r>
              <w:rPr>
                <w:rFonts w:ascii="Arial" w:cs="Arial" w:eastAsia="Arial" w:hAnsi="Arial"/>
                <w:sz w:val="18"/>
                <w:szCs w:val="18"/>
                <w:color w:val="auto"/>
              </w:rPr>
              <w:t>375.4</w:t>
            </w:r>
          </w:p>
        </w:tc>
        <w:tc>
          <w:tcPr>
            <w:tcW w:w="1380" w:type="dxa"/>
            <w:vAlign w:val="bottom"/>
            <w:tcBorders>
              <w:bottom w:val="single" w:sz="8" w:color="auto"/>
            </w:tcBorders>
            <w:shd w:val="clear" w:color="auto" w:fill="C6F4F9"/>
          </w:tcPr>
          <w:p>
            <w:pPr>
              <w:jc w:val="right"/>
              <w:ind w:right="150"/>
              <w:spacing w:after="0"/>
              <w:rPr>
                <w:sz w:val="20"/>
                <w:szCs w:val="20"/>
                <w:color w:val="auto"/>
              </w:rPr>
            </w:pPr>
            <w:r>
              <w:rPr>
                <w:rFonts w:ascii="Arial" w:cs="Arial" w:eastAsia="Arial" w:hAnsi="Arial"/>
                <w:sz w:val="18"/>
                <w:szCs w:val="18"/>
                <w:color w:val="auto"/>
              </w:rPr>
              <w:t>6.44</w:t>
            </w:r>
          </w:p>
        </w:tc>
        <w:tc>
          <w:tcPr>
            <w:tcW w:w="3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326.3</w:t>
            </w:r>
          </w:p>
        </w:tc>
        <w:tc>
          <w:tcPr>
            <w:tcW w:w="17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Available seat miles (ASMs) - mm</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490"/>
              <w:spacing w:after="0" w:line="197" w:lineRule="exact"/>
              <w:rPr>
                <w:sz w:val="20"/>
                <w:szCs w:val="20"/>
                <w:color w:val="auto"/>
              </w:rPr>
            </w:pPr>
            <w:r>
              <w:rPr>
                <w:rFonts w:ascii="Arial" w:cs="Arial" w:eastAsia="Arial" w:hAnsi="Arial"/>
                <w:sz w:val="18"/>
                <w:szCs w:val="18"/>
                <w:color w:val="auto"/>
              </w:rPr>
              <w:t>5,826.8</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197" w:lineRule="exact"/>
              <w:rPr>
                <w:sz w:val="20"/>
                <w:szCs w:val="20"/>
                <w:color w:val="auto"/>
              </w:rPr>
            </w:pPr>
            <w:r>
              <w:rPr>
                <w:rFonts w:ascii="Arial" w:cs="Arial" w:eastAsia="Arial" w:hAnsi="Arial"/>
                <w:sz w:val="18"/>
                <w:szCs w:val="18"/>
                <w:color w:val="auto"/>
              </w:rPr>
              <w:t>4,311.1</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adjustments include an adjustment to record the impact on pilot vacation pay resulting from the new pilot labor contract</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2022-02-07T16:01:10Z</dcterms:created>
  <dcterms:modified xsi:type="dcterms:W3CDTF">2022-02-07T16:01:10Z</dcterms:modified>
</cp:coreProperties>
</file>