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Zubeck Daniel Torque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Financial Officer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12,078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each of the first three anniversaries of the grant date, subject to continued employment.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Daniel Torque Zubeck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5320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2026-01-06T09:34:54Z</dcterms:created>
  <dcterms:modified xsi:type="dcterms:W3CDTF">2026-01-06T09:34:54Z</dcterms:modified>
</cp:coreProperties>
</file>