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866683105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International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3,173,836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3,173,836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3,173,836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Sun Country Airlines Holdings, Inc.</w:t>
      </w:r>
    </w:p>
    <w:p>
      <w:pPr>
        <w:spacing w:after="0" w:line="101" w:lineRule="exact"/>
        <w:rPr>
          <w:rFonts w:ascii="Arial" w:cs="Arial" w:eastAsia="Arial" w:hAnsi="Arial"/>
          <w:sz w:val="22"/>
          <w:szCs w:val="22"/>
          <w:b w:val="1"/>
          <w:bCs w:val="1"/>
          <w:color w:val="auto"/>
        </w:rPr>
      </w:pPr>
    </w:p>
    <w:p>
      <w:pPr>
        <w:ind w:left="1620" w:right="510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2005 Cargo Road, Minneapolis, MN 55450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right="678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International Investors</w:t>
      </w:r>
    </w:p>
    <w:p>
      <w:pPr>
        <w:spacing w:after="0" w:line="12" w:lineRule="exact"/>
        <w:rPr>
          <w:rFonts w:ascii="Arial" w:cs="Arial" w:eastAsia="Arial" w:hAnsi="Arial"/>
          <w:sz w:val="19"/>
          <w:szCs w:val="19"/>
          <w:b w:val="1"/>
          <w:bCs w:val="1"/>
          <w:color w:val="auto"/>
        </w:rPr>
      </w:pPr>
    </w:p>
    <w:p>
      <w:pPr>
        <w:ind w:left="1620" w:right="4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866683105</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3,173,836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5.5%</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3,173,836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3,173,836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spacing w:after="0" w:line="282" w:lineRule="auto"/>
        <w:rPr>
          <w:sz w:val="20"/>
          <w:szCs w:val="20"/>
          <w:color w:val="auto"/>
        </w:rPr>
      </w:pPr>
      <w:r>
        <w:rPr>
          <w:rFonts w:ascii="Arial" w:cs="Arial" w:eastAsia="Arial" w:hAnsi="Arial"/>
          <w:sz w:val="19"/>
          <w:szCs w:val="19"/>
          <w:color w:val="auto"/>
        </w:rPr>
        <w:t>**Capital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500"/>
        <w:spacing w:after="0" w:line="251" w:lineRule="auto"/>
        <w:rPr>
          <w:sz w:val="20"/>
          <w:szCs w:val="20"/>
          <w:color w:val="auto"/>
        </w:rPr>
      </w:pPr>
      <w:r>
        <w:rPr>
          <w:rFonts w:ascii="Arial" w:cs="Arial" w:eastAsia="Arial" w:hAnsi="Arial"/>
          <w:sz w:val="22"/>
          <w:szCs w:val="22"/>
          <w:color w:val="auto"/>
        </w:rPr>
        <w:t>"Capital International Investors." CII is deemed to be the beneficial owner of 3,173,836 shares or 5.5% of the 58,166,674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68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International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Jae Won Chung</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Jae Won Chung</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Vice President and Associate Counsel, Fund Business Management Group, Capital Research and Management Company</w:t>
      </w:r>
    </w:p>
    <w:sectPr>
      <w:pgSz w:w="11900" w:h="16838" w:orient="portrait"/>
      <w:cols w:equalWidth="0" w:num="1">
        <w:col w:w="9500"/>
      </w:cols>
      <w:pgMar w:left="1440" w:top="409"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2023-02-13T15:05:51Z</dcterms:created>
  <dcterms:modified xsi:type="dcterms:W3CDTF">2023-02-13T15:05:51Z</dcterms:modified>
</cp:coreProperties>
</file>