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339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3971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80" w:type="dxa"/>
            <w:vAlign w:val="bottom"/>
            <w:gridSpan w:val="10"/>
          </w:tcPr>
          <w:p>
            <w:pPr>
              <w:ind w:left="4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gridSpan w:val="2"/>
            <w:vMerge w:val="restart"/>
          </w:tcPr>
          <w:p>
            <w:pPr>
              <w:spacing w:after="0" w:line="238" w:lineRule="exact"/>
              <w:rPr>
                <w:rFonts w:ascii="Times New Roman" w:cs="Times New Roman" w:eastAsia="Times New Roman" w:hAnsi="Times New Roman"/>
                <w:sz w:val="21"/>
                <w:szCs w:val="21"/>
                <w:color w:val="0000EE"/>
                <w:w w:val="96"/>
              </w:rPr>
            </w:pPr>
            <w:hyperlink r:id="rId12">
              <w:r>
                <w:rPr>
                  <w:rFonts w:ascii="Times New Roman" w:cs="Times New Roman" w:eastAsia="Times New Roman" w:hAnsi="Times New Roman"/>
                  <w:sz w:val="21"/>
                  <w:szCs w:val="21"/>
                  <w:color w:val="0000EE"/>
                  <w:w w:val="96"/>
                </w:rPr>
                <w:t>Levenhagen Eric</w:t>
              </w:r>
            </w:hyperlink>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8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Sun Country Airlines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SNCY</w:t>
            </w:r>
          </w:p>
        </w:tc>
        <w:tc>
          <w:tcPr>
            <w:tcW w:w="1620" w:type="dxa"/>
            <w:vAlign w:val="bottom"/>
            <w:gridSpan w:val="5"/>
            <w:vMerge w:val="restart"/>
          </w:tcPr>
          <w:p>
            <w:pPr>
              <w:ind w:left="4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400" w:type="dxa"/>
            <w:vAlign w:val="bottom"/>
            <w:tcBorders>
              <w:bottom w:val="single" w:sz="8" w:color="0000EE"/>
            </w:tcBorders>
            <w:gridSpan w:val="2"/>
            <w:vMerge w:val="continue"/>
          </w:tcPr>
          <w:p>
            <w:pPr>
              <w:spacing w:after="0"/>
              <w:rPr>
                <w:sz w:val="4"/>
                <w:szCs w:val="4"/>
                <w:color w:val="auto"/>
              </w:rPr>
            </w:pPr>
          </w:p>
        </w:tc>
        <w:tc>
          <w:tcPr>
            <w:tcW w:w="20" w:type="dxa"/>
            <w:vAlign w:val="bottom"/>
            <w:vMerge w:val="restart"/>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gridSpan w:val="4"/>
            <w:vMerge w:val="restart"/>
          </w:tcPr>
          <w:p>
            <w:pPr>
              <w:ind w:left="260"/>
              <w:spacing w:after="0" w:line="238" w:lineRule="exact"/>
              <w:rPr>
                <w:sz w:val="20"/>
                <w:szCs w:val="20"/>
                <w:color w:val="auto"/>
              </w:rPr>
            </w:pPr>
            <w:r>
              <w:rPr>
                <w:rFonts w:ascii="Times New Roman" w:cs="Times New Roman" w:eastAsia="Times New Roman" w:hAnsi="Times New Roman"/>
                <w:sz w:val="21"/>
                <w:szCs w:val="21"/>
                <w:color w:val="auto"/>
              </w:rPr>
              <w:t>]</w:t>
            </w: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400" w:type="dxa"/>
            <w:vAlign w:val="bottom"/>
            <w:gridSpan w:val="2"/>
          </w:tcPr>
          <w:p>
            <w:pPr>
              <w:spacing w:after="0"/>
              <w:rPr>
                <w:sz w:val="3"/>
                <w:szCs w:val="3"/>
                <w:color w:val="auto"/>
              </w:rPr>
            </w:pPr>
          </w:p>
        </w:tc>
        <w:tc>
          <w:tcPr>
            <w:tcW w:w="2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gridSpan w:val="4"/>
            <w:vMerge w:val="continue"/>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1"/>
                <w:szCs w:val="11"/>
                <w:color w:val="auto"/>
              </w:rPr>
            </w:pPr>
          </w:p>
        </w:tc>
        <w:tc>
          <w:tcPr>
            <w:tcW w:w="148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9A9A9A"/>
              <w:bottom w:val="single" w:sz="8" w:color="9A9A9A"/>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tcBorders>
              <w:top w:val="single" w:sz="8" w:color="9A9A9A"/>
              <w:bottom w:val="single" w:sz="8" w:color="9A9A9A"/>
            </w:tcBorders>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540" w:type="dxa"/>
            <w:vAlign w:val="bottom"/>
            <w:tcBorders>
              <w:top w:val="single" w:sz="8" w:color="9A9A9A"/>
              <w:bottom w:val="single" w:sz="8" w:color="9A9A9A"/>
            </w:tcBorders>
            <w:vMerge w:val="restart"/>
          </w:tcPr>
          <w:p>
            <w:pPr>
              <w:spacing w:after="0"/>
              <w:rPr>
                <w:sz w:val="20"/>
                <w:szCs w:val="20"/>
                <w:color w:val="auto"/>
              </w:rPr>
            </w:pPr>
            <w:r>
              <w:rPr>
                <w:rFonts w:ascii="Arial" w:cs="Arial" w:eastAsia="Arial" w:hAnsi="Arial"/>
                <w:sz w:val="13"/>
                <w:szCs w:val="13"/>
                <w:color w:val="auto"/>
              </w:rPr>
              <w:t>(Middle)</w:t>
            </w:r>
          </w:p>
        </w:tc>
        <w:tc>
          <w:tcPr>
            <w:tcW w:w="560" w:type="dxa"/>
            <w:vAlign w:val="bottom"/>
            <w:tcBorders>
              <w:top w:val="single" w:sz="8" w:color="9A9A9A"/>
            </w:tcBorders>
          </w:tcPr>
          <w:p>
            <w:pPr>
              <w:spacing w:after="0"/>
              <w:rPr>
                <w:sz w:val="9"/>
                <w:szCs w:val="9"/>
                <w:color w:val="auto"/>
              </w:rPr>
            </w:pPr>
          </w:p>
        </w:tc>
        <w:tc>
          <w:tcPr>
            <w:tcW w:w="100" w:type="dxa"/>
            <w:vAlign w:val="bottom"/>
            <w:tcBorders>
              <w:top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860" w:type="dxa"/>
            <w:vAlign w:val="bottom"/>
            <w:gridSpan w:val="3"/>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860" w:type="dxa"/>
            <w:vAlign w:val="bottom"/>
            <w:gridSpan w:val="3"/>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Times New Roman" w:cs="Times New Roman" w:eastAsia="Times New Roman" w:hAnsi="Times New Roman"/>
                <w:sz w:val="17"/>
                <w:szCs w:val="17"/>
                <w:color w:val="0000FF"/>
              </w:rPr>
              <w:t>Chief Human Resources Office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gridSpan w:val="5"/>
            <w:vMerge w:val="continue"/>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160" w:type="dxa"/>
            <w:vAlign w:val="bottom"/>
            <w:gridSpan w:val="13"/>
            <w:vMerge w:val="restart"/>
          </w:tcPr>
          <w:p>
            <w:pPr>
              <w:ind w:left="20"/>
              <w:spacing w:after="0"/>
              <w:rPr>
                <w:sz w:val="20"/>
                <w:szCs w:val="20"/>
                <w:color w:val="auto"/>
              </w:rPr>
            </w:pPr>
            <w:r>
              <w:rPr>
                <w:rFonts w:ascii="Times New Roman" w:cs="Times New Roman" w:eastAsia="Times New Roman" w:hAnsi="Times New Roman"/>
                <w:sz w:val="17"/>
                <w:szCs w:val="17"/>
                <w:color w:val="0000FF"/>
              </w:rPr>
              <w:t>C/O SUN COUNTRY AIRLINES HOLDINGS, INC.  11/02/2022</w:t>
            </w: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60" w:type="dxa"/>
            <w:vAlign w:val="bottom"/>
            <w:gridSpan w:val="13"/>
            <w:vMerge w:val="continue"/>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6"/>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4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3380" w:type="dxa"/>
            <w:vAlign w:val="bottom"/>
            <w:gridSpan w:val="10"/>
            <w:vMerge w:val="restart"/>
          </w:tcPr>
          <w:p>
            <w:pPr>
              <w:ind w:left="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440" w:type="dxa"/>
            <w:vAlign w:val="bottom"/>
            <w:gridSpan w:val="7"/>
            <w:vMerge w:val="continue"/>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338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3"/>
          </w:tcPr>
          <w:p>
            <w:pPr>
              <w:ind w:left="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55450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40" w:type="dxa"/>
            <w:vAlign w:val="bottom"/>
            <w:gridSpan w:val="7"/>
          </w:tcPr>
          <w:p>
            <w:pPr>
              <w:ind w:left="12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54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98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gridSpan w:val="3"/>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9"/>
          </w:tcPr>
          <w:p>
            <w:pPr>
              <w:jc w:val="center"/>
              <w:ind w:left="652"/>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4"/>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4"/>
                <w:szCs w:val="14"/>
                <w:color w:val="auto"/>
              </w:rPr>
            </w:pPr>
          </w:p>
        </w:tc>
        <w:tc>
          <w:tcPr>
            <w:tcW w:w="1140" w:type="dxa"/>
            <w:vAlign w:val="bottom"/>
            <w:gridSpan w:val="5"/>
          </w:tcPr>
          <w:p>
            <w:pPr>
              <w:ind w:left="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5"/>
          </w:tcPr>
          <w:p>
            <w:pPr>
              <w:ind w:left="60"/>
              <w:spacing w:after="0"/>
              <w:rPr>
                <w:sz w:val="20"/>
                <w:szCs w:val="20"/>
                <w:color w:val="auto"/>
              </w:rPr>
            </w:pPr>
            <w:r>
              <w:rPr>
                <w:rFonts w:ascii="Arial" w:cs="Arial" w:eastAsia="Arial" w:hAnsi="Arial"/>
                <w:sz w:val="12"/>
                <w:szCs w:val="12"/>
                <w:b w:val="1"/>
                <w:bCs w:val="1"/>
                <w:color w:val="auto"/>
                <w:w w:val="97"/>
              </w:rPr>
              <w:t>4. Securities Acquired (A) or</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5"/>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95"/>
              </w:rPr>
              <w:t>Price</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4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w w:val="98"/>
              </w:rPr>
              <w:t>11/02/2022</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14,398</w:t>
            </w:r>
          </w:p>
        </w:tc>
        <w:tc>
          <w:tcPr>
            <w:tcW w:w="140" w:type="dxa"/>
            <w:vAlign w:val="bottom"/>
          </w:tcPr>
          <w:p>
            <w:pPr>
              <w:spacing w:after="0"/>
              <w:rPr>
                <w:sz w:val="22"/>
                <w:szCs w:val="22"/>
                <w:color w:val="auto"/>
              </w:rPr>
            </w:pPr>
          </w:p>
        </w:tc>
        <w:tc>
          <w:tcPr>
            <w:tcW w:w="460" w:type="dxa"/>
            <w:vAlign w:val="bottom"/>
          </w:tcPr>
          <w:p>
            <w:pPr>
              <w:jc w:val="center"/>
              <w:ind w:right="28"/>
              <w:spacing w:after="0"/>
              <w:rPr>
                <w:sz w:val="20"/>
                <w:szCs w:val="20"/>
                <w:color w:val="auto"/>
              </w:rPr>
            </w:pPr>
            <w:r>
              <w:rPr>
                <w:rFonts w:ascii="Times New Roman" w:cs="Times New Roman" w:eastAsia="Times New Roman" w:hAnsi="Times New Roman"/>
                <w:sz w:val="17"/>
                <w:szCs w:val="17"/>
                <w:color w:val="0000FF"/>
                <w:w w:val="97"/>
              </w:rPr>
              <w:t>A</w:t>
            </w:r>
          </w:p>
        </w:tc>
        <w:tc>
          <w:tcPr>
            <w:tcW w:w="580" w:type="dxa"/>
            <w:vAlign w:val="bottom"/>
            <w:gridSpan w:val="3"/>
          </w:tcPr>
          <w:p>
            <w:pPr>
              <w:jc w:val="center"/>
              <w:ind w:left="92"/>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18,484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7"/>
                <w:szCs w:val="17"/>
                <w:color w:val="0000FF"/>
                <w:w w:val="98"/>
              </w:rPr>
              <w:t>11/02/2022</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13,053</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19.006</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5,431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5"/>
          </w:tcPr>
          <w:p>
            <w:pPr>
              <w:jc w:val="center"/>
              <w:spacing w:after="0"/>
              <w:rPr>
                <w:sz w:val="20"/>
                <w:szCs w:val="20"/>
                <w:color w:val="auto"/>
              </w:rPr>
            </w:pPr>
            <w:r>
              <w:rPr>
                <w:rFonts w:ascii="Times New Roman" w:cs="Times New Roman" w:eastAsia="Times New Roman" w:hAnsi="Times New Roman"/>
                <w:sz w:val="17"/>
                <w:szCs w:val="17"/>
                <w:color w:val="0000FF"/>
                <w:w w:val="98"/>
              </w:rPr>
              <w:t>11/02/2022</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1,345</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19.616</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4,086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9"/>
          </w:tcPr>
          <w:p>
            <w:pPr>
              <w:jc w:val="center"/>
              <w:ind w:left="75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5"/>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spacing w:after="0"/>
              <w:rPr>
                <w:sz w:val="12"/>
                <w:szCs w:val="12"/>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14,398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82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20" w:type="dxa"/>
            <w:vAlign w:val="bottom"/>
          </w:tcPr>
          <w:p>
            <w:pPr>
              <w:spacing w:after="0"/>
              <w:rPr>
                <w:sz w:val="11"/>
                <w:szCs w:val="11"/>
                <w:color w:val="auto"/>
              </w:rPr>
            </w:pPr>
          </w:p>
        </w:tc>
        <w:tc>
          <w:tcPr>
            <w:tcW w:w="1020" w:type="dxa"/>
            <w:vAlign w:val="bottom"/>
          </w:tcPr>
          <w:p>
            <w:pPr>
              <w:jc w:val="right"/>
              <w:ind w:right="172"/>
              <w:spacing w:after="0" w:line="129" w:lineRule="exact"/>
              <w:rPr>
                <w:sz w:val="20"/>
                <w:szCs w:val="20"/>
                <w:color w:val="auto"/>
              </w:rPr>
            </w:pPr>
            <w:r>
              <w:rPr>
                <w:rFonts w:ascii="Times New Roman" w:cs="Times New Roman" w:eastAsia="Times New Roman" w:hAnsi="Times New Roman"/>
                <w:sz w:val="13"/>
                <w:szCs w:val="13"/>
                <w:color w:val="0000FF"/>
              </w:rPr>
              <w:t>11/02/2022</w:t>
            </w: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82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14,398</w:t>
            </w:r>
          </w:p>
        </w:tc>
        <w:tc>
          <w:tcPr>
            <w:tcW w:w="780" w:type="dxa"/>
            <w:vAlign w:val="bottom"/>
            <w:vMerge w:val="continue"/>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11/21/2028</w:t>
            </w:r>
          </w:p>
        </w:tc>
        <w:tc>
          <w:tcPr>
            <w:tcW w:w="600" w:type="dxa"/>
            <w:vAlign w:val="bottom"/>
            <w:gridSpan w:val="2"/>
            <w:vMerge w:val="continue"/>
          </w:tcPr>
          <w:p>
            <w:pPr>
              <w:spacing w:after="0"/>
              <w:rPr>
                <w:sz w:val="11"/>
                <w:szCs w:val="11"/>
                <w:color w:val="auto"/>
              </w:rPr>
            </w:pPr>
          </w:p>
        </w:tc>
        <w:tc>
          <w:tcPr>
            <w:tcW w:w="5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475</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w:t>
      </w:r>
    </w:p>
    <w:p>
      <w:pPr>
        <w:spacing w:after="0" w:line="43"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$18.50 to $19.49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40" w:right="3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$19.50 to $20.00,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26"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7, 2018, the reporting person was granted an option to purchase shares of common stock. The option vests in six installments based on Sun Country's satisfaction of certain performance criteria. The performance criteria for the second installment were met resulting in partial vesting of the option on September 19, 2022.</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Rose Neale, as attorney-in-</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11/04/2022</w:t>
            </w:r>
          </w:p>
        </w:tc>
        <w:tc>
          <w:tcPr>
            <w:tcW w:w="0" w:type="dxa"/>
            <w:vAlign w:val="bottom"/>
          </w:tcPr>
          <w:p>
            <w:pPr>
              <w:spacing w:after="0"/>
              <w:rPr>
                <w:sz w:val="1"/>
                <w:szCs w:val="1"/>
                <w:color w:val="auto"/>
              </w:rPr>
            </w:pPr>
          </w:p>
        </w:tc>
      </w:tr>
      <w:tr>
        <w:trPr>
          <w:trHeight w:val="88"/>
        </w:trPr>
        <w:tc>
          <w:tcPr>
            <w:tcW w:w="190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fact for Eric M. Levenhagen</w:t>
            </w:r>
          </w:p>
        </w:tc>
        <w:tc>
          <w:tcPr>
            <w:tcW w:w="3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0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68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2022-11-04T17:35:27Z</dcterms:created>
  <dcterms:modified xsi:type="dcterms:W3CDTF">2022-11-04T17:35:27Z</dcterms:modified>
</cp:coreProperties>
</file>