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2500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37100.00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10/02/2023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10/02/2023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07/03/2023 443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9932.08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07/05/2023 998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22138.46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09/26/2023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36250.00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2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10/02/2023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3400" w:space="720"/>
            <w:col w:w="71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640" w:type="dxa"/>
            <w:vAlign w:val="bottom"/>
          </w:tcPr>
          <w:p>
            <w:pPr>
              <w:ind w:left="162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8640" w:type="dxa"/>
            <w:vAlign w:val="bottom"/>
            <w:vMerge w:val="restart"/>
          </w:tcPr>
          <w:p>
            <w:pPr>
              <w:ind w:left="1620"/>
              <w:spacing w:after="0"/>
              <w:rPr>
                <w:sz w:val="20"/>
                <w:szCs w:val="20"/>
                <w:color w:val="auto"/>
              </w:rPr>
            </w:pPr>
            <w:r>
              <w:rPr>
                <w:rFonts w:ascii="Arial" w:cs="Arial" w:eastAsia="Arial" w:hAnsi="Arial"/>
                <w:sz w:val="22"/>
                <w:szCs w:val="22"/>
                <w:color w:val="auto"/>
              </w:rPr>
              <w:t>LLC, as attorney-in-fact for William F Trousdale</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2023-10-02T09:43:33Z</dcterms:created>
  <dcterms:modified xsi:type="dcterms:W3CDTF">2023-10-02T09:43:33Z</dcterms:modified>
</cp:coreProperties>
</file>