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17,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Anuja A. Majmudar</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Acceleration Request for 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333-256201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Rule 461 under the Securities Act of 1933, as amended, we, as representatives of the several underwriters, hereby join in the request of Sun Country Airlines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cause the above-referenced Registration Statement on Form S-1 to become effective on May 19, 2021, at 4:00 p.m., Eastern Time, or as soon thereafter as is practicable or at such later time as the Registrant or its outside counsel, Paul, Weiss, Rifkind, Wharton &amp; Garrison LLP may orally request via telephone call to the staff of the Commission.</w:t>
      </w:r>
    </w:p>
    <w:p>
      <w:pPr>
        <w:spacing w:after="0" w:line="18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there will be distributed to each underwriter or dealer, who is reasonably anticipated to participate in the distribution of securities, as many copies of the preliminary prospectus as appears to be reasonable to secure adequate distribution of the preliminary prospectus.</w:t>
      </w:r>
    </w:p>
    <w:p>
      <w:pPr>
        <w:spacing w:after="0" w:line="18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the undersigned, as representatives of the several underwriters, will comply with the requirements of Rule 15c2-8 under the Securities Exchange Act of 1934, as amended.</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CAPITAL INC.</w:t>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right"/>
        <w:ind w:right="1819"/>
        <w:spacing w:after="0"/>
        <w:rPr>
          <w:sz w:val="20"/>
          <w:szCs w:val="20"/>
          <w:color w:val="auto"/>
        </w:rPr>
      </w:pPr>
      <w:r>
        <w:rPr>
          <w:rFonts w:ascii="Arial" w:cs="Arial" w:eastAsia="Arial" w:hAnsi="Arial"/>
          <w:sz w:val="18"/>
          <w:szCs w:val="18"/>
          <w:b w:val="1"/>
          <w:bCs w:val="1"/>
          <w:color w:val="auto"/>
        </w:rPr>
        <w:t>MORGAN STANLEY &amp; CO. LLC</w:t>
      </w: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Ashraf Saheb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Ashraf Saheb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Acceleration Request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2021-06-17T23:06:23Z</dcterms:created>
  <dcterms:modified xsi:type="dcterms:W3CDTF">2021-06-17T23:06:23Z</dcterms:modified>
</cp:coreProperties>
</file>