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 10-Q</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September 30, 2023</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Or</w:t>
      </w:r>
    </w:p>
    <w:tbl>
      <w:tblPr>
        <w:tblW w:w="9626" w:type="dxa"/>
        <w:jc w:val="left"/>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Commission File Number 001-40217</w:t>
      </w:r>
    </w:p>
    <w:p>
      <w:pPr>
        <w:pStyle w:val="TextBody"/>
        <w:bidi w:val="0"/>
        <w:spacing w:before="120" w:after="283"/>
        <w:jc w:val="center"/>
        <w:rPr/>
      </w:pPr>
      <w:r>
        <w:rPr/>
        <w:drawing>
          <wp:inline distT="0" distB="0" distL="0" distR="0">
            <wp:extent cx="31432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2862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Sun Country Airlines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6990" w:type="dxa"/>
        <w:jc w:val="left"/>
        <w:tblInd w:w="0" w:type="dxa"/>
        <w:tblLayout w:type="fixed"/>
        <w:tblCellMar>
          <w:top w:w="28" w:type="dxa"/>
          <w:left w:w="28" w:type="dxa"/>
          <w:bottom w:w="28" w:type="dxa"/>
          <w:right w:w="28" w:type="dxa"/>
        </w:tblCellMar>
      </w:tblPr>
      <w:tblGrid>
        <w:gridCol w:w="1570"/>
        <w:gridCol w:w="1378"/>
        <w:gridCol w:w="1387"/>
        <w:gridCol w:w="773"/>
        <w:gridCol w:w="773"/>
        <w:gridCol w:w="1109"/>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82-4092570</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2005 Cargo Road</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Minneapolis, Minnesota</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55450</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 (651) 681-3900</w:t>
            </w:r>
          </w:p>
        </w:tc>
      </w:tr>
      <w:tr>
        <w:trPr/>
        <w:tc>
          <w:tcPr>
            <w:tcW w:w="6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162"/>
        <w:gridCol w:w="1017"/>
        <w:gridCol w:w="1030"/>
        <w:gridCol w:w="109"/>
        <w:gridCol w:w="109"/>
        <w:gridCol w:w="109"/>
        <w:gridCol w:w="414"/>
        <w:gridCol w:w="414"/>
        <w:gridCol w:w="416"/>
        <w:gridCol w:w="109"/>
        <w:gridCol w:w="109"/>
        <w:gridCol w:w="109"/>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925"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749"/>
        <w:gridCol w:w="749"/>
        <w:gridCol w:w="752"/>
        <w:gridCol w:w="672"/>
        <w:gridCol w:w="672"/>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Large accelerated Filer </w:t>
            </w:r>
            <w:r>
              <w:rPr>
                <w:color w:val="000000"/>
              </w:rPr>
              <w:t>☐</w:t>
            </w:r>
          </w:p>
        </w:tc>
        <w:tc>
          <w:tcPr>
            <w:tcW w:w="225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Non-accelerated Filer </w:t>
            </w: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16"/>
              </w:rPr>
            </w:pPr>
            <w:r>
              <w:rPr>
                <w:rFonts w:ascii="Arial;sans-serif" w:hAnsi="Arial;sans-serif"/>
                <w:b w:val="false"/>
                <w:color w:val="000000"/>
                <w:sz w:val="16"/>
              </w:rPr>
              <w:t>Smaller reporting company ☐</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16"/>
              </w:rPr>
            </w:pPr>
            <w:r>
              <w:rPr>
                <w:rFonts w:ascii="Arial;sans-serif" w:hAnsi="Arial;sans-serif"/>
                <w:b w:val="false"/>
                <w:color w:val="000000"/>
                <w:sz w:val="16"/>
              </w:rPr>
              <w:t>Emerging growth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bidi w:val="0"/>
        <w:spacing w:lineRule="auto" w:line="288" w:before="0" w:after="0"/>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Number of shares outstanding by each class of common stock, as of September 30, 2023:</w:t>
      </w:r>
    </w:p>
    <w:p>
      <w:pPr>
        <w:pStyle w:val="TextBody"/>
        <w:bidi w:val="0"/>
        <w:spacing w:lineRule="auto" w:line="288" w:before="0" w:after="0"/>
        <w:jc w:val="center"/>
        <w:rPr/>
      </w:pPr>
      <w:r>
        <w:rPr>
          <w:rFonts w:ascii="Arial;sans-serif" w:hAnsi="Arial;sans-serif"/>
          <w:b w:val="false"/>
          <w:color w:val="000000"/>
          <w:sz w:val="16"/>
        </w:rPr>
        <w:t>Common Stock, $0.01 par value –</w:t>
      </w:r>
      <w:r>
        <w:rPr>
          <w:color w:val="000000"/>
          <w:shd w:fill="FFFFFF" w:val="clear"/>
        </w:rPr>
        <w:t xml:space="preserve"> </w:t>
      </w:r>
      <w:r>
        <w:rPr>
          <w:rFonts w:ascii="Arial;sans-serif" w:hAnsi="Arial;sans-serif"/>
          <w:b w:val="false"/>
          <w:color w:val="000000"/>
          <w:sz w:val="16"/>
          <w:shd w:fill="FFFFFF" w:val="clear"/>
        </w:rPr>
        <w:t>54,133,851 shares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133" w:type="dxa"/>
        <w:jc w:val="left"/>
        <w:tblInd w:w="0" w:type="dxa"/>
        <w:tblLayout w:type="fixed"/>
        <w:tblCellMar>
          <w:top w:w="28" w:type="dxa"/>
          <w:left w:w="28" w:type="dxa"/>
          <w:bottom w:w="28" w:type="dxa"/>
          <w:right w:w="28" w:type="dxa"/>
        </w:tblCellMar>
      </w:tblPr>
      <w:tblGrid>
        <w:gridCol w:w="1576"/>
        <w:gridCol w:w="1386"/>
        <w:gridCol w:w="1386"/>
        <w:gridCol w:w="1386"/>
        <w:gridCol w:w="1386"/>
        <w:gridCol w:w="1412"/>
        <w:gridCol w:w="176"/>
        <w:gridCol w:w="176"/>
        <w:gridCol w:w="249"/>
      </w:tblGrid>
      <w:tr>
        <w:trPr/>
        <w:tc>
          <w:tcPr>
            <w:tcW w:w="15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0">
              <w:r>
                <w:rPr>
                  <w:rStyle w:val="InternetLink"/>
                  <w:rFonts w:ascii="Arial;sans-serif" w:hAnsi="Arial;sans-serif"/>
                  <w:b/>
                  <w:color w:val="0000FF"/>
                  <w:sz w:val="20"/>
                  <w:u w:val="single"/>
                </w:rPr>
                <w:t>Part I. Financial Information</w:t>
              </w:r>
            </w:hyperlink>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3">
              <w:r>
                <w:rPr>
                  <w:rStyle w:val="InternetLink"/>
                  <w:rFonts w:ascii="Arial;sans-serif" w:hAnsi="Arial;sans-serif"/>
                  <w:b w:val="false"/>
                  <w:color w:val="0000FF"/>
                  <w:sz w:val="20"/>
                  <w:u w:val="single"/>
                </w:rPr>
                <w:t>Item 1. 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6">
              <w:r>
                <w:rPr>
                  <w:rStyle w:val="InternetLink"/>
                  <w:rFonts w:ascii="Arial;sans-serif" w:hAnsi="Arial;sans-serif"/>
                  <w:b w:val="false"/>
                  <w:color w:val="0000FF"/>
                  <w:sz w:val="20"/>
                  <w:u w:val="single"/>
                </w:rPr>
                <w:t>Condensed 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6">
              <w:r>
                <w:rPr>
                  <w:rStyle w:val="InternetLink"/>
                  <w:rFonts w:ascii="Arial;sans-serif" w:hAnsi="Arial;sans-serif"/>
                  <w:b w:val="false"/>
                  <w:strike w:val="false"/>
                  <w:dstrike w:val="false"/>
                  <w:color w:val="000000"/>
                  <w:sz w:val="20"/>
                  <w:u w:val="none"/>
                  <w:effect w:val="none"/>
                </w:rPr>
                <w:t>3</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9">
              <w:r>
                <w:rPr>
                  <w:rStyle w:val="InternetLink"/>
                  <w:rFonts w:ascii="Arial;sans-serif" w:hAnsi="Arial;sans-serif"/>
                  <w:b w:val="false"/>
                  <w:color w:val="0000FF"/>
                  <w:sz w:val="20"/>
                  <w:u w:val="single"/>
                </w:rPr>
                <w:t>Condensed 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9">
              <w:r>
                <w:rPr>
                  <w:rStyle w:val="InternetLink"/>
                  <w:rFonts w:ascii="Arial;sans-serif" w:hAnsi="Arial;sans-serif"/>
                  <w:b w:val="false"/>
                  <w:strike w:val="false"/>
                  <w:dstrike w:val="false"/>
                  <w:color w:val="000000"/>
                  <w:sz w:val="20"/>
                  <w:u w:val="none"/>
                  <w:effect w:val="none"/>
                </w:rPr>
                <w:t>5</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22">
              <w:r>
                <w:rPr>
                  <w:rStyle w:val="InternetLink"/>
                  <w:rFonts w:ascii="Arial;sans-serif" w:hAnsi="Arial;sans-serif"/>
                  <w:b w:val="false"/>
                  <w:color w:val="0000FF"/>
                  <w:sz w:val="20"/>
                  <w:u w:val="single"/>
                </w:rPr>
                <w:t>Condensed Consolidated Statements of Comprehensive Income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22">
              <w:r>
                <w:rPr>
                  <w:rStyle w:val="InternetLink"/>
                  <w:rFonts w:ascii="Arial;sans-serif" w:hAnsi="Arial;sans-serif"/>
                  <w:b w:val="false"/>
                  <w:strike w:val="false"/>
                  <w:dstrike w:val="false"/>
                  <w:color w:val="000000"/>
                  <w:sz w:val="20"/>
                  <w:u w:val="none"/>
                  <w:effect w:val="none"/>
                </w:rPr>
                <w:t>6</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25">
              <w:r>
                <w:rPr>
                  <w:rStyle w:val="InternetLink"/>
                  <w:rFonts w:ascii="Arial;sans-serif" w:hAnsi="Arial;sans-serif"/>
                  <w:b w:val="false"/>
                  <w:color w:val="0000FF"/>
                  <w:sz w:val="20"/>
                  <w:u w:val="single"/>
                </w:rPr>
                <w:t>Condensed Consolidated Statements of Changes in 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25">
              <w:r>
                <w:rPr>
                  <w:rStyle w:val="InternetLink"/>
                  <w:rFonts w:ascii="Arial;sans-serif" w:hAnsi="Arial;sans-serif"/>
                  <w:b w:val="false"/>
                  <w:strike w:val="false"/>
                  <w:dstrike w:val="false"/>
                  <w:color w:val="000000"/>
                  <w:sz w:val="20"/>
                  <w:u w:val="none"/>
                  <w:effect w:val="none"/>
                </w:rPr>
                <w:t>7</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28">
              <w:r>
                <w:rPr>
                  <w:rStyle w:val="InternetLink"/>
                  <w:rFonts w:ascii="Arial;sans-serif" w:hAnsi="Arial;sans-serif"/>
                  <w:b w:val="false"/>
                  <w:color w:val="0000FF"/>
                  <w:sz w:val="20"/>
                  <w:u w:val="single"/>
                </w:rPr>
                <w:t>Condensed 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28">
              <w:r>
                <w:rPr>
                  <w:rStyle w:val="InternetLink"/>
                  <w:rFonts w:ascii="Arial;sans-serif" w:hAnsi="Arial;sans-serif"/>
                  <w:b w:val="false"/>
                  <w:strike w:val="false"/>
                  <w:dstrike w:val="false"/>
                  <w:color w:val="000000"/>
                  <w:sz w:val="20"/>
                  <w:u w:val="none"/>
                  <w:effect w:val="none"/>
                </w:rPr>
                <w:t>8</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31">
              <w:r>
                <w:rPr>
                  <w:rStyle w:val="InternetLink"/>
                  <w:rFonts w:ascii="Arial;sans-serif" w:hAnsi="Arial;sans-serif"/>
                  <w:b w:val="false"/>
                  <w:color w:val="0000FF"/>
                  <w:sz w:val="20"/>
                  <w:u w:val="single"/>
                </w:rPr>
                <w:t>Notes to the Condensed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64cbdc8b05452aaf9855cd612d84bf_34">
              <w:r>
                <w:rPr>
                  <w:rStyle w:val="InternetLink"/>
                  <w:rFonts w:ascii="Arial;sans-serif" w:hAnsi="Arial;sans-serif"/>
                  <w:b w:val="false"/>
                  <w:color w:val="0000FF"/>
                  <w:sz w:val="20"/>
                  <w:u w:val="single"/>
                </w:rPr>
                <w:t>1</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34">
              <w:r>
                <w:rPr>
                  <w:rStyle w:val="InternetLink"/>
                  <w:rFonts w:ascii="Arial;sans-serif" w:hAnsi="Arial;sans-serif"/>
                  <w:b w:val="false"/>
                  <w:color w:val="0000FF"/>
                  <w:sz w:val="20"/>
                  <w:u w:val="single"/>
                </w:rPr>
                <w:t>Basis of Presentation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34">
              <w:r>
                <w:rPr>
                  <w:rStyle w:val="InternetLink"/>
                  <w:rFonts w:ascii="Arial;sans-serif" w:hAnsi="Arial;sans-serif"/>
                  <w:b w:val="false"/>
                  <w:strike w:val="false"/>
                  <w:dstrike w:val="false"/>
                  <w:color w:val="000000"/>
                  <w:sz w:val="20"/>
                  <w:u w:val="none"/>
                  <w:effect w:val="none"/>
                </w:rPr>
                <w:t>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37">
              <w:r>
                <w:rPr>
                  <w:rStyle w:val="InternetLink"/>
                  <w:rFonts w:ascii="Arial;sans-serif" w:hAnsi="Arial;sans-serif"/>
                  <w:b w:val="false"/>
                  <w:color w:val="0000FF"/>
                  <w:sz w:val="20"/>
                  <w:u w:val="single"/>
                </w:rPr>
                <w:t>2</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37">
              <w:r>
                <w:rPr>
                  <w:rStyle w:val="InternetLink"/>
                  <w:rFonts w:ascii="Arial;sans-serif" w:hAnsi="Arial;sans-serif"/>
                  <w:b w:val="false"/>
                  <w:color w:val="0000FF"/>
                  <w:sz w:val="20"/>
                  <w:u w:val="single"/>
                </w:rPr>
                <w:t>Revenue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37">
              <w:r>
                <w:rPr>
                  <w:rStyle w:val="InternetLink"/>
                  <w:rFonts w:ascii="Arial;sans-serif" w:hAnsi="Arial;sans-serif"/>
                  <w:b w:val="false"/>
                  <w:strike w:val="false"/>
                  <w:dstrike w:val="false"/>
                  <w:color w:val="000000"/>
                  <w:sz w:val="20"/>
                  <w:u w:val="none"/>
                  <w:effect w:val="none"/>
                </w:rPr>
                <w:t>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40">
              <w:r>
                <w:rPr>
                  <w:rStyle w:val="InternetLink"/>
                  <w:rFonts w:ascii="Arial;sans-serif" w:hAnsi="Arial;sans-serif"/>
                  <w:b w:val="false"/>
                  <w:color w:val="0000FF"/>
                  <w:sz w:val="20"/>
                  <w:u w:val="single"/>
                </w:rPr>
                <w:t>3</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40">
              <w:r>
                <w:rPr>
                  <w:rStyle w:val="InternetLink"/>
                  <w:rFonts w:ascii="Arial;sans-serif" w:hAnsi="Arial;sans-serif"/>
                  <w:b w:val="false"/>
                  <w:color w:val="0000FF"/>
                  <w:sz w:val="20"/>
                  <w:u w:val="single"/>
                </w:rPr>
                <w:t>Earnings per Share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40">
              <w:r>
                <w:rPr>
                  <w:rStyle w:val="InternetLink"/>
                  <w:rFonts w:ascii="Arial;sans-serif" w:hAnsi="Arial;sans-serif"/>
                  <w:b w:val="false"/>
                  <w:strike w:val="false"/>
                  <w:dstrike w:val="false"/>
                  <w:color w:val="000000"/>
                  <w:sz w:val="20"/>
                  <w:u w:val="none"/>
                  <w:effect w:val="none"/>
                </w:rPr>
                <w:t>12</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43">
              <w:r>
                <w:rPr>
                  <w:rStyle w:val="InternetLink"/>
                  <w:rFonts w:ascii="Arial;sans-serif" w:hAnsi="Arial;sans-serif"/>
                  <w:b w:val="false"/>
                  <w:color w:val="0000FF"/>
                  <w:sz w:val="20"/>
                  <w:u w:val="single"/>
                </w:rPr>
                <w:t>4</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43">
              <w:r>
                <w:rPr>
                  <w:rStyle w:val="InternetLink"/>
                  <w:rFonts w:ascii="Arial;sans-serif" w:hAnsi="Arial;sans-serif"/>
                  <w:b w:val="false"/>
                  <w:color w:val="0000FF"/>
                  <w:sz w:val="20"/>
                  <w:u w:val="single"/>
                </w:rPr>
                <w:t>Aircraft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43">
              <w:r>
                <w:rPr>
                  <w:rStyle w:val="InternetLink"/>
                  <w:rFonts w:ascii="Arial;sans-serif" w:hAnsi="Arial;sans-serif"/>
                  <w:b w:val="false"/>
                  <w:strike w:val="false"/>
                  <w:dstrike w:val="false"/>
                  <w:color w:val="000000"/>
                  <w:sz w:val="20"/>
                  <w:u w:val="none"/>
                  <w:effect w:val="none"/>
                </w:rPr>
                <w:t>13</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46">
              <w:r>
                <w:rPr>
                  <w:rStyle w:val="InternetLink"/>
                  <w:rFonts w:ascii="Arial;sans-serif" w:hAnsi="Arial;sans-serif"/>
                  <w:b w:val="false"/>
                  <w:color w:val="0000FF"/>
                  <w:sz w:val="20"/>
                  <w:u w:val="single"/>
                </w:rPr>
                <w:t>5</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46">
              <w:r>
                <w:rPr>
                  <w:rStyle w:val="InternetLink"/>
                  <w:rFonts w:ascii="Arial;sans-serif" w:hAnsi="Arial;sans-serif"/>
                  <w:b w:val="false"/>
                  <w:color w:val="0000FF"/>
                  <w:sz w:val="20"/>
                  <w:u w:val="single"/>
                </w:rPr>
                <w:t>Asset Acquisitions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46">
              <w:r>
                <w:rPr>
                  <w:rStyle w:val="InternetLink"/>
                  <w:rFonts w:ascii="Arial;sans-serif" w:hAnsi="Arial;sans-serif"/>
                  <w:b w:val="false"/>
                  <w:strike w:val="false"/>
                  <w:dstrike w:val="false"/>
                  <w:color w:val="000000"/>
                  <w:sz w:val="20"/>
                  <w:u w:val="none"/>
                  <w:effect w:val="none"/>
                </w:rPr>
                <w:t>14</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49">
              <w:r>
                <w:rPr>
                  <w:rStyle w:val="InternetLink"/>
                  <w:rFonts w:ascii="Arial;sans-serif" w:hAnsi="Arial;sans-serif"/>
                  <w:b w:val="false"/>
                  <w:color w:val="0000FF"/>
                  <w:sz w:val="20"/>
                  <w:u w:val="single"/>
                </w:rPr>
                <w:t>6</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49">
              <w:r>
                <w:rPr>
                  <w:rStyle w:val="InternetLink"/>
                  <w:rFonts w:ascii="Arial;sans-serif" w:hAnsi="Arial;sans-serif"/>
                  <w:b w:val="false"/>
                  <w:color w:val="0000FF"/>
                  <w:sz w:val="20"/>
                  <w:u w:val="single"/>
                </w:rPr>
                <w:t>Debt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49">
              <w:r>
                <w:rPr>
                  <w:rStyle w:val="InternetLink"/>
                  <w:rFonts w:ascii="Arial;sans-serif" w:hAnsi="Arial;sans-serif"/>
                  <w:b w:val="false"/>
                  <w:strike w:val="false"/>
                  <w:dstrike w:val="false"/>
                  <w:color w:val="000000"/>
                  <w:sz w:val="20"/>
                  <w:u w:val="none"/>
                  <w:effect w:val="none"/>
                </w:rPr>
                <w:t>15</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52">
              <w:r>
                <w:rPr>
                  <w:rStyle w:val="InternetLink"/>
                  <w:rFonts w:ascii="Arial;sans-serif" w:hAnsi="Arial;sans-serif"/>
                  <w:b w:val="false"/>
                  <w:color w:val="0000FF"/>
                  <w:sz w:val="20"/>
                  <w:u w:val="single"/>
                </w:rPr>
                <w:t>7</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52">
              <w:r>
                <w:rPr>
                  <w:rStyle w:val="InternetLink"/>
                  <w:rFonts w:ascii="Arial;sans-serif" w:hAnsi="Arial;sans-serif"/>
                  <w:b w:val="false"/>
                  <w:color w:val="0000FF"/>
                  <w:sz w:val="20"/>
                  <w:u w:val="single"/>
                </w:rPr>
                <w:t>Stock-Based Compensation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52">
              <w:r>
                <w:rPr>
                  <w:rStyle w:val="InternetLink"/>
                  <w:rFonts w:ascii="Arial;sans-serif" w:hAnsi="Arial;sans-serif"/>
                  <w:b w:val="false"/>
                  <w:strike w:val="false"/>
                  <w:dstrike w:val="false"/>
                  <w:color w:val="000000"/>
                  <w:sz w:val="20"/>
                  <w:u w:val="none"/>
                  <w:effect w:val="none"/>
                </w:rPr>
                <w:t>17</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55">
              <w:r>
                <w:rPr>
                  <w:rStyle w:val="InternetLink"/>
                  <w:rFonts w:ascii="Arial;sans-serif" w:hAnsi="Arial;sans-serif"/>
                  <w:b w:val="false"/>
                  <w:color w:val="0000FF"/>
                  <w:sz w:val="20"/>
                  <w:u w:val="single"/>
                </w:rPr>
                <w:t>8</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55">
              <w:r>
                <w:rPr>
                  <w:rStyle w:val="InternetLink"/>
                  <w:rFonts w:ascii="Arial;sans-serif" w:hAnsi="Arial;sans-serif"/>
                  <w:b w:val="false"/>
                  <w:color w:val="0000FF"/>
                  <w:sz w:val="20"/>
                  <w:u w:val="single"/>
                </w:rPr>
                <w:t>Investments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55">
              <w:r>
                <w:rPr>
                  <w:rStyle w:val="InternetLink"/>
                  <w:rFonts w:ascii="Arial;sans-serif" w:hAnsi="Arial;sans-serif"/>
                  <w:b w:val="false"/>
                  <w:strike w:val="false"/>
                  <w:dstrike w:val="false"/>
                  <w:color w:val="000000"/>
                  <w:sz w:val="20"/>
                  <w:u w:val="none"/>
                  <w:effect w:val="none"/>
                </w:rPr>
                <w:t>18</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58">
              <w:r>
                <w:rPr>
                  <w:rStyle w:val="InternetLink"/>
                  <w:rFonts w:ascii="Arial;sans-serif" w:hAnsi="Arial;sans-serif"/>
                  <w:b w:val="false"/>
                  <w:color w:val="0000FF"/>
                  <w:sz w:val="20"/>
                  <w:u w:val="single"/>
                </w:rPr>
                <w:t>9</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58">
              <w:r>
                <w:rPr>
                  <w:rStyle w:val="InternetLink"/>
                  <w:rFonts w:ascii="Arial;sans-serif" w:hAnsi="Arial;sans-serif"/>
                  <w:b w:val="false"/>
                  <w:color w:val="0000FF"/>
                  <w:sz w:val="20"/>
                  <w:u w:val="single"/>
                </w:rPr>
                <w:t>Fair Value Measurements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58">
              <w:r>
                <w:rPr>
                  <w:rStyle w:val="InternetLink"/>
                  <w:rFonts w:ascii="Arial;sans-serif" w:hAnsi="Arial;sans-serif"/>
                  <w:b w:val="false"/>
                  <w:strike w:val="false"/>
                  <w:dstrike w:val="false"/>
                  <w:color w:val="000000"/>
                  <w:sz w:val="20"/>
                  <w:u w:val="none"/>
                  <w:effect w:val="none"/>
                </w:rPr>
                <w:t>18</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61">
              <w:r>
                <w:rPr>
                  <w:rStyle w:val="InternetLink"/>
                  <w:rFonts w:ascii="Arial;sans-serif" w:hAnsi="Arial;sans-serif"/>
                  <w:b w:val="false"/>
                  <w:color w:val="0000FF"/>
                  <w:sz w:val="20"/>
                  <w:u w:val="single"/>
                </w:rPr>
                <w:t>10</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61">
              <w:r>
                <w:rPr>
                  <w:rStyle w:val="InternetLink"/>
                  <w:rFonts w:ascii="Arial;sans-serif" w:hAnsi="Arial;sans-serif"/>
                  <w:b w:val="false"/>
                  <w:color w:val="0000FF"/>
                  <w:sz w:val="20"/>
                  <w:u w:val="single"/>
                </w:rPr>
                <w:t>Income Taxes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61">
              <w:r>
                <w:rPr>
                  <w:rStyle w:val="InternetLink"/>
                  <w:rFonts w:ascii="Arial;sans-serif" w:hAnsi="Arial;sans-serif"/>
                  <w:b w:val="false"/>
                  <w:strike w:val="false"/>
                  <w:dstrike w:val="false"/>
                  <w:color w:val="000000"/>
                  <w:sz w:val="20"/>
                  <w:u w:val="none"/>
                  <w:effect w:val="none"/>
                </w:rPr>
                <w:t>19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64">
              <w:r>
                <w:rPr>
                  <w:rStyle w:val="InternetLink"/>
                  <w:rFonts w:ascii="Arial;sans-serif" w:hAnsi="Arial;sans-serif"/>
                  <w:b w:val="false"/>
                  <w:color w:val="0000FF"/>
                  <w:sz w:val="20"/>
                  <w:u w:val="single"/>
                </w:rPr>
                <w:t>11</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64">
              <w:r>
                <w:rPr>
                  <w:rStyle w:val="InternetLink"/>
                  <w:rFonts w:ascii="Arial;sans-serif" w:hAnsi="Arial;sans-serif"/>
                  <w:b w:val="false"/>
                  <w:color w:val="0000FF"/>
                  <w:sz w:val="20"/>
                  <w:u w:val="single"/>
                </w:rPr>
                <w:t>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64">
              <w:r>
                <w:rPr>
                  <w:rStyle w:val="InternetLink"/>
                  <w:rFonts w:ascii="Arial;sans-serif" w:hAnsi="Arial;sans-serif"/>
                  <w:b w:val="false"/>
                  <w:strike w:val="false"/>
                  <w:dstrike w:val="false"/>
                  <w:color w:val="000000"/>
                  <w:sz w:val="20"/>
                  <w:u w:val="none"/>
                  <w:effect w:val="none"/>
                </w:rPr>
                <w:t>19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67">
              <w:r>
                <w:rPr>
                  <w:rStyle w:val="InternetLink"/>
                  <w:rFonts w:ascii="Arial;sans-serif" w:hAnsi="Arial;sans-serif"/>
                  <w:b w:val="false"/>
                  <w:color w:val="0000FF"/>
                  <w:sz w:val="20"/>
                  <w:u w:val="single"/>
                </w:rPr>
                <w:t>12</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67">
              <w:r>
                <w:rPr>
                  <w:rStyle w:val="InternetLink"/>
                  <w:rFonts w:ascii="Arial;sans-serif" w:hAnsi="Arial;sans-serif"/>
                  <w:b w:val="false"/>
                  <w:color w:val="0000FF"/>
                  <w:sz w:val="20"/>
                  <w:u w:val="single"/>
                </w:rPr>
                <w:t>Commitments and Contingencies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67">
              <w:r>
                <w:rPr>
                  <w:rStyle w:val="InternetLink"/>
                  <w:rFonts w:ascii="Arial;sans-serif" w:hAnsi="Arial;sans-serif"/>
                  <w:b w:val="false"/>
                  <w:strike w:val="false"/>
                  <w:dstrike w:val="false"/>
                  <w:color w:val="000000"/>
                  <w:sz w:val="20"/>
                  <w:u w:val="none"/>
                  <w:effect w:val="none"/>
                </w:rPr>
                <w:t>20</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70">
              <w:r>
                <w:rPr>
                  <w:rStyle w:val="InternetLink"/>
                  <w:rFonts w:ascii="Arial;sans-serif" w:hAnsi="Arial;sans-serif"/>
                  <w:b w:val="false"/>
                  <w:color w:val="0000FF"/>
                  <w:sz w:val="20"/>
                  <w:u w:val="single"/>
                </w:rPr>
                <w:t>13</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70">
              <w:r>
                <w:rPr>
                  <w:rStyle w:val="InternetLink"/>
                  <w:rFonts w:ascii="Arial;sans-serif" w:hAnsi="Arial;sans-serif"/>
                  <w:b w:val="false"/>
                  <w:color w:val="0000FF"/>
                  <w:sz w:val="20"/>
                  <w:u w:val="single"/>
                </w:rPr>
                <w:t>Operating Segments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70">
              <w:r>
                <w:rPr>
                  <w:rStyle w:val="InternetLink"/>
                  <w:rFonts w:ascii="Arial;sans-serif" w:hAnsi="Arial;sans-serif"/>
                  <w:b w:val="false"/>
                  <w:strike w:val="false"/>
                  <w:dstrike w:val="false"/>
                  <w:color w:val="000000"/>
                  <w:sz w:val="20"/>
                  <w:u w:val="none"/>
                  <w:effect w:val="none"/>
                </w:rPr>
                <w:t>21</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4cbdc8b05452aaf9855cd612d84bf_73">
              <w:r>
                <w:rPr>
                  <w:rStyle w:val="InternetLink"/>
                  <w:rFonts w:ascii="Arial;sans-serif" w:hAnsi="Arial;sans-serif"/>
                  <w:b w:val="false"/>
                  <w:color w:val="0000FF"/>
                  <w:sz w:val="20"/>
                  <w:u w:val="single"/>
                </w:rPr>
                <w:t>14</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73">
              <w:r>
                <w:rPr>
                  <w:rStyle w:val="InternetLink"/>
                  <w:rFonts w:ascii="Arial;sans-serif" w:hAnsi="Arial;sans-serif"/>
                  <w:b w:val="false"/>
                  <w:color w:val="0000FF"/>
                  <w:sz w:val="20"/>
                  <w:u w:val="single"/>
                </w:rPr>
                <w:t>Subsequent Events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73">
              <w:r>
                <w:rPr>
                  <w:rStyle w:val="InternetLink"/>
                  <w:rFonts w:ascii="Arial;sans-serif" w:hAnsi="Arial;sans-serif"/>
                  <w:b w:val="false"/>
                  <w:strike w:val="false"/>
                  <w:dstrike w:val="false"/>
                  <w:color w:val="000000"/>
                  <w:sz w:val="20"/>
                  <w:u w:val="none"/>
                  <w:effect w:val="none"/>
                </w:rPr>
                <w:t>22</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76">
              <w:r>
                <w:rPr>
                  <w:rStyle w:val="InternetLink"/>
                  <w:rFonts w:ascii="Arial;sans-serif" w:hAnsi="Arial;sans-serif"/>
                  <w:b w:val="false"/>
                  <w:color w:val="0000FF"/>
                  <w:sz w:val="20"/>
                  <w:u w:val="single"/>
                </w:rPr>
                <w:t>Item 2. Management’s Discussion and Analysis of Financial Condition and Results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76">
              <w:r>
                <w:rPr>
                  <w:rStyle w:val="InternetLink"/>
                  <w:rFonts w:ascii="Arial;sans-serif" w:hAnsi="Arial;sans-serif"/>
                  <w:b w:val="false"/>
                  <w:strike w:val="false"/>
                  <w:dstrike w:val="false"/>
                  <w:color w:val="000000"/>
                  <w:sz w:val="20"/>
                  <w:u w:val="none"/>
                  <w:effect w:val="none"/>
                </w:rPr>
                <w:t>23</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18">
              <w:r>
                <w:rPr>
                  <w:rStyle w:val="InternetLink"/>
                  <w:rFonts w:ascii="Arial;sans-serif" w:hAnsi="Arial;sans-serif"/>
                  <w:b w:val="false"/>
                  <w:color w:val="0000FF"/>
                  <w:sz w:val="20"/>
                  <w:u w:val="single"/>
                </w:rPr>
                <w:t>Item 3. 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18">
              <w:r>
                <w:rPr>
                  <w:rStyle w:val="InternetLink"/>
                  <w:rFonts w:ascii="Arial;sans-serif" w:hAnsi="Arial;sans-serif"/>
                  <w:b w:val="false"/>
                  <w:strike w:val="false"/>
                  <w:dstrike w:val="false"/>
                  <w:color w:val="000000"/>
                  <w:sz w:val="20"/>
                  <w:u w:val="none"/>
                  <w:effect w:val="none"/>
                </w:rPr>
                <w:t>47</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21">
              <w:r>
                <w:rPr>
                  <w:rStyle w:val="InternetLink"/>
                  <w:rFonts w:ascii="Arial;sans-serif" w:hAnsi="Arial;sans-serif"/>
                  <w:b w:val="false"/>
                  <w:color w:val="0000FF"/>
                  <w:sz w:val="20"/>
                  <w:u w:val="single"/>
                </w:rPr>
                <w:t>Item 4. 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21">
              <w:r>
                <w:rPr>
                  <w:rStyle w:val="InternetLink"/>
                  <w:rFonts w:ascii="Arial;sans-serif" w:hAnsi="Arial;sans-serif"/>
                  <w:b w:val="false"/>
                  <w:strike w:val="false"/>
                  <w:dstrike w:val="false"/>
                  <w:color w:val="000000"/>
                  <w:sz w:val="20"/>
                  <w:u w:val="none"/>
                  <w:effect w:val="none"/>
                </w:rPr>
                <w:t>47</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24">
              <w:r>
                <w:rPr>
                  <w:rStyle w:val="InternetLink"/>
                  <w:rFonts w:ascii="Arial;sans-serif" w:hAnsi="Arial;sans-serif"/>
                  <w:b/>
                  <w:color w:val="0000FF"/>
                  <w:sz w:val="20"/>
                  <w:u w:val="single"/>
                </w:rPr>
                <w:t>Part II. Other Information</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27">
              <w:r>
                <w:rPr>
                  <w:rStyle w:val="InternetLink"/>
                  <w:rFonts w:ascii="Arial;sans-serif" w:hAnsi="Arial;sans-serif"/>
                  <w:b w:val="false"/>
                  <w:color w:val="0000FF"/>
                  <w:sz w:val="20"/>
                  <w:u w:val="single"/>
                </w:rPr>
                <w:t>Item 1. 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27">
              <w:r>
                <w:rPr>
                  <w:rStyle w:val="InternetLink"/>
                  <w:rFonts w:ascii="Arial;sans-serif" w:hAnsi="Arial;sans-serif"/>
                  <w:b w:val="false"/>
                  <w:strike w:val="false"/>
                  <w:dstrike w:val="false"/>
                  <w:color w:val="000000"/>
                  <w:sz w:val="20"/>
                  <w:u w:val="none"/>
                  <w:effect w:val="none"/>
                </w:rPr>
                <w:t>50</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30">
              <w:r>
                <w:rPr>
                  <w:rStyle w:val="InternetLink"/>
                  <w:rFonts w:ascii="Arial;sans-serif" w:hAnsi="Arial;sans-serif"/>
                  <w:b w:val="false"/>
                  <w:color w:val="0000FF"/>
                  <w:sz w:val="20"/>
                  <w:u w:val="single"/>
                </w:rPr>
                <w:t>Item 1A. 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30">
              <w:r>
                <w:rPr>
                  <w:rStyle w:val="InternetLink"/>
                  <w:rFonts w:ascii="Arial;sans-serif" w:hAnsi="Arial;sans-serif"/>
                  <w:b w:val="false"/>
                  <w:strike w:val="false"/>
                  <w:dstrike w:val="false"/>
                  <w:color w:val="000000"/>
                  <w:sz w:val="20"/>
                  <w:u w:val="none"/>
                  <w:effect w:val="none"/>
                </w:rPr>
                <w:t>50</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33">
              <w:r>
                <w:rPr>
                  <w:rStyle w:val="InternetLink"/>
                  <w:rFonts w:ascii="Arial;sans-serif" w:hAnsi="Arial;sans-serif"/>
                  <w:b w:val="false"/>
                  <w:color w:val="0000FF"/>
                  <w:sz w:val="20"/>
                  <w:u w:val="single"/>
                </w:rPr>
                <w:t>Item 2. Unregistered Sales of Equity Securities and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33">
              <w:r>
                <w:rPr>
                  <w:rStyle w:val="InternetLink"/>
                  <w:rFonts w:ascii="Arial;sans-serif" w:hAnsi="Arial;sans-serif"/>
                  <w:b w:val="false"/>
                  <w:strike w:val="false"/>
                  <w:dstrike w:val="false"/>
                  <w:color w:val="000000"/>
                  <w:sz w:val="20"/>
                  <w:u w:val="none"/>
                  <w:effect w:val="none"/>
                </w:rPr>
                <w:t>50</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36">
              <w:r>
                <w:rPr>
                  <w:rStyle w:val="InternetLink"/>
                  <w:rFonts w:ascii="Arial;sans-serif" w:hAnsi="Arial;sans-serif"/>
                  <w:b w:val="false"/>
                  <w:color w:val="0000FF"/>
                  <w:sz w:val="20"/>
                  <w:u w:val="single"/>
                </w:rPr>
                <w:t>Item 3. Defaults Upon Senior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36">
              <w:r>
                <w:rPr>
                  <w:rStyle w:val="InternetLink"/>
                  <w:rFonts w:ascii="Arial;sans-serif" w:hAnsi="Arial;sans-serif"/>
                  <w:b w:val="false"/>
                  <w:strike w:val="false"/>
                  <w:dstrike w:val="false"/>
                  <w:color w:val="000000"/>
                  <w:sz w:val="20"/>
                  <w:u w:val="none"/>
                  <w:effect w:val="none"/>
                </w:rPr>
                <w:t>51</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39">
              <w:r>
                <w:rPr>
                  <w:rStyle w:val="InternetLink"/>
                  <w:rFonts w:ascii="Arial;sans-serif" w:hAnsi="Arial;sans-serif"/>
                  <w:b w:val="false"/>
                  <w:color w:val="0000FF"/>
                  <w:sz w:val="20"/>
                  <w:u w:val="single"/>
                </w:rPr>
                <w:t>Item 4. 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39">
              <w:r>
                <w:rPr>
                  <w:rStyle w:val="InternetLink"/>
                  <w:rFonts w:ascii="Arial;sans-serif" w:hAnsi="Arial;sans-serif"/>
                  <w:b w:val="false"/>
                  <w:strike w:val="false"/>
                  <w:dstrike w:val="false"/>
                  <w:color w:val="000000"/>
                  <w:sz w:val="20"/>
                  <w:u w:val="none"/>
                  <w:effect w:val="none"/>
                </w:rPr>
                <w:t>51</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42">
              <w:r>
                <w:rPr>
                  <w:rStyle w:val="InternetLink"/>
                  <w:rFonts w:ascii="Arial;sans-serif" w:hAnsi="Arial;sans-serif"/>
                  <w:b w:val="false"/>
                  <w:color w:val="0000FF"/>
                  <w:sz w:val="20"/>
                  <w:u w:val="single"/>
                </w:rPr>
                <w:t>Item 5. 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42">
              <w:r>
                <w:rPr>
                  <w:rStyle w:val="InternetLink"/>
                  <w:rFonts w:ascii="Arial;sans-serif" w:hAnsi="Arial;sans-serif"/>
                  <w:b w:val="false"/>
                  <w:strike w:val="false"/>
                  <w:dstrike w:val="false"/>
                  <w:color w:val="000000"/>
                  <w:sz w:val="20"/>
                  <w:u w:val="none"/>
                  <w:effect w:val="none"/>
                </w:rPr>
                <w:t>51</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45">
              <w:r>
                <w:rPr>
                  <w:rStyle w:val="InternetLink"/>
                  <w:rFonts w:ascii="Arial;sans-serif" w:hAnsi="Arial;sans-serif"/>
                  <w:b w:val="false"/>
                  <w:color w:val="0000FF"/>
                  <w:sz w:val="20"/>
                  <w:u w:val="single"/>
                </w:rPr>
                <w:t>Item 6. 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45">
              <w:r>
                <w:rPr>
                  <w:rStyle w:val="InternetLink"/>
                  <w:rFonts w:ascii="Arial;sans-serif" w:hAnsi="Arial;sans-serif"/>
                  <w:b w:val="false"/>
                  <w:strike w:val="false"/>
                  <w:dstrike w:val="false"/>
                  <w:color w:val="000000"/>
                  <w:sz w:val="20"/>
                  <w:u w:val="none"/>
                  <w:effect w:val="none"/>
                </w:rPr>
                <w:t>52</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064cbdc8b05452aaf9855cd612d84bf_148">
              <w:r>
                <w:rPr>
                  <w:rStyle w:val="InternetLink"/>
                  <w:rFonts w:ascii="Arial;sans-serif" w:hAnsi="Arial;sans-serif"/>
                  <w:b w:val="false"/>
                  <w:color w:val="0000FF"/>
                  <w:sz w:val="20"/>
                  <w:u w:val="singl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64cbdc8b05452aaf9855cd612d84bf_148">
              <w:r>
                <w:rPr>
                  <w:rStyle w:val="InternetLink"/>
                  <w:rFonts w:ascii="Arial;sans-serif" w:hAnsi="Arial;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73"/>
        <w:gridCol w:w="2115"/>
        <w:gridCol w:w="2124"/>
        <w:gridCol w:w="257"/>
        <w:gridCol w:w="1190"/>
        <w:gridCol w:w="132"/>
        <w:gridCol w:w="109"/>
        <w:gridCol w:w="109"/>
        <w:gridCol w:w="109"/>
        <w:gridCol w:w="236"/>
        <w:gridCol w:w="1099"/>
        <w:gridCol w:w="252"/>
      </w:tblGrid>
      <w:tr>
        <w:trPr/>
        <w:tc>
          <w:tcPr>
            <w:tcW w:w="247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92,086 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10,842 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178,936 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Accounts Receivable, net of an allowance for credit losses of $110 and $231, respectively</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35,124 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Lessor Maintenance Deposits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Inventory, net of a reserve for obsolescence of $1,076 and $1,107, respectively</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7,659 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11,423 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260,305 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345,490 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&amp; Equipment, net:</w:t>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 Held for Operating Lease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Ground Equipment and Leasehold Improvements </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Hardware and Software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Assets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261,991 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Rotable Parts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1,188,244 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962,413 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Depreciation &amp; Amortization</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(176,746)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 net</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956,743 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785,667 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$22,757 and $18,890, respectively</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Deposits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Lessor Maintenance Deposits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393,255 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1,601,068 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1,524,412 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47"/>
        <w:gridCol w:w="2237"/>
        <w:gridCol w:w="2245"/>
        <w:gridCol w:w="229"/>
        <w:gridCol w:w="1063"/>
        <w:gridCol w:w="118"/>
        <w:gridCol w:w="109"/>
        <w:gridCol w:w="109"/>
        <w:gridCol w:w="109"/>
        <w:gridCol w:w="226"/>
        <w:gridCol w:w="1045"/>
        <w:gridCol w:w="168"/>
      </w:tblGrid>
      <w:tr>
        <w:trPr/>
        <w:tc>
          <w:tcPr>
            <w:tcW w:w="254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Salaries, Wages, and Benefits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Transportation Taxes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 Traffic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370,875 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710,832 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654,572 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1,081,707 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Commitments and Contingencies (see </w:t>
            </w:r>
            <w:hyperlink w:anchor="id064cbdc8b05452aaf9855cd612d84bf_67">
              <w:r>
                <w:rPr>
                  <w:rStyle w:val="InternetLink"/>
                  <w:rFonts w:ascii="Arial;sans-serif" w:hAnsi="Arial;sans-serif"/>
                  <w:b/>
                  <w:color w:val="0000FF"/>
                  <w:sz w:val="18"/>
                  <w:u w:val="single"/>
                </w:rPr>
                <w:t>Note 12</w:t>
              </w:r>
            </w:hyperlink>
            <w:r>
              <w:rPr>
                <w:rFonts w:ascii="Arial;sans-serif" w:hAnsi="Arial;sans-serif"/>
                <w:b/>
                <w:color w:val="000000"/>
                <w:sz w:val="18"/>
              </w:rPr>
              <w:t>)</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Common stock, with $0.01 par value, 995,000,000 shares authorized, 58,815,139 and 58,217,647 issued and 54,133,851 and 57,325,238 outstanding at September 30, 2023 and December 31, 2022,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Preferred stock, with $0.01 par value, 5,000,000 shares authorized, no shares issued and outstanding at September 30, 2023 and December 31, 2022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Treasury stock, at cost, 4,681,288 and 892,409 shares held at September 30, 2023 and December 31, 2022,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511,375 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488,494 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Retained Earnings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492,712 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1,601,068 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1,524,412 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52" w:type="dxa"/>
        <w:jc w:val="left"/>
        <w:tblInd w:w="0" w:type="dxa"/>
        <w:tblLayout w:type="fixed"/>
        <w:tblCellMar>
          <w:top w:w="28" w:type="dxa"/>
          <w:left w:w="28" w:type="dxa"/>
          <w:bottom w:w="28" w:type="dxa"/>
          <w:right w:w="28" w:type="dxa"/>
        </w:tblCellMar>
      </w:tblPr>
      <w:tblGrid>
        <w:gridCol w:w="1168"/>
        <w:gridCol w:w="1026"/>
        <w:gridCol w:w="1030"/>
        <w:gridCol w:w="230"/>
        <w:gridCol w:w="934"/>
        <w:gridCol w:w="119"/>
        <w:gridCol w:w="119"/>
        <w:gridCol w:w="119"/>
        <w:gridCol w:w="119"/>
        <w:gridCol w:w="230"/>
        <w:gridCol w:w="934"/>
        <w:gridCol w:w="119"/>
        <w:gridCol w:w="109"/>
        <w:gridCol w:w="109"/>
        <w:gridCol w:w="109"/>
        <w:gridCol w:w="223"/>
        <w:gridCol w:w="905"/>
        <w:gridCol w:w="115"/>
        <w:gridCol w:w="115"/>
        <w:gridCol w:w="115"/>
        <w:gridCol w:w="115"/>
        <w:gridCol w:w="223"/>
        <w:gridCol w:w="905"/>
        <w:gridCol w:w="162"/>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592,753 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Operating Income</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Before Income Tax</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Tax Expense</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Income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to common stockholders: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for computation:</w:t>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55,435,386 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58,146,606 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56,051,173 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58,039,201 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58,595,646 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60,793,516 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59,281,819 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61,372,735 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52"/>
        <w:gridCol w:w="1489"/>
        <w:gridCol w:w="1498"/>
        <w:gridCol w:w="225"/>
        <w:gridCol w:w="689"/>
        <w:gridCol w:w="116"/>
        <w:gridCol w:w="116"/>
        <w:gridCol w:w="116"/>
        <w:gridCol w:w="116"/>
        <w:gridCol w:w="225"/>
        <w:gridCol w:w="801"/>
        <w:gridCol w:w="116"/>
        <w:gridCol w:w="109"/>
        <w:gridCol w:w="109"/>
        <w:gridCol w:w="109"/>
        <w:gridCol w:w="219"/>
        <w:gridCol w:w="781"/>
        <w:gridCol w:w="113"/>
        <w:gridCol w:w="113"/>
        <w:gridCol w:w="113"/>
        <w:gridCol w:w="113"/>
        <w:gridCol w:w="219"/>
        <w:gridCol w:w="781"/>
        <w:gridCol w:w="167"/>
      </w:tblGrid>
      <w:tr>
        <w:trPr/>
        <w:tc>
          <w:tcPr>
            <w:tcW w:w="175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unrealized gains (losses) on Available-for-Sale securities, net of deferred tax expense (benefit) of $46, $(244), $90 and $(309), respectively </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66,837 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432"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79" w:type="dxa"/>
        <w:jc w:val="left"/>
        <w:tblInd w:w="0" w:type="dxa"/>
        <w:tblLayout w:type="fixed"/>
        <w:tblCellMar>
          <w:top w:w="28" w:type="dxa"/>
          <w:left w:w="28" w:type="dxa"/>
          <w:bottom w:w="28" w:type="dxa"/>
          <w:right w:w="28" w:type="dxa"/>
        </w:tblCellMar>
      </w:tblPr>
      <w:tblGrid>
        <w:gridCol w:w="509"/>
        <w:gridCol w:w="210"/>
        <w:gridCol w:w="212"/>
        <w:gridCol w:w="308"/>
        <w:gridCol w:w="308"/>
        <w:gridCol w:w="191"/>
        <w:gridCol w:w="109"/>
        <w:gridCol w:w="109"/>
        <w:gridCol w:w="109"/>
        <w:gridCol w:w="338"/>
        <w:gridCol w:w="338"/>
        <w:gridCol w:w="156"/>
        <w:gridCol w:w="109"/>
        <w:gridCol w:w="109"/>
        <w:gridCol w:w="109"/>
        <w:gridCol w:w="166"/>
        <w:gridCol w:w="316"/>
        <w:gridCol w:w="109"/>
        <w:gridCol w:w="109"/>
        <w:gridCol w:w="109"/>
        <w:gridCol w:w="109"/>
        <w:gridCol w:w="308"/>
        <w:gridCol w:w="308"/>
        <w:gridCol w:w="156"/>
        <w:gridCol w:w="109"/>
        <w:gridCol w:w="109"/>
        <w:gridCol w:w="109"/>
        <w:gridCol w:w="166"/>
        <w:gridCol w:w="481"/>
        <w:gridCol w:w="109"/>
        <w:gridCol w:w="109"/>
        <w:gridCol w:w="109"/>
        <w:gridCol w:w="109"/>
        <w:gridCol w:w="166"/>
        <w:gridCol w:w="526"/>
        <w:gridCol w:w="109"/>
        <w:gridCol w:w="109"/>
        <w:gridCol w:w="109"/>
        <w:gridCol w:w="109"/>
        <w:gridCol w:w="166"/>
        <w:gridCol w:w="466"/>
        <w:gridCol w:w="109"/>
        <w:gridCol w:w="109"/>
        <w:gridCol w:w="109"/>
        <w:gridCol w:w="109"/>
        <w:gridCol w:w="242"/>
        <w:gridCol w:w="483"/>
        <w:gridCol w:w="161"/>
        <w:gridCol w:w="109"/>
        <w:gridCol w:w="109"/>
        <w:gridCol w:w="109"/>
        <w:gridCol w:w="166"/>
        <w:gridCol w:w="52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8" w:type="dxa"/>
            <w:gridSpan w:val="51"/>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0"/>
              </w:rPr>
            </w:pPr>
            <w:r>
              <w:rPr>
                <w:rFonts w:ascii="Arial;sans-serif" w:hAnsi="Arial;sans-serif"/>
                <w:b/>
                <w:color w:val="000000"/>
                <w:sz w:val="10"/>
              </w:rPr>
              <w:t>Nine Months Ended September 30, 2023</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Retained</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2,402,268 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58,217,647 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892,409 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(17,605)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488,494 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(807)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492,712 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 Issued for Stock-Based Awards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147,105 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Stock Settlement of Stock-Based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Common Stock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1,230,932 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(15,048)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38,328 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Other Comprehensive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March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2,591,920 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58,364,752 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2,123,747 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(40,162)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500,627 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60,376 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(418)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 Issued for Stock-Based Awards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187,975 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Common Stock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416,751 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20,618 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Amazon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252,869 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4,415 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June 30, 2023</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2,844,789 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58,552,727 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2,540,498 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(47,673)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507,522 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(664)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540,765 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 Issued for Stock-Based Awards</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262,412 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Common Stock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2,140,790 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(33,008)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Other Comprehensive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September 30,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3,034,441 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58,815,139 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4,681,288 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(80,681)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511,375 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88,585 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(506)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519,361 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94" w:type="dxa"/>
        <w:jc w:val="left"/>
        <w:tblInd w:w="0" w:type="dxa"/>
        <w:tblLayout w:type="fixed"/>
        <w:tblCellMar>
          <w:top w:w="28" w:type="dxa"/>
          <w:left w:w="28" w:type="dxa"/>
          <w:bottom w:w="28" w:type="dxa"/>
          <w:right w:w="28" w:type="dxa"/>
        </w:tblCellMar>
      </w:tblPr>
      <w:tblGrid>
        <w:gridCol w:w="509"/>
        <w:gridCol w:w="210"/>
        <w:gridCol w:w="212"/>
        <w:gridCol w:w="308"/>
        <w:gridCol w:w="308"/>
        <w:gridCol w:w="191"/>
        <w:gridCol w:w="109"/>
        <w:gridCol w:w="109"/>
        <w:gridCol w:w="109"/>
        <w:gridCol w:w="338"/>
        <w:gridCol w:w="338"/>
        <w:gridCol w:w="156"/>
        <w:gridCol w:w="109"/>
        <w:gridCol w:w="109"/>
        <w:gridCol w:w="109"/>
        <w:gridCol w:w="166"/>
        <w:gridCol w:w="316"/>
        <w:gridCol w:w="109"/>
        <w:gridCol w:w="109"/>
        <w:gridCol w:w="109"/>
        <w:gridCol w:w="109"/>
        <w:gridCol w:w="203"/>
        <w:gridCol w:w="203"/>
        <w:gridCol w:w="156"/>
        <w:gridCol w:w="109"/>
        <w:gridCol w:w="109"/>
        <w:gridCol w:w="109"/>
        <w:gridCol w:w="166"/>
        <w:gridCol w:w="406"/>
        <w:gridCol w:w="109"/>
        <w:gridCol w:w="109"/>
        <w:gridCol w:w="109"/>
        <w:gridCol w:w="109"/>
        <w:gridCol w:w="166"/>
        <w:gridCol w:w="526"/>
        <w:gridCol w:w="109"/>
        <w:gridCol w:w="109"/>
        <w:gridCol w:w="109"/>
        <w:gridCol w:w="109"/>
        <w:gridCol w:w="166"/>
        <w:gridCol w:w="466"/>
        <w:gridCol w:w="109"/>
        <w:gridCol w:w="109"/>
        <w:gridCol w:w="109"/>
        <w:gridCol w:w="109"/>
        <w:gridCol w:w="215"/>
        <w:gridCol w:w="528"/>
        <w:gridCol w:w="143"/>
        <w:gridCol w:w="109"/>
        <w:gridCol w:w="109"/>
        <w:gridCol w:w="109"/>
        <w:gridCol w:w="166"/>
        <w:gridCol w:w="52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51"/>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0"/>
              </w:rPr>
            </w:pPr>
            <w:r>
              <w:rPr>
                <w:rFonts w:ascii="Arial;sans-serif" w:hAnsi="Arial;sans-serif"/>
                <w:b/>
                <w:color w:val="000000"/>
                <w:sz w:val="10"/>
              </w:rPr>
              <w:t>Nine Months Ended September 30, 2022</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Retained</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1,643,660 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57,872,452 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485,638 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490,589 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 Issued for Stock-Based Awards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91,868 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March 31, 2022</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1,833,312 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57,964,320 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488,480 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497,069 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 Issued for Stock-Based Awards</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181,404 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1,038 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Stock Settlement of Stock-Based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June 30,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2,022,964 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58,145,724 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495,888 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 Issued for Stock-Based Awards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22,773 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10,677 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September 30, 2022</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2,212,616 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58,168,497 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1,823 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493,493 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(782)</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508,005 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432" w:after="283"/>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84"/>
        <w:gridCol w:w="1982"/>
        <w:gridCol w:w="2017"/>
        <w:gridCol w:w="265"/>
        <w:gridCol w:w="842"/>
        <w:gridCol w:w="158"/>
        <w:gridCol w:w="115"/>
        <w:gridCol w:w="115"/>
        <w:gridCol w:w="115"/>
        <w:gridCol w:w="247"/>
        <w:gridCol w:w="887"/>
        <w:gridCol w:w="148"/>
        <w:gridCol w:w="109"/>
        <w:gridCol w:w="109"/>
        <w:gridCol w:w="109"/>
        <w:gridCol w:w="109"/>
        <w:gridCol w:w="109"/>
        <w:gridCol w:w="109"/>
        <w:gridCol w:w="109"/>
        <w:gridCol w:w="109"/>
        <w:gridCol w:w="158"/>
      </w:tblGrid>
      <w:tr>
        <w:trPr/>
        <w:tc>
          <w:tcPr>
            <w:tcW w:w="228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10,392 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to reconcile Net Income to Cash from Operating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Changes in Operating Assets and Liabilities: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Lessor Maintenance Deposits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Deposits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Transportation Taxes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 Traffic Liabilities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Loyalty Program Liabilities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Obligations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102,651 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&amp; Equipment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(177,658)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Investments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(130,529)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the Maturities of Investments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(297,610)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119,200 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188,277 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Finance Lease Obligations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(37,842)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Financing Activities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Decrease in Cash, Cash Equivalents and Restricted Cash</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(65,008)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(171,710)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Cash--Beginning of the Period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102,928 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317,785 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Cash--End of the Period</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37,920 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146,075 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Non-cash transactions: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and Flight Equipment Acquired through Finance Leases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to Finance Lease Assets due to Lease Modifications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and Flight Equipment Acquired From Exercise of Finance Lease Purchase Option, net of Accumulated Depreciation</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7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following provides a reconciliation of Cash, Cash Equivalents and Restricted Cash to the amounts reported on the Condensed Consolidated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Cash, Cash Equivalents and Restricted Cash</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37,920 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146,075 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Condensed Consolidated Financial Statements of Sun Country Airlines Holdings, Inc. should be read in conjunction with the Consolidated Financial Statements contained in the Company's Annual Report on Form 10-K for the year ended December 31, 2022 as filed with the SEC ("2022 10-K"). Management believes that all adjustments necessary for the fair presentation of results, consisting of normally recurring items, have been included in the unaudited Condensed Consolidated Financial Statements for the interim periods presented. The Company reclassified certain prior period amounts to conform to the current period presentation. All material intercompany balances and transactions have been eliminated in consolidation.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completed its public float calculation for SEC reporting purposes as of June 30, 2023, as required. The Company will be a large accelerated filer as of December 31, 2023.</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Due to impacts from seasonal variations in the demand for air travel, the volatility of aircraft fuel prices, uncertainties in pilot staffing, the impact of macroeconomic conditions including inflationary pressures, and other factors, operating results for the nine months ended September 30, 2023 are not necessarily indicative of operating results for future quarters or for the year ending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2.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other fees and on-board sales. Cargo consists of revenue earned from flying cargo aircraft for Amazon.com Services, Inc. (together with its affiliates, “Amazon”) under the Air Transportation Services Agreement (the “ATSA”). Other revenue consists primarily of revenue from services in connection with Sun Country Vacations products and rental revenue related to certain transactions where the Company acts as a lessor.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significant categories comprising Operating Revenues are as follows:</w:t>
      </w:r>
    </w:p>
    <w:tbl>
      <w:tblPr>
        <w:tblW w:w="8512" w:type="dxa"/>
        <w:jc w:val="left"/>
        <w:tblInd w:w="0" w:type="dxa"/>
        <w:tblLayout w:type="fixed"/>
        <w:tblCellMar>
          <w:top w:w="28" w:type="dxa"/>
          <w:left w:w="28" w:type="dxa"/>
          <w:bottom w:w="28" w:type="dxa"/>
          <w:right w:w="28" w:type="dxa"/>
        </w:tblCellMar>
      </w:tblPr>
      <w:tblGrid>
        <w:gridCol w:w="863"/>
        <w:gridCol w:w="759"/>
        <w:gridCol w:w="762"/>
        <w:gridCol w:w="230"/>
        <w:gridCol w:w="934"/>
        <w:gridCol w:w="119"/>
        <w:gridCol w:w="119"/>
        <w:gridCol w:w="119"/>
        <w:gridCol w:w="119"/>
        <w:gridCol w:w="230"/>
        <w:gridCol w:w="934"/>
        <w:gridCol w:w="119"/>
        <w:gridCol w:w="109"/>
        <w:gridCol w:w="109"/>
        <w:gridCol w:w="109"/>
        <w:gridCol w:w="223"/>
        <w:gridCol w:w="905"/>
        <w:gridCol w:w="115"/>
        <w:gridCol w:w="115"/>
        <w:gridCol w:w="115"/>
        <w:gridCol w:w="115"/>
        <w:gridCol w:w="223"/>
        <w:gridCol w:w="905"/>
        <w:gridCol w:w="16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334,679 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Passenger</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592,753 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attributes and measures its Operating Revenues by geographic region as defined by the Department of Transportation ("DOT") for airline reporting based upon the origin of each passenger and cargo flight segment.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operations are highly concentrated in the U.S., but include service to many international locations, primarily based on scheduled service to Latin America during the winter season and on military charter services.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Operating Revenues by geographic region are as follows:</w:t>
      </w:r>
    </w:p>
    <w:tbl>
      <w:tblPr>
        <w:tblW w:w="8513" w:type="dxa"/>
        <w:jc w:val="left"/>
        <w:tblInd w:w="0" w:type="dxa"/>
        <w:tblLayout w:type="fixed"/>
        <w:tblCellMar>
          <w:top w:w="28" w:type="dxa"/>
          <w:left w:w="28" w:type="dxa"/>
          <w:bottom w:w="28" w:type="dxa"/>
          <w:right w:w="28" w:type="dxa"/>
        </w:tblCellMar>
      </w:tblPr>
      <w:tblGrid>
        <w:gridCol w:w="862"/>
        <w:gridCol w:w="759"/>
        <w:gridCol w:w="764"/>
        <w:gridCol w:w="230"/>
        <w:gridCol w:w="934"/>
        <w:gridCol w:w="119"/>
        <w:gridCol w:w="119"/>
        <w:gridCol w:w="119"/>
        <w:gridCol w:w="119"/>
        <w:gridCol w:w="230"/>
        <w:gridCol w:w="934"/>
        <w:gridCol w:w="119"/>
        <w:gridCol w:w="109"/>
        <w:gridCol w:w="109"/>
        <w:gridCol w:w="109"/>
        <w:gridCol w:w="223"/>
        <w:gridCol w:w="905"/>
        <w:gridCol w:w="115"/>
        <w:gridCol w:w="115"/>
        <w:gridCol w:w="115"/>
        <w:gridCol w:w="115"/>
        <w:gridCol w:w="223"/>
        <w:gridCol w:w="905"/>
        <w:gridCol w:w="162"/>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214,904 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767,509 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634,963 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221,700 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contract assets primarily relate to costs incurred to get Amazon cargo aircraft ready for service. The balances are included in Other Current Assets and Other Assets on the Condensed Consolidated Balance Sheets.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Current Liabilities and Other Long-term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Contract Assets and Liabilities are as follows:</w:t>
      </w:r>
    </w:p>
    <w:tbl>
      <w:tblPr>
        <w:tblW w:w="6850" w:type="dxa"/>
        <w:jc w:val="left"/>
        <w:tblInd w:w="0" w:type="dxa"/>
        <w:tblLayout w:type="fixed"/>
        <w:tblCellMar>
          <w:top w:w="28" w:type="dxa"/>
          <w:left w:w="28" w:type="dxa"/>
          <w:bottom w:w="28" w:type="dxa"/>
          <w:right w:w="28" w:type="dxa"/>
        </w:tblCellMar>
      </w:tblPr>
      <w:tblGrid>
        <w:gridCol w:w="1183"/>
        <w:gridCol w:w="1042"/>
        <w:gridCol w:w="1044"/>
        <w:gridCol w:w="293"/>
        <w:gridCol w:w="1190"/>
        <w:gridCol w:w="151"/>
        <w:gridCol w:w="109"/>
        <w:gridCol w:w="109"/>
        <w:gridCol w:w="109"/>
        <w:gridCol w:w="280"/>
        <w:gridCol w:w="1136"/>
        <w:gridCol w:w="20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Assets</w:t>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to fulfill contract with Amazon</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Assets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Liabilities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Amazon Deferred Up-front Payment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146,786 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176,703 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balance in the Air Traffic Liabilities fluctuates with seasonal travel patterns. Most tickets can be purchased no more than twelve months in advance, therefore any revenue associated with tickets sold for future travel will be recognized within that timeframe. For the nine months ended September 30, 2023, $152,292 of revenue was recognized in Passenger revenue that was included in the Air Traffic Liabilities as of December 31, 2022.</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Loyalty Program</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Changes in the Loyalty Program Liabilities are as follows:</w:t>
      </w:r>
    </w:p>
    <w:tbl>
      <w:tblPr>
        <w:tblW w:w="5093" w:type="dxa"/>
        <w:jc w:val="left"/>
        <w:tblInd w:w="0" w:type="dxa"/>
        <w:tblLayout w:type="fixed"/>
        <w:tblCellMar>
          <w:top w:w="28" w:type="dxa"/>
          <w:left w:w="28" w:type="dxa"/>
          <w:bottom w:w="28" w:type="dxa"/>
          <w:right w:w="28" w:type="dxa"/>
        </w:tblCellMar>
      </w:tblPr>
      <w:tblGrid>
        <w:gridCol w:w="933"/>
        <w:gridCol w:w="822"/>
        <w:gridCol w:w="824"/>
        <w:gridCol w:w="211"/>
        <w:gridCol w:w="751"/>
        <w:gridCol w:w="109"/>
        <w:gridCol w:w="109"/>
        <w:gridCol w:w="109"/>
        <w:gridCol w:w="109"/>
        <w:gridCol w:w="211"/>
        <w:gridCol w:w="75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Points Earned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Loyalty Points Redeemed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EARNINGS PER SHARE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shows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497"/>
        <w:gridCol w:w="1320"/>
        <w:gridCol w:w="1327"/>
        <w:gridCol w:w="268"/>
        <w:gridCol w:w="754"/>
        <w:gridCol w:w="145"/>
        <w:gridCol w:w="145"/>
        <w:gridCol w:w="145"/>
        <w:gridCol w:w="145"/>
        <w:gridCol w:w="268"/>
        <w:gridCol w:w="866"/>
        <w:gridCol w:w="145"/>
        <w:gridCol w:w="109"/>
        <w:gridCol w:w="109"/>
        <w:gridCol w:w="109"/>
        <w:gridCol w:w="248"/>
        <w:gridCol w:w="809"/>
        <w:gridCol w:w="135"/>
        <w:gridCol w:w="135"/>
        <w:gridCol w:w="135"/>
        <w:gridCol w:w="135"/>
        <w:gridCol w:w="248"/>
        <w:gridCol w:w="809"/>
        <w:gridCol w:w="199"/>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Basic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55,435,386 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58,146,606 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56,051,173 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58,039,201 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  </w:t>
            </w:r>
            <w:r>
              <w:rPr>
                <w:rFonts w:ascii="Arial;sans-serif" w:hAnsi="Arial;sans-serif"/>
                <w:b w:val="false"/>
                <w:color w:val="000000"/>
                <w:sz w:val="16"/>
              </w:rPr>
              <w:t xml:space="preserve">Dilutive effect of Stock Options, RSUs and Warrants </w:t>
            </w:r>
            <w:r>
              <w:rPr>
                <w:rFonts w:ascii="Arial;sans-serif" w:hAnsi="Arial;sans-serif"/>
                <w:b w:val="false"/>
                <w:color w:val="000000"/>
                <w:sz w:val="10"/>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3,160,260 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2,646,910 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3,230,646 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3,333,534 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Diluted</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58,595,646 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60,793,516 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59,281,819 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61,372,735 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There were 2,810,840 and 3,221,617 performance-based stock options outstanding at September 30, 2023 and 2022, respectively. As of September 30, 2023, 100% of the performance-based stock options have vested. As of September 30, 2022, 63% of the performance-based stock options were expected to vest.</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2023, Sun Country's fleet consisted of 59 Boeing 737-NG aircraft, comprised of 54 Boeing 737-800s and five Boeing 737-900ERs.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the Company’s aircraft fleet activity for the nine months ended September 30, 2023 and 2022, respectively:</w:t>
      </w:r>
    </w:p>
    <w:tbl>
      <w:tblPr>
        <w:tblW w:w="10205" w:type="dxa"/>
        <w:jc w:val="left"/>
        <w:tblInd w:w="0" w:type="dxa"/>
        <w:tblLayout w:type="fixed"/>
        <w:tblCellMar>
          <w:top w:w="28" w:type="dxa"/>
          <w:left w:w="28" w:type="dxa"/>
          <w:bottom w:w="28" w:type="dxa"/>
          <w:right w:w="28" w:type="dxa"/>
        </w:tblCellMar>
      </w:tblPr>
      <w:tblGrid>
        <w:gridCol w:w="934"/>
        <w:gridCol w:w="819"/>
        <w:gridCol w:w="825"/>
        <w:gridCol w:w="496"/>
        <w:gridCol w:w="496"/>
        <w:gridCol w:w="498"/>
        <w:gridCol w:w="109"/>
        <w:gridCol w:w="109"/>
        <w:gridCol w:w="109"/>
        <w:gridCol w:w="295"/>
        <w:gridCol w:w="295"/>
        <w:gridCol w:w="296"/>
        <w:gridCol w:w="109"/>
        <w:gridCol w:w="109"/>
        <w:gridCol w:w="109"/>
        <w:gridCol w:w="485"/>
        <w:gridCol w:w="485"/>
        <w:gridCol w:w="486"/>
        <w:gridCol w:w="109"/>
        <w:gridCol w:w="109"/>
        <w:gridCol w:w="109"/>
        <w:gridCol w:w="295"/>
        <w:gridCol w:w="295"/>
        <w:gridCol w:w="296"/>
        <w:gridCol w:w="109"/>
        <w:gridCol w:w="109"/>
        <w:gridCol w:w="109"/>
        <w:gridCol w:w="467"/>
        <w:gridCol w:w="467"/>
        <w:gridCol w:w="667"/>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September 30, 2023</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4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Finance leases </w:t>
            </w:r>
            <w:r>
              <w:rPr>
                <w:rFonts w:ascii="Arial;sans-serif" w:hAnsi="Arial;sans-serif"/>
                <w:b w:val="false"/>
                <w:color w:val="000000"/>
                <w:sz w:val="13"/>
              </w:rPr>
              <w:t>(1)</w:t>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w:t>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Owned:</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w:t>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Finance leases </w:t>
            </w:r>
            <w:r>
              <w:rPr>
                <w:rFonts w:ascii="Arial;sans-serif" w:hAnsi="Arial;sans-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9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83"/>
        <w:gridCol w:w="2836"/>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Two aircraft operating leases were reclassified into finance leases, as further described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Two aircraft operating leases were reclassified into finance leases and two separate aircraft finance lease purchase options were exercised, resulting in a net change of zero finance lease reclassifications.</w:t>
            </w:r>
          </w:p>
        </w:tc>
      </w:tr>
    </w:tbl>
    <w:p>
      <w:pPr>
        <w:pStyle w:val="TextBody"/>
        <w:bidi w:val="0"/>
        <w:spacing w:lineRule="auto" w:line="288" w:before="180" w:after="283"/>
        <w:jc w:val="both"/>
        <w:rPr/>
      </w:pPr>
      <w:r>
        <w:rPr>
          <w:rFonts w:ascii="Arial;sans-serif" w:hAnsi="Arial;sans-serif"/>
          <w:b w:val="false"/>
          <w:color w:val="000000"/>
          <w:sz w:val="20"/>
        </w:rPr>
        <w:t xml:space="preserve">During the nine months ended September 30, 2023, the Company acquired five 737-900ERs that are currently on lease to an unaffiliated airline ("Aircraft Held for Operating Lease"). The five Aircraft Held for Operating Lease were financed through a term loan arrangement. See </w:t>
      </w:r>
      <w:hyperlink w:anchor="id064cbdc8b05452aaf9855cd612d84bf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 xml:space="preserve">of these Condensed Consolidated Financial Statements for more information on this transaction. Additionally, during the nine months ended September 30, 2023, the Company acquired an incremental aircraft and executed two lease amendments to purchase two aircraft at the end of their respective lease terms. The lease amendments modified the classification of these leases from operating leases to finance leases and have expiration dates in fiscal year 2024. During the three months ended September 30, 2023, management approved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plan to retire an owned aircraft. Certain parts of the aircraft were maintained for future use by the Company or held for sale. The impact of the retirement and the assets held for sale were not material to the Company's Condensed Consolidated Financial Statements. Of the 34 Owned aircraft and Aircraft Held for Operating Lease as of September 30, 2023, 31 aircraft were financed and three aircraft were unencumbered.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2022, the Company executed lease amendments to purchase two aircraft at the end of the lease term, which modified the lease classification from operating leases to finance leases with expiration dates in fiscal year 2026 and retired one aircraft. Further, the Company purchased two aircraft previously classified as finance leases using proceeds from the issuance of Class A and Class B pass-through trust certificates (the "2022-1 EETC") and purchased two aircraft previously classified as operating leases. The Company also acquired seven incremental 737-800 aircraft, five of which were financed using proceeds from the 2022-1 EETC and two through a finance lease arrangement that is set to expire in fiscal year 2030.</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Depreciation, amortization, and rent expense on aircraft are as follows:</w:t>
      </w:r>
    </w:p>
    <w:tbl>
      <w:tblPr>
        <w:tblW w:w="9854" w:type="dxa"/>
        <w:jc w:val="left"/>
        <w:tblInd w:w="0" w:type="dxa"/>
        <w:tblLayout w:type="fixed"/>
        <w:tblCellMar>
          <w:top w:w="28" w:type="dxa"/>
          <w:left w:w="28" w:type="dxa"/>
          <w:bottom w:w="28" w:type="dxa"/>
          <w:right w:w="28" w:type="dxa"/>
        </w:tblCellMar>
      </w:tblPr>
      <w:tblGrid>
        <w:gridCol w:w="596"/>
        <w:gridCol w:w="526"/>
        <w:gridCol w:w="528"/>
        <w:gridCol w:w="109"/>
        <w:gridCol w:w="109"/>
        <w:gridCol w:w="109"/>
        <w:gridCol w:w="474"/>
        <w:gridCol w:w="474"/>
        <w:gridCol w:w="476"/>
        <w:gridCol w:w="109"/>
        <w:gridCol w:w="109"/>
        <w:gridCol w:w="109"/>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Aircraft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Expense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Aircraft Rent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48,907 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41" w:type="dxa"/>
        <w:jc w:val="left"/>
        <w:tblInd w:w="0" w:type="dxa"/>
        <w:tblLayout w:type="fixed"/>
        <w:tblCellMar>
          <w:top w:w="28" w:type="dxa"/>
          <w:left w:w="28" w:type="dxa"/>
          <w:bottom w:w="28" w:type="dxa"/>
          <w:right w:w="28" w:type="dxa"/>
        </w:tblCellMar>
      </w:tblPr>
      <w:tblGrid>
        <w:gridCol w:w="124"/>
        <w:gridCol w:w="109"/>
        <w:gridCol w:w="109"/>
        <w:gridCol w:w="2541"/>
        <w:gridCol w:w="2541"/>
        <w:gridCol w:w="3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69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Aircraft Rent expense includes credits for the amortization of over-market liabilities established at the Acquisition 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5. ASSET ACQUISITIONS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2023, the Company acquired five Aircraft Held for Operating Lease. The table below reflects the cumulative balances of the five aircraft as of the acquisition dates: </w:t>
      </w:r>
    </w:p>
    <w:p>
      <w:pPr>
        <w:pStyle w:val="TextBody"/>
        <w:bidi w:val="0"/>
        <w:spacing w:before="0" w:after="0"/>
        <w:jc w:val="left"/>
        <w:rPr/>
      </w:pPr>
      <w:r>
        <w:rPr/>
      </w:r>
    </w:p>
    <w:tbl>
      <w:tblPr>
        <w:tblW w:w="9703" w:type="dxa"/>
        <w:jc w:val="left"/>
        <w:tblInd w:w="0" w:type="dxa"/>
        <w:tblLayout w:type="fixed"/>
        <w:tblCellMar>
          <w:top w:w="28" w:type="dxa"/>
          <w:left w:w="28" w:type="dxa"/>
          <w:bottom w:w="28" w:type="dxa"/>
          <w:right w:w="28" w:type="dxa"/>
        </w:tblCellMar>
      </w:tblPr>
      <w:tblGrid>
        <w:gridCol w:w="1075"/>
        <w:gridCol w:w="939"/>
        <w:gridCol w:w="955"/>
        <w:gridCol w:w="109"/>
        <w:gridCol w:w="109"/>
        <w:gridCol w:w="109"/>
        <w:gridCol w:w="1618"/>
        <w:gridCol w:w="1618"/>
        <w:gridCol w:w="1623"/>
        <w:gridCol w:w="109"/>
        <w:gridCol w:w="109"/>
        <w:gridCol w:w="109"/>
        <w:gridCol w:w="211"/>
        <w:gridCol w:w="85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Rights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Over-Market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purchase price was assigned to the assets based upon their relative fair values as of the acquisition date. The Company estimated the fair value of the Aircraft Held for Operating Lease principally based on market appraisals. The appraisals were based on an analysis of the economic conditions impacting both the airline industry and broader economy, the current fuel price environment, aircraft order data, passenger traffic levels, and qualitative and quantitative characteristics impacting the value of the acquired aircraft.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Maintenance Rights Asset was determined using a discounted cash flow method based on aircraft utilization levels at the time of the acquisition and the applicable rates as specified within the lease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Over-Market Asset was determined using a discounted cash flow model that involves the comparison of contractual lease cash flows to the estimated at-market lease payments for an aircraft of the same type and age.</w:t>
      </w:r>
    </w:p>
    <w:p>
      <w:pPr>
        <w:pStyle w:val="TextBody"/>
        <w:bidi w:val="0"/>
        <w:spacing w:lineRule="auto" w:line="288" w:before="240" w:after="283"/>
        <w:jc w:val="both"/>
        <w:rPr/>
      </w:pPr>
      <w:r>
        <w:rPr>
          <w:rFonts w:ascii="Arial;sans-serif" w:hAnsi="Arial;sans-serif"/>
          <w:b w:val="false"/>
          <w:color w:val="000000"/>
          <w:sz w:val="20"/>
        </w:rPr>
        <w:t xml:space="preserve">The purchase of the Aircraft Held for Operating Lease was financed using the proceeds from a term loan credit facility with a face amount of $119,200 and the Company's Cash and Cash Equivalents. For more information on the term loan credit facility, see </w:t>
      </w:r>
      <w:hyperlink w:anchor="id064cbdc8b05452aaf9855cd612d84bf_49">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these Condensed Consolidated Financial Statements.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Aircraft Held for Operating Lease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obtained outright ownership of the Aircraft Held for Operating Lease upon purchase and assumed the position of lessor until the end of the lease terms. The Company is entitled to fixed payments over the remaining lease term for each aircraft, which expire at various dates between the fourth quarter of 2024 and the fourth quarter of 2025. On each lease expiry date, the Aircraft Held for Operating Lease will be redelivered to Sun Country and are expected to be inducted into the Company’s fleet. The rental revenue associated with the Aircraft Held for Operating Lease is recognized as it is earned and is included in Other revenue. The Company has recognized $5,870 and $11,742 of rental revenue during the three and nine months ended September 30, 2023, respectively.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Maintenance Rights Asset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Upon purchase of the Aircraft Held for Operating Lease, the Company recognized a Maintenance Rights Asset which represents the Company’s contractual right to receive the aircraft in a specified maintenance condition at the end of the lease. The acquired leases contain an end of lease compensation clause whereby the lessee is required to remit a cash payment to true-up the aircraft’s maintenance condition to full-life or perform the maintenance tasks needed to physically restore the airframe and engines to such a condition. The asset represents the difference between the Aircraft Held for Operating Lease’s physical maintenance condition as of the purchase date and the contractual return condition at the end of the lease term. The Maintenance Rights Asset is not depreciated over the lease term, nor will it accrete as additional life is consumed on the aircraft.</w:t>
      </w:r>
    </w:p>
    <w:p>
      <w:pPr>
        <w:pStyle w:val="TextBody"/>
        <w:bidi w:val="0"/>
        <w:spacing w:lineRule="auto" w:line="256" w:before="240" w:after="283"/>
        <w:jc w:val="both"/>
        <w:rPr>
          <w:rFonts w:ascii="Arial;sans-serif" w:hAnsi="Arial;sans-serif"/>
          <w:b/>
          <w:color w:val="000000"/>
          <w:sz w:val="20"/>
        </w:rPr>
      </w:pPr>
      <w:r>
        <w:rPr>
          <w:rFonts w:ascii="Arial;sans-serif" w:hAnsi="Arial;sans-serif"/>
          <w:b/>
          <w:color w:val="000000"/>
          <w:sz w:val="20"/>
        </w:rPr>
        <w:t>Over-Market Asset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Upon purchase of the Aircraft Held for Operating Lease, the Company recognized an intangible asset representing lease terms which are favorable to the lessor (unfavorable to the lessee), as compared with market terms of similar leases. The asset will be amortized over the remaining lease terms for the respective aircraft, which ranges from 1.2 to 2.2 years as of September 30, 2023. The amortization will be recognized as contra-revenue, offsetting the rental revenue associated with the Aircraft Held for Operating Lease included in Other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DEBT</w:t>
      </w:r>
    </w:p>
    <w:p>
      <w:pPr>
        <w:pStyle w:val="TextBody"/>
        <w:bidi w:val="0"/>
        <w:spacing w:lineRule="auto" w:line="288" w:before="240" w:after="283"/>
        <w:jc w:val="both"/>
        <w:rPr/>
      </w:pPr>
      <w:r>
        <w:rPr>
          <w:rFonts w:ascii="Arial;sans-serif" w:hAnsi="Arial;sans-serif"/>
          <w:b/>
          <w:color w:val="000000"/>
          <w:sz w:val="20"/>
        </w:rPr>
        <w:t>Credit</w:t>
      </w:r>
      <w:r>
        <w:rPr>
          <w:color w:val="000000"/>
        </w:rPr>
        <w:t xml:space="preserve"> </w:t>
      </w:r>
      <w:r>
        <w:rPr>
          <w:rFonts w:ascii="Arial;sans-serif" w:hAnsi="Arial;sans-serif"/>
          <w:b/>
          <w:color w:val="000000"/>
          <w:sz w:val="20"/>
        </w:rPr>
        <w:t>Facilities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February 10, 2021, the Company executed a five-year credit agreement (the “Credit Agreement”) with a group of lenders. The Credit Agreement includes a $25,000 Revolving Credit Facility (the "Revolving Credit Facility") and a $90,000 Delayed Draw Term Loan Facility (“DDTL”), which are collectively referred to as the “Credit Facilities.”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require a minimum trailing 12-month EBITDAR ($87,700 as of March 31, 2022 and beyond) and minimum liquidity, as defined within the Credit Agreement, of $30,000 at the close of any business day. The Company was in compliance with these covenants as of September 30, 2023.</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2021, the Company drew $80,500 on the DDTL to purchase six aircraft, which were previously under operating leases. During 2022, the Company repaid the outstanding balance of the DDTL in full using proceeds received from the 2022-1 EETC, which terminated the DDTL. As a result, no amounts under the DDTL were available to the Company as of September 30, 2023. The Company recorded a $1,557 loss on extinguishment of debt in 2022 in connection with the repayment of the DDTL, which represents the write-off of the unamortized deferred financing costs. As of September 30, 2023, the Company had $24,650 of financing available through the Revolving Credit Facility, as $350 had been pledged to support a letter of credit.</w:t>
      </w:r>
    </w:p>
    <w:p>
      <w:pPr>
        <w:pStyle w:val="TextBody"/>
        <w:bidi w:val="0"/>
        <w:spacing w:lineRule="auto" w:line="288" w:before="240" w:after="283"/>
        <w:jc w:val="both"/>
        <w:rPr/>
      </w:pPr>
      <w:r>
        <w:rPr>
          <w:rFonts w:ascii="Arial;sans-serif" w:hAnsi="Arial;sans-serif"/>
          <w:b/>
          <w:color w:val="000000"/>
          <w:sz w:val="20"/>
        </w:rPr>
        <w:t>Long-term Debt</w:t>
      </w:r>
      <w:r>
        <w:rPr>
          <w:color w:val="000000"/>
        </w:rPr>
        <w:t xml:space="preserve"> </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Term Loan Credit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2023, the Company executed a term loan credit facility with a face amount of $119,200 for the purpose of financing the five Aircraft Held for Operating Lease. The loan is to be repaid monthly through March 2030. During the lease term, payments collected from the lessee will be applied directly to the repayment of principal and interest on the term loan credit facility. The Aircraft Held for Operating Lease, as well as the related lease payments received from the lessee, are pledged as collateral. During the nine months ended September 30, 2023, the Company recorded $1,820 in debt issuance costs associated with the term loan credit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at the end of the lease term. The interest rate in effect as of September 30, 2023 was 9.2%.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may be applied towards the prepayment.</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Pass-Through Trust Certificates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March 2022, the Company arranged for the issuance of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September 30, 2023.</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December 2019, the Company arranged for the issuance of Class A, Class B and Class C trust certificates Series 2019-1 (the “2019-1 EETC”), in an aggregate face amount of $248,587 for the purpose of financing or refinancing 13 used aircraft, which was completed in 2020. The Company is required to make bi-annual principal and interest payments each June and December, through December 2027. These notes bear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at an annual rate between 4.13% and 6.95%. The weighted average interest rate was 4.69% as of September 30, 2023.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includes the following:</w:t>
      </w:r>
    </w:p>
    <w:tbl>
      <w:tblPr>
        <w:tblW w:w="8845" w:type="dxa"/>
        <w:jc w:val="left"/>
        <w:tblInd w:w="0" w:type="dxa"/>
        <w:tblLayout w:type="fixed"/>
        <w:tblCellMar>
          <w:top w:w="28" w:type="dxa"/>
          <w:left w:w="28" w:type="dxa"/>
          <w:bottom w:w="28" w:type="dxa"/>
          <w:right w:w="28" w:type="dxa"/>
        </w:tblCellMar>
      </w:tblPr>
      <w:tblGrid>
        <w:gridCol w:w="1905"/>
        <w:gridCol w:w="1674"/>
        <w:gridCol w:w="1685"/>
        <w:gridCol w:w="293"/>
        <w:gridCol w:w="1190"/>
        <w:gridCol w:w="151"/>
        <w:gridCol w:w="109"/>
        <w:gridCol w:w="109"/>
        <w:gridCol w:w="109"/>
        <w:gridCol w:w="280"/>
        <w:gridCol w:w="1136"/>
        <w:gridCol w:w="204"/>
      </w:tblGrid>
      <w:tr>
        <w:trPr/>
        <w:tc>
          <w:tcPr>
            <w:tcW w:w="190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2019-1 EETC (see terms and conditions above)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176,697 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2022-1 EETC (see terms and conditions above)</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Credit Facility (see terms and conditions above)</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Debt</w:t>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439,441 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355,716 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 net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(57,548)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351,766 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294,687 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Future maturities of the outstanding Debt are as follows:</w:t>
      </w:r>
    </w:p>
    <w:tbl>
      <w:tblPr>
        <w:tblW w:w="7725" w:type="dxa"/>
        <w:jc w:val="left"/>
        <w:tblInd w:w="0" w:type="dxa"/>
        <w:tblLayout w:type="fixed"/>
        <w:tblCellMar>
          <w:top w:w="28" w:type="dxa"/>
          <w:left w:w="28" w:type="dxa"/>
          <w:bottom w:w="28" w:type="dxa"/>
          <w:right w:w="28" w:type="dxa"/>
        </w:tblCellMar>
      </w:tblPr>
      <w:tblGrid>
        <w:gridCol w:w="1038"/>
        <w:gridCol w:w="911"/>
        <w:gridCol w:w="916"/>
        <w:gridCol w:w="218"/>
        <w:gridCol w:w="885"/>
        <w:gridCol w:w="112"/>
        <w:gridCol w:w="109"/>
        <w:gridCol w:w="109"/>
        <w:gridCol w:w="109"/>
        <w:gridCol w:w="386"/>
        <w:gridCol w:w="1184"/>
        <w:gridCol w:w="200"/>
        <w:gridCol w:w="109"/>
        <w:gridCol w:w="109"/>
        <w:gridCol w:w="109"/>
        <w:gridCol w:w="211"/>
        <w:gridCol w:w="85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Debt Principal</w:t>
              <w:b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of Debt</w:t>
              <w:br/>
              <w:t>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Debt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Remainder of 2023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 of September 30, 2023</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439,441 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(4,336)</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Debt was $408,892 as of September 30, 2023 and $324,059 as of December 31, 2022. The fair value of the Company’s debt was based on the discounted amount of future cash flows using the Company’s end-of-period estimated incremental borrowing rate for similar obligations. The estimates were primarily based on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7. STOCK-BASED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Stock compensation expense was $1,039 and $487, during the three months ended September 30, 2023 and September 30, 2022, respectively; and $8,132 and $1,981 during the nine months ended September 30, 2023 and September 30, 2022, respectively. During the nine months ended September 30, 2023, all conditions associated with the time-based and performance-based options granted under the SCA Acquisition Holdings, LLC Amended and Restated Equity Incentive Plan were met. As a result, 100% of the performance-based stock options and all remaining unvested time-based options vested. Therefore, during the nine months ended September 30, 2023, the Company recognized an acceleration of stock-based compensation expense for the time-based and performance-based stock options totaling $2,960.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2023, there was $7,267 of total unrecognized compensation expense related to Restricted Stock Units ("RSUs"). This unrecognized compensation is expected to be fully recognized over a weighted average period of approximately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debt securities by major security type:</w:t>
      </w:r>
    </w:p>
    <w:tbl>
      <w:tblPr>
        <w:tblW w:w="10205" w:type="dxa"/>
        <w:jc w:val="left"/>
        <w:tblInd w:w="0" w:type="dxa"/>
        <w:tblLayout w:type="fixed"/>
        <w:tblCellMar>
          <w:top w:w="28" w:type="dxa"/>
          <w:left w:w="28" w:type="dxa"/>
          <w:bottom w:w="28" w:type="dxa"/>
          <w:right w:w="28" w:type="dxa"/>
        </w:tblCellMar>
      </w:tblPr>
      <w:tblGrid>
        <w:gridCol w:w="1063"/>
        <w:gridCol w:w="935"/>
        <w:gridCol w:w="936"/>
        <w:gridCol w:w="235"/>
        <w:gridCol w:w="955"/>
        <w:gridCol w:w="121"/>
        <w:gridCol w:w="109"/>
        <w:gridCol w:w="109"/>
        <w:gridCol w:w="109"/>
        <w:gridCol w:w="508"/>
        <w:gridCol w:w="983"/>
        <w:gridCol w:w="265"/>
        <w:gridCol w:w="109"/>
        <w:gridCol w:w="109"/>
        <w:gridCol w:w="109"/>
        <w:gridCol w:w="484"/>
        <w:gridCol w:w="1105"/>
        <w:gridCol w:w="250"/>
        <w:gridCol w:w="109"/>
        <w:gridCol w:w="109"/>
        <w:gridCol w:w="109"/>
        <w:gridCol w:w="211"/>
        <w:gridCol w:w="856"/>
        <w:gridCol w:w="317"/>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September 30, 2023</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17,021 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55,305 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74,193 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147,176 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146,519 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2"/>
        <w:gridCol w:w="934"/>
        <w:gridCol w:w="935"/>
        <w:gridCol w:w="235"/>
        <w:gridCol w:w="955"/>
        <w:gridCol w:w="121"/>
        <w:gridCol w:w="109"/>
        <w:gridCol w:w="109"/>
        <w:gridCol w:w="109"/>
        <w:gridCol w:w="530"/>
        <w:gridCol w:w="949"/>
        <w:gridCol w:w="276"/>
        <w:gridCol w:w="109"/>
        <w:gridCol w:w="109"/>
        <w:gridCol w:w="109"/>
        <w:gridCol w:w="381"/>
        <w:gridCol w:w="1265"/>
        <w:gridCol w:w="196"/>
        <w:gridCol w:w="109"/>
        <w:gridCol w:w="109"/>
        <w:gridCol w:w="109"/>
        <w:gridCol w:w="211"/>
        <w:gridCol w:w="856"/>
        <w:gridCol w:w="318"/>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Company also holds Certificates of Deposit that are included in Investments on the Condensed Consolidated Balance Sheets totaling $6,771 and $6,301 as of September 30, 2023 and December 31, 2022, respectively. </w:t>
            </w:r>
          </w:p>
        </w:tc>
      </w:tr>
    </w:tbl>
    <w:p>
      <w:pPr>
        <w:pStyle w:val="TextBody"/>
        <w:bidi w:val="0"/>
        <w:spacing w:lineRule="auto" w:line="26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2023, most of the Company's investments have been in a continuous unrealized loss position for less than 12 months. The unrealized losses were the result of increases in market interest rates and were not the result of a deterioration in the credit quality of the securities. As of September 30, 2023, the Company believes that any unrealized losses are recoverable prior to the investment's conversion to cash. As of September 30, 2023, the Company had the intent and ability to hold these investments until maturity. Therefore, the Company believes these losses to be temporary and no impairments have been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assets measured at fair value on a recurring basis:</w:t>
      </w:r>
    </w:p>
    <w:tbl>
      <w:tblPr>
        <w:tblW w:w="10205" w:type="dxa"/>
        <w:jc w:val="left"/>
        <w:tblInd w:w="0" w:type="dxa"/>
        <w:tblLayout w:type="fixed"/>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17,021 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55,305 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74,193 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146,519 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173,486 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92,086 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264,721 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10.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effective tax rate for the three and nine months ended September 30, 2023 was 24.6% and 23.1%, respectively. The effective tax rate for the three and nine months ended September 30, 2022 was 17.4% and 28.4%, respectively. The effective tax rate represents a blend of federal and state taxes and includes the impact of certain nondeductible or nontaxable items. The effective tax rates for the three and nine months ended September 30, 2022 were primarily impacted by the non-deductible adjustments to the tax receivable liability related to the Tax Receivable Agreement (the "Tax Receivable Agreement" or "TRA").</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Tax Receivable Agreement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total TRA balance as of September 30, 2023 and December 31, 2022 was $101,020 and $103,800, of which $1,511 and $2,260 was current, respectively. The TRA liability is an estimate and actual amounts payable under the TRA could differ from this estimate. During the nine months ended September 30, 2023, the Company recorded an immaterial adjustment to the estimated TRA liability. During the nine months ended September 30, 2022, the Company recorded a $5,000 adjustment to increase the estimated TRA liability. During the nine months ended September 30, 2023, the Company made a payment of $2,425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11.    STOCKHOLDERS' EQUITY</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Equity Transactions</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Secondary Offerings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February 15, 2023, the Company announced the commencement of a secondary public offering of 5,250,000 shares of its Common Stock by an affiliate of certain investment funds managed by affiliates of Apollo Global Management, Inc. ("the Apollo Stockholder"). The underwriters were given an option to purchase an additional 787,500 shares of Common Stock. In connection with the offering, the underwriters agreed to sell to the Company, and the Company agreed to purchase from the underwriters, an aggregate of 750,000 shares of Common Stock at a price of $19.75 per share, the same price at which the underwriters purchased the Common Stock from the selling stockholder, for a total of $14,812.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Company incurred offering expenses of $640 in connection with this offering and did not receive any of the proceeds.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Common Stock Repurchases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October 31, 2022, the Company’s Board of Directors authorized a $50,000 stock repurchase program. On August 1, 2023, the Company's Board of Directors authorized the addition of $30,000 to the Company's existing stock repurchase program. The stock repurchase program has no expiration date and may be modified, suspended, or terminated at any time.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fourth quarter of 2022, the Company entered into a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2023, the Company repurchased 3,307,541 shares of its Common Stock at an average price of $16.64 per share. The repurchases were part of a secondary public offering of the Company's shares by the Apollo Stockholder, as well as open market purchases completed in the second and third quarters.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2023, the Company did not have any remaining amount of Board authorization to repurchase shares of its Common Stock. Subsequent to September 30, 2023, the Company's Board of Directors authorized the addition of $25,000 to the Company's existing stock repurchase program. The stock repurchase program has no expiration date and may be modified, suspended, or terminated at any time.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Amazon Agreement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13, 2019, the Company signed a six-year contract (with two, two-year extension options, for a maximum term of 10 years) with Amazon to provide cargo services under the ATSA. In connection with the ATSA, the Company issued warrants to Amazon to purchase an aggregate of up to 9,482,606 shares of common stock at an exercise price of approximately $15.17 per share. During the nine months ended September 30, 2023 and 2022, 632,173 and 568,956 warrants vested, respectively. As of September 30, 2023 and 2022, the cumulative vested warrants held by Amazon were 3,034,441 and 2,212,616, respectively. The exercise period of these warrants is through the eighth anniversary of the issue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240" w:after="283"/>
        <w:jc w:val="both"/>
        <w:rPr/>
      </w:pPr>
      <w:r>
        <w:rPr>
          <w:rFonts w:ascii="Arial;sans-serif" w:hAnsi="Arial;sans-serif"/>
          <w:b w:val="false"/>
          <w:color w:val="000000"/>
          <w:sz w:val="20"/>
        </w:rPr>
        <w:t xml:space="preserve">The Company has contractual obligations and commitments primarily with regard to lease arrangements, repayment of debt (see </w:t>
      </w:r>
      <w:hyperlink w:anchor="id064cbdc8b05452aaf9855cd612d84bf_49">
        <w:r>
          <w:rPr>
            <w:rStyle w:val="InternetLink"/>
            <w:rFonts w:ascii="Arial;sans-serif" w:hAnsi="Arial;sans-serif"/>
            <w:b w:val="false"/>
            <w:color w:val="0000FF"/>
            <w:sz w:val="20"/>
            <w:u w:val="single"/>
          </w:rPr>
          <w:t>Note 6</w:t>
        </w:r>
      </w:hyperlink>
      <w:r>
        <w:rPr>
          <w:rFonts w:ascii="Arial;sans-serif" w:hAnsi="Arial;sans-serif"/>
          <w:b w:val="false"/>
          <w:color w:val="000000"/>
          <w:sz w:val="20"/>
        </w:rPr>
        <w:t xml:space="preserve">), payments under the TRA (see </w:t>
      </w:r>
      <w:hyperlink w:anchor="id064cbdc8b05452aaf9855cd612d84bf_61">
        <w:r>
          <w:rPr>
            <w:rStyle w:val="InternetLink"/>
            <w:rFonts w:ascii="Arial;sans-serif" w:hAnsi="Arial;sans-serif"/>
            <w:b w:val="false"/>
            <w:color w:val="0000FF"/>
            <w:sz w:val="20"/>
            <w:u w:val="single"/>
          </w:rPr>
          <w:t>Note 10</w:t>
        </w:r>
      </w:hyperlink>
      <w:r>
        <w:rPr>
          <w:rFonts w:ascii="Arial;sans-serif" w:hAnsi="Arial;sans-serif"/>
          <w:b w:val="false"/>
          <w:color w:val="000000"/>
          <w:sz w:val="20"/>
        </w:rPr>
        <w:t>), and probable future purchases of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September 30, 2023, the Company had a commitment to lease three aircraft with deliveries spanning the fourth quarter of 2023 and the first quarter of 2024. The leases will each have annual lease payments of approximately $2,000 for six years.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2023, the Company had a commitment to purchase an aircraft with an expected delivery in the fourth quarter of 2023. The purchase agreement calls for a base price of $27,500 that is subject to adjustment based on the aircraft's maintenance condition on the date of delivery.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twelve months ended June 30, 2022, the compensation payable to an executive officer temporarily exceeded the restrictions on the payment of certain executive compensation under the Coronavirus Aid, Relief, and Economic Security Act ("CARES Act"). Once the issue was identified, the executive officer voluntarily rescinded the unvested portion of the equity grant that caused the executive’s compensation to exceed the CARES Act limit. At no point did the executive's cash compensation and equity awards that could be monetized exceed the CARES Act limit. The Company did not accrue any amounts related to this matter as of September 30, 2023. To the extent we are deemed to have failed to remain in full compliance with the CARES Act and the applicable rules and regulations thereunder, we may become subject to fines or other enforcement actions.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various legal proceedings in the normal course of business and expenses legal costs as incurred. Management does not believe these proceedings will have a materially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13.    OPERATING SEGMENTS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tables present financial information for the Company’s two operating segments: Passenger and Cargo. Operating revenues for the Passenger segment includes amounts recorded within Other revenue. </w:t>
      </w:r>
    </w:p>
    <w:tbl>
      <w:tblPr>
        <w:tblW w:w="10205" w:type="dxa"/>
        <w:jc w:val="left"/>
        <w:tblInd w:w="0" w:type="dxa"/>
        <w:tblLayout w:type="fixed"/>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2022</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2022</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420,364 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14.    SUBSEQUENT EVENTS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evaluated subsequent events for the period from the Balance Sheet date through November 7, 2023, the date that the Condensed Consolidated Financial Statements were available to be issued.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Subsequent to September 30, 2023, the Company's Board of Directors authorized the addition of $25,000 to the Company's existing stock repurchase program. The stock repurchase program has no expiration date and may be modified, suspended, or terminated at any time.</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Unless otherwise indicated, the terms “Sun Country,” “we,” “us” and “our” refer to Sun Country Airlines Holdings,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both"/>
        <w:rPr/>
      </w:pPr>
      <w:r>
        <w:rPr>
          <w:rFonts w:ascii="Arial;sans-serif" w:hAnsi="Arial;sans-serif"/>
          <w:b w:val="false"/>
          <w:i/>
          <w:color w:val="000000"/>
          <w:sz w:val="20"/>
        </w:rPr>
        <w:t>The following discussion and analysis presents factors that had a material effect on our results of operations during the nine months ended September 30, 2023 and 2022. Also discussed is our financial position as of September 30, 2023 and December 31, 2022.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2022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r>
        <w:fldChar w:fldCharType="begin"/>
      </w:r>
      <w:r>
        <w:rPr>
          <w:rStyle w:val="InternetLink"/>
          <w:sz w:val="20"/>
          <w:i/>
          <w:u w:val="single"/>
          <w:b w:val="false"/>
          <w:rFonts w:ascii="Arial;sans-serif" w:hAnsi="Arial;sans-serif"/>
          <w:color w:val="0000FF"/>
        </w:rPr>
        <w:instrText xml:space="preserve"> HYPERLINK "https://www.sec.gov/ix?doc=/Archives/edgar/data/1743907/000174390723000009/sncy-20221231.htm" \l "i684c337f82b14842ad2d4798d3d17a69_25"</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Risk Factors</w:t>
      </w:r>
      <w:r>
        <w:rPr>
          <w:rStyle w:val="InternetLink"/>
          <w:sz w:val="20"/>
          <w:i/>
          <w:u w:val="single"/>
          <w:b w:val="false"/>
          <w:rFonts w:ascii="Arial;sans-serif" w:hAnsi="Arial;sans-serif"/>
          <w:color w:val="0000FF"/>
        </w:rPr>
        <w:fldChar w:fldCharType="end"/>
      </w:r>
      <w:r>
        <w:rPr>
          <w:color w:val="000000"/>
        </w:rPr>
        <w:t xml:space="preserve">” </w:t>
      </w:r>
      <w:r>
        <w:rPr>
          <w:rFonts w:ascii="Arial;sans-serif" w:hAnsi="Arial;sans-serif"/>
          <w:b w:val="false"/>
          <w:i/>
          <w:color w:val="000000"/>
          <w:sz w:val="20"/>
        </w:rPr>
        <w:t>included herein and in our 2022 10-K and in our Quarterly Report on Form 10-Q for the periods ended March 31, 2023 ("March 31, 2023 10-Q") and June 30, 2023 ("June 30, 2023 10-Q") to gain an understanding of the important factors that could cause actual results to differ materially from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and charter customers and providing crew, maintenance and insurance (“CMI”) services, with flights throughout the U.S.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scheduled service business combines low costs with a high-quality product to generate higher Total Revenue per Available Seat Mile (“TRASM”) than Ultra Low-Cost Carriers ("ULCCs", which include Allegiant Travel Company, Frontier Airlines and Spirit Airlines) while maintaining lower Adjusted Cost per Available Seat Mile (“CASM”) than Low Cost Carriers ("LCCs", which include Southwest Airlines and JetBlue Airways),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For example, our product includes more average legroom than ULCCs, complimentary soft drinks and juices, complimentary in-flight entertainment, and in-seat power, none of which are offered by other ULCCs.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charter business, which is one of the largest narrow body charter operations in the United States, is a key component of our strategy because it provides both inherent diversification and downside protection, and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and collegiate and professional sports teams. Our charter business includes ad hoc, repeat, short-term and long-term service contracts with pass-through fuel arrangements and annual rate escalations. Most of our business is non-cyclical because the U.S. Department of Defense and sports teams continue to fly during normal economic downturns and our casino contracts are long-term in nature. </w:t>
      </w:r>
    </w:p>
    <w:p>
      <w:pPr>
        <w:pStyle w:val="TextBody"/>
        <w:bidi w:val="0"/>
        <w:spacing w:lineRule="auto" w:line="288" w:before="240" w:after="283"/>
        <w:jc w:val="both"/>
        <w:rPr/>
      </w:pPr>
      <w:r>
        <w:rPr>
          <w:rFonts w:ascii="Arial;sans-serif" w:hAnsi="Arial;sans-serif"/>
          <w:b w:val="false"/>
          <w:color w:val="000000"/>
          <w:sz w:val="20"/>
        </w:rPr>
        <w:t xml:space="preserve">On December 13, 2019, we signed </w:t>
      </w:r>
      <w:r>
        <w:rPr>
          <w:rFonts w:ascii="Arial;sans-serif" w:hAnsi="Arial;sans-serif"/>
          <w:b w:val="false"/>
          <w:color w:val="231F20"/>
          <w:sz w:val="20"/>
        </w:rPr>
        <w:t xml:space="preserve">the </w:t>
      </w:r>
      <w:r>
        <w:rPr>
          <w:rFonts w:ascii="Arial;sans-serif" w:hAnsi="Arial;sans-serif"/>
          <w:b w:val="false"/>
          <w:color w:val="000000"/>
          <w:sz w:val="20"/>
        </w:rPr>
        <w:t>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businesses. Our cargo business also enables us to leverage certain assets, capabilities, and fixed costs to enhance profitability and promote growth across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Operations in Review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complimentary streaming of in-flight entertainment to passenger devices, seat reclining and seat-back power in all of our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Pilot training throughput issues, fuel price volatility due to market conditions and geopolitical events, and the impact of macroeconomic conditions, including inflationary pressures, continue to impact the Company, as well as the industry. In the current demand environment, the Company has been able to maintain relatively strong performance by relying on its core competency of optimizing capacity allocation by market, time of year, day of week and line of business by appropriately allocating capacity to best meet demand. Further, our diversified business model, which includes a focus on leisure and VFR passengers, charter and e-commerce related cargo service, is unique in the airline sector and mitigates the impact of economic and industry downturns on our business when compared with other large U.S. passenger airlines. This strategy has allowed the Company to offset a majority of these additional costs. Further, our Charter and Cargo businesses have the ability to pass on certain costs, including fuel. Our flexible business model gives us the ability to adjust our services in response to market conditions, which is targeted at producing the highest possible returns for Sun Country.</w:t>
      </w:r>
    </w:p>
    <w:p>
      <w:pPr>
        <w:pStyle w:val="TextBody"/>
        <w:bidi w:val="0"/>
        <w:spacing w:lineRule="auto" w:line="288" w:before="240" w:after="283"/>
        <w:jc w:val="both"/>
        <w:rPr/>
      </w:pPr>
      <w:r>
        <w:rPr>
          <w:rFonts w:ascii="Arial;sans-serif" w:hAnsi="Arial;sans-serif"/>
          <w:b w:val="false"/>
          <w:color w:val="000000"/>
          <w:sz w:val="20"/>
        </w:rPr>
        <w:t xml:space="preserve">For more information on our business and strategic advantages, see the "Business" and “Management’s Discussion and Analysis of Operations” sections within Part 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"i684c337f82b14842ad2d4798d3d17a69_22"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1</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 xml:space="preserve">and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rFonts w:ascii="Arial;sans-serif" w:hAnsi="Arial;sans-serif"/>
          <w:b w:val="false"/>
          <w:color w:val="000000"/>
          <w:sz w:val="20"/>
        </w:rPr>
        <w:t>, respectively, in our 2022 10-K.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Components of Operations</w:t>
      </w:r>
    </w:p>
    <w:p>
      <w:pPr>
        <w:pStyle w:val="TextBody"/>
        <w:bidi w:val="0"/>
        <w:spacing w:lineRule="auto" w:line="288" w:before="240" w:after="283"/>
        <w:jc w:val="both"/>
        <w:rPr/>
      </w:pPr>
      <w:r>
        <w:rPr>
          <w:rFonts w:ascii="Arial;sans-serif" w:hAnsi="Arial;sans-serif"/>
          <w:b w:val="false"/>
          <w:color w:val="000000"/>
          <w:sz w:val="20"/>
        </w:rPr>
        <w:t xml:space="preserve">For a more detailed discussion on the nature of transactions included in the separate line items of our Condensed Consolidated Statement of Operations, see “Management’s Discussion and Analysis of Operations” in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Statistics</w:t>
      </w:r>
    </w:p>
    <w:tbl>
      <w:tblPr>
        <w:tblW w:w="10205" w:type="dxa"/>
        <w:jc w:val="left"/>
        <w:tblInd w:w="0" w:type="dxa"/>
        <w:tblLayout w:type="fixed"/>
        <w:tblCellMar>
          <w:top w:w="28" w:type="dxa"/>
          <w:left w:w="28" w:type="dxa"/>
          <w:bottom w:w="28" w:type="dxa"/>
          <w:right w:w="28" w:type="dxa"/>
        </w:tblCellMar>
      </w:tblPr>
      <w:tblGrid>
        <w:gridCol w:w="706"/>
        <w:gridCol w:w="611"/>
        <w:gridCol w:w="617"/>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55"/>
      </w:tblGrid>
      <w:tr>
        <w:trPr/>
        <w:tc>
          <w:tcPr>
            <w:tcW w:w="7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Three Months Ended September 30, 2023 </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Three Months Ended September 30, 2022 </w:t>
            </w:r>
            <w:r>
              <w:rPr>
                <w:rFonts w:ascii="Arial;sans-serif" w:hAnsi="Arial;sans-serif"/>
                <w:b/>
                <w:color w:val="000000"/>
                <w:sz w:val="8"/>
              </w:rPr>
              <w:t>(1)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3,043 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7,776,676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3,599,149 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13,341,868 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6,777,764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3,399,149 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11,864,450 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1,446,462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1,256,755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Total revenue per ASM (TRASM) (cents)</w:t>
            </w:r>
            <w:r>
              <w:rPr>
                <w:color w:val="000000"/>
              </w:rPr>
              <w:t xml:space="preserve"> </w:t>
            </w:r>
            <w:r>
              <w:rPr>
                <w:rFonts w:ascii="Arial;sans-serif" w:hAnsi="Arial;sans-serif"/>
                <w:b w:val="false"/>
                <w:color w:val="000000"/>
                <w:sz w:val="8"/>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Aircraft Held for Operating Lease</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1,090,172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908,967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1,252,583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(5)</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86.6 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87.6 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(5)</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Total fare per passenger </w:t>
            </w:r>
            <w:r>
              <w:rPr>
                <w:rFonts w:ascii="Arial;sans-serif" w:hAnsi="Arial;sans-serif"/>
                <w:b w:val="false"/>
                <w:color w:val="000000"/>
                <w:sz w:val="8"/>
              </w:rPr>
              <w:t>(5)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(5)</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(7)</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TRASM includes Schedule Service revenue, Ancillary revenue, and ASM generating revenue classified within Other Revenue on the Condensed Consolidated Statements of Operations.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(4)Scheduled Service and Charter Service utilize the same fleet of aircraft. Aircraft counts and utilization metrics are shown on a system basis only.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(5)Passenger-related statistics and metrics are shown only for Scheduled Service. Charter Service revenue is driven by flight statistics.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(6)CASM is a key airline cost metric. CASM is defined as operating expenses divided by total available seat miles.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(7)Adjusted CASM is a non-GAAP measure derived from CASM by excluding fuel costs, costs related to our cargo operations, and certain other costs that are unrelated to our airline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Operating Statistics</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706"/>
        <w:gridCol w:w="611"/>
        <w:gridCol w:w="617"/>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8"/>
        <w:gridCol w:w="458"/>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55"/>
      </w:tblGrid>
      <w:tr>
        <w:trPr/>
        <w:tc>
          <w:tcPr>
            <w:tcW w:w="7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Nine Months Ended September 30, 2023</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Nine Months Ended September 30, 2022 </w:t>
            </w:r>
            <w:r>
              <w:rPr>
                <w:rFonts w:ascii="Arial;sans-serif" w:hAnsi="Arial;sans-serif"/>
                <w:b/>
                <w:color w:val="000000"/>
                <w:sz w:val="8"/>
              </w:rPr>
              <w:t>(1)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9,643 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8,310 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32,246 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24,139,614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5,522,791 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9,732,308 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39,758,210 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23,112,200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4,630,257 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9,209,477 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37,113,673 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4,489,968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4,284,403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5,114,134 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Total revenue per ASM (TRASM) (cents)</w:t>
            </w:r>
            <w:r>
              <w:rPr>
                <w:color w:val="000000"/>
              </w:rPr>
              <w:t xml:space="preserve"> </w:t>
            </w:r>
            <w:r>
              <w:rPr>
                <w:rFonts w:ascii="Arial;sans-serif" w:hAnsi="Arial;sans-serif"/>
                <w:b w:val="false"/>
                <w:color w:val="000000"/>
                <w:sz w:val="8"/>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Aircraft Held for Operating Lease</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3,093,536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2,715,707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3,900,975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3,565,501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(5)</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86.9 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(5)</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Total fare per passenger </w:t>
            </w:r>
            <w:r>
              <w:rPr>
                <w:rFonts w:ascii="Arial;sans-serif" w:hAnsi="Arial;sans-serif"/>
                <w:b w:val="false"/>
                <w:color w:val="000000"/>
                <w:sz w:val="8"/>
              </w:rPr>
              <w:t>(5)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(5)</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54,322 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(7)</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TRASM includes Schedule Service revenue, Ancillary revenue, and ASM generating revenue classified within Other Revenue on the Condensed Consolidated Statements of Operations.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(4)Scheduled Service and Charter Service utilize the same fleet of aircraft. Aircraft counts and utilization metrics are shown on a system basis only.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(5)Passenger-related statistics and metrics are shown only for Scheduled Service. Charter Service revenue is driven by flight statistics.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(6)CASM is a key airline cost metric. CASM is defined as operating expenses divided by total available seat miles.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(7)Adjusted CASM is a non-GAAP measure derived from CASM by excluding fuel costs, costs related to our cargo operations, and certain other costs that are unrelated to our airline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September 30, 2023 and 2022</w:t>
      </w:r>
    </w:p>
    <w:p>
      <w:pPr>
        <w:pStyle w:val="TextBody"/>
        <w:bidi w:val="0"/>
        <w:spacing w:before="0" w:after="0"/>
        <w:jc w:val="both"/>
        <w:rPr/>
      </w:pPr>
      <w:r>
        <w:rPr/>
      </w:r>
    </w:p>
    <w:tbl>
      <w:tblPr>
        <w:tblW w:w="8901" w:type="dxa"/>
        <w:jc w:val="left"/>
        <w:tblInd w:w="0" w:type="dxa"/>
        <w:tblLayout w:type="fixed"/>
        <w:tblCellMar>
          <w:top w:w="28" w:type="dxa"/>
          <w:left w:w="28" w:type="dxa"/>
          <w:bottom w:w="28" w:type="dxa"/>
          <w:right w:w="28" w:type="dxa"/>
        </w:tblCellMar>
      </w:tblPr>
      <w:tblGrid>
        <w:gridCol w:w="1168"/>
        <w:gridCol w:w="1026"/>
        <w:gridCol w:w="1030"/>
        <w:gridCol w:w="239"/>
        <w:gridCol w:w="853"/>
        <w:gridCol w:w="123"/>
        <w:gridCol w:w="123"/>
        <w:gridCol w:w="123"/>
        <w:gridCol w:w="123"/>
        <w:gridCol w:w="239"/>
        <w:gridCol w:w="973"/>
        <w:gridCol w:w="123"/>
        <w:gridCol w:w="109"/>
        <w:gridCol w:w="109"/>
        <w:gridCol w:w="109"/>
        <w:gridCol w:w="211"/>
        <w:gridCol w:w="706"/>
        <w:gridCol w:w="109"/>
        <w:gridCol w:w="109"/>
        <w:gridCol w:w="109"/>
        <w:gridCol w:w="109"/>
        <w:gridCol w:w="268"/>
        <w:gridCol w:w="272"/>
        <w:gridCol w:w="53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206,309 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2414" w:type="dxa"/>
        <w:jc w:val="left"/>
        <w:tblInd w:w="0" w:type="dxa"/>
        <w:tblLayout w:type="fixed"/>
        <w:tblCellMar>
          <w:top w:w="28" w:type="dxa"/>
          <w:left w:w="28" w:type="dxa"/>
          <w:bottom w:w="28" w:type="dxa"/>
          <w:right w:w="28" w:type="dxa"/>
        </w:tblCellMar>
      </w:tblPr>
      <w:tblGrid>
        <w:gridCol w:w="773"/>
        <w:gridCol w:w="679"/>
        <w:gridCol w:w="962"/>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"NM" stands for not meaningful</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Total Operating Revenues increased $27,176, or 12%, to $248,876 for the three months ended September 30, 2023 as compared to the three months ended September 30, 2022. The revenue increase was largely driven by a 14% increase in average passenger aircraft, which led to a 20% increase in passenger segment departures and a 15% increase in passenger segment ASMs. The volume increases offset the decrease to average total fare per passenger of $14.62, or 9%, to $153.11 for the three months ended September 30, 2023, as compared to the three months ended September 30, 2022. Total Operating Revenues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September 30, 2023 benefited from the $5,870 of rental revenue associated with the five Aircraft Held for Operating Lease acquired during the first half of 2023.</w:t>
      </w:r>
    </w:p>
    <w:p>
      <w:pPr>
        <w:pStyle w:val="TextBody"/>
        <w:bidi w:val="0"/>
        <w:spacing w:lineRule="auto" w:line="288" w:before="240" w:after="283"/>
        <w:jc w:val="both"/>
        <w:rPr/>
      </w:pPr>
      <w:r>
        <w:rPr>
          <w:rFonts w:ascii="Arial;sans-serif" w:hAnsi="Arial;sans-serif"/>
          <w:b/>
          <w:i/>
          <w:color w:val="000000"/>
          <w:sz w:val="20"/>
        </w:rPr>
        <w:t>Scheduled Service</w:t>
      </w:r>
      <w:r>
        <w:rPr>
          <w:rFonts w:ascii="Arial;sans-serif" w:hAnsi="Arial;sans-serif"/>
          <w:b w:val="false"/>
          <w:i/>
          <w:color w:val="000000"/>
          <w:sz w:val="20"/>
        </w:rPr>
        <w:t xml:space="preserve">. </w:t>
      </w:r>
      <w:r>
        <w:rPr>
          <w:rFonts w:ascii="Arial;sans-serif" w:hAnsi="Arial;sans-serif"/>
          <w:b w:val="false"/>
          <w:color w:val="000000"/>
          <w:sz w:val="20"/>
        </w:rPr>
        <w:t>Scheduled Service revenue decreased $5,717, or 6%, to $96,483 for the three months ended September 30, 2023 as compared to the three months ended September 30, 2022. The table below presents select operating data for scheduled service, expressed as quarter-over-quarter changes:</w:t>
      </w:r>
    </w:p>
    <w:tbl>
      <w:tblPr>
        <w:tblW w:w="8866" w:type="dxa"/>
        <w:jc w:val="left"/>
        <w:tblInd w:w="0" w:type="dxa"/>
        <w:tblLayout w:type="fixed"/>
        <w:tblCellMar>
          <w:top w:w="28" w:type="dxa"/>
          <w:left w:w="28" w:type="dxa"/>
          <w:bottom w:w="28" w:type="dxa"/>
          <w:right w:w="28" w:type="dxa"/>
        </w:tblCellMar>
      </w:tblPr>
      <w:tblGrid>
        <w:gridCol w:w="1085"/>
        <w:gridCol w:w="952"/>
        <w:gridCol w:w="963"/>
        <w:gridCol w:w="251"/>
        <w:gridCol w:w="770"/>
        <w:gridCol w:w="307"/>
        <w:gridCol w:w="117"/>
        <w:gridCol w:w="117"/>
        <w:gridCol w:w="117"/>
        <w:gridCol w:w="227"/>
        <w:gridCol w:w="808"/>
        <w:gridCol w:w="307"/>
        <w:gridCol w:w="109"/>
        <w:gridCol w:w="109"/>
        <w:gridCol w:w="109"/>
        <w:gridCol w:w="211"/>
        <w:gridCol w:w="706"/>
        <w:gridCol w:w="376"/>
        <w:gridCol w:w="109"/>
        <w:gridCol w:w="109"/>
        <w:gridCol w:w="109"/>
        <w:gridCol w:w="218"/>
        <w:gridCol w:w="218"/>
        <w:gridCol w:w="46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1,090,172 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908,967 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181,205 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1,252,583 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1,101,011 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151,572 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1,446,462 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1,256,755 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189,707 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quarter-over-quarter increases in certain Scheduled Service operating data were primarily the result of an increase in capacity and materially consistent demand. Scheduled Service departures and ASMs increased by 23% and 15%, respectively, as a result of the 14% quarter-over-quarter increase in the average passenger aircraft for the period. This increase in capacity drove the 20% increase in passengers, while TRASM and load factor had decreases quarter-over-quarter. The decrease quarter-over-quarter was further impacted by the rate increase for an Ancillary product, which reclassified portions of revenue from Scheduled Service to Ancillary after its introduction in the second quarter of 2022. The quarter-over-quarter increase in rate for this Ancillary product decreased Scheduled Service revenue by $24,037 for the three months ended September 30, 2023, as compared to $11,633 during the three months ended September 30, 2022. </w:t>
      </w:r>
    </w:p>
    <w:p>
      <w:pPr>
        <w:pStyle w:val="TextBody"/>
        <w:bidi w:val="0"/>
        <w:spacing w:lineRule="auto" w:line="288" w:before="240" w:after="283"/>
        <w:jc w:val="both"/>
        <w:rPr/>
      </w:pPr>
      <w:r>
        <w:rPr>
          <w:rFonts w:ascii="Arial;sans-serif" w:hAnsi="Arial;sans-serif"/>
          <w:b/>
          <w:i/>
          <w:color w:val="000000"/>
          <w:sz w:val="20"/>
        </w:rPr>
        <w:t>Charter Service.</w:t>
      </w:r>
      <w:r>
        <w:rPr>
          <w:color w:val="000000"/>
        </w:rPr>
        <w:t xml:space="preserve"> </w:t>
      </w:r>
      <w:r>
        <w:rPr>
          <w:rFonts w:ascii="Arial;sans-serif" w:hAnsi="Arial;sans-serif"/>
          <w:b w:val="false"/>
          <w:color w:val="000000"/>
          <w:sz w:val="20"/>
        </w:rPr>
        <w:t xml:space="preserve">Charter Service revenue increased $4,538, or 11%, to $47,437 for the three months ended September 30, 2023, as compared to the three months ended September 30, 2022. The increase in Charter service revenue was driven by a 14% increase in both Charter Service block hours and departures as a result of increased activity with long-term charter customers. Charter Service revenue per block hour was materially consistent quarter-over-quarter. </w:t>
      </w:r>
    </w:p>
    <w:p>
      <w:pPr>
        <w:pStyle w:val="TextBody"/>
        <w:bidi w:val="0"/>
        <w:spacing w:lineRule="auto" w:line="288" w:before="240" w:after="283"/>
        <w:jc w:val="both"/>
        <w:rPr/>
      </w:pPr>
      <w:r>
        <w:rPr>
          <w:rFonts w:ascii="Arial;sans-serif" w:hAnsi="Arial;sans-serif"/>
          <w:b/>
          <w:i/>
          <w:color w:val="000000"/>
          <w:sz w:val="20"/>
        </w:rPr>
        <w:t>Ancillary</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Ancillary revenue increased $20,174, or 40%, to $70,435 for the three months ended September 30, 2023, as compared to the three months ended September 30, 2022. Ancillary revenue was $64.61 per passenger in the three months ended September 30, 2023, up $9.32 or 17%, as compared to the three months ended September 30, 2022. The increase in Scheduled Service passengers during the period resulted in a higher volume of sales for air travel-related services, such as baggage fees, seat selection and upgrade fees, priority check-in and boarding fees, itinerary service fees, other fees and on-board sales. The increase in revenue was further supported by rate increases for our Ancillary products. The change quarter-over-quarter was also impacted by an increase in rate for an Ancillary product, which reclassified portions of revenue from Scheduled Service to Ancillary after its introduction in the second quarter of 2022. The increase in rate increased revenue by $24,037 for the three months ended September 30, 2023, as compared to $11,633 during the three months ended September 30, 2022.</w:t>
      </w:r>
    </w:p>
    <w:p>
      <w:pPr>
        <w:pStyle w:val="TextBody"/>
        <w:bidi w:val="0"/>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$2,372, or 10%, to $26,059 for the three months ended September 30, 2023, as compared to the three months ended September 30, 2022. The increase was primarily driven by a 13% and 6% quarter-over-quarter increase in departures and block hours, respectively.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three months ended September 30, 2023 also benefited from the annual rate escalation included in the ATSA, which went into effect on December 13, 2022. </w:t>
      </w:r>
    </w:p>
    <w:p>
      <w:pPr>
        <w:pStyle w:val="TextBody"/>
        <w:bidi w:val="0"/>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increased $5,809, or 219%, to $8,462 for the three months ended September 30, 2023, as compared to the three months ended September 30, 2022. Other revenue benefited from the $5,870 of rental revenue associated with the five Aircraft Held for Operating Lease acquired during the first half of 2023.</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97"/>
        <w:gridCol w:w="1485"/>
        <w:gridCol w:w="1490"/>
        <w:gridCol w:w="248"/>
        <w:gridCol w:w="885"/>
        <w:gridCol w:w="128"/>
        <w:gridCol w:w="128"/>
        <w:gridCol w:w="128"/>
        <w:gridCol w:w="128"/>
        <w:gridCol w:w="248"/>
        <w:gridCol w:w="885"/>
        <w:gridCol w:w="128"/>
        <w:gridCol w:w="109"/>
        <w:gridCol w:w="109"/>
        <w:gridCol w:w="109"/>
        <w:gridCol w:w="211"/>
        <w:gridCol w:w="703"/>
        <w:gridCol w:w="109"/>
        <w:gridCol w:w="109"/>
        <w:gridCol w:w="109"/>
        <w:gridCol w:w="109"/>
        <w:gridCol w:w="240"/>
        <w:gridCol w:w="241"/>
        <w:gridCol w:w="469"/>
      </w:tblGrid>
      <w:tr>
        <w:trPr/>
        <w:tc>
          <w:tcPr>
            <w:tcW w:w="169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4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64,914 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60" w:after="283"/>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Aircraft Fuel expense decreased 6% quarter-over-quarter primarily due to a 19% decrease in the average fuel cost per gallon, partially offset by a 17% increase in consumption. The price of fuel during the three months ended September 30, 2022 was significantly impacted by global geopolitical events.</w:t>
      </w:r>
    </w:p>
    <w:p>
      <w:pPr>
        <w:pStyle w:val="TextBody"/>
        <w:bidi w:val="0"/>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xml:space="preserve">. Salaries, Wages, and Benefits expense increased $13,880, or 24%, to $72,541 for the three months ended September 30, 2023, as compared to the three months ended September 30, 2022. The quarter-over-quarter increase in Salaries, Wages, and Benefits was impacted by a 14% increase in employee headcount and increased per unit costs for pilots and flight crews to support the current flight schedule. </w:t>
      </w:r>
    </w:p>
    <w:p>
      <w:pPr>
        <w:pStyle w:val="TextBody"/>
        <w:bidi w:val="0"/>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xml:space="preserve">. Aircraft Rent expense decreased $1,927, or 99%, to $22 for the three months ended September 30, 2023, as compared to the three months ended September 30, 2022.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As of September 30, 2023 and 2022, we operated no and two aircraft under operating leases, respectively. Accordingly, Aircraft Rent expense is expected to be nominal in future periods. The acquisition of new aircraft through operating leases is at the discretion of management. </w:t>
      </w:r>
    </w:p>
    <w:p>
      <w:pPr>
        <w:pStyle w:val="TextBody"/>
        <w:bidi w:val="0"/>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xml:space="preserve">. Maintenance expense increased $4,312, or 39%, to $15,330 for the three months ended September 30, 2023, as compared to the three months ended September 30, 2022. The increase in Maintenance expense was primarily driven by the timing of heavy maintenance events and unscheduled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repairs, as well as higher maintenance costs due to the quarter-over-quarter increase in the size of our fleet and operations.</w:t>
      </w:r>
    </w:p>
    <w:p>
      <w:pPr>
        <w:pStyle w:val="TextBody"/>
        <w:bidi w:val="0"/>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xml:space="preserve">. Sales and Marketing expense increased $742, or 11%, to $7,569 for the three months ended September 30, 2023, as compared to the three months ended September 30, 2022. The change quarter-over-quarter was primarily driven by a $415 increase in credit card processing fees, as a result of the 20% increase in Scheduled Service passengers. </w:t>
      </w:r>
    </w:p>
    <w:p>
      <w:pPr>
        <w:pStyle w:val="TextBody"/>
        <w:bidi w:val="0"/>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 increased $5,581, or 32%, to $22,762 for the three months ended September 30, 2023, as compared to the three months ended September 30, 2022. The increase was primarily due to the impact of a change in the composition of our aircraft fleet that results in an increased number of owned aircraft and aircraft under finance leases (the expense is recorded as Depreciation and Amortization and Interest Expense). As of September 30, 2023 and 2022, there were 47 and 40 aircraft that were owned or under finance leases, respectively.</w:t>
      </w:r>
    </w:p>
    <w:p>
      <w:pPr>
        <w:pStyle w:val="TextBody"/>
        <w:bidi w:val="0"/>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xml:space="preserve">. Ground Handling expense increased $713, or 8%, to $9,382 for the three months ended September 30, 2023, as compared to the three months ended September 30, 2022. The increase was primarily driven by the 20% increase in Passenger segment departures as a result of our expanding operations, as well as rate increases due to market pressures. </w:t>
      </w:r>
    </w:p>
    <w:p>
      <w:pPr>
        <w:pStyle w:val="TextBody"/>
        <w:bidi w:val="0"/>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xml:space="preserve">. Landing Fees and Airport Rent increased $1,032, or 8%, to $13,958 for the three months ended September 30, 2023, as compared to the three months ended September 30, 2022. The increase was primarily driven by the 20% increase in Passenger segment departures as a result of our expanding operations, as well as rate increases due to market pressures. </w:t>
      </w:r>
    </w:p>
    <w:p>
      <w:pPr>
        <w:pStyle w:val="TextBody"/>
        <w:bidi w:val="0"/>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Other operating, net increased $2,892, or 12%, to $27,127 for the three months ended September 30, 2023, as compared to the three months ended September 30, 2022, primarily due to increases in costs associated with our operational growth, as well as an increase in third-party vendor spend.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bidi w:val="0"/>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increased $870, or 54%, to $2,480 for the three months ended September 30, 2023, as compared to the three months ended September 30, 2022. The increase was primarily due to increases in the amount of investments held and higher interest rates.</w:t>
      </w:r>
    </w:p>
    <w:p>
      <w:pPr>
        <w:pStyle w:val="TextBody"/>
        <w:bidi w:val="0"/>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xml:space="preserve">. Interest expense increased $3,910, or 52%, to $11,403 for the three months ended September 30, 2023, as compared to the three months ended September 30, 2022. The change was primarily due to a 19% increase in owned aircraft that were financed or refinanced with debt proceeds. This includes the term loan credit facility for the purpose of financing the five Aircraft Held for Operating Lease purchased during the first half of 2023, which was financed in a higher interest rate environment. For more information on the Company's Debt, see </w:t>
      </w:r>
      <w:hyperlink w:anchor="id064cbdc8b05452aaf9855cd612d84bf_49">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Other, net decreased $3,437, or 100% to a net expense of $15 for the three months ended September 30, 2023, as compared to a net benefit of $3,422 for the three months ended September 30, 2022. The decrease was primarily due to the $3,500 adjustment to the estimated TRA liability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 xml:space="preserve">The Company's effective tax rate for the three months ended September 30, 2023 was 24.6% compared to 17.4% for the three months ended September 30, 2022. The increase in the effective tax rate was primarily due to the $3,500 non-deductible adjustment of the TRA liability in the prior period, partially offset by stock compensation benefits. For more information on the TRA liability, see </w:t>
      </w:r>
      <w:hyperlink w:anchor="id064cbdc8b05452aaf9855cd612d84bf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Nine Months Ended September 30, 2023 and 2022</w:t>
      </w:r>
    </w:p>
    <w:p>
      <w:pPr>
        <w:pStyle w:val="TextBody"/>
        <w:bidi w:val="0"/>
        <w:spacing w:before="0" w:after="0"/>
        <w:jc w:val="both"/>
        <w:rPr/>
      </w:pPr>
      <w:r>
        <w:rPr/>
      </w:r>
    </w:p>
    <w:tbl>
      <w:tblPr>
        <w:tblW w:w="8801" w:type="dxa"/>
        <w:jc w:val="left"/>
        <w:tblInd w:w="0" w:type="dxa"/>
        <w:tblLayout w:type="fixed"/>
        <w:tblCellMar>
          <w:top w:w="28" w:type="dxa"/>
          <w:left w:w="28" w:type="dxa"/>
          <w:bottom w:w="28" w:type="dxa"/>
          <w:right w:w="28" w:type="dxa"/>
        </w:tblCellMar>
      </w:tblPr>
      <w:tblGrid>
        <w:gridCol w:w="1168"/>
        <w:gridCol w:w="1026"/>
        <w:gridCol w:w="1030"/>
        <w:gridCol w:w="223"/>
        <w:gridCol w:w="906"/>
        <w:gridCol w:w="115"/>
        <w:gridCol w:w="115"/>
        <w:gridCol w:w="115"/>
        <w:gridCol w:w="115"/>
        <w:gridCol w:w="223"/>
        <w:gridCol w:w="906"/>
        <w:gridCol w:w="115"/>
        <w:gridCol w:w="109"/>
        <w:gridCol w:w="109"/>
        <w:gridCol w:w="109"/>
        <w:gridCol w:w="211"/>
        <w:gridCol w:w="751"/>
        <w:gridCol w:w="109"/>
        <w:gridCol w:w="109"/>
        <w:gridCol w:w="109"/>
        <w:gridCol w:w="109"/>
        <w:gridCol w:w="239"/>
        <w:gridCol w:w="242"/>
        <w:gridCol w:w="53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592,753 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2414" w:type="dxa"/>
        <w:jc w:val="left"/>
        <w:tblInd w:w="0" w:type="dxa"/>
        <w:tblLayout w:type="fixed"/>
        <w:tblCellMar>
          <w:top w:w="28" w:type="dxa"/>
          <w:left w:w="28" w:type="dxa"/>
          <w:bottom w:w="28" w:type="dxa"/>
          <w:right w:w="28" w:type="dxa"/>
        </w:tblCellMar>
      </w:tblPr>
      <w:tblGrid>
        <w:gridCol w:w="773"/>
        <w:gridCol w:w="679"/>
        <w:gridCol w:w="962"/>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"NM" stands for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Operating Revenues increased $136,787, or 20%, to $804,077 for the nine months ended September 30, 2023 as compared to the nine months ended September 30, 2022. The revenue increase was largely driven by an increase in demand for our passenger service offerings during the nine months ended September 30, 2023, as compared to the nine months ended September 30, 2022. The increase in demand resulted in an increase to average total fare per passenger of $8.41, or 5%, to $183.04 for the nine months ended September 30, 2023 as compared to 2022, as well as a 3.7 percentage point increase in Scheduled Service passenger load factor over the same period. The revenue increase was further benefited from a 19% increase in average passenger aircraft, which increased capacity.</w:t>
      </w:r>
    </w:p>
    <w:p>
      <w:pPr>
        <w:pStyle w:val="TextBody"/>
        <w:bidi w:val="0"/>
        <w:spacing w:lineRule="auto" w:line="288" w:before="240" w:after="283"/>
        <w:jc w:val="both"/>
        <w:rPr/>
      </w:pPr>
      <w:r>
        <w:rPr>
          <w:rFonts w:ascii="Arial;sans-serif" w:hAnsi="Arial;sans-serif"/>
          <w:b/>
          <w:i/>
          <w:color w:val="000000"/>
          <w:sz w:val="20"/>
        </w:rPr>
        <w:t>Scheduled Service</w:t>
      </w:r>
      <w:r>
        <w:rPr>
          <w:rFonts w:ascii="Arial;sans-serif" w:hAnsi="Arial;sans-serif"/>
          <w:b w:val="false"/>
          <w:i/>
          <w:color w:val="000000"/>
          <w:sz w:val="20"/>
        </w:rPr>
        <w:t xml:space="preserve">. </w:t>
      </w:r>
      <w:r>
        <w:rPr>
          <w:rFonts w:ascii="Arial;sans-serif" w:hAnsi="Arial;sans-serif"/>
          <w:b w:val="false"/>
          <w:color w:val="000000"/>
          <w:sz w:val="20"/>
        </w:rPr>
        <w:t>Scheduled Service revenue increased $25,928, or 8%, to $360,607 for the nine months ended September 30, 2023 as compared to the nine months ended September 30, 2022. The table below presents select operating data for Scheduled Service, expressed as year-over-year changes:</w:t>
      </w:r>
    </w:p>
    <w:tbl>
      <w:tblPr>
        <w:tblW w:w="8667" w:type="dxa"/>
        <w:jc w:val="left"/>
        <w:tblInd w:w="0" w:type="dxa"/>
        <w:tblLayout w:type="fixed"/>
        <w:tblCellMar>
          <w:top w:w="28" w:type="dxa"/>
          <w:left w:w="28" w:type="dxa"/>
          <w:bottom w:w="28" w:type="dxa"/>
          <w:right w:w="28" w:type="dxa"/>
        </w:tblCellMar>
      </w:tblPr>
      <w:tblGrid>
        <w:gridCol w:w="1085"/>
        <w:gridCol w:w="952"/>
        <w:gridCol w:w="963"/>
        <w:gridCol w:w="223"/>
        <w:gridCol w:w="798"/>
        <w:gridCol w:w="287"/>
        <w:gridCol w:w="109"/>
        <w:gridCol w:w="109"/>
        <w:gridCol w:w="109"/>
        <w:gridCol w:w="223"/>
        <w:gridCol w:w="798"/>
        <w:gridCol w:w="287"/>
        <w:gridCol w:w="109"/>
        <w:gridCol w:w="109"/>
        <w:gridCol w:w="109"/>
        <w:gridCol w:w="240"/>
        <w:gridCol w:w="616"/>
        <w:gridCol w:w="376"/>
        <w:gridCol w:w="109"/>
        <w:gridCol w:w="109"/>
        <w:gridCol w:w="109"/>
        <w:gridCol w:w="188"/>
        <w:gridCol w:w="188"/>
        <w:gridCol w:w="46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3,093,536 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2,715,707 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377,829 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3,900,975 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3,565,501 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335,474 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4,489,968 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4,284,403 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205,565 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year-over-year increases in certain Scheduled Service operating data were primarily the result of an increase in demand year-over-year. The year-over-year increase in demand is demonstrated by a 14% increase in passengers, a 3.7 percentage point increase in passenger load factor, and a 14% increase in TRASM. The year-over-year Scheduled Service revenue increase is slightly offset by the introduction of a new Ancillary product during the second quarter of 2022, which reclassified approximately $62,635 of revenue from Scheduled Service to Ancillary during the nine months ended September 30, 2023, as compared to $17,184 during the nine months ended September 30, 2022. This reclassification was further impacted by an increase in rate for the Ancillary product.</w:t>
      </w:r>
    </w:p>
    <w:p>
      <w:pPr>
        <w:pStyle w:val="TextBody"/>
        <w:bidi w:val="0"/>
        <w:spacing w:lineRule="auto" w:line="288" w:before="240" w:after="283"/>
        <w:jc w:val="both"/>
        <w:rPr/>
      </w:pPr>
      <w:r>
        <w:rPr>
          <w:rFonts w:ascii="Arial;sans-serif" w:hAnsi="Arial;sans-serif"/>
          <w:b/>
          <w:i/>
          <w:color w:val="000000"/>
          <w:sz w:val="20"/>
        </w:rPr>
        <w:t>Charter Service.</w:t>
      </w:r>
      <w:r>
        <w:rPr>
          <w:color w:val="000000"/>
        </w:rPr>
        <w:t xml:space="preserve"> </w:t>
      </w:r>
      <w:r>
        <w:rPr>
          <w:rFonts w:ascii="Arial;sans-serif" w:hAnsi="Arial;sans-serif"/>
          <w:b w:val="false"/>
          <w:color w:val="000000"/>
          <w:sz w:val="20"/>
        </w:rPr>
        <w:t>Charter Service revenue increased $24,724, or 21%, to $143,250 for the nine months ended September 30, 2023, as compared to the nine months ended September 30, 2022. The increase in Charter Service revenue was driven by a 26% and 23%</w:t>
      </w:r>
      <w:r>
        <w:rPr>
          <w:color w:val="000000"/>
        </w:rPr>
        <w:t xml:space="preserve"> </w:t>
      </w:r>
      <w:r>
        <w:rPr>
          <w:rFonts w:ascii="Arial;sans-serif" w:hAnsi="Arial;sans-serif"/>
          <w:b w:val="false"/>
          <w:color w:val="000000"/>
          <w:sz w:val="20"/>
        </w:rPr>
        <w:t xml:space="preserve">increase in Charter Service departures and block hours, respectively. Charter Service revenue per block hour was materially consistent year-over-year. </w:t>
      </w:r>
    </w:p>
    <w:p>
      <w:pPr>
        <w:pStyle w:val="TextBody"/>
        <w:bidi w:val="0"/>
        <w:spacing w:lineRule="auto" w:line="288" w:before="240" w:after="283"/>
        <w:jc w:val="both"/>
        <w:rPr/>
      </w:pPr>
      <w:r>
        <w:rPr>
          <w:rFonts w:ascii="Arial;sans-serif" w:hAnsi="Arial;sans-serif"/>
          <w:b/>
          <w:i/>
          <w:color w:val="000000"/>
          <w:sz w:val="20"/>
        </w:rPr>
        <w:t>Ancillary</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Ancillary revenue increased $66,085, or 47%, to $205,633 for the nine months ended September 30, 2023, as compared to the nine months ended September 30, 2022. Ancillary revenue was $66.47 per passenger in the nine months ended September 30, 2023, up $15.08 or 29%, from the nine months ended September 30, 2022. Ancillary revenue benefited from the introduction of a new Ancillary product during the second quarter of 2022, which reclassified approximately $62,635 of revenue from Scheduled Service to Ancillary during the nine months ended September 30, 2023, as compared to $17,184 during the nine months ended September 30, 2022. The 14% increase in Scheduled Service passengers during the period resulted in greater sales of air travel-related services, such as baggage fees, seat selection and upgrade fees, priority check-in and boarding fees, itinerary service fees, other fees and on-board sales. The increase in Ancillary revenue was further supported by rate increases for our Ancillary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$8,507, or 13%, to $74,437 for the nine months ended September 30, 2023, as compared to the nine months ended September 30, 2022. The increase was primarily driven by an 16% and 7% increase in Cargo departures and block hours, respectively. Revenue during the nine months ended September 30, 2023 also benefited from the annual rate escalation included in the ATSA, which went into effect on December 13, 2022. </w:t>
      </w:r>
    </w:p>
    <w:p>
      <w:pPr>
        <w:pStyle w:val="TextBody"/>
        <w:bidi w:val="0"/>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increased $11,543, or 134%, to $20,150 for the nine months ended September 30, 2023, as compared to the nine months ended September 30, 2022. Other revenue in the current year benefited from $11,742 of rental revenue associated with the five Aircraft Held for Operating Lease acquired during the first half of 2023.</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05"/>
        <w:gridCol w:w="1493"/>
        <w:gridCol w:w="1498"/>
        <w:gridCol w:w="222"/>
        <w:gridCol w:w="904"/>
        <w:gridCol w:w="114"/>
        <w:gridCol w:w="114"/>
        <w:gridCol w:w="114"/>
        <w:gridCol w:w="114"/>
        <w:gridCol w:w="222"/>
        <w:gridCol w:w="904"/>
        <w:gridCol w:w="114"/>
        <w:gridCol w:w="109"/>
        <w:gridCol w:w="109"/>
        <w:gridCol w:w="109"/>
        <w:gridCol w:w="211"/>
        <w:gridCol w:w="809"/>
        <w:gridCol w:w="109"/>
        <w:gridCol w:w="109"/>
        <w:gridCol w:w="109"/>
        <w:gridCol w:w="109"/>
        <w:gridCol w:w="217"/>
        <w:gridCol w:w="217"/>
        <w:gridCol w:w="470"/>
      </w:tblGrid>
      <w:tr>
        <w:trPr/>
        <w:tc>
          <w:tcPr>
            <w:tcW w:w="170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206,932 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60" w:after="283"/>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Aircraft Fuel expense decreased by 10% year-over-year primarily due to an 18% decrease in the average fuel cost per gallon, slightly offset by a 10% increase in consumption. The price of fuel during the nine months ended September 30, 2022 was significantly impacted by global geopolitical events.</w:t>
      </w:r>
    </w:p>
    <w:p>
      <w:pPr>
        <w:pStyle w:val="TextBody"/>
        <w:bidi w:val="0"/>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xml:space="preserve">. Salaries, Wages, and Benefits expense increased $45,314, or 25%, to $223,890 for the nine months ended September 30, 2023, as compared to the nine months ended September 30, 2022. The year-over-year increase in Salaries, Wages, and Benefits was due to a 14% increase in employee headcount, an acceleration of stock-based compensation expense recognized during the current year for our time-based and performance-based stock options, and increased per unit costs for pilots and flight crews to support the current flight schedule. For more information on the acceleration of stock-based compensation for our time-based and performance-based stock options, see </w:t>
      </w:r>
      <w:hyperlink w:anchor="id064cbdc8b05452aaf9855cd612d84bf_52">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xml:space="preserve">. Aircraft Rent expense decreased $5,066, or 69%, to $2,281 for the nine months ended September 30, 2023, as compared to the nine months ended September 30, 2022. Aircraft Rent expense decreased primarily due to the composition of our aircraft fleet continuing to shift from aircraft under operating leases (expense is recorded within Aircraft Rent) to owned aircraft or finance leases (expense is recorded through Depreciation and Amortization and Interest Expense). As of September 30, 2023 and 2022,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operated no and two aircraft under operating leases, respectively. Accordingly, Aircraft Rent expense is expected to be nominal in future periods. The acquisition of new aircraft through operating leases is at the discretion of management. </w:t>
      </w:r>
    </w:p>
    <w:p>
      <w:pPr>
        <w:pStyle w:val="TextBody"/>
        <w:bidi w:val="0"/>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xml:space="preserve">. Maintenance expense increased $8,517, or 24%, to $44,311 for the nine months ended September 30, 2023, as compared to the nine months ended September 30, 2022. The increase in Maintenance expense was primarily driven by higher maintenance costs due to the year-over-year increase in the size of our fleet and operations, as well as an increase in heavy maintenance events and unscheduled repair events. </w:t>
      </w:r>
    </w:p>
    <w:p>
      <w:pPr>
        <w:pStyle w:val="TextBody"/>
        <w:bidi w:val="0"/>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Sales and Marketing expense increased $2,669, or 11%, to $26,005 for the nine months ended September 30, 2023, as compared to the nine months ended September 30, 2022. The year-over-year increase was driven by approximately $2,700 increase in credit card processing and other travel agent fees, as a result of the 14% increase in Scheduled Service passengers. These increases were partially offset by a decrease in global distribution system expenses due to a new indirect distribution method that reduced the fees paid for bookings.</w:t>
      </w:r>
    </w:p>
    <w:p>
      <w:pPr>
        <w:pStyle w:val="TextBody"/>
        <w:bidi w:val="0"/>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 increased $15,213, or 31%, to $64,577 for the nine months ended September 30, 2023, as compared to the nine months ended September 30, 2022. The increase was primarily due to the impact of a change in the composition of our aircraft fleet that results in an increased number of owned aircraft and aircraft under finance leases (the expense is recorded as Depreciation and Amortization and Interest Expense). As of September 30, 2023 and 2022, there were 47 and 40 aircraft that were owned or under finance leases, respectively.</w:t>
      </w:r>
    </w:p>
    <w:p>
      <w:pPr>
        <w:pStyle w:val="TextBody"/>
        <w:bidi w:val="0"/>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xml:space="preserve">. Ground Handling expense increased $3,461, or 14%, to $28,299 for the nine months ended September 30, 2023, as compared to the nine months ended September 30, 2022. The increase was primarily driven by the 15% increase in Passenger segment departures as a result of our expanding operations, as well as rate increases due to inflationary and market pressures. </w:t>
      </w:r>
    </w:p>
    <w:p>
      <w:pPr>
        <w:pStyle w:val="TextBody"/>
        <w:bidi w:val="0"/>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Landing Fees and Airport Rent increased $4,139, or 13%, to $36,847 for the nine months ended September 30, 2023, as compared to the nine months ended September 30, 2022. The increase was primarily driven by the 15% increase in Passenger segment departures as a result of our expanding operations, as well as rate increases due to inflationary and market pressures.</w:t>
      </w:r>
    </w:p>
    <w:p>
      <w:pPr>
        <w:pStyle w:val="TextBody"/>
        <w:bidi w:val="0"/>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Other operating, net increased $13,262, or 19%, to $81,663 for the nine months ended September 30, 2023, as compared to the nine months ended September 30, 2022, primarily due to increased departures, which resulted in higher crew costs and catering expenses.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bidi w:val="0"/>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increased by $5,600, or 259%, to $7,766 for the nine months ended September 30, 2023. The increase was primarily due to the change in our investment strategy, which led to the purchase of debt securities in May 2022. The continued rise in interest rates also contributed to the increase over the prior year.</w:t>
      </w:r>
    </w:p>
    <w:p>
      <w:pPr>
        <w:pStyle w:val="TextBody"/>
        <w:bidi w:val="0"/>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xml:space="preserve">. Interest expense increased $8,175, or 35%, to $31,272 for the nine months ended September 30, 2023, as compared to the nine months ended September 30, 2022. The change was primarily due to a 19% increase in owned aircraft that were financed or refinanced with debt proceeds. This includes the term loan credit facility for the purpose of financing the five Aircraft Held for Operating Lease purchased during the first half of 2023, which was financed in a higher interest rate environment. The year-over-year increase was partially offset by a $1,557 loss on extinguishment of debt incurred during the nine months ended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 xml:space="preserve">30, 2022 related to the repayment of the DDTL. For more information on the Company's Debt, see </w:t>
      </w:r>
      <w:hyperlink w:anchor="id064cbdc8b05452aaf9855cd612d84bf_49">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Other, net decreased $4,786, or 93% to a net expense of $370 for the nine months ended September 30, 2023, as compared to the nine months ended September 30, 2022. The change over prior year was primarily due to the $5,000 adjustment to increase the estimated TRA liability incurred during the prior year, partially offset by offering expenses of $640 in connection with the secondary offering during the first quarter of 2023.</w:t>
      </w:r>
    </w:p>
    <w:p>
      <w:pPr>
        <w:pStyle w:val="TextBody"/>
        <w:bidi w:val="0"/>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 xml:space="preserve">The Company's effective tax rate for the nine months ended September 30, 2023 was 23.1% compared to 28.4% for the nine months ended September 30, 2022. The decrease in the effective tax rate was primarily due to the $5,000 non-deductible adjustment of the TRA liability in the prior period, partially offset by stock compensation benefits. For more information on the TRA liability, see </w:t>
      </w:r>
      <w:hyperlink w:anchor="id064cbdc8b05452aaf9855cd612d84bf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806"/>
        <w:gridCol w:w="605"/>
        <w:gridCol w:w="608"/>
        <w:gridCol w:w="324"/>
        <w:gridCol w:w="218"/>
        <w:gridCol w:w="578"/>
        <w:gridCol w:w="128"/>
        <w:gridCol w:w="128"/>
        <w:gridCol w:w="128"/>
        <w:gridCol w:w="272"/>
        <w:gridCol w:w="194"/>
        <w:gridCol w:w="501"/>
        <w:gridCol w:w="128"/>
        <w:gridCol w:w="128"/>
        <w:gridCol w:w="128"/>
        <w:gridCol w:w="251"/>
        <w:gridCol w:w="219"/>
        <w:gridCol w:w="577"/>
        <w:gridCol w:w="109"/>
        <w:gridCol w:w="109"/>
        <w:gridCol w:w="109"/>
        <w:gridCol w:w="324"/>
        <w:gridCol w:w="218"/>
        <w:gridCol w:w="578"/>
        <w:gridCol w:w="128"/>
        <w:gridCol w:w="128"/>
        <w:gridCol w:w="128"/>
        <w:gridCol w:w="271"/>
        <w:gridCol w:w="194"/>
        <w:gridCol w:w="501"/>
        <w:gridCol w:w="128"/>
        <w:gridCol w:w="128"/>
        <w:gridCol w:w="128"/>
        <w:gridCol w:w="256"/>
        <w:gridCol w:w="208"/>
        <w:gridCol w:w="639"/>
      </w:tblGrid>
      <w:tr>
        <w:trPr/>
        <w:tc>
          <w:tcPr>
            <w:tcW w:w="8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 2022</w:t>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222,817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26,059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198,013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221,700</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61,157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64,763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64,843</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54,527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18,014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44,051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58,661</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1,949</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11,679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11,018</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6,827</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22,756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17,181</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8,666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8,669</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13,858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12,926</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22,252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19,030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24,235</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203,202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26,668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182,551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206,309</w:t>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19,615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15,462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15,391</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6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 xml:space="preserve">Passenger Operating Income increased $4,153 to $19,615 for the three months ended September 30, 2023, as compared to the three months ended September 30, 2022. The Operating Margin Percentage for the three months ended September 30, 2023 increased 1.0 percentage point, as compared to the three months ended September 30, 2022. The increases in Passenger Operating Income and Operating Margin were driven by an increase in the average passenger aircraft in the third quarter of 2023, as compared to the same period of 2022, which increased capacity and ASMs. This resulted in a significant increase in departures and passengers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with relatively similar quarter-over-quarter per unit revenues for both Scheduled Service and Charter Service. Passenger Operating Income and Operating Margin for the three months ended September 30, 2023 also benefited from a 6% quarter-over-quarter decrease in Aircraft Fuel expense due to a 19% decrease in the average fuel cost per gallon, partially offset by a 17% increase in consumption. The price of fuel during the three months ended September 30, 2022 was significantly impacted by global geopolitical events.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bidi w:val="0"/>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Cargo Operating Loss increased by $538, to $609 for the three months ended September 30, 2023, as compared to the three months ended September 30, 2022. Operating Margin Percentage for the three months ended September 30, 2023 decreased 2.0 percentage points, as compared to the three months ended September 30, 2022. The decrease was primarily driven by a quarter-over-quarter increase in Salaries, Wages, and Benefits due to an increase in employee head count, as well as per unit costs, to support operations. The changes in Operating Loss and Operating Margin Percentage were partially offset by the annual rate escalation included in the ATSA, which went into effect on December 13, 2022. For more information on the components of Operating Income for the Cargo segment, refer to the Results of Operations discussion above.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Nine Months Ended September 30, 2023 and 2022</w:t>
      </w:r>
    </w:p>
    <w:tbl>
      <w:tblPr>
        <w:tblW w:w="10205" w:type="dxa"/>
        <w:jc w:val="left"/>
        <w:tblInd w:w="0" w:type="dxa"/>
        <w:tblLayout w:type="fixed"/>
        <w:tblCellMar>
          <w:top w:w="28" w:type="dxa"/>
          <w:left w:w="28" w:type="dxa"/>
          <w:bottom w:w="28" w:type="dxa"/>
          <w:right w:w="28" w:type="dxa"/>
        </w:tblCellMar>
      </w:tblPr>
      <w:tblGrid>
        <w:gridCol w:w="799"/>
        <w:gridCol w:w="595"/>
        <w:gridCol w:w="598"/>
        <w:gridCol w:w="324"/>
        <w:gridCol w:w="218"/>
        <w:gridCol w:w="578"/>
        <w:gridCol w:w="125"/>
        <w:gridCol w:w="125"/>
        <w:gridCol w:w="125"/>
        <w:gridCol w:w="268"/>
        <w:gridCol w:w="196"/>
        <w:gridCol w:w="505"/>
        <w:gridCol w:w="125"/>
        <w:gridCol w:w="125"/>
        <w:gridCol w:w="125"/>
        <w:gridCol w:w="270"/>
        <w:gridCol w:w="276"/>
        <w:gridCol w:w="577"/>
        <w:gridCol w:w="109"/>
        <w:gridCol w:w="109"/>
        <w:gridCol w:w="109"/>
        <w:gridCol w:w="324"/>
        <w:gridCol w:w="218"/>
        <w:gridCol w:w="578"/>
        <w:gridCol w:w="125"/>
        <w:gridCol w:w="125"/>
        <w:gridCol w:w="125"/>
        <w:gridCol w:w="260"/>
        <w:gridCol w:w="190"/>
        <w:gridCol w:w="501"/>
        <w:gridCol w:w="125"/>
        <w:gridCol w:w="125"/>
        <w:gridCol w:w="125"/>
        <w:gridCol w:w="251"/>
        <w:gridCol w:w="208"/>
        <w:gridCol w:w="644"/>
      </w:tblGrid>
      <w:tr>
        <w:trPr/>
        <w:tc>
          <w:tcPr>
            <w:tcW w:w="79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 2022</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729,640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74,437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601,360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65,930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667,290</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185,770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206,254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206,334</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171,080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52,810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138,436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40,140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178,576</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7,347</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33,339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10,972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25,665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35,794</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26,005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23,336</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64,527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49,282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49,364</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28,299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24,828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24,838</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36,545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32,386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32,708</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14,850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54,614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68,401</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614,659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79,043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562,148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64,550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626,698</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114,981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39,212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40,592</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5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6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 xml:space="preserve">Passenger Operating Income increased $75,769 to $114,981 for the nine months ended September 30, 2023, as compared to the nine months ended September 30, 2022. Passenger Operating Margin Percentage for the nine months ended September 30, 2023 increased 9.3 percentage points, as compared to the nine months ended September 30, 2022. The increase in Passenger Operating Income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Operating Margin was driven by a year-over-year increase in demand for passenger service, as well as an increase in the average passenger aircraft which increased capacity and ASMs. Passenger Operating Income and Operating Margin for the nine months ended September 30, 2023 also benefited from a 10% year-over-year decrease in Aircraft Fuel expense due to an 18% decrease in the average fuel cost per gallon, slightly offset by a 10% increase in consumption. The price of fuel during the nine months ended September 30, 2022 was significantly impacted by global geopolitical events.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bidi w:val="0"/>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Cargo had an Operating Loss of $4,606 for the nine months ended September 30, 2023, as compared to Operating Income of $1,380 for the nine months ended September 30, 2022, a decrease of $5,986. Operating Margin Percentage for the nine months ended September 30, 2023 decreased 8.3 percentage points, as compared to the nine months ended September 30, 2022. The decrease was primarily driven by a year-over-year increase in Salaries, Wages, and Benefits due to an increase in employee head count, an increase in per unit costs for pilots to support operations, and increased operating expenses as a result of an increase in departures. The decreases in Operating Loss and Operating Margin Percentage were partially offset by the annual rate escalation included in the ATSA, which went into effect on December 13, 2022. For more information on the components of Operating Income for the Cargo segment, refer to the Results of Operations discussion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Non-GAAP Financial Measures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Adjusted Operating Income, Adjusted Operating Income Margin, Adjusted Net Income and Adjusted EBITDA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 xml:space="preserve">. </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Operating Income to Adjusted Operating Income, and Adjusted Operating Income Margin for the periods presented below.</w:t>
      </w:r>
    </w:p>
    <w:tbl>
      <w:tblPr>
        <w:tblW w:w="10205" w:type="dxa"/>
        <w:jc w:val="left"/>
        <w:tblInd w:w="0" w:type="dxa"/>
        <w:tblLayout w:type="fixed"/>
        <w:tblCellMar>
          <w:top w:w="28" w:type="dxa"/>
          <w:left w:w="28" w:type="dxa"/>
          <w:bottom w:w="28" w:type="dxa"/>
          <w:right w:w="28" w:type="dxa"/>
        </w:tblCellMar>
      </w:tblPr>
      <w:tblGrid>
        <w:gridCol w:w="1462"/>
        <w:gridCol w:w="1280"/>
        <w:gridCol w:w="1285"/>
        <w:gridCol w:w="374"/>
        <w:gridCol w:w="219"/>
        <w:gridCol w:w="577"/>
        <w:gridCol w:w="193"/>
        <w:gridCol w:w="193"/>
        <w:gridCol w:w="193"/>
        <w:gridCol w:w="374"/>
        <w:gridCol w:w="219"/>
        <w:gridCol w:w="577"/>
        <w:gridCol w:w="109"/>
        <w:gridCol w:w="109"/>
        <w:gridCol w:w="109"/>
        <w:gridCol w:w="374"/>
        <w:gridCol w:w="219"/>
        <w:gridCol w:w="577"/>
        <w:gridCol w:w="185"/>
        <w:gridCol w:w="185"/>
        <w:gridCol w:w="185"/>
        <w:gridCol w:w="360"/>
        <w:gridCol w:w="208"/>
        <w:gridCol w:w="639"/>
      </w:tblGrid>
      <w:tr>
        <w:trPr/>
        <w:tc>
          <w:tcPr>
            <w:tcW w:w="146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2022</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Margin Reconciliation:</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667,290</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40,592</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20,045</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118,507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42,573</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Margin </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Net Income to Adjusted Net Income for the periods presented below.</w:t>
      </w:r>
    </w:p>
    <w:tbl>
      <w:tblPr>
        <w:tblW w:w="9991" w:type="dxa"/>
        <w:jc w:val="left"/>
        <w:tblInd w:w="0" w:type="dxa"/>
        <w:tblLayout w:type="fixed"/>
        <w:tblCellMar>
          <w:top w:w="28" w:type="dxa"/>
          <w:left w:w="28" w:type="dxa"/>
          <w:bottom w:w="28" w:type="dxa"/>
          <w:right w:w="28" w:type="dxa"/>
        </w:tblCellMar>
      </w:tblPr>
      <w:tblGrid>
        <w:gridCol w:w="1402"/>
        <w:gridCol w:w="1231"/>
        <w:gridCol w:w="1237"/>
        <w:gridCol w:w="261"/>
        <w:gridCol w:w="799"/>
        <w:gridCol w:w="134"/>
        <w:gridCol w:w="134"/>
        <w:gridCol w:w="134"/>
        <w:gridCol w:w="134"/>
        <w:gridCol w:w="261"/>
        <w:gridCol w:w="929"/>
        <w:gridCol w:w="134"/>
        <w:gridCol w:w="109"/>
        <w:gridCol w:w="109"/>
        <w:gridCol w:w="109"/>
        <w:gridCol w:w="241"/>
        <w:gridCol w:w="860"/>
        <w:gridCol w:w="124"/>
        <w:gridCol w:w="124"/>
        <w:gridCol w:w="124"/>
        <w:gridCol w:w="124"/>
        <w:gridCol w:w="241"/>
        <w:gridCol w:w="860"/>
        <w:gridCol w:w="176"/>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 Reconciliation:</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(a)</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(b)</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(c)</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72,933 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17,871 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0"/>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applicable period. The TRA adjustment is not included within the income tax effect calculation.</w:t>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Net Income to Adjusted EBITDA for the periods presented below.</w:t>
      </w:r>
    </w:p>
    <w:tbl>
      <w:tblPr>
        <w:tblW w:w="9293" w:type="dxa"/>
        <w:jc w:val="left"/>
        <w:tblInd w:w="0" w:type="dxa"/>
        <w:tblLayout w:type="fixed"/>
        <w:tblCellMar>
          <w:top w:w="28" w:type="dxa"/>
          <w:left w:w="28" w:type="dxa"/>
          <w:bottom w:w="28" w:type="dxa"/>
          <w:right w:w="28" w:type="dxa"/>
        </w:tblCellMar>
      </w:tblPr>
      <w:tblGrid>
        <w:gridCol w:w="1147"/>
        <w:gridCol w:w="1006"/>
        <w:gridCol w:w="1012"/>
        <w:gridCol w:w="250"/>
        <w:gridCol w:w="890"/>
        <w:gridCol w:w="129"/>
        <w:gridCol w:w="129"/>
        <w:gridCol w:w="129"/>
        <w:gridCol w:w="129"/>
        <w:gridCol w:w="250"/>
        <w:gridCol w:w="890"/>
        <w:gridCol w:w="129"/>
        <w:gridCol w:w="109"/>
        <w:gridCol w:w="109"/>
        <w:gridCol w:w="109"/>
        <w:gridCol w:w="232"/>
        <w:gridCol w:w="941"/>
        <w:gridCol w:w="119"/>
        <w:gridCol w:w="119"/>
        <w:gridCol w:w="119"/>
        <w:gridCol w:w="119"/>
        <w:gridCol w:w="232"/>
        <w:gridCol w:w="826"/>
        <w:gridCol w:w="169"/>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Reconciliation:</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(a)</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(b)</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42,792 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182,997 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91,463 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0"/>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CASM and Adjusted CASM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CASM is a key airline cost metric defined as operating expenses divided by total available seat miles. Adjusted CASM is a non-GAAP measure derived from CASM by excluding fuel costs, costs related to our cargo operations, depreciation recognized on our aircraft and flight equipment held for operating lease,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excluded costs related to the cargo operations and depreciation recognized on our aircraft and flight equipment held for operating lease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five Aircraft Held for Operating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were acquired during the nine months ended September 30, 2023. Depreciation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the reconciliation of CASM to Adjusted CASM.</w:t>
      </w:r>
    </w:p>
    <w:tbl>
      <w:tblPr>
        <w:tblW w:w="10205" w:type="dxa"/>
        <w:jc w:val="left"/>
        <w:tblInd w:w="0" w:type="dxa"/>
        <w:tblLayout w:type="fixed"/>
        <w:tblCellMar>
          <w:top w:w="28" w:type="dxa"/>
          <w:left w:w="28" w:type="dxa"/>
          <w:bottom w:w="28" w:type="dxa"/>
          <w:right w:w="28" w:type="dxa"/>
        </w:tblCellMar>
      </w:tblPr>
      <w:tblGrid>
        <w:gridCol w:w="1800"/>
        <w:gridCol w:w="1589"/>
        <w:gridCol w:w="1610"/>
        <w:gridCol w:w="211"/>
        <w:gridCol w:w="856"/>
        <w:gridCol w:w="109"/>
        <w:gridCol w:w="109"/>
        <w:gridCol w:w="109"/>
        <w:gridCol w:w="109"/>
        <w:gridCol w:w="323"/>
        <w:gridCol w:w="323"/>
        <w:gridCol w:w="249"/>
        <w:gridCol w:w="109"/>
        <w:gridCol w:w="109"/>
        <w:gridCol w:w="109"/>
        <w:gridCol w:w="211"/>
        <w:gridCol w:w="856"/>
        <w:gridCol w:w="109"/>
        <w:gridCol w:w="109"/>
        <w:gridCol w:w="109"/>
        <w:gridCol w:w="109"/>
        <w:gridCol w:w="323"/>
        <w:gridCol w:w="323"/>
        <w:gridCol w:w="332"/>
      </w:tblGrid>
      <w:tr>
        <w:trPr/>
        <w:tc>
          <w:tcPr>
            <w:tcW w:w="180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 Depreciation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0"/>
        <w:gridCol w:w="1589"/>
        <w:gridCol w:w="1610"/>
        <w:gridCol w:w="211"/>
        <w:gridCol w:w="856"/>
        <w:gridCol w:w="109"/>
        <w:gridCol w:w="109"/>
        <w:gridCol w:w="109"/>
        <w:gridCol w:w="109"/>
        <w:gridCol w:w="323"/>
        <w:gridCol w:w="323"/>
        <w:gridCol w:w="249"/>
        <w:gridCol w:w="109"/>
        <w:gridCol w:w="109"/>
        <w:gridCol w:w="109"/>
        <w:gridCol w:w="211"/>
        <w:gridCol w:w="856"/>
        <w:gridCol w:w="109"/>
        <w:gridCol w:w="109"/>
        <w:gridCol w:w="109"/>
        <w:gridCol w:w="109"/>
        <w:gridCol w:w="323"/>
        <w:gridCol w:w="323"/>
        <w:gridCol w:w="332"/>
      </w:tblGrid>
      <w:tr>
        <w:trPr/>
        <w:tc>
          <w:tcPr>
            <w:tcW w:w="180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 Depreciation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sources of liquidity as of September 30, 2023 included our existing cash and cash equivalents of $26,967 and short-term investments of $153,290, our expected cash generated from operations, and the $24,650 of available funds from the Revolving Credit Facility. In addition, we had restricted cash of $10,953 as of September 30, 2023, which generally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We do not maintain an aircraft order book; instead, we enter into aircraft transactions on an opportunistic basis based on market conditions, our prevailing level of liquidity and capital market availability. As a result, we are not locked into large future capital expenditures. We have historically acquired aircraft through operating leases, finance leases, and debt. Our management team retains broad discretion to allocate liquidity.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color w:val="000000"/>
          <w:sz w:val="20"/>
        </w:rPr>
        <w:t>Aircraft</w:t>
      </w:r>
      <w:r>
        <w:rPr>
          <w:color w:val="000000"/>
        </w:rPr>
        <w:t xml:space="preserve"> – </w:t>
      </w:r>
      <w:r>
        <w:rPr>
          <w:rFonts w:ascii="Arial;sans-serif" w:hAnsi="Arial;sans-serif"/>
          <w:b w:val="false"/>
          <w:color w:val="000000"/>
          <w:sz w:val="20"/>
        </w:rPr>
        <w:t>As of September 30, 2023, our fleet consisted of 59 Boeing 737-NG aircraft. This includes 42 aircraft in the passenger fleet, 12 cargo operated aircraft through the ATSA, and five Aircraft Held for Operating Lease. During the nine months ended September 30, 2023, the Company acquired five Aircraft Held for Operating Lease for total consideration of approximately $158,000.</w:t>
      </w:r>
    </w:p>
    <w:p>
      <w:pPr>
        <w:pStyle w:val="TextBody"/>
        <w:bidi w:val="0"/>
        <w:spacing w:lineRule="auto" w:line="288" w:before="240" w:after="283"/>
        <w:jc w:val="both"/>
        <w:rPr/>
      </w:pPr>
      <w:r>
        <w:rPr>
          <w:rFonts w:ascii="Arial;sans-serif" w:hAnsi="Arial;sans-serif"/>
          <w:b w:val="false"/>
          <w:color w:val="000000"/>
          <w:sz w:val="20"/>
        </w:rPr>
        <w:t xml:space="preserve">For more information on our fleet and probable future aircraft acquisitions, see </w:t>
      </w:r>
      <w:hyperlink w:anchor="id064cbdc8b05452aaf9855cd612d84bf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 xml:space="preserve">and </w:t>
      </w:r>
      <w:hyperlink w:anchor="id064cbdc8b05452aaf9855cd612d84bf_67">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For more information on the purchase of five Aircraft Held for Operating Lease, see </w:t>
      </w:r>
      <w:hyperlink w:anchor="id064cbdc8b05452aaf9855cd612d84bf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color w:val="000000"/>
          <w:sz w:val="20"/>
        </w:rPr>
        <w:t>Maintenance Deposits</w:t>
      </w:r>
      <w:r>
        <w:rPr>
          <w:color w:val="000000"/>
        </w:rPr>
        <w:t xml:space="preserve"> </w:t>
      </w:r>
      <w:r>
        <w:rPr>
          <w:rFonts w:ascii="Arial;sans-serif" w:hAnsi="Arial;sans-serif"/>
          <w:b w:val="false"/>
          <w:color w:val="000000"/>
          <w:sz w:val="20"/>
        </w:rPr>
        <w:t>- In addition to funding the acquisition of aircraft, we are required by certain of our aircraft lessors to fund reserves in cash in advance for scheduled maintenance to act as collateral for the benefit of lessors. Qualifying payments that are expected to be recovered from lessors are recorded as Lessor Maintenance Deposits on our Condensed Consolidated Balance Sheets. As of September 30, 2023, we had $42,363 of total Lessor Maintenance Deposits.</w:t>
      </w:r>
    </w:p>
    <w:p>
      <w:pPr>
        <w:pStyle w:val="TextBody"/>
        <w:bidi w:val="0"/>
        <w:spacing w:lineRule="auto" w:line="288" w:before="240" w:after="283"/>
        <w:jc w:val="both"/>
        <w:rPr/>
      </w:pPr>
      <w:r>
        <w:rPr>
          <w:rFonts w:ascii="Arial;sans-serif" w:hAnsi="Arial;sans-serif"/>
          <w:b/>
          <w:color w:val="000000"/>
          <w:sz w:val="20"/>
        </w:rPr>
        <w:t xml:space="preserve">Investments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We invest our cash and cash equivalents in highly liquid securities with strong credit ratings. As of September 30, 2023, the Company held $146,519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also hold $6,771 of Certificates of Deposit that are included in Investments on the Condensed Consolidated Balance Sheets as of September 30, 2023. </w:t>
      </w:r>
    </w:p>
    <w:p>
      <w:pPr>
        <w:pStyle w:val="TextBody"/>
        <w:bidi w:val="0"/>
        <w:spacing w:lineRule="auto" w:line="288" w:before="240" w:after="283"/>
        <w:jc w:val="both"/>
        <w:rPr/>
      </w:pPr>
      <w:r>
        <w:rPr>
          <w:rFonts w:ascii="Arial;sans-serif" w:hAnsi="Arial;sans-serif"/>
          <w:b/>
          <w:color w:val="000000"/>
          <w:sz w:val="20"/>
        </w:rPr>
        <w:t>Credit Facilities</w:t>
      </w:r>
      <w:r>
        <w:rPr>
          <w:color w:val="000000"/>
        </w:rPr>
        <w:t xml:space="preserve"> </w:t>
      </w:r>
      <w:r>
        <w:rPr>
          <w:rFonts w:ascii="Arial;sans-serif" w:hAnsi="Arial;sans-serif"/>
          <w:b w:val="false"/>
          <w:color w:val="000000"/>
          <w:sz w:val="20"/>
        </w:rPr>
        <w:t xml:space="preserve">- We use our Credit Facilities to provide liquidity support for general corporate purposes and to finance the acquisition of aircraft.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September 30, 2023, the Company had $24,650 of the $25,000 Revolving Credit Facility available due to $350 being pledged to support a letter of credit, and no balance drawn. The Credit Agreement includes financial covenants that require a minimum trailing 12-month EBITDAR ($87,700 as of March 31, 2022 and beyond) and a minimum liquidity, as defined within the Credit Agreement, of $30,000 at the close of any business day. The Company was in compliance with these covenants as of September 30, 2023. </w:t>
      </w:r>
    </w:p>
    <w:p>
      <w:pPr>
        <w:pStyle w:val="TextBody"/>
        <w:bidi w:val="0"/>
        <w:spacing w:lineRule="auto" w:line="288" w:before="240" w:after="283"/>
        <w:jc w:val="both"/>
        <w:rPr/>
      </w:pPr>
      <w:r>
        <w:rPr>
          <w:rFonts w:ascii="Arial;sans-serif" w:hAnsi="Arial;sans-serif"/>
          <w:b/>
          <w:color w:val="000000"/>
          <w:sz w:val="20"/>
        </w:rPr>
        <w:t>Debt</w:t>
      </w:r>
      <w:r>
        <w:rPr>
          <w:color w:val="000000"/>
        </w:rPr>
        <w:t xml:space="preserve"> </w:t>
      </w:r>
      <w:r>
        <w:rPr>
          <w:rFonts w:ascii="Arial;sans-serif" w:hAnsi="Arial;sans-serif"/>
          <w:b w:val="false"/>
          <w:color w:val="000000"/>
          <w:sz w:val="20"/>
        </w:rPr>
        <w:t xml:space="preserve">- At our discretion, we obtain debt financing through the issuance of pass-through trust certificates to purchase, or refinance aircraft. For more information on our credit facilities or debt, see </w:t>
      </w:r>
      <w:hyperlink w:anchor="id064cbdc8b05452aaf9855cd612d84bf_49">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 Condensed Consolidated Financial Statements included in Part I, Item I of this report. In December 2019, we issued the 2019-1 EETC, for the purpose of financing or refinancing 13 used aircraft. In March 2022, the Company issued the 2022-1 EETC for the purpose of financing or refinancing 13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2023, we executed a term loan credit facility with a face amount of $119,200 for the purpose of financing the five Aircraft Held for Operating Lease. The loan is to be repaid monthly over 7 years. During the lease term, payments collected from the lessee will be applied directly to the repayment of principal and interest on the term loan credit facility. The Aircraft Held for Operating Lease, as well as the related lease payments received from the lessee, are pledged as collateral.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LTV ratio calculation is completed at the end of the lease term. The interest rate in effect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September 30, 2023 was 9.2%. To the extent that the LTV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may be applied towards the prepayment.</w:t>
      </w:r>
    </w:p>
    <w:p>
      <w:pPr>
        <w:pStyle w:val="TextBody"/>
        <w:bidi w:val="0"/>
        <w:spacing w:lineRule="auto" w:line="288" w:before="240" w:after="283"/>
        <w:jc w:val="both"/>
        <w:rPr/>
      </w:pPr>
      <w:r>
        <w:rPr>
          <w:rFonts w:ascii="Arial;sans-serif" w:hAnsi="Arial;sans-serif"/>
          <w:b/>
          <w:color w:val="000000"/>
          <w:sz w:val="20"/>
        </w:rPr>
        <w:t xml:space="preserve">TRA Liability - </w:t>
      </w:r>
      <w:r>
        <w:rPr>
          <w:rFonts w:ascii="Arial;sans-serif" w:hAnsi="Arial;sans-serif"/>
          <w:b w:val="false"/>
          <w:color w:val="000000"/>
          <w:sz w:val="20"/>
        </w:rPr>
        <w:t xml:space="preserve">During the nine months ended September 30, 2023, we made a payment of $2,425 to the TRA holders. Payments will be made in future periods as Pre-IPO Tax Attributes are utilized. For more information on the TRA liability, see </w:t>
      </w:r>
      <w:hyperlink w:anchor="id064cbdc8b05452aaf9855cd612d84bf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Financial Condition Indicators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table below presents the major indicators of financial condition and liquidity:</w:t>
      </w:r>
    </w:p>
    <w:tbl>
      <w:tblPr>
        <w:tblW w:w="7977" w:type="dxa"/>
        <w:jc w:val="left"/>
        <w:tblInd w:w="0" w:type="dxa"/>
        <w:tblLayout w:type="fixed"/>
        <w:tblCellMar>
          <w:top w:w="28" w:type="dxa"/>
          <w:left w:w="28" w:type="dxa"/>
          <w:bottom w:w="28" w:type="dxa"/>
          <w:right w:w="28" w:type="dxa"/>
        </w:tblCellMar>
      </w:tblPr>
      <w:tblGrid>
        <w:gridCol w:w="1591"/>
        <w:gridCol w:w="1397"/>
        <w:gridCol w:w="1407"/>
        <w:gridCol w:w="257"/>
        <w:gridCol w:w="1246"/>
        <w:gridCol w:w="132"/>
        <w:gridCol w:w="109"/>
        <w:gridCol w:w="109"/>
        <w:gridCol w:w="109"/>
        <w:gridCol w:w="246"/>
        <w:gridCol w:w="1194"/>
        <w:gridCol w:w="180"/>
      </w:tblGrid>
      <w:tr>
        <w:trPr/>
        <w:tc>
          <w:tcPr>
            <w:tcW w:w="15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198,136 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289,371 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435,105 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263,281 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251,296 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717,780 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629,663 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519,361 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492,712 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Invested Capital</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1,237,141 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1,122,375 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Debt-to-Capital Ratio</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Sources and Uses of Liquidity</w:t>
      </w:r>
    </w:p>
    <w:tbl>
      <w:tblPr>
        <w:tblW w:w="9563" w:type="dxa"/>
        <w:jc w:val="left"/>
        <w:tblInd w:w="0" w:type="dxa"/>
        <w:tblLayout w:type="fixed"/>
        <w:tblCellMar>
          <w:top w:w="28" w:type="dxa"/>
          <w:left w:w="28" w:type="dxa"/>
          <w:bottom w:w="28" w:type="dxa"/>
          <w:right w:w="28" w:type="dxa"/>
        </w:tblCellMar>
      </w:tblPr>
      <w:tblGrid>
        <w:gridCol w:w="1451"/>
        <w:gridCol w:w="1275"/>
        <w:gridCol w:w="1279"/>
        <w:gridCol w:w="218"/>
        <w:gridCol w:w="886"/>
        <w:gridCol w:w="112"/>
        <w:gridCol w:w="112"/>
        <w:gridCol w:w="112"/>
        <w:gridCol w:w="112"/>
        <w:gridCol w:w="218"/>
        <w:gridCol w:w="948"/>
        <w:gridCol w:w="112"/>
        <w:gridCol w:w="109"/>
        <w:gridCol w:w="109"/>
        <w:gridCol w:w="109"/>
        <w:gridCol w:w="211"/>
        <w:gridCol w:w="856"/>
        <w:gridCol w:w="109"/>
        <w:gridCol w:w="109"/>
        <w:gridCol w:w="109"/>
        <w:gridCol w:w="109"/>
        <w:gridCol w:w="218"/>
        <w:gridCol w:w="218"/>
        <w:gridCol w:w="462"/>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Activities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Investing Activities: </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&amp; Equipment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(177,658)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(130,529)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the Maturities of Investments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(178,278)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(297,610)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Financing Activities: </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Repurchases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Finance Lease Obligations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Borrowings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Financing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54,229 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(65,008)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(171,710)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consists of Cash, Cash Equivalents and Restricted Cash</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"NM" stands for not meaningful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Operating Cash Flow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Operating activities in the nine months ended September 30, 2023 provided $102,651, as compared to $71,671 during the nine months ended September 30, 2022. During the nine months ended September 30, 2023, our Net Income was $66,536, as compared to a Net Income of $10,392 during the nine months ended September 30, 2022.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operating cash flow is primarily impacted by the following factors:</w:t>
      </w:r>
    </w:p>
    <w:p>
      <w:pPr>
        <w:pStyle w:val="TextBody"/>
        <w:bidi w:val="0"/>
        <w:spacing w:lineRule="auto" w:line="288" w:before="240" w:after="283"/>
        <w:jc w:val="both"/>
        <w:rPr/>
      </w:pPr>
      <w:r>
        <w:rPr>
          <w:rFonts w:ascii="Arial;sans-serif" w:hAnsi="Arial;sans-serif"/>
          <w:b w:val="false"/>
          <w:i/>
          <w:color w:val="000000"/>
          <w:sz w:val="20"/>
        </w:rPr>
        <w:t>Seasonality of Advance Ticket Sales.</w:t>
      </w:r>
      <w:r>
        <w:rPr>
          <w:color w:val="000000"/>
        </w:rPr>
        <w:t xml:space="preserve"> </w:t>
      </w:r>
      <w:r>
        <w:rPr>
          <w:rFonts w:ascii="Arial;sans-serif" w:hAnsi="Arial;sans-serif"/>
          <w:b w:val="false"/>
          <w:color w:val="000000"/>
          <w:sz w:val="20"/>
        </w:rPr>
        <w:t>We sell tickets for air travel in advance of the customer's travel date. When we receive a cash payment 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r>
        <w:rPr>
          <w:color w:val="000000"/>
        </w:rPr>
        <w:t xml:space="preserve"> </w:t>
      </w:r>
      <w:r>
        <w:rPr>
          <w:rFonts w:ascii="Arial;sans-serif" w:hAnsi="Arial;sans-serif"/>
          <w:b w:val="false"/>
          <w:color w:val="000000"/>
          <w:sz w:val="20"/>
        </w:rPr>
        <w:t>Most tickets can be purchased no more than twelve months in advance, therefore any revenue associated with tickets sold for future travel will be recognized within that timeframe. For the nine months ended September 30, 2023, $152,292 of revenue recognized in Passenger revenue was included in the $157,995 of Air Traffic Liabilities as of December 31, 2022. The balance of Air Traffic Liabilities as of September 30, 2023 was materially unchanged year-over-year.</w:t>
      </w:r>
    </w:p>
    <w:p>
      <w:pPr>
        <w:pStyle w:val="TextBody"/>
        <w:bidi w:val="0"/>
        <w:spacing w:lineRule="auto" w:line="288" w:before="240" w:after="283"/>
        <w:jc w:val="both"/>
        <w:rPr/>
      </w:pPr>
      <w:r>
        <w:rPr>
          <w:rFonts w:ascii="Arial;sans-serif" w:hAnsi="Arial;sans-serif"/>
          <w:b w:val="false"/>
          <w:i/>
          <w:color w:val="000000"/>
          <w:sz w:val="20"/>
        </w:rPr>
        <w:t>Aircraft Fuel.</w:t>
      </w:r>
      <w:r>
        <w:rPr>
          <w:color w:val="000000"/>
        </w:rPr>
        <w:t xml:space="preserve"> </w:t>
      </w:r>
      <w:r>
        <w:rPr>
          <w:rFonts w:ascii="Arial;sans-serif" w:hAnsi="Arial;sans-serif"/>
          <w:b w:val="false"/>
          <w:color w:val="000000"/>
          <w:sz w:val="20"/>
        </w:rPr>
        <w:t xml:space="preserve">Aircraft Fuel expense represented approximately 27% and 33% of our total operating expense for the nine months ended September 30, 2023 and 2022, respectively. The market price for jet fuel is volatile, which can impact the comparability of our periodic cash flows from operations. Fuel cost per gallon decreased by 18% year-over-year due to the impact of global geopolitical events on the price of fuel during the nine months ended September 30, 2022. Fuel consumption increased by 10% during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September 30, 2023, compared to the prior year as a result of the increase in fleet size and total operations. We expect volatility in Aircraft Fuel prices per gallon throughout the remainder of 2023 due to market conditions and global geopolitical events. As capacity has grown due to the increase in the year-over-year average passenger aircraft during the period, we expect that fuel consumption will remain higher for full year 2023 as compared to 2022.</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Investing Cash Flow Activities</w:t>
      </w:r>
    </w:p>
    <w:p>
      <w:pPr>
        <w:pStyle w:val="TextBody"/>
        <w:bidi w:val="0"/>
        <w:spacing w:lineRule="auto" w:line="288" w:before="240" w:after="283"/>
        <w:jc w:val="both"/>
        <w:rPr/>
      </w:pPr>
      <w:r>
        <w:rPr>
          <w:rFonts w:ascii="Arial;sans-serif" w:hAnsi="Arial;sans-serif"/>
          <w:b w:val="false"/>
          <w:i/>
          <w:color w:val="000000"/>
          <w:sz w:val="20"/>
        </w:rPr>
        <w:t>Capital</w:t>
      </w:r>
      <w:r>
        <w:rPr>
          <w:color w:val="000000"/>
        </w:rPr>
        <w:t xml:space="preserve"> </w:t>
      </w:r>
      <w:r>
        <w:rPr>
          <w:rFonts w:ascii="Arial;sans-serif" w:hAnsi="Arial;sans-serif"/>
          <w:b w:val="false"/>
          <w:i/>
          <w:color w:val="000000"/>
          <w:sz w:val="20"/>
        </w:rPr>
        <w:t>Expenditures.</w:t>
      </w:r>
      <w:r>
        <w:rPr>
          <w:color w:val="000000"/>
        </w:rPr>
        <w:t xml:space="preserve"> </w:t>
      </w:r>
      <w:r>
        <w:rPr>
          <w:rFonts w:ascii="Arial;sans-serif" w:hAnsi="Arial;sans-serif"/>
          <w:b w:val="false"/>
          <w:color w:val="000000"/>
          <w:sz w:val="20"/>
        </w:rPr>
        <w:t>Our capital expenditures were $210,641 and $177,658 for the nine months ended September 30, 2023 and 2022, respectively. Our capital expenditures during the nine months ended September 30, 2023 primarily included the purchase of five Aircraft Held for Operating Lease and one incremental aircraft for our passenger fleet. Our capital expenditures during the nine months ended September 30, 2022 primarily included the purchase of five incremental aircraft, two aircraft off operating leases, five spare engines, prepayment of a flight simulator, and other miscellaneous projects.</w:t>
      </w:r>
    </w:p>
    <w:p>
      <w:pPr>
        <w:pStyle w:val="TextBody"/>
        <w:bidi w:val="0"/>
        <w:spacing w:lineRule="auto" w:line="288" w:before="240" w:after="283"/>
        <w:jc w:val="both"/>
        <w:rPr/>
      </w:pPr>
      <w:r>
        <w:rPr>
          <w:rFonts w:ascii="Arial;sans-serif" w:hAnsi="Arial;sans-serif"/>
          <w:b w:val="false"/>
          <w:i/>
          <w:color w:val="000000"/>
          <w:sz w:val="20"/>
        </w:rPr>
        <w:t>Investments.</w:t>
      </w:r>
      <w:r>
        <w:rPr>
          <w:color w:val="000000"/>
        </w:rPr>
        <w:t xml:space="preserve"> </w:t>
      </w:r>
      <w:r>
        <w:rPr>
          <w:rFonts w:ascii="Arial;sans-serif" w:hAnsi="Arial;sans-serif"/>
          <w:b w:val="false"/>
          <w:color w:val="000000"/>
          <w:sz w:val="20"/>
        </w:rPr>
        <w:t>During the nine months ended September 30, 2023, the Company's net investment activity resulted in cash inflows of $28,276 due to maturing debt securities exceeding purchases of investments. These maturing cash inflows were used to fund the purchase of aircraft during the nine months ended September 30, 2023. During the second quarter of 2022 we changed our investment strategy which led to the purchase of $130,529 of investments during the nine months ended September 30, 2022.</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Financing Cash Flow Activities</w:t>
      </w:r>
    </w:p>
    <w:p>
      <w:pPr>
        <w:pStyle w:val="TextBody"/>
        <w:bidi w:val="0"/>
        <w:spacing w:lineRule="auto" w:line="288" w:before="240" w:after="283"/>
        <w:jc w:val="both"/>
        <w:rPr/>
      </w:pPr>
      <w:r>
        <w:rPr>
          <w:rFonts w:ascii="Arial;sans-serif" w:hAnsi="Arial;sans-serif"/>
          <w:b w:val="false"/>
          <w:i/>
          <w:color w:val="000000"/>
          <w:sz w:val="20"/>
        </w:rPr>
        <w:t>Debt</w:t>
      </w:r>
      <w:r>
        <w:rPr>
          <w:rFonts w:ascii="Arial;sans-serif" w:hAnsi="Arial;sans-serif"/>
          <w:b w:val="false"/>
          <w:color w:val="000000"/>
          <w:sz w:val="20"/>
        </w:rPr>
        <w:t xml:space="preserve">. During the nine months ended September 30, 2023, the Company executed a term loan credit facility with a face amount of $119,200 for the purpose of financing the five Aircraft Held for Operating Lease. The loan is to be repaid monthly over 7 years. In March 2022, the Company arranged for the issuance of the 2022-1 EETC in an aggregate face amount of $188,277 for the purpose of financing or refinancing 13 aircraft. Five of these aircraft were owned fleet assets previously financed by the DDTL, which was repaid with the proceeds from the 2022-1 EETC.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required to make bi-annual principal and interest payments on the 2022-1 EETC each March and September, through March 2031. The Company is required to make bi-annual principal and interest payments on the 2019-1 EETC each June and December, through December 2027.</w:t>
      </w:r>
    </w:p>
    <w:p>
      <w:pPr>
        <w:pStyle w:val="TextBody"/>
        <w:bidi w:val="0"/>
        <w:spacing w:lineRule="auto" w:line="288" w:before="240" w:after="283"/>
        <w:jc w:val="both"/>
        <w:rPr/>
      </w:pPr>
      <w:r>
        <w:rPr>
          <w:rFonts w:ascii="Arial;sans-serif" w:hAnsi="Arial;sans-serif"/>
          <w:b w:val="false"/>
          <w:i/>
          <w:color w:val="000000"/>
          <w:sz w:val="20"/>
        </w:rPr>
        <w:t>Finance Leases</w:t>
      </w:r>
      <w:r>
        <w:rPr>
          <w:rFonts w:ascii="Arial;sans-serif" w:hAnsi="Arial;sans-serif"/>
          <w:b w:val="false"/>
          <w:color w:val="000000"/>
          <w:sz w:val="20"/>
        </w:rPr>
        <w:t xml:space="preserve">. Our repayments of finance lease obligations were $16,390 and $37,842 for the nine months ended September 30, 2023 and 2022, respectively. During the nine months ended September 30, 2022, the Company purchased two aircraft previously classified as a finance lease using proceeds from the 2022-1 EETC. The resulting cash outflows are recorded as payments for finance lease obligations. There were no similar aircraft transactions during the nine months ended September 30, 2023. As of September 30, 2023 and 2022, the Company had 13 and 11 aircraft finance leases, respectively. </w:t>
      </w:r>
    </w:p>
    <w:p>
      <w:pPr>
        <w:pStyle w:val="TextBody"/>
        <w:bidi w:val="0"/>
        <w:spacing w:lineRule="auto" w:line="288" w:before="240" w:after="283"/>
        <w:jc w:val="both"/>
        <w:rPr/>
      </w:pPr>
      <w:r>
        <w:rPr>
          <w:rFonts w:ascii="Arial;sans-serif" w:hAnsi="Arial;sans-serif"/>
          <w:b w:val="false"/>
          <w:i/>
          <w:color w:val="000000"/>
          <w:sz w:val="20"/>
        </w:rPr>
        <w:t xml:space="preserve">Common Stock Repurchases. </w:t>
      </w:r>
      <w:r>
        <w:rPr>
          <w:rFonts w:ascii="Arial;sans-serif" w:hAnsi="Arial;sans-serif"/>
          <w:b w:val="false"/>
          <w:color w:val="000000"/>
          <w:sz w:val="20"/>
        </w:rPr>
        <w:t xml:space="preserve">During the nine months ended September 30, 2023, the Company repurchased 3,307,541 shares of its Common Stock at an average price of $16.64 per share. The repurchases were part of a secondary public offering of the Company's shares by the Apollo Stockholder, as well as open market purchases completed in the second and third quarters. For more information on the stock repurchase program and this purchase, see </w:t>
      </w:r>
      <w:hyperlink w:anchor="id064cbdc8b05452aaf9855cd612d84bf_64">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val="false"/>
          <w:i/>
          <w:color w:val="000000"/>
          <w:sz w:val="20"/>
        </w:rPr>
        <w:t>Other.</w:t>
      </w:r>
      <w:r>
        <w:rPr>
          <w:color w:val="000000"/>
        </w:rPr>
        <w:t xml:space="preserve"> </w:t>
      </w:r>
      <w:r>
        <w:rPr>
          <w:rFonts w:ascii="Arial;sans-serif" w:hAnsi="Arial;sans-serif"/>
          <w:b w:val="false"/>
          <w:color w:val="000000"/>
          <w:sz w:val="20"/>
        </w:rPr>
        <w:t xml:space="preserve">During the nine months ended September 30, 2023, the Company made a payment of $2,425 to the TRA holders. For more information on the payment of the TRA, see </w:t>
      </w:r>
      <w:hyperlink w:anchor="id064cbdc8b05452aaf9855cd612d84bf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Off Balance Sheet Arrangements </w:t>
      </w:r>
    </w:p>
    <w:p>
      <w:pPr>
        <w:pStyle w:val="TextBody"/>
        <w:bidi w:val="0"/>
        <w:spacing w:lineRule="auto" w:line="288" w:before="240" w:after="283"/>
        <w:jc w:val="both"/>
        <w:rPr/>
      </w:pPr>
      <w:r>
        <w:rPr>
          <w:rFonts w:ascii="Arial;sans-serif" w:hAnsi="Arial;sans-serif"/>
          <w:b w:val="false"/>
          <w:color w:val="000000"/>
          <w:sz w:val="20"/>
        </w:rPr>
        <w:t xml:space="preserve">For a detailed discussion on the nature of the Company's Off Balance Sheet Arrangements, see “Management’s Discussion and Analysis of Operations” in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in our 2022 10-K. There have been no material changes to the Company's Off Balance Sheet Arrangements as compared to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Commitments and Contractual Obligations </w:t>
      </w:r>
    </w:p>
    <w:p>
      <w:pPr>
        <w:pStyle w:val="TextBody"/>
        <w:bidi w:val="0"/>
        <w:spacing w:lineRule="auto" w:line="288" w:before="240" w:after="283"/>
        <w:jc w:val="both"/>
        <w:rPr/>
      </w:pPr>
      <w:r>
        <w:rPr>
          <w:rFonts w:ascii="Arial;sans-serif" w:hAnsi="Arial;sans-serif"/>
          <w:b w:val="false"/>
          <w:color w:val="000000"/>
          <w:sz w:val="20"/>
        </w:rPr>
        <w:t xml:space="preserve">See </w:t>
      </w:r>
      <w:hyperlink w:anchor="id064cbdc8b05452aaf9855cd612d84bf_67">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color w:val="000000"/>
          <w:sz w:val="20"/>
        </w:rPr>
        <w:t>to our Condensed Consolidated Financial Statements included elsewhere in this Quarterly Report on Form 10-Q for more information regarding commitments and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2023, there were no recently adopted accounting standards that had a material impact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283"/>
        <w:jc w:val="both"/>
        <w:rPr/>
      </w:pPr>
      <w:r>
        <w:rPr>
          <w:rFonts w:ascii="Arial;sans-serif" w:hAnsi="Arial;sans-serif"/>
          <w:b w:val="false"/>
          <w:color w:val="000000"/>
          <w:sz w:val="20"/>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Operations” sections within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rFonts w:ascii="Arial;sans-serif" w:hAnsi="Arial;sans-serif"/>
          <w:b w:val="false"/>
          <w:color w:val="000000"/>
          <w:sz w:val="20"/>
        </w:rPr>
        <w:t>, respectively, in our 2022 10-K.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pStyle w:val="TextBody"/>
        <w:bidi w:val="0"/>
        <w:spacing w:lineRule="auto" w:line="288" w:before="240" w:after="283"/>
        <w:jc w:val="both"/>
        <w:rPr/>
      </w:pPr>
      <w:r>
        <w:rPr>
          <w:rFonts w:ascii="Arial;sans-serif" w:hAnsi="Arial;sans-serif"/>
          <w:b w:val="false"/>
          <w:i/>
          <w:color w:val="000000"/>
          <w:sz w:val="20"/>
        </w:rPr>
        <w:t>Aircraft Fuel</w:t>
      </w:r>
      <w:r>
        <w:rPr>
          <w:rFonts w:ascii="Arial;sans-serif" w:hAnsi="Arial;sans-serif"/>
          <w:b w:val="false"/>
          <w:color w:val="000000"/>
          <w:sz w:val="20"/>
        </w:rPr>
        <w:t>. Unexpected pricing changes of aircraft fuel could have a material adverse effect on our 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September 30, 2023.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fourth quarter of 2023, we estimate that a one cent per gallon increase in the average aircraft fuel price would increase aircraft fuel expense by approximately $200 excluding reimbursed fuel from cargo and certain charter customers.</w:t>
      </w:r>
    </w:p>
    <w:p>
      <w:pPr>
        <w:pStyle w:val="TextBody"/>
        <w:bidi w:val="0"/>
        <w:spacing w:lineRule="auto" w:line="288" w:before="240" w:after="283"/>
        <w:jc w:val="both"/>
        <w:rPr/>
      </w:pPr>
      <w:r>
        <w:rPr>
          <w:rFonts w:ascii="Arial;sans-serif" w:hAnsi="Arial;sans-serif"/>
          <w:b w:val="false"/>
          <w:i/>
          <w:color w:val="000000"/>
          <w:sz w:val="20"/>
        </w:rPr>
        <w:t xml:space="preserve">Interest Rates. </w:t>
      </w:r>
      <w:r>
        <w:rPr>
          <w:rFonts w:ascii="Arial;sans-serif" w:hAnsi="Arial;sans-serif"/>
          <w:b w:val="false"/>
          <w:color w:val="000000"/>
          <w:sz w:val="20"/>
        </w:rPr>
        <w:t xml:space="preserve">We have exposure to market risk associated with changes in interest rates related to the interest expense from our variable-rate debt and our short-term investment securities. A change in market interest rates would impact interest expense under the $119,200 term loan credit facility used to finance the Aircraft Held for Operating Lease. A 100 basis point increase in interest rates on the September 30, 2023 balance of the term loan would result in a corresponding increase in interest expense of approximately $1,121 annually. As of the date of this filing, the entire term loan credit facility had been drawn. The Company also maintains a $25,000 Revolving Credit Facility with a variable interest rate that is impacted by market conditions. As of September 30, 2023, the Company had $24,650 of financing available through the Revolving Credit Facility, as $350 had been pledged to support a letter of credit. As of September 30, 2023, no amounts on the Revolving Credit Facility had been drawn.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$146,519 as of September 30, 2023.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Based on the evaluation of our disclosure controls and procedures as of September 30, 2023, our Chief Executive Officer and Chief Financial Officer have concluded that our disclosure controls and procedures were not effective as of September 30, 2023, due to the material weaknesses in internal control over financial reporting described below.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Material Weaknesses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previously disclosed in our Annual Report on Form 10-K as of December 31, 2022 that management identified a material weakness in the Company's internal control over financial reporting. Specifically, controls over the accounting for complex, non-routine transactions were not designed or implemented to operate with a sufficient level of precision. This included controls addressing the application of ASC Topic 842, Leases, to the purchase of aircraft subject to an existing operating lease.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quarter ended June 30, 2023, management identified an additional material weakness in the Company’s internal control over financial reporting. Specifically, the Company did not have an effective risk assessment process to identify and assess the risks of misstatement associated with the utilization of a third-party service organization's hosted IT solution for automating the processing of vendor invoices (i.e., scanning, routing, approving, and preparing the recording of invoices) and hosting of related information. As a result, management’s information technology general controls (“ITGCs”) over the IT application used by the service organization and process-level controls over the procurement activities carried out by the third-party service organization were not designed or implemented to operate at a sufficient level of precision. The Company also did not obtain a System and Organization Controls ("SOC") Report from the third-party that would provide evidence of design, implementation, and operating effectiveness of such controls within the service organization’s framework of internal controls.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control deficiencies did not result in a material misstatement of the Condensed Consolidated Financial Statements included in this Quarterly Report on Form 10-Q or our prior period consolidated annual or interim financial statements. However, each of these control deficiencies create a reasonable possibility that a material misstatement to the annual or interim consolidated financial statements will not be prevented or detected on a timely basis. Accordingly, management has concluded that each control deficiency constituted a material weakness in the Company's internal control over financial reporting and our internal control over financial reporting was not effective as of September 30, 2023.</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Remediation Plan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Management is continuing to supplement and enhance the Company's system of internal control over financial reporting through actions responsive to each identified material weakness. The remediation plan for the material weakness associated with accounting for complex, non-routine transactions, includes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Hired a technical accounting specialist and manager after the material weakness occurred;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Provided additional training on how to utilize external technical accounting research resources;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Reviewed all existing internal accounting policies and accounting guidance memos for completeness and the appropriate accounting guidance, including those surrounding leases;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Established a policy to provide additional guidance surrounding the use of third-party specialists;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Enhanced the design of financial reporting controls, specifically sub-certifications and review of non-routine transactions including updating the lease accounting checklist;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Engaged third-party specialists, as necessary, to review management’s analysis and conclusions on the accounting for non-routine transactions involving the application of complex accounting standards;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Continued to review and make necessary changes to the design of our risk assessment and review controls over accounting for complex, non-routine transactions, including lease-related transactions;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Re-designed the overall design of our risk assessment process with utilization of a new third-party tool; and</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Established a policy and internal controls surrounding transactions related to a new lessor relationship.</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made significant progress in accordance with our remediation plan related to the material weakness in controls over the accounting for complex, non-routine transactions since the filing of our June 30, 2023 10-Q as follows: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Continued to engage third-party technical accounting specialists to review management's conclusions on the accounting for non-routine transactions occurring in the third quarter of 2023;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Continued to perform management's controls surrounding the accounting for complex, non-routine transactions, including those associated with the acquisition and related financing of additional aircraft, and those involved with becoming a first-time aircraft lessor;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Provided "refresher" training on how to utilize external technical accounting research resources.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remediation plan for the material weakness associated with the controls over the utilization of a third-party service organization's hosted IT solution for automating the processing of vendor invoices and hosting of related information, includes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Understand the timing and scope of the third-party service organization's attestation report to determine whether the attestation will be adequate and performed in a timely manner to cover our fiscal year;</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Where a SOC attestation is not completed, explore alternative solutions including, but not limited to, a) bringing the application on premise so the necessary IT infrastructure and related processes and controls surrounding the IT application can be entirely within the Company’s control, and b) evaluating other service providers that are able to provide a SOC attestation report; and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Enhance the design and operation of manual internal controls within the Company, including tracking and reviewing of vendor invoices outside of the third-party service organization’s application and processes, in the event an adequate and timely SOC attestation report is not available from the third-party service organization and other viable solutions are not pursued.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made significant progress in accordance with our remediation plan related to the material weakness in controls over the utilization of a third-party service organization’s hosted IT solution for automating the processing of vendor invoices and hosting of related information since the filing of our June 30, 2023 10-Q as follows: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Established and tested the IT infrastructure necessary to operate the vendor’s application on premise;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Completed the move of the historical data and implemented internal processes and controls surrounding the IT application in order to operate it entirely within the Company’s control;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Continuing to enhance the risk assessment process and design of our process-level controls over procurement activities so they operate at a sufficient level of precision.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Each material weakness will not be considered remediated until a sustained period of time has passed to allow management to test the design and operating effectiveness of the new or enhanced controls implemented as a result of the corrective actions. We believe that our remediation plans will be sufficient to remediate the identified material weaknesses and strengthen our internal control over financial reporting. However, as we continue to evaluate and improve our internal control over financial reporting, management may determine that additional measures to address the identified control deficiencies or modifications to the remediation plans are necessary. Therefore, we cannot assure you when the Company will remediate the material weaknesses identified above, nor can we be certain that additional actions will not be required and what the costs of any such additional actions may be. Moreover, we cannot assure you that additional material weaknesses will not arise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Despite the existence of these material weaknesses, our management believes that the Condensed Consolidated Financial Statements included in this Quarterly Report present fairly, in all material respects, the Company's financial position, results of operations and cash flows for the periods presented in conformity with GAAP.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Other than the changes made as part of the remediation plans described above, there has been no change in the Company’s internal control over financial reporting (as defined in Rules 13a-15(f) and 15d-15(f) under the Exchange Act) that occurred during the quarter ended September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pPr>
      <w:r>
        <w:rPr>
          <w:rFonts w:ascii="Arial;sans-serif" w:hAnsi="Arial;sans-serif"/>
          <w:b w:val="false"/>
          <w:color w:val="000000"/>
          <w:sz w:val="20"/>
        </w:rPr>
        <w:t>We have disclosed under the heading “</w:t>
      </w:r>
      <w:r>
        <w:fldChar w:fldCharType="begin"/>
      </w:r>
      <w:r>
        <w:rPr>
          <w:rStyle w:val="InternetLink"/>
          <w:dstrike w:val="false"/>
          <w:strike w:val="false"/>
          <w:sz w:val="20"/>
          <w:u w:val="none"/>
          <w:b w:val="false"/>
          <w:effect w:val="none"/>
          <w:rFonts w:ascii="Arial;sans-serif" w:hAnsi="Arial;sans-serif"/>
          <w:color w:val="000000"/>
        </w:rPr>
        <w:instrText xml:space="preserve"> HYPERLINK "https://www.sec.gov/ix?doc=/Archives/edgar/data/1743907/000174390723000009/sncy-20221231.htm" \l "i684c337f82b14842ad2d4798d3d17a69_25"</w:instrText>
      </w:r>
      <w:r>
        <w:rPr>
          <w:rStyle w:val="InternetLink"/>
          <w:dstrike w:val="false"/>
          <w:strike w:val="false"/>
          <w:sz w:val="20"/>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0"/>
          <w:u w:val="none"/>
          <w:effect w:val="none"/>
        </w:rPr>
        <w:t>Risk Factors</w:t>
      </w:r>
      <w:r>
        <w:rPr>
          <w:rStyle w:val="InternetLink"/>
          <w:dstrike w:val="false"/>
          <w:strike w:val="false"/>
          <w:sz w:val="20"/>
          <w:u w:val="none"/>
          <w:b w:val="false"/>
          <w:effect w:val="none"/>
          <w:rFonts w:ascii="Arial;sans-serif" w:hAnsi="Arial;sans-serif"/>
          <w:color w:val="000000"/>
        </w:rPr>
        <w:fldChar w:fldCharType="end"/>
      </w:r>
      <w:r>
        <w:rPr>
          <w:rFonts w:ascii="Arial;sans-serif" w:hAnsi="Arial;sans-serif"/>
          <w:b w:val="false"/>
          <w:color w:val="000000"/>
          <w:sz w:val="20"/>
        </w:rPr>
        <w:t>” in our 2022 10-K,</w:t>
      </w:r>
      <w:r>
        <w:rPr>
          <w:color w:val="000000"/>
        </w:rPr>
        <w:t xml:space="preserve"> </w:t>
      </w:r>
      <w:r>
        <w:rPr>
          <w:rFonts w:ascii="Arial;sans-serif" w:hAnsi="Arial;sans-serif"/>
          <w:b w:val="false"/>
          <w:color w:val="000000"/>
          <w:sz w:val="20"/>
        </w:rPr>
        <w:t>March 31, 2023 10-Q, and June 30, 2023 10-Q,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our 2022 10-K, March 31, 2023 10-Q, June 30, 2023 10-Q and the risk factors presented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Industry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Terrorism, war, and other events may harm our business, results of operations and financial condition.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continued threat of terrorism and heightened security and military action in response thereto, or any other current or future acts of terrorism, war (such as the Hamas-Israel and the Russia-Ukraine military conflicts), and other events (such as economic sanctions and trade restrictions, including those related to the foregoing) may cause further disruptions to the economies of the United States and other countries and create further uncertainties or could otherwise negatively impact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Company's repurchases of Common Stock for the quarter ended September 30, 2023. All stock repurchases during the quarter reflect shares repurchased pursuant to the Company's stock repurchase program and shares withheld from employees to satisfy the taxes due in connection with grants of stock under the Company's equity incentive plans. The shares of Common Stock withheld to satisfy tax withholding obligations are considered to be "issuer purchases" of shares that are required to be disclosed pursuant to this Item, but are not considered to be part of the Company's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val="false"/>
          <w:color w:val="000000"/>
          <w:sz w:val="20"/>
        </w:rPr>
        <w:t xml:space="preserve">repurchase program. For more information on the Company's stock repurchase program, see </w:t>
      </w:r>
      <w:hyperlink w:anchor="id064cbdc8b05452aaf9855cd612d84bf_64">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to the Condensed Consolidated Financial Statements included in Part I, Item 1 of this report.</w:t>
      </w:r>
    </w:p>
    <w:tbl>
      <w:tblPr>
        <w:tblW w:w="10205" w:type="dxa"/>
        <w:jc w:val="left"/>
        <w:tblInd w:w="0" w:type="dxa"/>
        <w:tblLayout w:type="fixed"/>
        <w:tblCellMar>
          <w:top w:w="28" w:type="dxa"/>
          <w:left w:w="28" w:type="dxa"/>
          <w:bottom w:w="28" w:type="dxa"/>
          <w:right w:w="28" w:type="dxa"/>
        </w:tblCellMar>
      </w:tblPr>
      <w:tblGrid>
        <w:gridCol w:w="706"/>
        <w:gridCol w:w="301"/>
        <w:gridCol w:w="255"/>
        <w:gridCol w:w="109"/>
        <w:gridCol w:w="109"/>
        <w:gridCol w:w="109"/>
        <w:gridCol w:w="756"/>
        <w:gridCol w:w="445"/>
        <w:gridCol w:w="446"/>
        <w:gridCol w:w="109"/>
        <w:gridCol w:w="109"/>
        <w:gridCol w:w="109"/>
        <w:gridCol w:w="273"/>
        <w:gridCol w:w="837"/>
        <w:gridCol w:w="141"/>
        <w:gridCol w:w="109"/>
        <w:gridCol w:w="109"/>
        <w:gridCol w:w="109"/>
        <w:gridCol w:w="930"/>
        <w:gridCol w:w="667"/>
        <w:gridCol w:w="669"/>
        <w:gridCol w:w="109"/>
        <w:gridCol w:w="109"/>
        <w:gridCol w:w="109"/>
        <w:gridCol w:w="444"/>
        <w:gridCol w:w="1362"/>
        <w:gridCol w:w="665"/>
      </w:tblGrid>
      <w:tr>
        <w:trPr/>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 in thousands) of Shares that May Yet be Purchased Under Plan </w:t>
            </w:r>
            <w:r>
              <w:rPr>
                <w:rFonts w:ascii="Arial;sans-serif" w:hAnsi="Arial;sans-serif"/>
                <w:b/>
                <w:color w:val="000000"/>
                <w:sz w:val="10"/>
              </w:rPr>
              <w:t>(2)</w:t>
            </w:r>
          </w:p>
        </w:tc>
      </w:tr>
      <w:tr>
        <w:trPr/>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2,759 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August 1-31, 2023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1,236,023 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1,236,023 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13,667 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904,767 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904,767 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2,140,790 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2,140,790 </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On August 1, 2023, the Company's Board of Directors authorized the addition of $30,000 to the Company's existing stock repurchase program, which increased the total amount of authorization remaining to repurchase shares of the Company's Common Stock as of that date to $32,759.</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Subsequent to September 30, 2023, the Company's Board of Directors authorized the addition of $25,000 to the Company's existing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directors and executive officers may purchase or sell shares of our common stock in the market from time to time, including pursuant to equity trading plans adopted in accordance with Rule 10b5-1 under the Exchange Act ("Rule 10b5-1")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 The following table describes contracts, instructions or written plans for the sale or purchase of our securities adopted, terminated or modified by our directors and executive officers during the three months ended September 30, 2023, each of which is intended to satisfy the affirmative defense conditions of Rule 10b5-1(c).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4"/>
        <w:gridCol w:w="446"/>
        <w:gridCol w:w="451"/>
        <w:gridCol w:w="109"/>
        <w:gridCol w:w="109"/>
        <w:gridCol w:w="109"/>
        <w:gridCol w:w="547"/>
        <w:gridCol w:w="547"/>
        <w:gridCol w:w="548"/>
        <w:gridCol w:w="109"/>
        <w:gridCol w:w="109"/>
        <w:gridCol w:w="109"/>
        <w:gridCol w:w="601"/>
        <w:gridCol w:w="601"/>
        <w:gridCol w:w="603"/>
        <w:gridCol w:w="109"/>
        <w:gridCol w:w="109"/>
        <w:gridCol w:w="109"/>
        <w:gridCol w:w="623"/>
        <w:gridCol w:w="623"/>
        <w:gridCol w:w="625"/>
        <w:gridCol w:w="109"/>
        <w:gridCol w:w="109"/>
        <w:gridCol w:w="109"/>
        <w:gridCol w:w="592"/>
        <w:gridCol w:w="592"/>
        <w:gridCol w:w="844"/>
      </w:tblGrid>
      <w:tr>
        <w:trPr/>
        <w:tc>
          <w:tcPr>
            <w:tcW w:w="6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Adoption, Termination or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Adoption, Termination or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Duration of Plan (Scheduled Expiration Date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to be Purchased (Sold) under the Plan</w:t>
            </w:r>
          </w:p>
        </w:tc>
      </w:tr>
      <w:tr>
        <w:trPr/>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Dave Davis, President and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(162,422)</w:t>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Dave Davis, President and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 21,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(350,720)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54"/>
        <w:gridCol w:w="207"/>
        <w:gridCol w:w="208"/>
        <w:gridCol w:w="2807"/>
        <w:gridCol w:w="2777"/>
        <w:gridCol w:w="3952"/>
      </w:tblGrid>
      <w:tr>
        <w:trPr/>
        <w:tc>
          <w:tcPr>
            <w:tcW w:w="2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930x10xqex101.htm">
              <w:r>
                <w:rPr>
                  <w:rStyle w:val="InternetLink"/>
                  <w:rFonts w:ascii="Arial;sans-serif" w:hAnsi="Arial;sans-serif"/>
                  <w:b w:val="false"/>
                  <w:color w:val="000080"/>
                  <w:sz w:val="20"/>
                  <w:u w:val="single"/>
                </w:rPr>
                <w:t>Amendment 19 to the Inventory Support Services Agreement, dated as July 20, 2023, by and between Sun Country, Inc., dba Sun Country Airlines and Delta Air Lines, Inc</w:t>
              </w:r>
            </w:hyperlink>
            <w:hyperlink w:anchor="sncy-20230930x10xqex101.htm">
              <w:r>
                <w:rPr>
                  <w:rStyle w:val="InternetLink"/>
                  <w:rFonts w:ascii="Arial;sans-serif" w:hAnsi="Arial;sans-serif"/>
                  <w:b w:val="false"/>
                  <w:color w:val="000080"/>
                  <w:sz w:val="20"/>
                  <w:u w:val="single"/>
                </w:rPr>
                <w:t>.</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930x10qexhibit311.htm">
              <w:r>
                <w:rPr>
                  <w:rStyle w:val="InternetLink"/>
                  <w:rFonts w:ascii="Arial;sans-serif" w:hAnsi="Arial;sans-serif"/>
                  <w:b w:val="false"/>
                  <w:color w:val="0000FF"/>
                  <w:sz w:val="20"/>
                  <w:u w:val="single"/>
                </w:rPr>
                <w:t>Certification by Sun Country's Chief Executive Officer with respect to Sun Country's Quarterly Report on Form 10-Q for the quarterly period ended September 30, 2023</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930x10qexhibit312.htm">
              <w:r>
                <w:rPr>
                  <w:rStyle w:val="InternetLink"/>
                  <w:rFonts w:ascii="Arial;sans-serif" w:hAnsi="Arial;sans-serif"/>
                  <w:b w:val="false"/>
                  <w:color w:val="0000FF"/>
                  <w:sz w:val="20"/>
                  <w:u w:val="single"/>
                </w:rPr>
                <w:t>Certification by Sun Country’s President and Chief Financial Officer with respect to Sun Country's Quarterly Report on Form 10-Q for the quarterly period ended September 30, 2023</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930x10qexhibit32.htm">
              <w:r>
                <w:rPr>
                  <w:rStyle w:val="InternetLink"/>
                  <w:rFonts w:ascii="Arial;sans-serif" w:hAnsi="Arial;sans-serif"/>
                  <w:b w:val="false"/>
                  <w:color w:val="0000FF"/>
                  <w:sz w:val="20"/>
                  <w:u w:val="single"/>
                </w:rPr>
                <w:t>Certification pursuant to Section 1350 of Chapter 63 of Title 18 of the United States Code by Sun Country Airlines Holdings, Inc.’s Chief Executive Officer and President and Chief Financial Officer with respect to Sun Country's Quarterly Report on Form 10-Q for the quarterly period ended September 30, 2023</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Labels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Files (formatted as inline XBRL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30"/>
        <w:gridCol w:w="1530"/>
        <w:gridCol w:w="1530"/>
        <w:gridCol w:w="1530"/>
        <w:gridCol w:w="1530"/>
        <w:gridCol w:w="22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w:t>
            </w:r>
          </w:p>
        </w:tc>
        <w:tc>
          <w:tcPr>
            <w:tcW w:w="9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Arial;sans-serif" w:hAnsi="Arial;sans-serif"/>
                <w:b w:val="false"/>
                <w:color w:val="000000"/>
                <w:sz w:val="16"/>
              </w:rPr>
            </w:pPr>
            <w:r>
              <w:rPr>
                <w:rFonts w:ascii="Arial;sans-serif" w:hAnsi="Arial;sans-serif"/>
                <w:b w:val="false"/>
                <w:color w:val="000000"/>
                <w:sz w:val="16"/>
              </w:rPr>
              <w:t>#</w:t>
            </w:r>
          </w:p>
        </w:tc>
        <w:tc>
          <w:tcPr>
            <w:tcW w:w="9863"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Certain portions of this exhibit have been redacted pursuant to Item 601(b)(10)(iv) of Regulation S-K. The Company agrees to furnish supplementally an unredacted copy of the exhibit to the Securities and Exchange Commission upon its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064cbdc8b05452aaf9855cd612d84b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625" w:type="dxa"/>
        <w:jc w:val="left"/>
        <w:tblInd w:w="0" w:type="dxa"/>
        <w:tblLayout w:type="fixed"/>
        <w:tblCellMar>
          <w:top w:w="28" w:type="dxa"/>
          <w:left w:w="28" w:type="dxa"/>
          <w:bottom w:w="28" w:type="dxa"/>
          <w:right w:w="28" w:type="dxa"/>
        </w:tblCellMar>
      </w:tblPr>
      <w:tblGrid>
        <w:gridCol w:w="619"/>
        <w:gridCol w:w="544"/>
        <w:gridCol w:w="547"/>
        <w:gridCol w:w="1147"/>
        <w:gridCol w:w="1147"/>
        <w:gridCol w:w="162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Holdings, Inc.</w:t>
              <w:br/>
              <w:t>(Registrant)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Dave Davis</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Dave Davis</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br/>
              <w:t>(Principal Financial and Accounting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7, 2023</w:t>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identified information has been omitted from this exhibit because it is (i) not material and (ii) the type that the registrant treats as private or confidential. [***] indicates that information has been redacted.</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19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Inventory Support Services Agreement</w:t>
      </w:r>
    </w:p>
    <w:p>
      <w:pPr>
        <w:pStyle w:val="TextBody"/>
        <w:bidi w:val="0"/>
        <w:spacing w:before="0" w:after="0"/>
        <w:jc w:val="left"/>
        <w:rPr/>
      </w:pPr>
      <w:r>
        <w:rPr/>
      </w:r>
    </w:p>
    <w:p>
      <w:pPr>
        <w:pStyle w:val="TextBody"/>
        <w:bidi w:val="0"/>
        <w:spacing w:lineRule="auto" w:line="240" w:before="156" w:after="283"/>
        <w:ind w:left="0" w:right="0" w:hanging="2"/>
        <w:jc w:val="both"/>
        <w:rPr>
          <w:rFonts w:ascii="Arial;sans-serif" w:hAnsi="Arial;sans-serif"/>
          <w:b w:val="false"/>
          <w:color w:val="000000"/>
          <w:sz w:val="21"/>
        </w:rPr>
      </w:pPr>
      <w:r>
        <w:rPr>
          <w:rFonts w:ascii="Arial;sans-serif" w:hAnsi="Arial;sans-serif"/>
          <w:b w:val="false"/>
          <w:color w:val="000000"/>
          <w:sz w:val="21"/>
        </w:rPr>
        <w:t>This Amendment 19 (this “Amendment”), made as of April 1, 2023, by and between Sun Country, Inc. d/b/a Sun Country Airlines (“Sun Country Airlines” or “Sun Country”) as successor-in-interest to MN Airlines, LLC and Delta Air Lines, Inc. (”Delta”), to that certain MN Airlines Inventory Support Agreement dated both October 8, 2003, and October 27, 2003, (as amended, the "Agreement"), shall be effective as of January 1, 2023 ("Amendment 19 Effective Date").</w:t>
      </w:r>
    </w:p>
    <w:p>
      <w:pPr>
        <w:pStyle w:val="TextBody"/>
        <w:bidi w:val="0"/>
        <w:spacing w:before="1" w:after="283"/>
        <w:jc w:val="left"/>
        <w:rPr/>
      </w:pPr>
      <w:r>
        <w:rPr/>
      </w:r>
    </w:p>
    <w:p>
      <w:pPr>
        <w:pStyle w:val="TextBody"/>
        <w:bidi w:val="0"/>
        <w:spacing w:lineRule="auto" w:line="285" w:before="0" w:after="0"/>
        <w:ind w:left="0" w:right="0" w:firstLine="2"/>
        <w:jc w:val="both"/>
        <w:rPr>
          <w:rFonts w:ascii="Arial;sans-serif" w:hAnsi="Arial;sans-serif"/>
          <w:b w:val="false"/>
          <w:color w:val="000000"/>
          <w:sz w:val="21"/>
        </w:rPr>
      </w:pPr>
      <w:r>
        <w:rPr>
          <w:rFonts w:ascii="Arial;sans-serif" w:hAnsi="Arial;sans-serif"/>
          <w:b w:val="false"/>
          <w:color w:val="000000"/>
          <w:sz w:val="21"/>
        </w:rPr>
        <w:t>WHEREAS the parties have entered into the Agreement for the provision of certain maintenance services to Sun Country Airlines; and</w:t>
      </w:r>
    </w:p>
    <w:p>
      <w:pPr>
        <w:pStyle w:val="TextBody"/>
        <w:bidi w:val="0"/>
        <w:spacing w:before="6" w:after="283"/>
        <w:jc w:val="left"/>
        <w:rPr/>
      </w:pPr>
      <w:r>
        <w:rPr/>
      </w:r>
    </w:p>
    <w:p>
      <w:pPr>
        <w:pStyle w:val="TextBody"/>
        <w:bidi w:val="0"/>
        <w:spacing w:lineRule="auto" w:line="240" w:before="0" w:after="0"/>
        <w:jc w:val="both"/>
        <w:rPr>
          <w:rFonts w:ascii="Arial;sans-serif" w:hAnsi="Arial;sans-serif"/>
          <w:b w:val="false"/>
          <w:color w:val="000000"/>
          <w:sz w:val="21"/>
        </w:rPr>
      </w:pPr>
      <w:r>
        <w:rPr>
          <w:rFonts w:ascii="Arial;sans-serif" w:hAnsi="Arial;sans-serif"/>
          <w:b w:val="false"/>
          <w:color w:val="000000"/>
          <w:sz w:val="21"/>
        </w:rPr>
        <w:t>WHEREAS the parties wish to amend the Agreement.</w:t>
      </w:r>
    </w:p>
    <w:p>
      <w:pPr>
        <w:pStyle w:val="TextBody"/>
        <w:bidi w:val="0"/>
        <w:spacing w:before="0" w:after="0"/>
        <w:jc w:val="left"/>
        <w:rPr/>
      </w:pPr>
      <w:r>
        <w:rPr/>
      </w:r>
    </w:p>
    <w:p>
      <w:pPr>
        <w:pStyle w:val="TextBody"/>
        <w:bidi w:val="0"/>
        <w:spacing w:lineRule="auto" w:line="283" w:before="0" w:after="0"/>
        <w:ind w:left="0" w:right="0" w:hanging="4"/>
        <w:jc w:val="both"/>
        <w:rPr>
          <w:rFonts w:ascii="Arial;sans-serif" w:hAnsi="Arial;sans-serif"/>
          <w:b w:val="false"/>
          <w:color w:val="000000"/>
          <w:sz w:val="21"/>
        </w:rPr>
      </w:pPr>
      <w:r>
        <w:rPr>
          <w:rFonts w:ascii="Arial;sans-serif" w:hAnsi="Arial;sans-serif"/>
          <w:b w:val="false"/>
          <w:color w:val="000000"/>
          <w:sz w:val="21"/>
        </w:rPr>
        <w:t xml:space="preserve">NOW, THEREFORE, in consideration of the mutual covenants hereinafter set forth and other good and valuable consideration, the receipt and sufficiency of which are hereby acknowledged, the parties hereby agree to amend the Agreement as follows: </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76" w:before="0" w:after="0"/>
        <w:ind w:left="0" w:right="0" w:hanging="356"/>
        <w:jc w:val="left"/>
        <w:rPr/>
      </w:pPr>
      <w:r>
        <w:rPr>
          <w:rFonts w:ascii="Arial;sans-serif" w:hAnsi="Arial;sans-serif"/>
          <w:b w:val="false"/>
          <w:color w:val="0B0B0B"/>
          <w:sz w:val="22"/>
        </w:rPr>
        <w:t>1.</w:t>
      </w:r>
      <w:r>
        <w:rPr>
          <w:rFonts w:ascii="Arial;sans-serif" w:hAnsi="Arial;sans-serif"/>
          <w:b w:val="false"/>
          <w:color w:val="000000"/>
          <w:sz w:val="21"/>
        </w:rPr>
        <w:t>All capitalized terms used herein but not defined shall have the meaning ascribed to them in the Agreement.</w:t>
      </w:r>
    </w:p>
    <w:p>
      <w:pPr>
        <w:pStyle w:val="TextBody"/>
        <w:bidi w:val="0"/>
        <w:spacing w:before="0" w:after="0"/>
        <w:jc w:val="left"/>
        <w:rPr/>
      </w:pPr>
      <w:r>
        <w:rPr/>
      </w:r>
    </w:p>
    <w:p>
      <w:pPr>
        <w:pStyle w:val="TextBody"/>
        <w:bidi w:val="0"/>
        <w:spacing w:lineRule="auto" w:line="240" w:before="0" w:after="0"/>
        <w:ind w:left="0" w:right="0" w:hanging="359"/>
        <w:jc w:val="left"/>
        <w:rPr/>
      </w:pPr>
      <w:r>
        <w:rPr>
          <w:rFonts w:ascii="Arial;sans-serif" w:hAnsi="Arial;sans-serif"/>
          <w:b w:val="false"/>
          <w:color w:val="0B0B0B"/>
          <w:sz w:val="22"/>
        </w:rPr>
        <w:t>2.</w:t>
      </w:r>
      <w:r>
        <w:rPr>
          <w:rFonts w:ascii="Arial;sans-serif" w:hAnsi="Arial;sans-serif"/>
          <w:b w:val="false"/>
          <w:color w:val="000000"/>
          <w:sz w:val="21"/>
        </w:rPr>
        <w:t>An initial party to the Agreement, MN Airlines, LLC, underwent an entity conversion on or about April 19, 2019. Sun Country, Inc d/b/a Sun Country Airlines is the successor-in-interest to MN Airlines, LLC, and assumed all liabilities, obligations, and benefits of MN Airlines, LLC under the Agreement. Accordingly, all references to MN Airlines, LLC in the Agreement (including “MN Airlines”) shall hereby refer to Sun Country, Inc.</w:t>
      </w:r>
    </w:p>
    <w:p>
      <w:pPr>
        <w:pStyle w:val="TextBody"/>
        <w:bidi w:val="0"/>
        <w:spacing w:before="11" w:after="283"/>
        <w:jc w:val="left"/>
        <w:rPr/>
      </w:pPr>
      <w:r>
        <w:rPr/>
      </w:r>
    </w:p>
    <w:p>
      <w:pPr>
        <w:pStyle w:val="TextBody"/>
        <w:bidi w:val="0"/>
        <w:spacing w:lineRule="auto" w:line="276" w:before="0" w:after="0"/>
        <w:ind w:left="0" w:right="0" w:hanging="359"/>
        <w:jc w:val="left"/>
        <w:rPr/>
      </w:pPr>
      <w:r>
        <w:rPr>
          <w:rFonts w:ascii="Arial;sans-serif" w:hAnsi="Arial;sans-serif"/>
          <w:b w:val="false"/>
          <w:color w:val="0B0B0B"/>
          <w:sz w:val="22"/>
        </w:rPr>
        <w:t>3.</w:t>
      </w:r>
      <w:r>
        <w:rPr>
          <w:rFonts w:ascii="Arial;sans-serif" w:hAnsi="Arial;sans-serif"/>
          <w:b w:val="false"/>
          <w:color w:val="000000"/>
          <w:sz w:val="21"/>
        </w:rPr>
        <w:t>Section 2.1 of the Agreement (as last updated by Amendment 17) is hereby deleted in its entirety and replaced with the following language:</w:t>
      </w:r>
    </w:p>
    <w:p>
      <w:pPr>
        <w:pStyle w:val="TextBody"/>
        <w:bidi w:val="0"/>
        <w:spacing w:before="0" w:after="0"/>
        <w:jc w:val="left"/>
        <w:rPr/>
      </w:pPr>
      <w:r>
        <w:rPr/>
      </w:r>
    </w:p>
    <w:p>
      <w:pPr>
        <w:pStyle w:val="TextBody"/>
        <w:bidi w:val="0"/>
        <w:spacing w:lineRule="auto" w:line="240" w:before="0" w:after="0"/>
        <w:ind w:left="0" w:right="0" w:firstLine="1"/>
        <w:jc w:val="left"/>
        <w:rPr>
          <w:rFonts w:ascii="Arial;sans-serif" w:hAnsi="Arial;sans-serif"/>
          <w:b w:val="false"/>
          <w:color w:val="000000"/>
          <w:sz w:val="21"/>
        </w:rPr>
      </w:pPr>
      <w:r>
        <w:rPr>
          <w:rFonts w:ascii="Arial;sans-serif" w:hAnsi="Arial;sans-serif"/>
          <w:b w:val="false"/>
          <w:color w:val="000000"/>
          <w:sz w:val="21"/>
        </w:rPr>
        <w:t>The Agreement shall become effective on the date first written above (the “Effective Date”) and, unless terminated earlier as provided herein, shall remain in force and in effect through December 31, 2025 with two one-year extension options as set forth below (the “Term”):</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1"/>
        </w:rPr>
      </w:pPr>
      <w:r>
        <w:rPr>
          <w:rFonts w:ascii="Arial;sans-serif" w:hAnsi="Arial;sans-serif"/>
          <w:b w:val="false"/>
          <w:color w:val="000000"/>
          <w:sz w:val="21"/>
        </w:rPr>
        <w:t>a.Year 1 extension (i.e., 2026) is at Delta’s discretion.</w:t>
      </w:r>
    </w:p>
    <w:p>
      <w:pPr>
        <w:pStyle w:val="TextBody"/>
        <w:bidi w:val="0"/>
        <w:spacing w:before="1" w:after="283"/>
        <w:jc w:val="left"/>
        <w:rPr/>
      </w:pPr>
      <w:r>
        <w:rPr/>
      </w:r>
    </w:p>
    <w:p>
      <w:pPr>
        <w:pStyle w:val="TextBody"/>
        <w:bidi w:val="0"/>
        <w:spacing w:lineRule="auto" w:line="240" w:before="0" w:after="0"/>
        <w:ind w:left="0" w:right="0" w:hanging="390"/>
        <w:jc w:val="left"/>
        <w:rPr>
          <w:rFonts w:ascii="Arial;sans-serif" w:hAnsi="Arial;sans-serif"/>
          <w:b w:val="false"/>
          <w:color w:val="000000"/>
          <w:sz w:val="21"/>
        </w:rPr>
      </w:pPr>
      <w:r>
        <w:rPr>
          <w:rFonts w:ascii="Arial;sans-serif" w:hAnsi="Arial;sans-serif"/>
          <w:b w:val="false"/>
          <w:color w:val="000000"/>
          <w:sz w:val="21"/>
        </w:rPr>
        <w:t>i.If Delta elects to not exercise this extension, Delta will provide Sun Country Airlines with a 180 day’s notice.</w:t>
      </w:r>
    </w:p>
    <w:p>
      <w:pPr>
        <w:pStyle w:val="TextBody"/>
        <w:bidi w:val="0"/>
        <w:spacing w:before="0" w:after="0"/>
        <w:ind w:left="0" w:right="0" w:firstLine="75"/>
        <w:jc w:val="left"/>
        <w:rPr/>
      </w:pPr>
      <w:r>
        <w:rPr/>
      </w:r>
    </w:p>
    <w:p>
      <w:pPr>
        <w:pStyle w:val="TextBody"/>
        <w:bidi w:val="0"/>
        <w:spacing w:lineRule="auto" w:line="288" w:before="0" w:after="0"/>
        <w:ind w:left="0" w:right="0" w:hanging="360"/>
        <w:jc w:val="left"/>
        <w:rPr>
          <w:rFonts w:ascii="Arial;sans-serif" w:hAnsi="Arial;sans-serif"/>
          <w:b w:val="false"/>
          <w:color w:val="000000"/>
          <w:sz w:val="21"/>
        </w:rPr>
      </w:pPr>
      <w:r>
        <w:rPr>
          <w:rFonts w:ascii="Arial;sans-serif" w:hAnsi="Arial;sans-serif"/>
          <w:b w:val="false"/>
          <w:color w:val="000000"/>
          <w:sz w:val="21"/>
        </w:rPr>
        <w:t>b.Year 2 extension (i.e., 2027) is at Sun Country Airlines’ discretion and only if Delta elects to extend Year 1.                    </w:t>
      </w:r>
    </w:p>
    <w:p>
      <w:pPr>
        <w:pStyle w:val="TextBody"/>
        <w:bidi w:val="0"/>
        <w:spacing w:before="11" w:after="283"/>
        <w:ind w:left="0" w:right="0" w:firstLine="720"/>
        <w:jc w:val="left"/>
        <w:rPr/>
      </w:pPr>
      <w:r>
        <w:rPr/>
      </w:r>
    </w:p>
    <w:p>
      <w:pPr>
        <w:pStyle w:val="TextBody"/>
        <w:bidi w:val="0"/>
        <w:spacing w:lineRule="auto" w:line="240" w:before="0" w:after="0"/>
        <w:ind w:left="0" w:right="0" w:hanging="390"/>
        <w:jc w:val="left"/>
        <w:rPr>
          <w:rFonts w:ascii="Arial;sans-serif" w:hAnsi="Arial;sans-serif"/>
          <w:b w:val="false"/>
          <w:color w:val="000000"/>
          <w:sz w:val="21"/>
        </w:rPr>
      </w:pPr>
      <w:r>
        <w:rPr>
          <w:rFonts w:ascii="Arial;sans-serif" w:hAnsi="Arial;sans-serif"/>
          <w:b w:val="false"/>
          <w:color w:val="000000"/>
          <w:sz w:val="21"/>
        </w:rPr>
        <w:t>i.[***]</w:t>
      </w:r>
    </w:p>
    <w:p>
      <w:pPr>
        <w:pStyle w:val="TextBody"/>
        <w:bidi w:val="0"/>
        <w:spacing w:before="0" w:after="0"/>
        <w:jc w:val="left"/>
        <w:rPr/>
      </w:pPr>
      <w:r>
        <w:rPr/>
      </w:r>
    </w:p>
    <w:p>
      <w:pPr>
        <w:pStyle w:val="TextBody"/>
        <w:bidi w:val="0"/>
        <w:spacing w:lineRule="auto" w:line="288" w:before="0" w:after="0"/>
        <w:ind w:left="0" w:right="0" w:hanging="436"/>
        <w:jc w:val="left"/>
        <w:rPr>
          <w:rFonts w:ascii="Arial;sans-serif" w:hAnsi="Arial;sans-serif"/>
          <w:b w:val="false"/>
          <w:color w:val="000000"/>
          <w:sz w:val="21"/>
        </w:rPr>
      </w:pPr>
      <w:r>
        <w:rPr>
          <w:rFonts w:ascii="Arial;sans-serif" w:hAnsi="Arial;sans-serif"/>
          <w:b w:val="false"/>
          <w:color w:val="000000"/>
          <w:sz w:val="21"/>
        </w:rPr>
        <w:t>ii.If Sun Country Airlines elects to not exercise this extension, Sun Country Airlines will provide Delta with a 180 day’s notice.</w:t>
      </w:r>
    </w:p>
    <w:p>
      <w:pPr>
        <w:pStyle w:val="TextBody"/>
        <w:bidi w:val="0"/>
        <w:spacing w:lineRule="auto" w:line="288" w:before="0" w:after="0"/>
        <w:ind w:left="0" w:right="0" w:hanging="483"/>
        <w:jc w:val="left"/>
        <w:rPr>
          <w:rFonts w:ascii="Arial;sans-serif" w:hAnsi="Arial;sans-serif"/>
          <w:b w:val="false"/>
          <w:color w:val="000000"/>
          <w:sz w:val="21"/>
        </w:rPr>
      </w:pPr>
      <w:r>
        <w:rPr>
          <w:rFonts w:ascii="Arial;sans-serif" w:hAnsi="Arial;sans-serif"/>
          <w:b w:val="false"/>
          <w:color w:val="000000"/>
          <w:sz w:val="21"/>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82955"/>
                <wp:effectExtent l="0" t="0" r="0" b="0"/>
                <wp:wrapNone/>
                <wp:docPr id="55" name="Frame5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80" w:after="283"/>
        <w:jc w:val="left"/>
        <w:rPr/>
      </w:pPr>
      <w:r>
        <w:rPr/>
      </w:r>
    </w:p>
    <w:p>
      <w:pPr>
        <w:pStyle w:val="TextBody"/>
        <w:bidi w:val="0"/>
        <w:spacing w:lineRule="auto" w:line="276" w:before="140" w:after="283"/>
        <w:ind w:left="0" w:right="0" w:hanging="356"/>
        <w:jc w:val="left"/>
        <w:rPr/>
      </w:pPr>
      <w:r>
        <w:rPr>
          <w:rFonts w:ascii="Arial;sans-serif" w:hAnsi="Arial;sans-serif"/>
          <w:b w:val="false"/>
          <w:color w:val="0B0B0B"/>
          <w:sz w:val="22"/>
        </w:rPr>
        <w:t>4.</w:t>
      </w:r>
      <w:r>
        <w:rPr>
          <w:rFonts w:ascii="Arial;sans-serif" w:hAnsi="Arial;sans-serif"/>
          <w:b w:val="false"/>
          <w:color w:val="000000"/>
          <w:sz w:val="21"/>
        </w:rPr>
        <w:t>The Supply Response Time (added in Section 10 of the Amendment 17) is amended to include the following:</w:t>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w:t>
      </w:r>
    </w:p>
    <w:p>
      <w:pPr>
        <w:pStyle w:val="TextBody"/>
        <w:bidi w:val="0"/>
        <w:spacing w:before="5" w:after="283"/>
        <w:jc w:val="left"/>
        <w:rPr/>
      </w:pPr>
      <w:r>
        <w:rPr/>
      </w:r>
    </w:p>
    <w:p>
      <w:pPr>
        <w:pStyle w:val="TextBody"/>
        <w:bidi w:val="0"/>
        <w:spacing w:lineRule="auto" w:line="240" w:before="0" w:after="0"/>
        <w:ind w:left="0" w:right="0" w:hanging="360"/>
        <w:jc w:val="both"/>
        <w:rPr>
          <w:rFonts w:ascii="Arial;sans-serif" w:hAnsi="Arial;sans-serif"/>
          <w:b w:val="false"/>
          <w:color w:val="000000"/>
          <w:sz w:val="21"/>
        </w:rPr>
      </w:pPr>
      <w:r>
        <w:rPr>
          <w:rFonts w:ascii="Arial;sans-serif" w:hAnsi="Arial;sans-serif"/>
          <w:b w:val="false"/>
          <w:color w:val="000000"/>
          <w:sz w:val="21"/>
        </w:rPr>
        <w:t>a.Service level penalties will be calculated by the percentage of units that did not comply with the agreed Service Level.</w:t>
      </w:r>
    </w:p>
    <w:p>
      <w:pPr>
        <w:pStyle w:val="TextBody"/>
        <w:bidi w:val="0"/>
        <w:spacing w:before="11" w:after="283"/>
        <w:jc w:val="left"/>
        <w:rPr/>
      </w:pPr>
      <w:r>
        <w:rPr/>
      </w:r>
    </w:p>
    <w:p>
      <w:pPr>
        <w:pStyle w:val="TextBody"/>
        <w:bidi w:val="0"/>
        <w:spacing w:lineRule="auto" w:line="240" w:before="0" w:after="0"/>
        <w:ind w:left="0" w:right="0" w:hanging="360"/>
        <w:jc w:val="both"/>
        <w:rPr>
          <w:rFonts w:ascii="Arial;sans-serif" w:hAnsi="Arial;sans-serif"/>
          <w:b w:val="false"/>
          <w:color w:val="000000"/>
          <w:sz w:val="21"/>
        </w:rPr>
      </w:pPr>
      <w:r>
        <w:rPr>
          <w:rFonts w:ascii="Arial;sans-serif" w:hAnsi="Arial;sans-serif"/>
          <w:b w:val="false"/>
          <w:color w:val="000000"/>
          <w:sz w:val="21"/>
        </w:rPr>
        <w:t>b.Service Level performance will be monitored and reported to Sun Country on a quarterly basis. All relevant penalties will be assessed at a review meeting between Sun Country and Delta at the end of each calendar year. The penalties will be applied as credits and shall be applied to the amounts to be paid by Sun Country on next subsequent invoice after annual review.</w:t>
      </w:r>
    </w:p>
    <w:p>
      <w:pPr>
        <w:pStyle w:val="TextBody"/>
        <w:bidi w:val="0"/>
        <w:spacing w:before="8" w:after="283"/>
        <w:jc w:val="left"/>
        <w:rPr/>
      </w:pPr>
      <w:r>
        <w:rPr/>
      </w:r>
    </w:p>
    <w:p>
      <w:pPr>
        <w:pStyle w:val="TextBody"/>
        <w:bidi w:val="0"/>
        <w:spacing w:lineRule="auto" w:line="240" w:before="0" w:after="0"/>
        <w:ind w:left="0" w:right="0" w:hanging="360"/>
        <w:jc w:val="both"/>
        <w:rPr>
          <w:rFonts w:ascii="Arial;sans-serif" w:hAnsi="Arial;sans-serif"/>
          <w:b w:val="false"/>
          <w:color w:val="000000"/>
          <w:sz w:val="21"/>
        </w:rPr>
      </w:pPr>
      <w:r>
        <w:rPr>
          <w:rFonts w:ascii="Arial;sans-serif" w:hAnsi="Arial;sans-serif"/>
          <w:b w:val="false"/>
          <w:color w:val="000000"/>
          <w:sz w:val="21"/>
        </w:rPr>
        <w:t>c.Penalties will be the amount equal to the SLP Remedies Rate (set forth in the Service Level Non-Compliance table above) multiplied by all fees paid or payable by Sun Country to Delta based on the Pool Rate (“Pool Revenues”) [***]. Service Level Penalty will apply with an annual maximum penalty of [***].</w:t>
      </w:r>
    </w:p>
    <w:p>
      <w:pPr>
        <w:pStyle w:val="TextBody"/>
        <w:bidi w:val="0"/>
        <w:spacing w:before="7" w:after="283"/>
        <w:jc w:val="left"/>
        <w:rPr/>
      </w:pPr>
      <w:r>
        <w:rPr/>
      </w:r>
    </w:p>
    <w:p>
      <w:pPr>
        <w:pStyle w:val="TextBody"/>
        <w:bidi w:val="0"/>
        <w:spacing w:lineRule="auto" w:line="240" w:before="1" w:after="283"/>
        <w:ind w:left="0" w:right="0" w:hanging="360"/>
        <w:jc w:val="both"/>
        <w:rPr>
          <w:rFonts w:ascii="Arial;sans-serif" w:hAnsi="Arial;sans-serif"/>
          <w:b w:val="false"/>
          <w:color w:val="000000"/>
          <w:sz w:val="21"/>
        </w:rPr>
      </w:pPr>
      <w:r>
        <w:rPr>
          <w:rFonts w:ascii="Arial;sans-serif" w:hAnsi="Arial;sans-serif"/>
          <w:b w:val="false"/>
          <w:color w:val="000000"/>
          <w:sz w:val="21"/>
        </w:rPr>
        <w:t>d.In the event Delta fails to achieve a minimum Service Level Performance (SLP) of [***] for [***], Sun Country Airlines has the right to provide Delta written notice of breach for non-performance. After receiving such written notice from Sun Country Airlines, if Delta does not improve performance above the minimum SLP within [***] then Sun Country has the right to terminate this Agreement.</w:t>
      </w:r>
    </w:p>
    <w:p>
      <w:pPr>
        <w:pStyle w:val="TextBody"/>
        <w:bidi w:val="0"/>
        <w:spacing w:before="0" w:after="0"/>
        <w:jc w:val="both"/>
        <w:rPr/>
      </w:pPr>
      <w:r>
        <w:rPr/>
      </w:r>
    </w:p>
    <w:p>
      <w:pPr>
        <w:pStyle w:val="TextBody"/>
        <w:bidi w:val="0"/>
        <w:spacing w:lineRule="auto" w:line="288" w:before="10" w:after="283"/>
        <w:ind w:left="0" w:right="0" w:hanging="360"/>
        <w:jc w:val="left"/>
        <w:rPr>
          <w:rFonts w:ascii="Arial;sans-serif" w:hAnsi="Arial;sans-serif"/>
          <w:b w:val="false"/>
          <w:color w:val="000000"/>
          <w:sz w:val="21"/>
        </w:rPr>
      </w:pPr>
      <w:r>
        <w:rPr>
          <w:rFonts w:ascii="Arial;sans-serif" w:hAnsi="Arial;sans-serif"/>
          <w:b w:val="false"/>
          <w:color w:val="000000"/>
          <w:sz w:val="21"/>
        </w:rPr>
        <w:t>e.The penalties set forth in this Annex shall be Sun Country’s sole remedy and Delta’s sole obligation with regard to Delta’s failure to meet the Service Levels.</w:t>
      </w:r>
    </w:p>
    <w:p>
      <w:pPr>
        <w:pStyle w:val="TextBody"/>
        <w:bidi w:val="0"/>
        <w:spacing w:before="1" w:after="283"/>
        <w:jc w:val="left"/>
        <w:rPr/>
      </w:pPr>
      <w:r>
        <w:rPr/>
      </w:r>
    </w:p>
    <w:p>
      <w:pPr>
        <w:pStyle w:val="TextBody"/>
        <w:bidi w:val="0"/>
        <w:spacing w:lineRule="auto" w:line="276" w:before="1" w:after="283"/>
        <w:ind w:left="0" w:right="0" w:hanging="356"/>
        <w:jc w:val="left"/>
        <w:rPr/>
      </w:pPr>
      <w:r>
        <w:rPr>
          <w:rFonts w:ascii="Arial;sans-serif" w:hAnsi="Arial;sans-serif"/>
          <w:b w:val="false"/>
          <w:color w:val="0B0B0B"/>
          <w:sz w:val="21"/>
        </w:rPr>
        <w:t>5.</w:t>
      </w:r>
      <w:r>
        <w:rPr>
          <w:rFonts w:ascii="Arial;sans-serif" w:hAnsi="Arial;sans-serif"/>
          <w:b w:val="false"/>
          <w:color w:val="000000"/>
          <w:sz w:val="21"/>
        </w:rPr>
        <w:t>Annex A1 (last updated by Amendment 17) is hereby deleted in its entirety and replaced with a new Annex A1 which is attached hereto as Attachment 1.</w:t>
      </w:r>
    </w:p>
    <w:p>
      <w:pPr>
        <w:pStyle w:val="TextBody"/>
        <w:bidi w:val="0"/>
        <w:spacing w:before="2" w:after="283"/>
        <w:jc w:val="left"/>
        <w:rPr/>
      </w:pPr>
      <w:r>
        <w:rPr/>
      </w:r>
    </w:p>
    <w:p>
      <w:pPr>
        <w:pStyle w:val="TextBody"/>
        <w:bidi w:val="0"/>
        <w:spacing w:lineRule="auto" w:line="276" w:before="0" w:after="0"/>
        <w:ind w:left="0" w:right="0" w:hanging="356"/>
        <w:jc w:val="left"/>
        <w:rPr/>
      </w:pPr>
      <w:r>
        <w:rPr>
          <w:rFonts w:ascii="Arial;sans-serif" w:hAnsi="Arial;sans-serif"/>
          <w:b w:val="false"/>
          <w:color w:val="0B0B0B"/>
          <w:sz w:val="21"/>
        </w:rPr>
        <w:t>6.</w:t>
      </w:r>
      <w:r>
        <w:rPr>
          <w:rFonts w:ascii="Arial;sans-serif" w:hAnsi="Arial;sans-serif"/>
          <w:b w:val="false"/>
          <w:color w:val="000000"/>
          <w:sz w:val="21"/>
        </w:rPr>
        <w:t>Annex A2 (last updated by Amendment 17) is hereby deleted in its entirety and replaced with a new Annex A2, which is attached hereto as attachment 2.</w:t>
      </w:r>
    </w:p>
    <w:p>
      <w:pPr>
        <w:pStyle w:val="TextBody"/>
        <w:bidi w:val="0"/>
        <w:spacing w:before="3" w:after="283"/>
        <w:jc w:val="left"/>
        <w:rPr/>
      </w:pPr>
      <w:r>
        <w:rPr/>
      </w:r>
    </w:p>
    <w:p>
      <w:pPr>
        <w:pStyle w:val="TextBody"/>
        <w:bidi w:val="0"/>
        <w:spacing w:lineRule="auto" w:line="276" w:before="0" w:after="0"/>
        <w:ind w:left="0" w:right="0" w:hanging="356"/>
        <w:jc w:val="left"/>
        <w:rPr/>
      </w:pPr>
      <w:r>
        <w:rPr>
          <w:rFonts w:ascii="Arial;sans-serif" w:hAnsi="Arial;sans-serif"/>
          <w:b w:val="false"/>
          <w:color w:val="0B0B0B"/>
          <w:sz w:val="21"/>
        </w:rPr>
        <w:t>7.</w:t>
      </w:r>
      <w:r>
        <w:rPr>
          <w:rFonts w:ascii="Arial;sans-serif" w:hAnsi="Arial;sans-serif"/>
          <w:b w:val="false"/>
          <w:color w:val="000000"/>
          <w:sz w:val="21"/>
        </w:rPr>
        <w:t>Annex A3 (last updated by Amendment 17) is hereby deleted in its entirety and replaced with a new Annex A3 which is attached hereto as attachment 3.</w:t>
      </w:r>
    </w:p>
    <w:p>
      <w:pPr>
        <w:pStyle w:val="TextBody"/>
        <w:bidi w:val="0"/>
        <w:spacing w:before="2" w:after="283"/>
        <w:jc w:val="left"/>
        <w:rPr/>
      </w:pPr>
      <w:r>
        <w:rPr/>
      </w:r>
    </w:p>
    <w:p>
      <w:pPr>
        <w:pStyle w:val="TextBody"/>
        <w:bidi w:val="0"/>
        <w:spacing w:lineRule="auto" w:line="276" w:before="0" w:after="0"/>
        <w:ind w:left="0" w:right="0" w:hanging="356"/>
        <w:jc w:val="left"/>
        <w:rPr/>
      </w:pPr>
      <w:r>
        <w:rPr>
          <w:rFonts w:ascii="Arial;sans-serif" w:hAnsi="Arial;sans-serif"/>
          <w:b w:val="false"/>
          <w:color w:val="0B0B0B"/>
          <w:sz w:val="21"/>
        </w:rPr>
        <w:t>8.</w:t>
      </w:r>
      <w:r>
        <w:rPr>
          <w:rFonts w:ascii="Arial;sans-serif" w:hAnsi="Arial;sans-serif"/>
          <w:b w:val="false"/>
          <w:color w:val="000000"/>
          <w:sz w:val="21"/>
        </w:rPr>
        <w:t>A new Annex A4 (Parts List) (the “Annex A4 Parts List”) is hereby added to the Agreement, which is attached hereto as attachment 4.</w:t>
      </w:r>
    </w:p>
    <w:p>
      <w:pPr>
        <w:pStyle w:val="TextBody"/>
        <w:bidi w:val="0"/>
        <w:spacing w:before="4" w:after="283"/>
        <w:jc w:val="left"/>
        <w:rPr/>
      </w:pPr>
      <w:r>
        <w:rPr/>
      </w:r>
    </w:p>
    <w:p>
      <w:pPr>
        <w:pStyle w:val="TextBody"/>
        <w:bidi w:val="0"/>
        <w:spacing w:lineRule="auto" w:line="276" w:before="0" w:after="0"/>
        <w:ind w:left="0" w:right="0" w:hanging="356"/>
        <w:jc w:val="left"/>
        <w:rPr/>
      </w:pPr>
      <w:r>
        <w:rPr>
          <w:rFonts w:ascii="Arial;sans-serif" w:hAnsi="Arial;sans-serif"/>
          <w:b w:val="false"/>
          <w:color w:val="0B0B0B"/>
          <w:sz w:val="21"/>
        </w:rPr>
        <w:t>9.</w:t>
      </w:r>
      <w:r>
        <w:rPr>
          <w:rFonts w:ascii="Arial;sans-serif" w:hAnsi="Arial;sans-serif"/>
          <w:b w:val="false"/>
          <w:color w:val="000000"/>
          <w:sz w:val="21"/>
        </w:rPr>
        <w:t>Effective April 1, 2023, the definition “Common Component” shall be automatically deleted in its entirety and replaced with the following language:</w:t>
      </w:r>
    </w:p>
    <w:p>
      <w:pPr>
        <w:pStyle w:val="TextBody"/>
        <w:bidi w:val="0"/>
        <w:spacing w:before="0" w:after="0"/>
        <w:jc w:val="left"/>
        <w:rPr/>
      </w:pPr>
      <w:r>
        <w:rPr/>
      </w:r>
    </w:p>
    <w:p>
      <w:pPr>
        <w:pStyle w:val="TextBody"/>
        <w:bidi w:val="0"/>
        <w:spacing w:lineRule="auto" w:line="276" w:before="0" w:after="0"/>
        <w:ind w:left="0" w:right="0" w:firstLine="720"/>
        <w:jc w:val="left"/>
        <w:rPr>
          <w:color w:val="000000"/>
        </w:rPr>
      </w:pPr>
      <w:r>
        <w:rPr>
          <w:color w:val="000000"/>
        </w:rPr>
        <w:t>“</w:t>
      </w:r>
      <w:r>
        <w:rPr>
          <w:rFonts w:ascii="Arial;sans-serif" w:hAnsi="Arial;sans-serif"/>
          <w:b w:val="false"/>
          <w:color w:val="000000"/>
          <w:sz w:val="21"/>
        </w:rPr>
        <w:t>Common Component” means:</w:t>
      </w:r>
    </w:p>
    <w:p>
      <w:pPr>
        <w:pStyle w:val="TextBody"/>
        <w:bidi w:val="0"/>
        <w:spacing w:lineRule="auto" w:line="288" w:before="0" w:after="0"/>
        <w:ind w:left="0" w:right="0" w:firstLine="720"/>
        <w:jc w:val="left"/>
        <w:rPr>
          <w:rFonts w:ascii="Arial;sans-serif" w:hAnsi="Arial;sans-serif"/>
          <w:b w:val="false"/>
          <w:color w:val="000000"/>
          <w:sz w:val="21"/>
        </w:rPr>
      </w:pPr>
      <w:r>
        <w:rPr>
          <w:rFonts w:ascii="Arial;sans-serif" w:hAnsi="Arial;sans-serif"/>
          <w:b w:val="false"/>
          <w:color w:val="000000"/>
          <w:sz w:val="21"/>
        </w:rPr>
        <w:t>(a) [intentionally omitted]</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(b) Any Component listed in the Annex A4 Parts List that is: (i) recognized by Delta to be form, fit and function interchangeable with those like-Components on aircraft then-owned or operated by Delta and (ii) is a rotable regularly stocked by Delta or a Delta-designated key repairable item; and</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(c) Any other Component mutually agreed by Delta and Sun Country Airlines in writing to be a Common Component.</w:t>
      </w:r>
    </w:p>
    <w:p>
      <w:pPr>
        <w:pStyle w:val="TextBody"/>
        <w:bidi w:val="0"/>
        <w:spacing w:before="5" w:after="283"/>
        <w:jc w:val="left"/>
        <w:rPr/>
      </w:pPr>
      <w:r>
        <w:rPr/>
      </w:r>
    </w:p>
    <w:p>
      <w:pPr>
        <w:pStyle w:val="TextBody"/>
        <w:bidi w:val="0"/>
        <w:spacing w:lineRule="auto" w:line="273" w:before="0" w:after="0"/>
        <w:ind w:left="0" w:right="0" w:hanging="357"/>
        <w:jc w:val="left"/>
        <w:rPr/>
      </w:pPr>
      <w:r>
        <w:rPr>
          <w:rFonts w:ascii="Arial;sans-serif" w:hAnsi="Arial;sans-serif"/>
          <w:b w:val="false"/>
          <w:color w:val="0B0B0B"/>
          <w:sz w:val="21"/>
        </w:rPr>
        <w:t>10.</w:t>
      </w:r>
      <w:r>
        <w:rPr>
          <w:rFonts w:ascii="Arial;sans-serif" w:hAnsi="Arial;sans-serif"/>
          <w:b w:val="false"/>
          <w:color w:val="000000"/>
          <w:sz w:val="21"/>
        </w:rPr>
        <w:t>Except as amended by this Amendment, all other provisions of the Agreement shall remain in full force and effect.</w:t>
      </w:r>
    </w:p>
    <w:p>
      <w:pPr>
        <w:pStyle w:val="TextBody"/>
        <w:bidi w:val="0"/>
        <w:spacing w:before="0" w:after="0"/>
        <w:jc w:val="left"/>
        <w:rPr/>
      </w:pPr>
      <w:r>
        <w:rPr/>
      </w:r>
    </w:p>
    <w:p>
      <w:pPr>
        <w:pStyle w:val="TextBody"/>
        <w:bidi w:val="0"/>
        <w:spacing w:before="10" w:after="283"/>
        <w:jc w:val="left"/>
        <w:rPr/>
      </w:pPr>
      <w:r>
        <w:rPr/>
      </w:r>
    </w:p>
    <w:p>
      <w:pPr>
        <w:pStyle w:val="TextBody"/>
        <w:bidi w:val="0"/>
        <w:spacing w:before="0" w:after="0"/>
        <w:ind w:left="0" w:right="0" w:hanging="5"/>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82955"/>
                <wp:effectExtent l="0" t="0" r="0" b="0"/>
                <wp:wrapNone/>
                <wp:docPr id="56" name="Frame5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1"/>
        </w:rPr>
      </w:pPr>
      <w:r>
        <w:rPr>
          <w:rFonts w:ascii="Arial;sans-serif" w:hAnsi="Arial;sans-serif"/>
          <w:b/>
          <w:color w:val="000000"/>
          <w:sz w:val="21"/>
        </w:rPr>
        <w:t>IN WITNESS WHEREOF, the parties have caused this Amendment to be executed by their duly authorized representatives as of the Effective Date.</w:t>
      </w:r>
    </w:p>
    <w:p>
      <w:pPr>
        <w:pStyle w:val="TextBody"/>
        <w:bidi w:val="0"/>
        <w:spacing w:before="11" w:after="283"/>
        <w:jc w:val="left"/>
        <w:rPr/>
      </w:pPr>
      <w:r>
        <w:rPr/>
      </w:r>
    </w:p>
    <w:p>
      <w:pPr>
        <w:pStyle w:val="TextBody"/>
        <w:bidi w:val="0"/>
        <w:spacing w:lineRule="auto" w:line="240" w:before="0" w:after="0"/>
        <w:jc w:val="left"/>
        <w:rPr>
          <w:rFonts w:ascii="Arial;sans-serif" w:hAnsi="Arial;sans-serif"/>
          <w:b w:val="false"/>
          <w:color w:val="000000"/>
          <w:sz w:val="21"/>
        </w:rPr>
      </w:pPr>
      <w:r>
        <w:rPr>
          <w:rFonts w:ascii="Arial;sans-serif" w:hAnsi="Arial;sans-serif"/>
          <w:b w:val="false"/>
          <w:color w:val="000000"/>
          <w:sz w:val="21"/>
        </w:rPr>
        <w:t>IN WITNESS WHEREOF, the parties have caused this Amendment to be executed by their duly authorized representatives as of the date and year first written above.</w:t>
      </w:r>
    </w:p>
    <w:p>
      <w:pPr>
        <w:pStyle w:val="TextBody"/>
        <w:bidi w:val="0"/>
        <w:spacing w:before="0" w:after="0"/>
        <w:jc w:val="left"/>
        <w:rPr/>
      </w:pPr>
      <w:r>
        <w:rPr/>
      </w:r>
    </w:p>
    <w:tbl>
      <w:tblPr>
        <w:tblW w:w="5042" w:type="dxa"/>
        <w:jc w:val="left"/>
        <w:tblInd w:w="0" w:type="dxa"/>
        <w:tblLayout w:type="fixed"/>
        <w:tblCellMar>
          <w:top w:w="28" w:type="dxa"/>
          <w:left w:w="28" w:type="dxa"/>
          <w:bottom w:w="28" w:type="dxa"/>
          <w:right w:w="28" w:type="dxa"/>
        </w:tblCellMar>
      </w:tblPr>
      <w:tblGrid>
        <w:gridCol w:w="425"/>
        <w:gridCol w:w="371"/>
        <w:gridCol w:w="371"/>
        <w:gridCol w:w="450"/>
        <w:gridCol w:w="450"/>
        <w:gridCol w:w="465"/>
        <w:gridCol w:w="287"/>
        <w:gridCol w:w="287"/>
        <w:gridCol w:w="287"/>
        <w:gridCol w:w="483"/>
        <w:gridCol w:w="483"/>
        <w:gridCol w:w="683"/>
      </w:tblGrid>
      <w:tr>
        <w:trPr/>
        <w:tc>
          <w:tcPr>
            <w:tcW w:w="42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Sun Country, Inc.</w:t>
            </w:r>
          </w:p>
        </w:tc>
        <w:tc>
          <w:tcPr>
            <w:tcW w:w="2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Delta Air Lines, Inc.</w:t>
            </w:r>
          </w:p>
        </w:tc>
      </w:tr>
      <w:tr>
        <w:trPr/>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Dba Sun Country Airlines</w:t>
            </w:r>
          </w:p>
        </w:tc>
        <w:tc>
          <w:tcPr>
            <w:tcW w:w="25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Penelope Jacob</w:t>
            </w:r>
          </w:p>
        </w:tc>
      </w:tr>
      <w:tr>
        <w:trPr/>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7/13/23</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7/20/23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82955"/>
                <wp:effectExtent l="0" t="0" r="0" b="0"/>
                <wp:wrapNone/>
                <wp:docPr id="57" name="Frame5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1"/>
          <w:u w:val="single"/>
        </w:rPr>
      </w:pPr>
      <w:r>
        <w:rPr>
          <w:rFonts w:ascii="Arial;sans-serif" w:hAnsi="Arial;sans-serif"/>
          <w:b w:val="false"/>
          <w:color w:val="000000"/>
          <w:sz w:val="21"/>
          <w:u w:val="single"/>
        </w:rPr>
        <w:t>Attachment 1 to Amendment</w:t>
      </w:r>
    </w:p>
    <w:p>
      <w:pPr>
        <w:pStyle w:val="TextBody"/>
        <w:bidi w:val="0"/>
        <w:spacing w:before="9" w:after="283"/>
        <w:jc w:val="left"/>
        <w:rPr/>
      </w:pPr>
      <w:r>
        <w:rPr/>
      </w:r>
    </w:p>
    <w:p>
      <w:pPr>
        <w:pStyle w:val="TextBody"/>
        <w:bidi w:val="0"/>
        <w:spacing w:lineRule="auto" w:line="240" w:before="94" w:after="283"/>
        <w:jc w:val="center"/>
        <w:rPr>
          <w:rFonts w:ascii="Arial;sans-serif" w:hAnsi="Arial;sans-serif"/>
          <w:b w:val="false"/>
          <w:color w:val="000000"/>
          <w:sz w:val="21"/>
          <w:u w:val="single"/>
        </w:rPr>
      </w:pPr>
      <w:r>
        <w:rPr>
          <w:rFonts w:ascii="Arial;sans-serif" w:hAnsi="Arial;sans-serif"/>
          <w:b w:val="false"/>
          <w:color w:val="000000"/>
          <w:sz w:val="21"/>
          <w:u w:val="single"/>
        </w:rPr>
        <w:t>Annex A1</w:t>
      </w:r>
    </w:p>
    <w:p>
      <w:pPr>
        <w:pStyle w:val="TextBody"/>
        <w:bidi w:val="0"/>
        <w:spacing w:before="11" w:after="283"/>
        <w:jc w:val="left"/>
        <w:rPr/>
      </w:pPr>
      <w:r>
        <w:rPr/>
      </w:r>
    </w:p>
    <w:p>
      <w:pPr>
        <w:pStyle w:val="TextBody"/>
        <w:bidi w:val="0"/>
        <w:spacing w:lineRule="auto" w:line="240" w:before="93" w:after="283"/>
        <w:jc w:val="center"/>
        <w:rPr>
          <w:rFonts w:ascii="Arial;sans-serif" w:hAnsi="Arial;sans-serif"/>
          <w:b w:val="false"/>
          <w:color w:val="000000"/>
          <w:sz w:val="21"/>
          <w:u w:val="single"/>
        </w:rPr>
      </w:pPr>
      <w:r>
        <w:rPr>
          <w:rFonts w:ascii="Arial;sans-serif" w:hAnsi="Arial;sans-serif"/>
          <w:b w:val="false"/>
          <w:color w:val="000000"/>
          <w:sz w:val="21"/>
          <w:u w:val="single"/>
        </w:rPr>
        <w:t>Description of Aircraft</w:t>
      </w:r>
    </w:p>
    <w:p>
      <w:pPr>
        <w:pStyle w:val="TextBody"/>
        <w:bidi w:val="0"/>
        <w:spacing w:before="11" w:after="283"/>
        <w:jc w:val="left"/>
        <w:rPr/>
      </w:pPr>
      <w:r>
        <w:rPr/>
      </w:r>
    </w:p>
    <w:tbl>
      <w:tblPr>
        <w:tblW w:w="6416" w:type="dxa"/>
        <w:jc w:val="left"/>
        <w:tblInd w:w="0" w:type="dxa"/>
        <w:tblLayout w:type="fixed"/>
        <w:tblCellMar>
          <w:top w:w="28" w:type="dxa"/>
          <w:left w:w="28" w:type="dxa"/>
          <w:bottom w:w="28" w:type="dxa"/>
          <w:right w:w="28" w:type="dxa"/>
        </w:tblCellMar>
      </w:tblPr>
      <w:tblGrid>
        <w:gridCol w:w="310"/>
        <w:gridCol w:w="271"/>
        <w:gridCol w:w="274"/>
        <w:gridCol w:w="229"/>
        <w:gridCol w:w="229"/>
        <w:gridCol w:w="231"/>
        <w:gridCol w:w="244"/>
        <w:gridCol w:w="244"/>
        <w:gridCol w:w="246"/>
        <w:gridCol w:w="364"/>
        <w:gridCol w:w="364"/>
        <w:gridCol w:w="366"/>
        <w:gridCol w:w="214"/>
        <w:gridCol w:w="214"/>
        <w:gridCol w:w="216"/>
        <w:gridCol w:w="444"/>
        <w:gridCol w:w="444"/>
        <w:gridCol w:w="447"/>
        <w:gridCol w:w="311"/>
        <w:gridCol w:w="311"/>
        <w:gridCol w:w="443"/>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Reg. Number</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A/C Model</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A/C Serial #</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Engine Type</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Mfg. Date</w:t>
            </w:r>
          </w:p>
        </w:tc>
        <w:tc>
          <w:tcPr>
            <w:tcW w:w="133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T&amp;M or PBTH Aircraft</w:t>
            </w:r>
          </w:p>
        </w:tc>
        <w:tc>
          <w:tcPr>
            <w:tcW w:w="106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0"/>
              <w:ind w:left="0" w:right="0" w:hanging="20"/>
              <w:jc w:val="left"/>
              <w:rPr>
                <w:rFonts w:ascii="Arial;sans-serif" w:hAnsi="Arial;sans-serif"/>
                <w:b/>
                <w:color w:val="000000"/>
                <w:sz w:val="12"/>
              </w:rPr>
            </w:pPr>
            <w:r>
              <w:rPr>
                <w:rFonts w:ascii="Arial;sans-serif" w:hAnsi="Arial;sans-serif"/>
                <w:b/>
                <w:color w:val="000000"/>
                <w:sz w:val="12"/>
              </w:rPr>
              <w:t>Amazon Aircraft</w:t>
            </w:r>
          </w:p>
        </w:tc>
      </w:tr>
      <w:tr>
        <w:trPr/>
        <w:tc>
          <w:tcPr>
            <w:tcW w:w="855" w:type="dxa"/>
            <w:gridSpan w:val="3"/>
            <w:tcBorders>
              <w:top w:val="single" w:sz="4" w:space="0" w:color="000000"/>
              <w:left w:val="single" w:sz="4" w:space="0" w:color="000000"/>
            </w:tcBorders>
            <w:shd w:fill="FFFF00"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N713SY</w:t>
            </w:r>
          </w:p>
        </w:tc>
        <w:tc>
          <w:tcPr>
            <w:tcW w:w="689" w:type="dxa"/>
            <w:gridSpan w:val="3"/>
            <w:tcBorders>
              <w:top w:val="single" w:sz="4" w:space="0" w:color="000000"/>
              <w:left w:val="single" w:sz="4" w:space="0" w:color="000000"/>
            </w:tcBorders>
            <w:shd w:fill="FFFF00"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737-7Q8</w:t>
            </w:r>
          </w:p>
        </w:tc>
        <w:tc>
          <w:tcPr>
            <w:tcW w:w="734" w:type="dxa"/>
            <w:gridSpan w:val="3"/>
            <w:tcBorders>
              <w:top w:val="single" w:sz="4" w:space="0" w:color="000000"/>
              <w:left w:val="single" w:sz="4" w:space="0" w:color="000000"/>
            </w:tcBorders>
            <w:shd w:fill="FFFF00"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30635</w:t>
            </w:r>
          </w:p>
        </w:tc>
        <w:tc>
          <w:tcPr>
            <w:tcW w:w="1094" w:type="dxa"/>
            <w:gridSpan w:val="3"/>
            <w:tcBorders>
              <w:top w:val="single" w:sz="4" w:space="0" w:color="000000"/>
              <w:left w:val="single" w:sz="4" w:space="0" w:color="000000"/>
            </w:tcBorders>
            <w:shd w:fill="FFFF00"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644" w:type="dxa"/>
            <w:gridSpan w:val="3"/>
            <w:tcBorders>
              <w:top w:val="single" w:sz="4" w:space="0" w:color="000000"/>
              <w:left w:val="single" w:sz="4" w:space="0" w:color="000000"/>
            </w:tcBorders>
            <w:shd w:fill="FFFF00"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11/2000</w:t>
            </w:r>
          </w:p>
        </w:tc>
        <w:tc>
          <w:tcPr>
            <w:tcW w:w="1335" w:type="dxa"/>
            <w:gridSpan w:val="3"/>
            <w:tcBorders>
              <w:top w:val="single" w:sz="4" w:space="0" w:color="000000"/>
              <w:left w:val="single" w:sz="4" w:space="0" w:color="000000"/>
            </w:tcBorders>
            <w:shd w:fill="FFFF00"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T&amp;M</w:t>
            </w:r>
          </w:p>
        </w:tc>
        <w:tc>
          <w:tcPr>
            <w:tcW w:w="1065" w:type="dxa"/>
            <w:gridSpan w:val="3"/>
            <w:tcBorders>
              <w:top w:val="single" w:sz="4" w:space="0" w:color="000000"/>
              <w:left w:val="single" w:sz="4" w:space="0" w:color="000000"/>
              <w:right w:val="single" w:sz="4" w:space="0" w:color="000000"/>
            </w:tcBorders>
            <w:shd w:fill="FFFF00"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N801SY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737-8Q8</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30332</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2/2001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N804SY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737-8Q8</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30689</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8/2001</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N805SY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737-8Q8</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30032</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11/2001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N808SY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737-8BK</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33021</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3/2005</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N809SY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737-8Q8</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30683</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3/2005</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N813SY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737-8Q8</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28237</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2/2001</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N814SY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737-8BK</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30620</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10/2001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N815SY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737-8BK</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30623</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5/2002</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N816SY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737-8Q8</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30637</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3/2001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N819SY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737-86N</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34254</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3/2006</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N820SY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737-8FH</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39951</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11/2014</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N821SY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737-8FH</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39952</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CFM56-7B27</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12/2014</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N822SY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737-8BK</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33017</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1/2004</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N823SY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737-85P</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33971</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10/2004</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N824SY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737-85P</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33976</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6/2005</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N825SY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737-8F2</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34410</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4/2006</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N826SY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737-8F2</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34411</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5/2006</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N827SY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737-8F2</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34412</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5/2006</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N828SY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737-8F2</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34413</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6/2006</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N829SY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737-8F2</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34414</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6/2006</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N830SY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737-83N</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30706</w:t>
            </w:r>
          </w:p>
        </w:tc>
        <w:tc>
          <w:tcPr>
            <w:tcW w:w="109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CFM56-7B27/B1</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8/2001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N831SY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737-83N</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28249</w:t>
            </w:r>
          </w:p>
        </w:tc>
        <w:tc>
          <w:tcPr>
            <w:tcW w:w="1094" w:type="dxa"/>
            <w:gridSpan w:val="3"/>
            <w:tcBorders>
              <w:top w:val="single" w:sz="4" w:space="0" w:color="000000"/>
              <w:left w:val="single" w:sz="4" w:space="0" w:color="000000"/>
            </w:tcBorders>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CFM56-7B27/B1</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7/2002</w:t>
            </w:r>
          </w:p>
        </w:tc>
        <w:tc>
          <w:tcPr>
            <w:tcW w:w="1335"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N832SY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737-8KN</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40243</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3/2011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N833SY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737-8KN</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40244</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4/2011</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N834SY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737-8KN</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40245</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5/2011</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N835SY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737-8KN</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40250</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12/2011</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N836SY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737-8KN</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40251</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1/2012</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N837SY</w:t>
            </w:r>
          </w:p>
        </w:tc>
        <w:tc>
          <w:tcPr>
            <w:tcW w:w="6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737-8KN</w:t>
            </w:r>
          </w:p>
        </w:tc>
        <w:tc>
          <w:tcPr>
            <w:tcW w:w="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40252</w:t>
            </w:r>
          </w:p>
        </w:tc>
        <w:tc>
          <w:tcPr>
            <w:tcW w:w="1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2/2012</w:t>
            </w:r>
          </w:p>
        </w:tc>
        <w:tc>
          <w:tcPr>
            <w:tcW w:w="1335"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N838SY</w:t>
            </w:r>
          </w:p>
        </w:tc>
        <w:tc>
          <w:tcPr>
            <w:tcW w:w="6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737-86N</w:t>
            </w:r>
          </w:p>
        </w:tc>
        <w:tc>
          <w:tcPr>
            <w:tcW w:w="7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32733</w:t>
            </w:r>
          </w:p>
        </w:tc>
        <w:tc>
          <w:tcPr>
            <w:tcW w:w="10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64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2/2002</w:t>
            </w:r>
          </w:p>
        </w:tc>
        <w:tc>
          <w:tcPr>
            <w:tcW w:w="1335"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106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4" w:space="0" w:color="000000"/>
              <w:left w:val="single" w:sz="4" w:space="0" w:color="000000"/>
              <w:bottom w:val="single" w:sz="4" w:space="0" w:color="000000"/>
            </w:tcBorders>
            <w:shd w:fill="FFFF00" w:val="clear"/>
            <w:tcMar>
              <w:top w:w="30" w:type="dxa"/>
              <w:left w:w="127"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N839SY</w:t>
            </w:r>
          </w:p>
        </w:tc>
        <w:tc>
          <w:tcPr>
            <w:tcW w:w="689" w:type="dxa"/>
            <w:gridSpan w:val="3"/>
            <w:tcBorders>
              <w:top w:val="single" w:sz="4" w:space="0" w:color="000000"/>
              <w:left w:val="single" w:sz="4" w:space="0" w:color="000000"/>
              <w:bottom w:val="single" w:sz="4" w:space="0" w:color="000000"/>
            </w:tcBorders>
            <w:shd w:fill="FFFF00" w:val="clear"/>
            <w:tcMar>
              <w:top w:w="30" w:type="dxa"/>
              <w:bottom w:w="3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737-8JP</w:t>
            </w:r>
          </w:p>
        </w:tc>
        <w:tc>
          <w:tcPr>
            <w:tcW w:w="734" w:type="dxa"/>
            <w:gridSpan w:val="3"/>
            <w:tcBorders>
              <w:top w:val="single" w:sz="4" w:space="0" w:color="000000"/>
              <w:left w:val="single" w:sz="4" w:space="0" w:color="000000"/>
              <w:bottom w:val="single" w:sz="4" w:space="0" w:color="000000"/>
            </w:tcBorders>
            <w:shd w:fill="FFFF00" w:val="clear"/>
            <w:tcMar>
              <w:top w:w="30" w:type="dxa"/>
              <w:bottom w:w="3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42083</w:t>
            </w:r>
          </w:p>
        </w:tc>
        <w:tc>
          <w:tcPr>
            <w:tcW w:w="1094" w:type="dxa"/>
            <w:gridSpan w:val="3"/>
            <w:tcBorders>
              <w:top w:val="single" w:sz="4" w:space="0" w:color="000000"/>
              <w:left w:val="single" w:sz="4" w:space="0" w:color="000000"/>
              <w:bottom w:val="single" w:sz="4" w:space="0" w:color="000000"/>
            </w:tcBorders>
            <w:shd w:fill="FFFF00" w:val="clear"/>
            <w:tcMar>
              <w:top w:w="30" w:type="dxa"/>
              <w:left w:w="126"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644" w:type="dxa"/>
            <w:gridSpan w:val="3"/>
            <w:tcBorders>
              <w:top w:val="single" w:sz="4" w:space="0" w:color="000000"/>
              <w:left w:val="single" w:sz="4" w:space="0" w:color="000000"/>
              <w:bottom w:val="single" w:sz="4" w:space="0" w:color="000000"/>
            </w:tcBorders>
            <w:shd w:fill="FFFF00" w:val="clear"/>
            <w:tcMar>
              <w:top w:w="30" w:type="dxa"/>
              <w:bottom w:w="3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01/2017</w:t>
            </w:r>
          </w:p>
        </w:tc>
        <w:tc>
          <w:tcPr>
            <w:tcW w:w="1335" w:type="dxa"/>
            <w:gridSpan w:val="3"/>
            <w:tcBorders>
              <w:top w:val="single" w:sz="4" w:space="0" w:color="000000"/>
              <w:left w:val="single" w:sz="4" w:space="0" w:color="000000"/>
              <w:bottom w:val="single" w:sz="4" w:space="0" w:color="000000"/>
            </w:tcBorders>
            <w:shd w:fill="FFFF00" w:val="clear"/>
            <w:tcMar>
              <w:top w:w="30" w:type="dxa"/>
              <w:left w:w="126"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T&amp;M</w:t>
            </w:r>
          </w:p>
        </w:tc>
        <w:tc>
          <w:tcPr>
            <w:tcW w:w="1065" w:type="dxa"/>
            <w:gridSpan w:val="3"/>
            <w:tcBorders>
              <w:top w:val="single" w:sz="4" w:space="0" w:color="000000"/>
              <w:left w:val="single" w:sz="4" w:space="0" w:color="000000"/>
              <w:bottom w:val="single" w:sz="4" w:space="0" w:color="000000"/>
              <w:right w:val="single" w:sz="4" w:space="0" w:color="000000"/>
            </w:tcBorders>
            <w:shd w:fill="FFFF00" w:val="cle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82955"/>
                <wp:effectExtent l="0" t="0" r="0" b="0"/>
                <wp:wrapNone/>
                <wp:docPr id="58" name="Frame5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tbl>
      <w:tblPr>
        <w:tblW w:w="4393" w:type="dxa"/>
        <w:jc w:val="left"/>
        <w:tblInd w:w="0" w:type="dxa"/>
        <w:tblLayout w:type="fixed"/>
        <w:tblCellMar>
          <w:top w:w="28" w:type="dxa"/>
          <w:left w:w="28" w:type="dxa"/>
          <w:bottom w:w="28" w:type="dxa"/>
          <w:right w:w="28" w:type="dxa"/>
        </w:tblCellMar>
      </w:tblPr>
      <w:tblGrid>
        <w:gridCol w:w="223"/>
        <w:gridCol w:w="196"/>
        <w:gridCol w:w="197"/>
        <w:gridCol w:w="289"/>
        <w:gridCol w:w="289"/>
        <w:gridCol w:w="292"/>
        <w:gridCol w:w="160"/>
        <w:gridCol w:w="160"/>
        <w:gridCol w:w="161"/>
        <w:gridCol w:w="334"/>
        <w:gridCol w:w="334"/>
        <w:gridCol w:w="336"/>
        <w:gridCol w:w="199"/>
        <w:gridCol w:w="199"/>
        <w:gridCol w:w="201"/>
        <w:gridCol w:w="150"/>
        <w:gridCol w:w="150"/>
        <w:gridCol w:w="151"/>
        <w:gridCol w:w="109"/>
        <w:gridCol w:w="109"/>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N840SY</w:t>
            </w:r>
          </w:p>
        </w:tc>
        <w:tc>
          <w:tcPr>
            <w:tcW w:w="87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737-8JP</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42084</w:t>
            </w:r>
          </w:p>
        </w:tc>
        <w:tc>
          <w:tcPr>
            <w:tcW w:w="100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02/2017</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N841SY</w:t>
            </w:r>
          </w:p>
        </w:tc>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737-8JP</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40865</w:t>
            </w:r>
          </w:p>
        </w:tc>
        <w:tc>
          <w:tcPr>
            <w:tcW w:w="1004"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CFM56-7B26/3</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09/2010</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N842SY</w:t>
            </w:r>
          </w:p>
        </w:tc>
        <w:tc>
          <w:tcPr>
            <w:tcW w:w="87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737-8K5</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37244</w:t>
            </w:r>
          </w:p>
        </w:tc>
        <w:tc>
          <w:tcPr>
            <w:tcW w:w="100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3/2012</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N843SY</w:t>
            </w:r>
          </w:p>
        </w:tc>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737-82R</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40721</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4/2011</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N844SY</w:t>
            </w:r>
          </w:p>
        </w:tc>
        <w:tc>
          <w:tcPr>
            <w:tcW w:w="87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737-8K5</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37240</w:t>
            </w:r>
          </w:p>
        </w:tc>
        <w:tc>
          <w:tcPr>
            <w:tcW w:w="100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2/2014</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N845SY</w:t>
            </w:r>
          </w:p>
        </w:tc>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737-82R</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40727</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CFM56-7B26</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5/2011</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N846SY</w:t>
            </w:r>
          </w:p>
        </w:tc>
        <w:tc>
          <w:tcPr>
            <w:tcW w:w="87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737-8JP</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39025</w:t>
            </w:r>
          </w:p>
        </w:tc>
        <w:tc>
          <w:tcPr>
            <w:tcW w:w="100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10/2013</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N847SY</w:t>
            </w:r>
          </w:p>
        </w:tc>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737-8JP</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39028</w:t>
            </w:r>
          </w:p>
        </w:tc>
        <w:tc>
          <w:tcPr>
            <w:tcW w:w="1004"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11/2013</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N848SY</w:t>
            </w:r>
          </w:p>
        </w:tc>
        <w:tc>
          <w:tcPr>
            <w:tcW w:w="87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737-8JP</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41128</w:t>
            </w:r>
          </w:p>
        </w:tc>
        <w:tc>
          <w:tcPr>
            <w:tcW w:w="100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1/2015</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N849SY</w:t>
            </w:r>
          </w:p>
        </w:tc>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737-8JP</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41131</w:t>
            </w:r>
          </w:p>
        </w:tc>
        <w:tc>
          <w:tcPr>
            <w:tcW w:w="1004"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3/2015</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N850SY</w:t>
            </w:r>
          </w:p>
        </w:tc>
        <w:tc>
          <w:tcPr>
            <w:tcW w:w="87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737-8KN</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40265</w:t>
            </w:r>
          </w:p>
        </w:tc>
        <w:tc>
          <w:tcPr>
            <w:tcW w:w="1004"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CFM56-7B26E</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6/2014</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N5209A</w:t>
            </w:r>
          </w:p>
        </w:tc>
        <w:tc>
          <w:tcPr>
            <w:tcW w:w="870"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737-83NBCF</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32579</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11/2001</w:t>
            </w:r>
          </w:p>
        </w:tc>
        <w:tc>
          <w:tcPr>
            <w:tcW w:w="451"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N5261A</w:t>
            </w:r>
          </w:p>
        </w:tc>
        <w:tc>
          <w:tcPr>
            <w:tcW w:w="870"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737-83NBCF</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32348</w:t>
            </w:r>
          </w:p>
        </w:tc>
        <w:tc>
          <w:tcPr>
            <w:tcW w:w="10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8/2001</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N5479A</w:t>
            </w:r>
          </w:p>
        </w:tc>
        <w:tc>
          <w:tcPr>
            <w:tcW w:w="870"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737-83NBCF</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32578</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10/2001</w:t>
            </w:r>
          </w:p>
        </w:tc>
        <w:tc>
          <w:tcPr>
            <w:tcW w:w="451"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N5683A</w:t>
            </w:r>
          </w:p>
        </w:tc>
        <w:tc>
          <w:tcPr>
            <w:tcW w:w="870"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737-84PBCF</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32601</w:t>
            </w:r>
          </w:p>
        </w:tc>
        <w:tc>
          <w:tcPr>
            <w:tcW w:w="10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12/2001</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N5693A</w:t>
            </w:r>
          </w:p>
        </w:tc>
        <w:tc>
          <w:tcPr>
            <w:tcW w:w="870" w:type="dxa"/>
            <w:gridSpan w:val="3"/>
            <w:tcBorders>
              <w:top w:val="single" w:sz="4" w:space="0" w:color="000000"/>
              <w:left w:val="single" w:sz="4" w:space="0" w:color="000000"/>
            </w:tcBorders>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737-84PBCF</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29947</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8/1999</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N7901A</w:t>
            </w:r>
          </w:p>
        </w:tc>
        <w:tc>
          <w:tcPr>
            <w:tcW w:w="870"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737-84PBCF</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32605</w:t>
            </w:r>
          </w:p>
        </w:tc>
        <w:tc>
          <w:tcPr>
            <w:tcW w:w="10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10/2005</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N7907A</w:t>
            </w:r>
          </w:p>
        </w:tc>
        <w:tc>
          <w:tcPr>
            <w:tcW w:w="870"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737-83NBCF</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32577</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10/2001</w:t>
            </w:r>
          </w:p>
        </w:tc>
        <w:tc>
          <w:tcPr>
            <w:tcW w:w="451"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N7919A</w:t>
            </w:r>
          </w:p>
        </w:tc>
        <w:tc>
          <w:tcPr>
            <w:tcW w:w="870"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737-84PBCF</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32607</w:t>
            </w:r>
          </w:p>
        </w:tc>
        <w:tc>
          <w:tcPr>
            <w:tcW w:w="10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12/2005</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N7933A</w:t>
            </w:r>
          </w:p>
        </w:tc>
        <w:tc>
          <w:tcPr>
            <w:tcW w:w="870"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737-86NBCF</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33677</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4/2004</w:t>
            </w:r>
          </w:p>
        </w:tc>
        <w:tc>
          <w:tcPr>
            <w:tcW w:w="451"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N7949A</w:t>
            </w:r>
          </w:p>
        </w:tc>
        <w:tc>
          <w:tcPr>
            <w:tcW w:w="870" w:type="dxa"/>
            <w:gridSpan w:val="3"/>
            <w:tcBorders>
              <w:top w:val="single" w:sz="4" w:space="0" w:color="000000"/>
              <w:left w:val="single" w:sz="4" w:space="0" w:color="000000"/>
            </w:tcBorders>
            <w:shd w:fill="D9D9D9" w:val="clear"/>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737-86NBCF</w:t>
            </w:r>
          </w:p>
        </w:tc>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32739</w:t>
            </w:r>
          </w:p>
        </w:tc>
        <w:tc>
          <w:tcPr>
            <w:tcW w:w="100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1/2004</w:t>
            </w:r>
          </w:p>
        </w:tc>
        <w:tc>
          <w:tcPr>
            <w:tcW w:w="451" w:type="dxa"/>
            <w:gridSpan w:val="3"/>
            <w:tcBorders>
              <w:top w:val="single" w:sz="4" w:space="0" w:color="000000"/>
              <w:left w:val="single" w:sz="4" w:space="0" w:color="000000"/>
            </w:tcBorders>
            <w:shd w:fill="D9D9D9" w:val="clear"/>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N8011A</w:t>
            </w:r>
          </w:p>
        </w:tc>
        <w:tc>
          <w:tcPr>
            <w:tcW w:w="870" w:type="dxa"/>
            <w:gridSpan w:val="3"/>
            <w:tcBorders>
              <w:top w:val="single" w:sz="4" w:space="0" w:color="000000"/>
              <w:left w:val="single" w:sz="4" w:space="0" w:color="000000"/>
            </w:tcBorders>
            <w:tcMar>
              <w:top w:w="30" w:type="dxa"/>
              <w:left w:w="126"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737-84PBCF</w:t>
            </w:r>
          </w:p>
        </w:tc>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34030</w:t>
            </w:r>
          </w:p>
        </w:tc>
        <w:tc>
          <w:tcPr>
            <w:tcW w:w="10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10/2005</w:t>
            </w:r>
          </w:p>
        </w:tc>
        <w:tc>
          <w:tcPr>
            <w:tcW w:w="451" w:type="dxa"/>
            <w:gridSpan w:val="3"/>
            <w:tcBorders>
              <w:top w:val="single" w:sz="4" w:space="0" w:color="000000"/>
              <w:left w:val="single" w:sz="4" w:space="0" w:color="000000"/>
            </w:tcBorders>
            <w:tcMar>
              <w:top w:w="30" w:type="dxa"/>
              <w:left w:w="124"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4" w:space="0" w:color="000000"/>
              <w:left w:val="single" w:sz="4" w:space="0" w:color="000000"/>
              <w:bottom w:val="single" w:sz="4" w:space="0" w:color="000000"/>
            </w:tcBorders>
            <w:shd w:fill="D9D9D9" w:val="clear"/>
            <w:tcMar>
              <w:top w:w="30" w:type="dxa"/>
              <w:left w:w="127"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N8059A</w:t>
            </w:r>
          </w:p>
        </w:tc>
        <w:tc>
          <w:tcPr>
            <w:tcW w:w="870" w:type="dxa"/>
            <w:gridSpan w:val="3"/>
            <w:tcBorders>
              <w:top w:val="single" w:sz="4" w:space="0" w:color="000000"/>
              <w:left w:val="single" w:sz="4" w:space="0" w:color="000000"/>
              <w:bottom w:val="single" w:sz="4" w:space="0" w:color="000000"/>
            </w:tcBorders>
            <w:shd w:fill="D9D9D9" w:val="clear"/>
            <w:tcMar>
              <w:top w:w="30" w:type="dxa"/>
              <w:left w:w="127"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737-86JBCF</w:t>
            </w:r>
          </w:p>
        </w:tc>
        <w:tc>
          <w:tcPr>
            <w:tcW w:w="481"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29120</w:t>
            </w:r>
          </w:p>
        </w:tc>
        <w:tc>
          <w:tcPr>
            <w:tcW w:w="1004"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73" w:before="0" w:after="0"/>
              <w:jc w:val="left"/>
              <w:rPr>
                <w:rFonts w:ascii="Arial;sans-serif" w:hAnsi="Arial;sans-serif"/>
                <w:b/>
                <w:color w:val="000000"/>
                <w:sz w:val="14"/>
              </w:rPr>
            </w:pPr>
            <w:r>
              <w:rPr>
                <w:rFonts w:ascii="Arial;sans-serif" w:hAnsi="Arial;sans-serif"/>
                <w:b/>
                <w:color w:val="000000"/>
                <w:sz w:val="14"/>
              </w:rPr>
              <w:t>CFM56-7B24</w:t>
            </w:r>
          </w:p>
        </w:tc>
        <w:tc>
          <w:tcPr>
            <w:tcW w:w="599"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2/1999</w:t>
            </w:r>
          </w:p>
        </w:tc>
        <w:tc>
          <w:tcPr>
            <w:tcW w:w="451" w:type="dxa"/>
            <w:gridSpan w:val="3"/>
            <w:tcBorders>
              <w:top w:val="single" w:sz="4" w:space="0" w:color="000000"/>
              <w:left w:val="single" w:sz="4" w:space="0" w:color="000000"/>
              <w:bottom w:val="single" w:sz="4" w:space="0" w:color="000000"/>
            </w:tcBorders>
            <w:shd w:fill="D9D9D9" w:val="clear"/>
            <w:tcMar>
              <w:top w:w="30" w:type="dxa"/>
              <w:left w:w="126"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PBTH</w:t>
            </w:r>
          </w:p>
        </w:tc>
        <w:tc>
          <w:tcPr>
            <w:tcW w:w="372"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93" w:after="283"/>
        <w:ind w:left="0" w:right="0" w:hanging="360"/>
        <w:jc w:val="left"/>
        <w:rPr>
          <w:rFonts w:ascii="Arial;sans-serif" w:hAnsi="Arial;sans-serif"/>
          <w:b w:val="false"/>
          <w:color w:val="000000"/>
          <w:sz w:val="21"/>
        </w:rPr>
      </w:pPr>
      <w:r>
        <w:rPr>
          <w:rFonts w:ascii="Arial;sans-serif" w:hAnsi="Arial;sans-serif"/>
          <w:b w:val="false"/>
          <w:color w:val="000000"/>
          <w:sz w:val="21"/>
        </w:rPr>
        <w:t>1)[***].</w:t>
      </w:r>
    </w:p>
    <w:p>
      <w:pPr>
        <w:pStyle w:val="TextBody"/>
        <w:bidi w:val="0"/>
        <w:spacing w:before="11" w:after="283"/>
        <w:jc w:val="left"/>
        <w:rPr/>
      </w:pPr>
      <w:r>
        <w:rPr/>
      </w:r>
    </w:p>
    <w:p>
      <w:pPr>
        <w:pStyle w:val="TextBody"/>
        <w:bidi w:val="0"/>
        <w:spacing w:lineRule="auto" w:line="240" w:before="0" w:after="0"/>
        <w:ind w:left="0" w:right="0" w:hanging="358"/>
        <w:jc w:val="left"/>
        <w:rPr>
          <w:rFonts w:ascii="Arial;sans-serif" w:hAnsi="Arial;sans-serif"/>
          <w:b w:val="false"/>
          <w:color w:val="000000"/>
          <w:sz w:val="21"/>
        </w:rPr>
      </w:pPr>
      <w:r>
        <w:rPr>
          <w:rFonts w:ascii="Arial;sans-serif" w:hAnsi="Arial;sans-serif"/>
          <w:b w:val="false"/>
          <w:color w:val="000000"/>
          <w:sz w:val="21"/>
        </w:rPr>
        <w:t>2)Removal of Aircraft from the PBTH Program:</w:t>
      </w:r>
    </w:p>
    <w:p>
      <w:pPr>
        <w:pStyle w:val="TextBody"/>
        <w:bidi w:val="0"/>
        <w:spacing w:before="11" w:after="283"/>
        <w:jc w:val="left"/>
        <w:rPr/>
      </w:pPr>
      <w:r>
        <w:rPr/>
      </w:r>
    </w:p>
    <w:p>
      <w:pPr>
        <w:pStyle w:val="TextBody"/>
        <w:bidi w:val="0"/>
        <w:spacing w:lineRule="auto" w:line="240" w:before="0" w:after="0"/>
        <w:ind w:left="0" w:right="0" w:hanging="360"/>
        <w:jc w:val="left"/>
        <w:rPr>
          <w:rFonts w:ascii="Arial;sans-serif" w:hAnsi="Arial;sans-serif"/>
          <w:b w:val="false"/>
          <w:color w:val="000000"/>
          <w:sz w:val="21"/>
        </w:rPr>
      </w:pPr>
      <w:r>
        <w:rPr>
          <w:rFonts w:ascii="Arial;sans-serif" w:hAnsi="Arial;sans-serif"/>
          <w:b w:val="false"/>
          <w:color w:val="000000"/>
          <w:sz w:val="21"/>
        </w:rPr>
        <w:t>a.Aircraft may be removed from the PBTH Program but will be concurrently replaced with new induction aircraft of the same fleet type (i.e., the number of aircraft in the PBTH Program may not change) with a minimum of six (6) months’ notice by Sun Country Airlines to Delta prior to replacement.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82955"/>
                <wp:effectExtent l="0" t="0" r="0" b="0"/>
                <wp:wrapNone/>
                <wp:docPr id="59" name="Frame5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1"/>
          <w:u w:val="single"/>
        </w:rPr>
      </w:pPr>
      <w:r>
        <w:rPr>
          <w:rFonts w:ascii="Arial;sans-serif" w:hAnsi="Arial;sans-serif"/>
          <w:b w:val="false"/>
          <w:color w:val="000000"/>
          <w:sz w:val="21"/>
          <w:u w:val="single"/>
        </w:rPr>
        <w:t>Attachment 2 to Amendment</w:t>
      </w:r>
    </w:p>
    <w:p>
      <w:pPr>
        <w:pStyle w:val="TextBody"/>
        <w:bidi w:val="0"/>
        <w:spacing w:before="9" w:after="283"/>
        <w:jc w:val="left"/>
        <w:rPr/>
      </w:pPr>
      <w:r>
        <w:rPr/>
      </w:r>
    </w:p>
    <w:p>
      <w:pPr>
        <w:pStyle w:val="TextBody"/>
        <w:bidi w:val="0"/>
        <w:spacing w:lineRule="auto" w:line="240" w:before="94" w:after="283"/>
        <w:jc w:val="center"/>
        <w:rPr>
          <w:rFonts w:ascii="Arial;sans-serif" w:hAnsi="Arial;sans-serif"/>
          <w:b w:val="false"/>
          <w:color w:val="000000"/>
          <w:sz w:val="21"/>
          <w:u w:val="single"/>
        </w:rPr>
      </w:pPr>
      <w:r>
        <w:rPr>
          <w:rFonts w:ascii="Arial;sans-serif" w:hAnsi="Arial;sans-serif"/>
          <w:b w:val="false"/>
          <w:color w:val="000000"/>
          <w:sz w:val="21"/>
          <w:u w:val="single"/>
        </w:rPr>
        <w:t>Annex A2</w:t>
      </w:r>
    </w:p>
    <w:p>
      <w:pPr>
        <w:pStyle w:val="TextBody"/>
        <w:bidi w:val="0"/>
        <w:spacing w:before="11" w:after="283"/>
        <w:jc w:val="left"/>
        <w:rPr/>
      </w:pPr>
      <w:r>
        <w:rPr/>
      </w:r>
    </w:p>
    <w:p>
      <w:pPr>
        <w:pStyle w:val="TextBody"/>
        <w:bidi w:val="0"/>
        <w:spacing w:lineRule="auto" w:line="240" w:before="93" w:after="283"/>
        <w:jc w:val="center"/>
        <w:rPr>
          <w:rFonts w:ascii="Arial;sans-serif" w:hAnsi="Arial;sans-serif"/>
          <w:b w:val="false"/>
          <w:color w:val="000000"/>
          <w:sz w:val="21"/>
          <w:u w:val="single"/>
        </w:rPr>
      </w:pPr>
      <w:r>
        <w:rPr>
          <w:rFonts w:ascii="Arial;sans-serif" w:hAnsi="Arial;sans-serif"/>
          <w:b w:val="false"/>
          <w:color w:val="000000"/>
          <w:sz w:val="21"/>
          <w:u w:val="single"/>
        </w:rPr>
        <w:t>Charges and Payment Terms</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ind w:left="0" w:right="0" w:hanging="359"/>
        <w:jc w:val="left"/>
        <w:rPr>
          <w:rFonts w:ascii="Arial;sans-serif" w:hAnsi="Arial;sans-serif"/>
          <w:b w:val="false"/>
          <w:color w:val="000000"/>
          <w:sz w:val="21"/>
        </w:rPr>
      </w:pPr>
      <w:r>
        <w:rPr>
          <w:rFonts w:ascii="Arial;sans-serif" w:hAnsi="Arial;sans-serif"/>
          <w:b w:val="false"/>
          <w:color w:val="000000"/>
          <w:sz w:val="21"/>
        </w:rPr>
        <w:t>1.Component Access and Exchange Flat Rates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1"/>
        </w:rPr>
      </w:pPr>
      <w:r>
        <w:rPr>
          <w:rFonts w:ascii="Arial;sans-serif" w:hAnsi="Arial;sans-serif"/>
          <w:b w:val="false"/>
          <w:color w:val="000000"/>
          <w:sz w:val="21"/>
        </w:rPr>
        <w:t>Before July 1, 2023, Delta shall charge Sun Country Airlines and Sun Country Airlines shall pay to Delta a flat monthly fee for Common Component access and exchange. Such fee shall be computed monthly by multiplying the number of Aircraft covered under this Agreement times the applicable flat fee set forth below:</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1"/>
        </w:rPr>
      </w:pPr>
      <w:r>
        <w:rPr>
          <w:rFonts w:ascii="Arial;sans-serif" w:hAnsi="Arial;sans-serif"/>
          <w:b w:val="false"/>
          <w:color w:val="000000"/>
          <w:sz w:val="21"/>
        </w:rPr>
        <w:t>Common Component access fee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1"/>
        </w:rPr>
      </w:pPr>
      <w:r>
        <w:rPr>
          <w:rFonts w:ascii="Arial;sans-serif" w:hAnsi="Arial;sans-serif"/>
          <w:b w:val="false"/>
          <w:color w:val="000000"/>
          <w:sz w:val="21"/>
        </w:rPr>
        <w:t>Sun Country Airlines agrees in the event of an exchange for a Non-Covered Part the core unit will be sent to Delta for repair under T&amp;M rates. Before July 1, 2023 Sun Country Airlines agrees to replace any Non-Covered Part core returned that is deemed scrap or BER by Delta or pay the then equivalent FMV (fair market value).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Arial;sans-serif" w:hAnsi="Arial;sans-serif"/>
          <w:b w:val="false"/>
          <w:color w:val="000000"/>
          <w:sz w:val="21"/>
        </w:rPr>
        <w:t>Beyond Economical Repair” or “BER” is a component for which the cost to restore to serviceable condition exceeds one hundred percent (100%) of the price of a comparable component in serviceable condition (“Beyond Economical Repair” or “BER”)</w:t>
      </w:r>
    </w:p>
    <w:p>
      <w:pPr>
        <w:pStyle w:val="TextBody"/>
        <w:bidi w:val="0"/>
        <w:spacing w:before="0" w:after="0"/>
        <w:jc w:val="left"/>
        <w:rPr/>
      </w:pPr>
      <w:r>
        <w:rPr/>
      </w:r>
    </w:p>
    <w:p>
      <w:pPr>
        <w:pStyle w:val="TextBody"/>
        <w:bidi w:val="0"/>
        <w:spacing w:lineRule="auto" w:line="240" w:before="0" w:after="0"/>
        <w:ind w:left="0" w:right="0" w:hanging="1"/>
        <w:jc w:val="left"/>
        <w:rPr>
          <w:rFonts w:ascii="Arial;sans-serif" w:hAnsi="Arial;sans-serif"/>
          <w:b w:val="false"/>
          <w:color w:val="000000"/>
          <w:sz w:val="21"/>
        </w:rPr>
      </w:pPr>
      <w:r>
        <w:rPr>
          <w:rFonts w:ascii="Arial;sans-serif" w:hAnsi="Arial;sans-serif"/>
          <w:b w:val="false"/>
          <w:color w:val="000000"/>
          <w:sz w:val="21"/>
        </w:rPr>
        <w:t>Starting July 1, 2023, Delta shall charge Sun Country Airlines and Sun Country Airlines shall pay to Delta a flat monthly fee for Common Component access and exchange. Such fee shall be computed monthly by multiplying the number of Aircraft covered under this Agreement ([***]) times the applicable flat fee set forth in the table below:</w:t>
      </w:r>
    </w:p>
    <w:p>
      <w:pPr>
        <w:pStyle w:val="TextBody"/>
        <w:bidi w:val="0"/>
        <w:spacing w:before="0" w:after="0"/>
        <w:jc w:val="left"/>
        <w:rPr/>
      </w:pPr>
      <w:r>
        <w:rPr/>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65" w:after="283"/>
        <w:jc w:val="left"/>
        <w:rPr/>
      </w:pPr>
      <w:r>
        <w:rPr>
          <w:rFonts w:ascii="Arial;sans-serif" w:hAnsi="Arial;sans-serif"/>
          <w:b w:val="false"/>
          <w:color w:val="000000"/>
          <w:sz w:val="21"/>
        </w:rPr>
        <w:t>Such payment shall be made in accordance with section 3.2 of the Agreement dated October 8, 2003. The rate for Component access and exchange shall be calculated on the last day of each month. For Aircraft introduced into or removed from Sun Country Airlines’ fleet during any particular month shall be pro-rated based on the percentage of the days of that month such Aircraft has spent in service. Use of an Aircraft for any portion of the calendar day, local Aircraft time, constitutes use of the Aircraft for that day, for purposes of this section. The Aircraft is considered used if it is operated for any purpose, whether revenue, charter, training, promotional or nonrevenue flying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40" w:before="0" w:after="0"/>
        <w:ind w:left="0" w:right="0" w:hanging="1"/>
        <w:jc w:val="both"/>
        <w:rPr>
          <w:rFonts w:ascii="Arial;sans-serif" w:hAnsi="Arial;sans-serif"/>
          <w:b w:val="false"/>
          <w:color w:val="000000"/>
          <w:sz w:val="21"/>
        </w:rPr>
      </w:pPr>
      <w:r>
        <w:rPr>
          <w:rFonts w:ascii="Arial;sans-serif" w:hAnsi="Arial;sans-serif"/>
          <w:b w:val="false"/>
          <w:color w:val="000000"/>
          <w:sz w:val="21"/>
        </w:rPr>
        <w:t>Any part not listed in the Annex A4 Parts List is considered a “Non-Covered Part.” After July 1, 2023 if Sun Country Airlines requests an exchange for a Non-Covered Part and Delta agrees to the exchange the following rate will apply:</w:t>
      </w:r>
    </w:p>
    <w:p>
      <w:pPr>
        <w:pStyle w:val="TextBody"/>
        <w:bidi w:val="0"/>
        <w:spacing w:before="0" w:after="0"/>
        <w:ind w:left="0" w:right="0" w:firstLine="720"/>
        <w:jc w:val="both"/>
        <w:rPr/>
      </w:pPr>
      <w:r>
        <w:rPr/>
      </w:r>
    </w:p>
    <w:tbl>
      <w:tblPr>
        <w:tblW w:w="4170" w:type="dxa"/>
        <w:jc w:val="center"/>
        <w:tblInd w:w="0" w:type="dxa"/>
        <w:tblLayout w:type="fixed"/>
        <w:tblCellMar>
          <w:top w:w="28" w:type="dxa"/>
          <w:left w:w="28" w:type="dxa"/>
          <w:bottom w:w="28" w:type="dxa"/>
          <w:right w:w="28" w:type="dxa"/>
        </w:tblCellMar>
      </w:tblPr>
      <w:tblGrid>
        <w:gridCol w:w="1332"/>
        <w:gridCol w:w="1169"/>
        <w:gridCol w:w="1174"/>
        <w:gridCol w:w="145"/>
        <w:gridCol w:w="145"/>
        <w:gridCol w:w="205"/>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Exchange Rate for Non-Covered Part</w:t>
            </w:r>
          </w:p>
        </w:tc>
        <w:tc>
          <w:tcPr>
            <w:tcW w:w="4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w:t>
            </w:r>
          </w:p>
        </w:tc>
      </w:tr>
    </w:tbl>
    <w:p>
      <w:pPr>
        <w:pStyle w:val="TextBody"/>
        <w:bidi w:val="0"/>
        <w:spacing w:before="11" w:after="283"/>
        <w:ind w:left="0" w:right="0" w:firstLine="720"/>
        <w:jc w:val="left"/>
        <w:rPr/>
      </w:pPr>
      <w:r>
        <w:rPr/>
      </w:r>
    </w:p>
    <w:p>
      <w:pPr>
        <w:pStyle w:val="TextBody"/>
        <w:bidi w:val="0"/>
        <w:spacing w:lineRule="auto" w:line="240" w:before="80" w:after="283"/>
        <w:ind w:left="0" w:right="0" w:hanging="359"/>
        <w:jc w:val="left"/>
        <w:rPr>
          <w:rFonts w:ascii="Arial;sans-serif" w:hAnsi="Arial;sans-serif"/>
          <w:b w:val="false"/>
          <w:color w:val="000000"/>
          <w:sz w:val="21"/>
        </w:rPr>
      </w:pPr>
      <w:r>
        <w:rPr>
          <w:rFonts w:ascii="Arial;sans-serif" w:hAnsi="Arial;sans-serif"/>
          <w:b w:val="false"/>
          <w:color w:val="000000"/>
          <w:sz w:val="21"/>
        </w:rPr>
        <w:t>2.PBTH Rates</w:t>
      </w:r>
    </w:p>
    <w:p>
      <w:pPr>
        <w:pStyle w:val="TextBody"/>
        <w:bidi w:val="0"/>
        <w:spacing w:before="9" w:after="283"/>
        <w:jc w:val="left"/>
        <w:rPr/>
      </w:pPr>
      <w:r>
        <w:rPr/>
      </w:r>
    </w:p>
    <w:p>
      <w:pPr>
        <w:pStyle w:val="TextBody"/>
        <w:bidi w:val="0"/>
        <w:spacing w:lineRule="auto" w:line="240" w:before="93" w:after="283"/>
        <w:jc w:val="left"/>
        <w:rPr>
          <w:rFonts w:ascii="Arial;sans-serif" w:hAnsi="Arial;sans-serif"/>
          <w:b w:val="false"/>
          <w:color w:val="000000"/>
          <w:sz w:val="21"/>
        </w:rPr>
      </w:pPr>
      <w:r>
        <w:rPr>
          <w:rFonts w:ascii="Arial;sans-serif" w:hAnsi="Arial;sans-serif"/>
          <w:b w:val="false"/>
          <w:color w:val="000000"/>
          <w:sz w:val="21"/>
        </w:rPr>
        <w:t xml:space="preserve">Delta shall charge Sun Country Airlines and Sun Country Airlines shall pay Delta a fee each month based on the applicable power-by-the-hour rate set forth below (the “PBTH Rate”), as compensation for Services which are described herein as being provided on the PBTH basis. The applicable PBTH rate is determined using the monthly average flight hours across all PBTH covered Aircraft. Each calendar month during the Term, Delta shall invoice to Sun Country Airlines an amount equal to the product of applicable PBTH Rate times the total number of Flight Hours or the Minimum Flight Hours whichever is greater for each Aircraft during such month. The “Minimum Flight Hours” is equal to [***]. Sun Country Airlines shall report to Delta by no later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82955"/>
                <wp:effectExtent l="0" t="0" r="0" b="0"/>
                <wp:wrapNone/>
                <wp:docPr id="60" name="Frame5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93" w:after="283"/>
        <w:jc w:val="left"/>
        <w:rPr/>
      </w:pPr>
      <w:r>
        <w:rPr>
          <w:rFonts w:ascii="Arial;sans-serif" w:hAnsi="Arial;sans-serif"/>
          <w:b w:val="false"/>
          <w:color w:val="000000"/>
          <w:sz w:val="21"/>
        </w:rPr>
        <w:t>than the 10</w:t>
      </w:r>
      <w:r>
        <w:rPr>
          <w:rFonts w:ascii="Arial;sans-serif" w:hAnsi="Arial;sans-serif"/>
          <w:b w:val="false"/>
          <w:color w:val="000000"/>
          <w:sz w:val="14"/>
        </w:rPr>
        <w:t xml:space="preserve">th </w:t>
      </w:r>
      <w:r>
        <w:rPr>
          <w:rFonts w:ascii="Arial;sans-serif" w:hAnsi="Arial;sans-serif"/>
          <w:b w:val="false"/>
          <w:color w:val="000000"/>
          <w:sz w:val="21"/>
        </w:rPr>
        <w:t>business day of each month the total number of Flight Hours for all Aircraft for the preceding month. Sun Country Airlines shall allow Delta representatives to inspect its operating records with respect to the Aircraft to verify the accuracy of the Flight Hour information. Delta will provide Sun Country Airlines with a minimum 14-day written notice of Delta’s intent to inspect Sun Country Airlines’ operating records with respect to Aircraft Flight Hours for the duration of the contract and only for the prior Twelve (12) months. If such inspection yields abnormalities, Delta reserves the right to review Sun Country Airlines’ records beyond the Twelve (12) months, but in no circumstances shall this inspection extend beyond the Twelve (12) months prior to the date of this Amendment 19.</w:t>
      </w:r>
    </w:p>
    <w:p>
      <w:pPr>
        <w:pStyle w:val="TextBody"/>
        <w:bidi w:val="0"/>
        <w:spacing w:before="8" w:after="283"/>
        <w:jc w:val="left"/>
        <w:rPr/>
      </w:pPr>
      <w:r>
        <w:rPr/>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w:t>
      </w:r>
    </w:p>
    <w:p>
      <w:pPr>
        <w:pStyle w:val="TextBody"/>
        <w:bidi w:val="0"/>
        <w:spacing w:before="2" w:after="283"/>
        <w:jc w:val="center"/>
        <w:rPr/>
      </w:pPr>
      <w:r>
        <w:rPr/>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0" w:after="0"/>
        <w:jc w:val="left"/>
        <w:rPr>
          <w:rFonts w:ascii="Arial;sans-serif" w:hAnsi="Arial;sans-serif"/>
          <w:b w:val="false"/>
          <w:color w:val="000000"/>
          <w:sz w:val="21"/>
        </w:rPr>
      </w:pPr>
      <w:r>
        <w:rPr>
          <w:rFonts w:ascii="Arial;sans-serif" w:hAnsi="Arial;sans-serif"/>
          <w:b w:val="false"/>
          <w:color w:val="000000"/>
          <w:sz w:val="21"/>
        </w:rPr>
        <w:t>If Sun Country Airlines requests a repair for a Non-Covered Part Delta will charge T&amp;M Rates for such repair.</w:t>
      </w:r>
    </w:p>
    <w:p>
      <w:pPr>
        <w:pStyle w:val="TextBody"/>
        <w:bidi w:val="0"/>
        <w:spacing w:before="80" w:after="283"/>
        <w:jc w:val="right"/>
        <w:rPr/>
      </w:pPr>
      <w:r>
        <w:rPr/>
      </w:r>
    </w:p>
    <w:p>
      <w:pPr>
        <w:pStyle w:val="TextBody"/>
        <w:bidi w:val="0"/>
        <w:spacing w:lineRule="auto" w:line="240" w:before="80" w:after="283"/>
        <w:ind w:left="0" w:right="0" w:hanging="359"/>
        <w:jc w:val="left"/>
        <w:rPr>
          <w:rFonts w:ascii="Arial;sans-serif" w:hAnsi="Arial;sans-serif"/>
          <w:b w:val="false"/>
          <w:color w:val="000000"/>
          <w:sz w:val="21"/>
        </w:rPr>
      </w:pPr>
      <w:r>
        <w:rPr>
          <w:rFonts w:ascii="Arial;sans-serif" w:hAnsi="Arial;sans-serif"/>
          <w:b w:val="false"/>
          <w:color w:val="000000"/>
          <w:sz w:val="21"/>
        </w:rPr>
        <w:t>3.Aircraft Undergoing Checks/Modifications</w:t>
      </w:r>
    </w:p>
    <w:p>
      <w:pPr>
        <w:pStyle w:val="TextBody"/>
        <w:bidi w:val="0"/>
        <w:spacing w:before="10" w:after="283"/>
        <w:jc w:val="left"/>
        <w:rPr/>
      </w:pPr>
      <w:r>
        <w:rPr/>
      </w:r>
    </w:p>
    <w:p>
      <w:pPr>
        <w:pStyle w:val="TextBody"/>
        <w:bidi w:val="0"/>
        <w:spacing w:lineRule="auto" w:line="240" w:before="93" w:after="283"/>
        <w:ind w:left="0" w:right="0" w:hanging="360"/>
        <w:jc w:val="left"/>
        <w:rPr>
          <w:rFonts w:ascii="Arial;sans-serif" w:hAnsi="Arial;sans-serif"/>
          <w:b w:val="false"/>
          <w:color w:val="000000"/>
          <w:sz w:val="21"/>
        </w:rPr>
      </w:pPr>
      <w:r>
        <w:rPr>
          <w:rFonts w:ascii="Arial;sans-serif" w:hAnsi="Arial;sans-serif"/>
          <w:b w:val="false"/>
          <w:color w:val="000000"/>
          <w:sz w:val="21"/>
        </w:rPr>
        <w:t>a.Aircraft that are subject to base level C-Checks, higher letter checks, Mod aircraft (e.g. Passenger-to-Freighter, VIP, etc.) will be prorated from the average flight hour per tail per month minimums or billed at actuals if FH surpasses the prorated minutes provided Sun Country supplies Delta with a 60 Day forecast for any Aircraft undergoing such checks. Sun Country reserves the right to swap aircraft and base level slots to meet operational requirements.</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Arial;sans-serif" w:hAnsi="Arial;sans-serif"/>
          <w:b w:val="false"/>
          <w:color w:val="000000"/>
          <w:sz w:val="21"/>
        </w:rPr>
        <w:t xml:space="preserve">b.If Sun Country Airlines orders parts from Delta against an Aircraft while it is in C- Check or higher, </w:t>
      </w:r>
      <w:r>
        <w:rPr>
          <w:rFonts w:ascii="Arial;sans-serif" w:hAnsi="Arial;sans-serif"/>
          <w:b w:val="false"/>
          <w:color w:val="000000"/>
          <w:sz w:val="22"/>
        </w:rPr>
        <w:t>[***]</w:t>
      </w:r>
      <w:r>
        <w:rPr>
          <w:rFonts w:ascii="Arial;sans-serif" w:hAnsi="Arial;sans-serif"/>
          <w:b w:val="false"/>
          <w:color w:val="000000"/>
          <w:sz w:val="21"/>
        </w:rPr>
        <w:t>.</w:t>
      </w:r>
    </w:p>
    <w:p>
      <w:pPr>
        <w:pStyle w:val="TextBody"/>
        <w:bidi w:val="0"/>
        <w:spacing w:before="11" w:after="283"/>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1"/>
        </w:rPr>
        <w:t>c.Inventory access fees will remain in full effect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ind w:left="0" w:right="0" w:hanging="359"/>
        <w:jc w:val="left"/>
        <w:rPr>
          <w:rFonts w:ascii="Arial;sans-serif" w:hAnsi="Arial;sans-serif"/>
          <w:b w:val="false"/>
          <w:color w:val="000000"/>
          <w:sz w:val="21"/>
        </w:rPr>
      </w:pPr>
      <w:r>
        <w:rPr>
          <w:rFonts w:ascii="Arial;sans-serif" w:hAnsi="Arial;sans-serif"/>
          <w:b w:val="false"/>
          <w:color w:val="000000"/>
          <w:sz w:val="21"/>
        </w:rPr>
        <w:t>4.Flight Minimum Reconciliation</w:t>
      </w:r>
    </w:p>
    <w:p>
      <w:pPr>
        <w:pStyle w:val="TextBody"/>
        <w:bidi w:val="0"/>
        <w:spacing w:before="9" w:after="283"/>
        <w:jc w:val="left"/>
        <w:rPr/>
      </w:pPr>
      <w:r>
        <w:rPr/>
      </w:r>
    </w:p>
    <w:p>
      <w:pPr>
        <w:pStyle w:val="TextBody"/>
        <w:bidi w:val="0"/>
        <w:spacing w:lineRule="auto" w:line="240" w:before="93" w:after="283"/>
        <w:ind w:left="0" w:right="0" w:hanging="360"/>
        <w:jc w:val="left"/>
        <w:rPr>
          <w:rFonts w:ascii="Arial;sans-serif" w:hAnsi="Arial;sans-serif"/>
          <w:b w:val="false"/>
          <w:color w:val="000000"/>
          <w:sz w:val="21"/>
        </w:rPr>
      </w:pPr>
      <w:r>
        <w:rPr>
          <w:rFonts w:ascii="Arial;sans-serif" w:hAnsi="Arial;sans-serif"/>
          <w:b w:val="false"/>
          <w:color w:val="000000"/>
          <w:sz w:val="21"/>
        </w:rPr>
        <w:t>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1"/>
        </w:rPr>
      </w:pPr>
      <w:r>
        <w:rPr>
          <w:rFonts w:ascii="Arial;sans-serif" w:hAnsi="Arial;sans-serif"/>
          <w:b w:val="false"/>
          <w:color w:val="000000"/>
          <w:sz w:val="21"/>
        </w:rPr>
        <w:t>b.Delta agrees to waive any claim to the minimum flying level requirement payments payable to Delta pursuant to and as referenced by Amendment 17 to Inventory Support &amp; Services Agreement Annex 2, Section 4.</w:t>
      </w:r>
    </w:p>
    <w:p>
      <w:pPr>
        <w:pStyle w:val="TextBody"/>
        <w:bidi w:val="0"/>
        <w:spacing w:before="0" w:after="0"/>
        <w:jc w:val="left"/>
        <w:rPr/>
      </w:pPr>
      <w:r>
        <w:rPr/>
      </w:r>
    </w:p>
    <w:p>
      <w:pPr>
        <w:pStyle w:val="TextBody"/>
        <w:bidi w:val="0"/>
        <w:spacing w:lineRule="auto" w:line="240" w:before="208" w:after="283"/>
        <w:ind w:left="0" w:right="0" w:hanging="358"/>
        <w:jc w:val="left"/>
        <w:rPr>
          <w:rFonts w:ascii="Arial;sans-serif" w:hAnsi="Arial;sans-serif"/>
          <w:b w:val="false"/>
          <w:color w:val="000000"/>
          <w:sz w:val="21"/>
        </w:rPr>
      </w:pPr>
      <w:r>
        <w:rPr>
          <w:rFonts w:ascii="Arial;sans-serif" w:hAnsi="Arial;sans-serif"/>
          <w:b w:val="false"/>
          <w:color w:val="000000"/>
          <w:sz w:val="21"/>
        </w:rPr>
        <w:t>5.Core Return</w:t>
      </w:r>
    </w:p>
    <w:p>
      <w:pPr>
        <w:pStyle w:val="TextBody"/>
        <w:bidi w:val="0"/>
        <w:spacing w:before="10" w:after="283"/>
        <w:jc w:val="left"/>
        <w:rPr/>
      </w:pPr>
      <w:r>
        <w:rPr/>
      </w:r>
    </w:p>
    <w:p>
      <w:pPr>
        <w:pStyle w:val="TextBody"/>
        <w:bidi w:val="0"/>
        <w:spacing w:lineRule="auto" w:line="240" w:before="93" w:after="283"/>
        <w:jc w:val="left"/>
        <w:rPr>
          <w:rFonts w:ascii="Arial;sans-serif" w:hAnsi="Arial;sans-serif"/>
          <w:b w:val="false"/>
          <w:color w:val="000000"/>
          <w:sz w:val="21"/>
        </w:rPr>
      </w:pPr>
      <w:r>
        <w:rPr>
          <w:rFonts w:ascii="Arial;sans-serif" w:hAnsi="Arial;sans-serif"/>
          <w:b w:val="false"/>
          <w:color w:val="000000"/>
          <w:sz w:val="21"/>
        </w:rPr>
        <w:t>Core return for Amazon Aircraft is 12 (twelve) calendar days and for all others return is 10 (ten) calendar days.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1"/>
        </w:rPr>
      </w:pPr>
      <w:r>
        <w:rPr>
          <w:rFonts w:ascii="Arial;sans-serif" w:hAnsi="Arial;sans-serif"/>
          <w:b w:val="false"/>
          <w:color w:val="000000"/>
          <w:sz w:val="21"/>
        </w:rPr>
        <w:t>Cores (i.e., removed Components) that are considered late by 30 (Thirty) days will be considered lost and Sun Country agrees to pay the Delta invoice per section 8 below.</w:t>
      </w:r>
    </w:p>
    <w:p>
      <w:pPr>
        <w:pStyle w:val="TextBody"/>
        <w:bidi w:val="0"/>
        <w:spacing w:before="11" w:after="283"/>
        <w:jc w:val="left"/>
        <w:rPr/>
      </w:pPr>
      <w:r>
        <w:rPr/>
      </w:r>
    </w:p>
    <w:p>
      <w:pPr>
        <w:pStyle w:val="TextBody"/>
        <w:bidi w:val="0"/>
        <w:spacing w:lineRule="auto" w:line="240" w:before="0" w:after="0"/>
        <w:ind w:left="0" w:right="0" w:firstLine="480"/>
        <w:jc w:val="left"/>
        <w:rPr>
          <w:rFonts w:ascii="Arial;sans-serif" w:hAnsi="Arial;sans-serif"/>
          <w:b w:val="false"/>
          <w:color w:val="000000"/>
          <w:sz w:val="21"/>
        </w:rPr>
      </w:pPr>
      <w:r>
        <w:rPr>
          <w:rFonts w:ascii="Arial;sans-serif" w:hAnsi="Arial;sans-serif"/>
          <w:b w:val="false"/>
          <w:color w:val="000000"/>
          <w:sz w:val="21"/>
        </w:rPr>
        <w:t>[***]</w:t>
      </w:r>
    </w:p>
    <w:p>
      <w:pPr>
        <w:pStyle w:val="TextBody"/>
        <w:bidi w:val="0"/>
        <w:spacing w:before="0" w:after="0"/>
        <w:jc w:val="left"/>
        <w:rPr/>
      </w:pPr>
      <w:r>
        <w:rPr/>
      </w:r>
    </w:p>
    <w:p>
      <w:pPr>
        <w:pStyle w:val="TextBody"/>
        <w:bidi w:val="0"/>
        <w:spacing w:lineRule="auto" w:line="240" w:before="1" w:after="283"/>
        <w:ind w:left="0" w:right="0" w:hanging="359"/>
        <w:jc w:val="left"/>
        <w:rPr>
          <w:rFonts w:ascii="Arial;sans-serif" w:hAnsi="Arial;sans-serif"/>
          <w:b w:val="false"/>
          <w:color w:val="000000"/>
          <w:sz w:val="21"/>
        </w:rPr>
      </w:pPr>
      <w:r>
        <w:rPr>
          <w:rFonts w:ascii="Arial;sans-serif" w:hAnsi="Arial;sans-serif"/>
          <w:b w:val="false"/>
          <w:color w:val="000000"/>
          <w:sz w:val="21"/>
        </w:rPr>
        <w:t>6.No Fault Found (NFF) Components</w:t>
      </w:r>
    </w:p>
    <w:p>
      <w:pPr>
        <w:pStyle w:val="TextBody"/>
        <w:bidi w:val="0"/>
        <w:spacing w:before="10" w:after="283"/>
        <w:jc w:val="left"/>
        <w:rPr/>
      </w:pPr>
      <w:r>
        <w:rPr/>
      </w:r>
    </w:p>
    <w:p>
      <w:pPr>
        <w:pStyle w:val="TextBody"/>
        <w:bidi w:val="0"/>
        <w:spacing w:lineRule="auto" w:line="240" w:before="93" w:after="283"/>
        <w:jc w:val="left"/>
        <w:rPr>
          <w:rFonts w:ascii="Arial;sans-serif" w:hAnsi="Arial;sans-serif"/>
          <w:b w:val="false"/>
          <w:color w:val="000000"/>
          <w:sz w:val="21"/>
        </w:rPr>
      </w:pPr>
      <w:r>
        <w:rPr>
          <w:rFonts w:ascii="Arial;sans-serif" w:hAnsi="Arial;sans-serif"/>
          <w:b w:val="false"/>
          <w:color w:val="000000"/>
          <w:sz w:val="21"/>
        </w:rPr>
        <w:t xml:space="preserve">For all Components returned to Delta for Service under the PBTH Rate, if Delta cannot confirm failure for such Component after inspection or testing, or such inspection or testing shows the Component to be in serviceable condition (“NFF”), then Delta will notify and provide inspection and testing results to Sun Country Airlines. For NFF components over [***] of the total removals, Sun Country Airlines will pay Delta, [***] for testing and recertification of NFF Component(s). The preceding notwithstanding, Sun Country Airlines will not be charged an NFF fee if the removal of the Component was based on a troubleshooting recommendation by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82955"/>
                <wp:effectExtent l="0" t="0" r="0" b="0"/>
                <wp:wrapNone/>
                <wp:docPr id="61" name="Frame6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93" w:after="283"/>
        <w:jc w:val="left"/>
        <w:rPr>
          <w:rFonts w:ascii="Arial;sans-serif" w:hAnsi="Arial;sans-serif"/>
          <w:b w:val="false"/>
          <w:color w:val="000000"/>
          <w:sz w:val="21"/>
        </w:rPr>
      </w:pPr>
      <w:r>
        <w:rPr>
          <w:rFonts w:ascii="Arial;sans-serif" w:hAnsi="Arial;sans-serif"/>
          <w:b w:val="false"/>
          <w:color w:val="000000"/>
          <w:sz w:val="21"/>
        </w:rPr>
        <w:t>Delta that such Component be removed with a confirmed failure within 100 (one hundred) Flight Hours of installation for the same reason as identified on the prior removal. In this case, Delta will repair such component and will either issue Sun Country Airlines a credit against unpaid Delta invoice issued for NFF charge or credit to Sun Country Airlines the amount paid by Sun Country Airlines for the NFF charge.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58"/>
        <w:jc w:val="left"/>
        <w:rPr/>
      </w:pPr>
      <w:r>
        <w:rPr>
          <w:rFonts w:ascii="Arial;sans-serif" w:hAnsi="Arial;sans-serif"/>
          <w:b w:val="false"/>
          <w:color w:val="000000"/>
          <w:sz w:val="21"/>
        </w:rPr>
        <w:t>7.</w:t>
      </w:r>
      <w:r>
        <w:rPr>
          <w:color w:val="000000"/>
        </w:rPr>
        <w:t>“</w:t>
      </w:r>
      <w:r>
        <w:rPr>
          <w:rFonts w:ascii="Arial;sans-serif" w:hAnsi="Arial;sans-serif"/>
          <w:b w:val="false"/>
          <w:color w:val="000000"/>
          <w:sz w:val="21"/>
        </w:rPr>
        <w:t>Time and Material” or “T&amp;M” Rates</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1" w:after="283"/>
        <w:jc w:val="left"/>
        <w:rPr>
          <w:rFonts w:ascii="Arial;sans-serif" w:hAnsi="Arial;sans-serif"/>
          <w:b w:val="false"/>
          <w:color w:val="000000"/>
          <w:sz w:val="21"/>
        </w:rPr>
      </w:pPr>
      <w:r>
        <w:rPr>
          <w:rFonts w:ascii="Arial;sans-serif" w:hAnsi="Arial;sans-serif"/>
          <w:b w:val="false"/>
          <w:color w:val="000000"/>
          <w:sz w:val="21"/>
        </w:rPr>
        <w:t>All other time and material charges will be at Delta's then-current rates</w:t>
      </w:r>
    </w:p>
    <w:p>
      <w:pPr>
        <w:pStyle w:val="TextBody"/>
        <w:bidi w:val="0"/>
        <w:spacing w:before="11" w:after="283"/>
        <w:jc w:val="left"/>
        <w:rPr/>
      </w:pPr>
      <w:r>
        <w:rPr/>
      </w:r>
    </w:p>
    <w:p>
      <w:pPr>
        <w:pStyle w:val="TextBody"/>
        <w:bidi w:val="0"/>
        <w:spacing w:lineRule="auto" w:line="288" w:before="0" w:after="0"/>
        <w:ind w:left="0" w:right="0" w:hanging="359"/>
        <w:jc w:val="left"/>
        <w:rPr>
          <w:rFonts w:ascii="Arial;sans-serif" w:hAnsi="Arial;sans-serif"/>
          <w:b w:val="false"/>
          <w:color w:val="000000"/>
          <w:sz w:val="21"/>
        </w:rPr>
      </w:pPr>
      <w:r>
        <w:rPr>
          <w:rFonts w:ascii="Arial;sans-serif" w:hAnsi="Arial;sans-serif"/>
          <w:b w:val="false"/>
          <w:color w:val="000000"/>
          <w:sz w:val="21"/>
        </w:rPr>
        <w:t>8.For every day beyond the agreed core return time referenced in Section 5 of Attachment 2 that Sun Country retains a core (i.e., removed Component) or fails to provide the required data for such core, Delta will charge Sun Country a daily fee representing a percentage of the manufacturer's current list price, computed cumulatively as follows: [***]. After day 30 the core will be considered lost and Sun Country will be invoiced for all accumulated late charges and FMV as mutually agreed. In instances where an agreed upon FMV cannot be reached, the average of Three (3) quotes for like units in the open market will be the FMV.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82955"/>
                <wp:effectExtent l="0" t="0" r="0" b="0"/>
                <wp:wrapNone/>
                <wp:docPr id="62" name="Frame6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val="false"/>
          <w:color w:val="000000"/>
          <w:sz w:val="21"/>
          <w:u w:val="single"/>
        </w:rPr>
      </w:pPr>
      <w:r>
        <w:rPr>
          <w:rFonts w:ascii="Arial;sans-serif" w:hAnsi="Arial;sans-serif"/>
          <w:b w:val="false"/>
          <w:color w:val="000000"/>
          <w:sz w:val="21"/>
          <w:u w:val="single"/>
        </w:rPr>
        <w:t>Attachment 3 to Amendment</w:t>
      </w:r>
    </w:p>
    <w:p>
      <w:pPr>
        <w:pStyle w:val="TextBody"/>
        <w:bidi w:val="0"/>
        <w:spacing w:before="9" w:after="283"/>
        <w:jc w:val="left"/>
        <w:rPr/>
      </w:pPr>
      <w:r>
        <w:rPr/>
      </w:r>
    </w:p>
    <w:p>
      <w:pPr>
        <w:pStyle w:val="TextBody"/>
        <w:bidi w:val="0"/>
        <w:spacing w:lineRule="auto" w:line="240" w:before="94" w:after="283"/>
        <w:jc w:val="center"/>
        <w:rPr>
          <w:rFonts w:ascii="Arial;sans-serif" w:hAnsi="Arial;sans-serif"/>
          <w:b w:val="false"/>
          <w:color w:val="000000"/>
          <w:sz w:val="21"/>
          <w:u w:val="single"/>
        </w:rPr>
      </w:pPr>
      <w:r>
        <w:rPr>
          <w:rFonts w:ascii="Arial;sans-serif" w:hAnsi="Arial;sans-serif"/>
          <w:b w:val="false"/>
          <w:color w:val="000000"/>
          <w:sz w:val="21"/>
          <w:u w:val="single"/>
        </w:rPr>
        <w:t>Annex A3</w:t>
      </w:r>
    </w:p>
    <w:p>
      <w:pPr>
        <w:pStyle w:val="TextBody"/>
        <w:bidi w:val="0"/>
        <w:spacing w:before="11" w:after="283"/>
        <w:jc w:val="left"/>
        <w:rPr/>
      </w:pPr>
      <w:r>
        <w:rPr/>
      </w:r>
    </w:p>
    <w:p>
      <w:pPr>
        <w:pStyle w:val="TextBody"/>
        <w:bidi w:val="0"/>
        <w:spacing w:lineRule="auto" w:line="240" w:before="93" w:after="283"/>
        <w:jc w:val="center"/>
        <w:rPr>
          <w:rFonts w:ascii="Arial;sans-serif" w:hAnsi="Arial;sans-serif"/>
          <w:b w:val="false"/>
          <w:color w:val="000000"/>
          <w:sz w:val="21"/>
          <w:u w:val="single"/>
        </w:rPr>
      </w:pPr>
      <w:r>
        <w:rPr>
          <w:rFonts w:ascii="Arial;sans-serif" w:hAnsi="Arial;sans-serif"/>
          <w:b w:val="false"/>
          <w:color w:val="000000"/>
          <w:sz w:val="21"/>
          <w:u w:val="single"/>
        </w:rPr>
        <w:t>Escalation</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82955"/>
                <wp:effectExtent l="0" t="0" r="0" b="0"/>
                <wp:wrapNone/>
                <wp:docPr id="63" name="Frame6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92" w:after="283"/>
        <w:jc w:val="center"/>
        <w:rPr>
          <w:rFonts w:ascii="Arial;sans-serif" w:hAnsi="Arial;sans-serif"/>
          <w:b w:val="false"/>
          <w:color w:val="000000"/>
          <w:sz w:val="21"/>
          <w:u w:val="single"/>
        </w:rPr>
      </w:pPr>
      <w:r>
        <w:rPr>
          <w:rFonts w:ascii="Arial;sans-serif" w:hAnsi="Arial;sans-serif"/>
          <w:b w:val="false"/>
          <w:color w:val="000000"/>
          <w:sz w:val="21"/>
          <w:u w:val="single"/>
        </w:rPr>
        <w:t>Attachment 4 to Amendment</w:t>
      </w:r>
    </w:p>
    <w:p>
      <w:pPr>
        <w:pStyle w:val="TextBody"/>
        <w:bidi w:val="0"/>
        <w:spacing w:before="1" w:after="283"/>
        <w:jc w:val="left"/>
        <w:rPr/>
      </w:pPr>
      <w:r>
        <w:rPr/>
      </w:r>
    </w:p>
    <w:p>
      <w:pPr>
        <w:pStyle w:val="TextBody"/>
        <w:bidi w:val="0"/>
        <w:spacing w:lineRule="auto" w:line="240" w:before="92" w:after="283"/>
        <w:jc w:val="center"/>
        <w:rPr>
          <w:rFonts w:ascii="Arial;sans-serif" w:hAnsi="Arial;sans-serif"/>
          <w:b w:val="false"/>
          <w:color w:val="000000"/>
          <w:sz w:val="21"/>
          <w:u w:val="single"/>
        </w:rPr>
      </w:pPr>
      <w:r>
        <w:rPr>
          <w:rFonts w:ascii="Arial;sans-serif" w:hAnsi="Arial;sans-serif"/>
          <w:b w:val="false"/>
          <w:color w:val="000000"/>
          <w:sz w:val="21"/>
          <w:u w:val="single"/>
        </w:rPr>
        <w:t>Annex A4</w:t>
      </w:r>
    </w:p>
    <w:p>
      <w:pPr>
        <w:pStyle w:val="TextBody"/>
        <w:bidi w:val="0"/>
        <w:spacing w:before="0" w:after="0"/>
        <w:jc w:val="left"/>
        <w:rPr/>
      </w:pPr>
      <w:r>
        <w:rPr/>
      </w:r>
    </w:p>
    <w:p>
      <w:pPr>
        <w:pStyle w:val="TextBody"/>
        <w:bidi w:val="0"/>
        <w:spacing w:lineRule="auto" w:line="240" w:before="92" w:after="283"/>
        <w:jc w:val="center"/>
        <w:rPr>
          <w:rFonts w:ascii="Arial;sans-serif" w:hAnsi="Arial;sans-serif"/>
          <w:b w:val="false"/>
          <w:color w:val="000000"/>
          <w:sz w:val="21"/>
          <w:u w:val="single"/>
        </w:rPr>
      </w:pPr>
      <w:r>
        <w:rPr>
          <w:rFonts w:ascii="Arial;sans-serif" w:hAnsi="Arial;sans-serif"/>
          <w:b w:val="false"/>
          <w:color w:val="000000"/>
          <w:sz w:val="21"/>
          <w:u w:val="single"/>
        </w:rPr>
        <w:t>Parts List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82955"/>
                <wp:effectExtent l="0" t="0" r="0" b="0"/>
                <wp:wrapNone/>
                <wp:docPr id="64" name="Frame6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3"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Jude Bricker,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nine month period ended September 30, 2023;</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3689" w:type="dxa"/>
        <w:jc w:val="left"/>
        <w:tblInd w:w="0" w:type="dxa"/>
        <w:tblLayout w:type="fixed"/>
        <w:tblCellMar>
          <w:top w:w="28" w:type="dxa"/>
          <w:left w:w="28" w:type="dxa"/>
          <w:bottom w:w="28" w:type="dxa"/>
          <w:right w:w="28" w:type="dxa"/>
        </w:tblCellMar>
      </w:tblPr>
      <w:tblGrid>
        <w:gridCol w:w="587"/>
        <w:gridCol w:w="516"/>
        <w:gridCol w:w="517"/>
        <w:gridCol w:w="606"/>
        <w:gridCol w:w="606"/>
        <w:gridCol w:w="857"/>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Dave Davis,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nine month period ended September 30, 2023;</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4770" w:type="dxa"/>
        <w:jc w:val="left"/>
        <w:tblInd w:w="0" w:type="dxa"/>
        <w:tblLayout w:type="fixed"/>
        <w:tblCellMar>
          <w:top w:w="28" w:type="dxa"/>
          <w:left w:w="28" w:type="dxa"/>
          <w:bottom w:w="28" w:type="dxa"/>
          <w:right w:w="28" w:type="dxa"/>
        </w:tblCellMar>
      </w:tblPr>
      <w:tblGrid>
        <w:gridCol w:w="587"/>
        <w:gridCol w:w="516"/>
        <w:gridCol w:w="517"/>
        <w:gridCol w:w="921"/>
        <w:gridCol w:w="921"/>
        <w:gridCol w:w="130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September 30, 2023 (the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undersigned, the Chief Executive Officer and the President and Chief Financial Officer, respectively, of Sun Country, hereby certifies that, as of the end of the period covered by the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1.such Report fully complies with the requirements of Section 13(a)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Sun Country.</w:t>
      </w:r>
    </w:p>
    <w:tbl>
      <w:tblPr>
        <w:tblW w:w="3491" w:type="dxa"/>
        <w:jc w:val="left"/>
        <w:tblInd w:w="0" w:type="dxa"/>
        <w:tblLayout w:type="fixed"/>
        <w:tblCellMar>
          <w:top w:w="28" w:type="dxa"/>
          <w:left w:w="28" w:type="dxa"/>
          <w:bottom w:w="28" w:type="dxa"/>
          <w:right w:w="28" w:type="dxa"/>
        </w:tblCellMar>
      </w:tblPr>
      <w:tblGrid>
        <w:gridCol w:w="124"/>
        <w:gridCol w:w="109"/>
        <w:gridCol w:w="109"/>
        <w:gridCol w:w="922"/>
        <w:gridCol w:w="922"/>
        <w:gridCol w:w="1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27050</Words>
  <Characters>150413</Characters>
  <CharactersWithSpaces>175138</CharactersWithSpaces>
  <Paragraphs>4569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