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21, 2023</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Sun Country Airlines Holdings,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3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2"/>
            <w:vMerge w:val="continue"/>
          </w:tcPr>
          <w:p>
            <w:pPr>
              <w:spacing w:after="0"/>
              <w:rPr>
                <w:sz w:val="17"/>
                <w:szCs w:val="17"/>
                <w:color w:val="auto"/>
              </w:rPr>
            </w:pPr>
          </w:p>
        </w:tc>
        <w:tc>
          <w:tcPr>
            <w:tcW w:w="4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c>
          <w:tcPr>
            <w:tcW w:w="0" w:type="dxa"/>
            <w:vAlign w:val="bottom"/>
          </w:tcPr>
          <w:p>
            <w:pPr>
              <w:spacing w:after="0"/>
              <w:rPr>
                <w:sz w:val="1"/>
                <w:szCs w:val="1"/>
                <w:color w:val="auto"/>
              </w:rPr>
            </w:pPr>
          </w:p>
        </w:tc>
      </w:tr>
      <w:tr>
        <w:trPr>
          <w:trHeight w:val="23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4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SNCY</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Credit Facility</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March 21, 2023, Sun Country Airlines Holdings, Inc. (“Holdings,” the “Company,” “we,” “us” or “our”) entered into a $119,200,000 Term Loan Facility Agreement among the Sun Country Holdings, Sun Country, Inc. (D/B/A Sun Country Airlines) (“Sun Country”), the lenders party thereto and UMB Bank, National Association, as facility agent, security trustee and account bank (The “Term Loan Facility”). The proceeds of the Term Loan Facility will be used to acquire five Boeing 737-900ER aircraft from an unaffiliated third-party (the “Aircraft”). The Aircraft are currently on lease to an unaffiliated airline and will remain on lease with them until the leases expire on November 30, 2024, May 31, 2025, November 30, 2025, March 31, 2025 and May 31, 2025 at which time they will join the Sun Country fleet.</w:t>
      </w:r>
    </w:p>
    <w:p>
      <w:pPr>
        <w:spacing w:after="0" w:line="1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obligations of Sun Country and Holdings under the Term Loan Facility are primarily secured by the Aircraft and, so long as the Aircraft are on lease, the associated leases, including maintenance reserve amounts and security deposits (the “Term Loan Collateral”).</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loans under the Term Loan Facility (the “Term Loans”) bear interest at a rate per annum equal to the term secured overnight funding rate (“SOFR”) (subject to a floor of 0.00%), plus the credit spread adjustment of 0.10% per annum, plus applicable margin of 3.75% per annum during the period the aircraft are on lease and 3.25% per annum during the period the Aircraft are not on lease, or such higher rate as may be applicable due to a market disruption event or amounts being past due and unpaid.</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Term Loan Facility will be subject to amortization payments, payable monthly, commencing on or about April 23, 2023. The remaining balance of the Term Loans will be due and payable in a single payment on the maturity date of March 21, 2030.</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Term Loan Facility also contains mandatory prepayment provisions, which, among other things, may require Holdings in certain instances to prepay obligations in connection with dispositions of Term Loan Collateral. Sun Country may prepay the facility at its option at any time without penalty or premium but subject to any breakage costs.</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Term Loan Facility contains customary affirmative and negative covenants that restrict the Company’s ability to, among other things, dispose of Term Loan Collateral. The Term Loan Facility does not limit the amount of unsecured debt that we or our subsidiaries may incur or the amount of debt secured by assets other than the Term Loan Collateral that we may incur.</w:t>
      </w:r>
    </w:p>
    <w:p>
      <w:pPr>
        <w:spacing w:after="0" w:line="18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Term Loan Facility contains events of default customary for similar financings. Upon the occurrence and continuation of an event of default (other than an event of default relating to certain bankruptcy or insolvency events), the outstanding obligations under the Term Loan Facility may be accelerated and become due and payable immediately. Upon the occurrence of an event of default relating to certain bankruptcy or insolvency events, the outstanding obligations under the Term Loan Facility automatically accelerate and become due and payable immediately.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foregoing description of the Term Loan Facility is a summary only and is qualified in their entirety by reference to the full text of such document.</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is incorporated by reference in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March 27, 2023</w:t>
      </w:r>
      <w:r>
        <w:rPr>
          <w:sz w:val="20"/>
          <w:szCs w:val="20"/>
          <w:color w:val="auto"/>
        </w:rPr>
        <w:tab/>
      </w:r>
      <w:r>
        <w:rPr>
          <w:rFonts w:ascii="Arial" w:cs="Arial" w:eastAsia="Arial" w:hAnsi="Arial"/>
          <w:sz w:val="16"/>
          <w:szCs w:val="16"/>
          <w:b w:val="1"/>
          <w:bCs w:val="1"/>
          <w:color w:val="auto"/>
        </w:rPr>
        <w:t>Sun Country Airlines Holdings,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Erin Rose Neale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Erin Rose Neale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80"/>
      </w:cols>
      <w:pgMar w:left="320" w:top="121"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2023-03-27T15:59:26Z</dcterms:created>
  <dcterms:modified xsi:type="dcterms:W3CDTF">2023-03-27T15:59:26Z</dcterms:modified>
</cp:coreProperties>
</file>