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0001850697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Trousdale William</w:t>
      </w:r>
    </w:p>
    <w:p>
      <w:pPr>
        <w:spacing w:after="0" w:line="44" w:lineRule="exact"/>
        <w:rPr>
          <w:sz w:val="24"/>
          <w:szCs w:val="24"/>
          <w:color w:val="auto"/>
        </w:rPr>
      </w:pPr>
    </w:p>
    <w:p>
      <w:pPr>
        <w:sectPr>
          <w:pgSz w:w="11900" w:h="16838"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2414</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46059.12</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06/05/2023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700"/>
        <w:spacing w:after="0"/>
        <w:tabs>
          <w:tab w:leader="none" w:pos="594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06/05/2023</w:t>
            </w:r>
          </w:p>
        </w:tc>
        <w:tc>
          <w:tcPr>
            <w:tcW w:w="1620" w:type="dxa"/>
            <w:vAlign w:val="bottom"/>
          </w:tcPr>
          <w:p>
            <w:pPr>
              <w:ind w:left="40"/>
              <w:spacing w:after="0"/>
              <w:rPr>
                <w:sz w:val="20"/>
                <w:szCs w:val="20"/>
                <w:color w:val="auto"/>
              </w:rPr>
            </w:pPr>
            <w:r>
              <w:rPr>
                <w:rFonts w:ascii="Arial" w:cs="Arial" w:eastAsia="Arial" w:hAnsi="Arial"/>
                <w:sz w:val="22"/>
                <w:szCs w:val="22"/>
                <w:color w:val="auto"/>
                <w:w w:val="95"/>
              </w:rPr>
              <w:t>Option Granted -</w:t>
            </w:r>
          </w:p>
        </w:tc>
        <w:tc>
          <w:tcPr>
            <w:tcW w:w="1860" w:type="dxa"/>
            <w:vAlign w:val="bottom"/>
            <w:vMerge w:val="restart"/>
          </w:tcPr>
          <w:p>
            <w:pPr>
              <w:ind w:left="12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2414</w:t>
            </w:r>
          </w:p>
        </w:tc>
        <w:tc>
          <w:tcPr>
            <w:tcW w:w="1900" w:type="dxa"/>
            <w:vAlign w:val="bottom"/>
            <w:vMerge w:val="restart"/>
          </w:tcPr>
          <w:p>
            <w:pPr>
              <w:ind w:left="440"/>
              <w:spacing w:after="0"/>
              <w:rPr>
                <w:sz w:val="20"/>
                <w:szCs w:val="20"/>
                <w:color w:val="auto"/>
              </w:rPr>
            </w:pPr>
            <w:r>
              <w:rPr>
                <w:rFonts w:ascii="Arial" w:cs="Arial" w:eastAsia="Arial" w:hAnsi="Arial"/>
                <w:sz w:val="22"/>
                <w:szCs w:val="22"/>
                <w:color w:val="auto"/>
                <w:w w:val="85"/>
              </w:rPr>
              <w:t>06/05/2023 Cash</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620" w:type="dxa"/>
            <w:vAlign w:val="bottom"/>
          </w:tcPr>
          <w:p>
            <w:pPr>
              <w:ind w:left="40"/>
              <w:spacing w:after="0"/>
              <w:rPr>
                <w:sz w:val="20"/>
                <w:szCs w:val="20"/>
                <w:color w:val="auto"/>
              </w:rPr>
            </w:pPr>
            <w:r>
              <w:rPr>
                <w:rFonts w:ascii="Arial" w:cs="Arial" w:eastAsia="Arial" w:hAnsi="Arial"/>
                <w:sz w:val="22"/>
                <w:szCs w:val="22"/>
                <w:color w:val="auto"/>
              </w:rPr>
              <w:t>11/07/2018</w:t>
            </w:r>
          </w:p>
        </w:tc>
        <w:tc>
          <w:tcPr>
            <w:tcW w:w="186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1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04/03/2023 465</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9078.44</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05/12/2023 976</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17544.77</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05/15/2023 2500</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45584.50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05/22/2023 2500</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44193.00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05/30/2023 2500</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45824.75</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06/05/2023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02/10/2023</w:t>
      </w:r>
    </w:p>
    <w:p>
      <w:pPr>
        <w:spacing w:after="0" w:line="652" w:lineRule="exact"/>
        <w:rPr>
          <w:sz w:val="20"/>
          <w:szCs w:val="20"/>
          <w:color w:val="auto"/>
        </w:rPr>
      </w:pPr>
    </w:p>
    <w:p>
      <w:pPr>
        <w:sectPr>
          <w:pgSz w:w="11900" w:h="16838" w:orient="portrait"/>
          <w:cols w:equalWidth="0" w:num="2">
            <w:col w:w="4160" w:space="120"/>
            <w:col w:w="696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180" w:type="dxa"/>
            <w:vAlign w:val="bottom"/>
          </w:tcPr>
          <w:p>
            <w:pPr>
              <w:ind w:left="1700"/>
              <w:spacing w:after="0" w:line="246" w:lineRule="exact"/>
              <w:rPr>
                <w:sz w:val="20"/>
                <w:szCs w:val="20"/>
                <w:color w:val="auto"/>
              </w:rPr>
            </w:pPr>
            <w:r>
              <w:rPr>
                <w:rFonts w:ascii="Arial" w:cs="Arial" w:eastAsia="Arial" w:hAnsi="Arial"/>
                <w:sz w:val="22"/>
                <w:szCs w:val="22"/>
                <w:color w:val="auto"/>
                <w:w w:val="88"/>
              </w:rPr>
              <w:t>/s/ Gary Redman, as a duly authorized representative of Fidelity Brokerage</w:t>
            </w:r>
          </w:p>
        </w:tc>
        <w:tc>
          <w:tcPr>
            <w:tcW w:w="0" w:type="dxa"/>
            <w:vAlign w:val="bottom"/>
          </w:tcPr>
          <w:p>
            <w:pPr>
              <w:spacing w:after="0"/>
              <w:rPr>
                <w:sz w:val="1"/>
                <w:szCs w:val="1"/>
                <w:color w:val="auto"/>
              </w:rPr>
            </w:pPr>
          </w:p>
        </w:tc>
      </w:tr>
      <w:tr>
        <w:trPr>
          <w:trHeight w:val="153"/>
        </w:trPr>
        <w:tc>
          <w:tcPr>
            <w:tcW w:w="2540" w:type="dxa"/>
            <w:vAlign w:val="bottom"/>
            <w:vMerge w:val="continue"/>
          </w:tcPr>
          <w:p>
            <w:pPr>
              <w:spacing w:after="0"/>
              <w:rPr>
                <w:sz w:val="13"/>
                <w:szCs w:val="13"/>
                <w:color w:val="auto"/>
              </w:rPr>
            </w:pPr>
          </w:p>
        </w:tc>
        <w:tc>
          <w:tcPr>
            <w:tcW w:w="8180" w:type="dxa"/>
            <w:vAlign w:val="bottom"/>
            <w:vMerge w:val="restart"/>
          </w:tcPr>
          <w:p>
            <w:pPr>
              <w:ind w:left="1700"/>
              <w:spacing w:after="0"/>
              <w:rPr>
                <w:sz w:val="20"/>
                <w:szCs w:val="20"/>
                <w:color w:val="auto"/>
              </w:rPr>
            </w:pPr>
            <w:r>
              <w:rPr>
                <w:rFonts w:ascii="Arial" w:cs="Arial" w:eastAsia="Arial" w:hAnsi="Arial"/>
                <w:sz w:val="22"/>
                <w:szCs w:val="22"/>
                <w:color w:val="auto"/>
              </w:rPr>
              <w:t>Services LLC, as attorney-in-fact for William Trousdale</w:t>
            </w: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8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111" w:right="339" w:bottom="1440" w:gutter="0" w:footer="0" w:header="0"/>
          <w:type w:val="continuous"/>
        </w:sect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2023-06-05T10:40:05Z</dcterms:created>
  <dcterms:modified xsi:type="dcterms:W3CDTF">2023-06-05T10:40:05Z</dcterms:modified>
</cp:coreProperties>
</file>