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s230343414_4-levenhagen.xml.htm"/>
      <w:bookmarkStart w:id="1" w:name="kses230343414_4levenhagen"/>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Levenhagen Eric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SUN COUNTRY AIRLINES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2005 CARGO ROAD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MINNEAPOLIS</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MN</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55450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Sun Country Airlines Holdings, Inc.</w:t>
              </w:r>
            </w:hyperlink>
            <w:r>
              <w:rPr/>
              <w:t xml:space="preserve"> [ </w:t>
            </w:r>
            <w:r>
              <w:rPr>
                <w:rFonts w:ascii="Times;serif" w:hAnsi="Times;serif"/>
                <w:color w:val="0000FF"/>
                <w:sz w:val="24"/>
                <w:highlight w:val="white"/>
              </w:rPr>
              <w:t>SNCY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Human Resources Officer</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03/24/2023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03/24/2023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82</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5.3</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14,872</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03/24/2023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82</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18.5</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14,790</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03/27/2023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15,039</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9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5.3</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29,829</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 par value $0.01 per share</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03/27/2023</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15,039</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18.68</w:t>
            </w:r>
            <w:r>
              <w:rPr>
                <w:rFonts w:ascii="Times;serif" w:hAnsi="Times;serif"/>
                <w:color w:val="008000"/>
                <w:position w:val="7"/>
                <w:sz w:val="16"/>
                <w:sz w:val="20"/>
                <w:highlight w:val="white"/>
              </w:rPr>
              <w:t>(2)</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14,790</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Employee 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5.3</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03/24/2023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82</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11/21/2028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82</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15,039</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Employee 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5.3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03/27/2023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15,039</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11/21/2028</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15,039</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in this Form 4 were effected pursuant to a Rule 10b5-1 trading plan.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$18.50 to $18.80,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Grant has a graded vesting schedule. Date Exercisable will vary for each vesting tranche.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Rose Neale, as attorney-in-fact for Eric Levenhagen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03/28/2023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0680" TargetMode="External"/><Relationship Id="rId4" Type="http://schemas.openxmlformats.org/officeDocument/2006/relationships/hyperlink" Target="http://www.sec.gov/cgi-bin/browse-edgar?action=getcompany&amp;CIK=000174390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726</Words>
  <CharactersWithSpaces>4473</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