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1, 2025</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67"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8"/>
          <w:szCs w:val="18"/>
          <w:color w:val="auto"/>
        </w:rPr>
        <w:t>(State of</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20"/>
          </w:cols>
          <w:pgMar w:left="320" w:top="1440" w:right="359" w:bottom="1440" w:gutter="0" w:footer="0" w:header="0"/>
          <w:type w:val="continuous"/>
        </w:sectPr>
      </w:pPr>
    </w:p>
    <w:p>
      <w:pPr>
        <w:spacing w:after="0" w:line="15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29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67"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440" w:right="359" w:bottom="1440" w:gutter="0" w:footer="0" w:header="0"/>
          <w:type w:val="continuous"/>
        </w:sectPr>
      </w:pP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May 1, 2025, Sun Country Airlines Holdings, Inc. issued a press release announcing its financial results for the fiscal quarter ended March 31, 2025. A copy of the press release is attached hereto as Exhibit 99.1 and incorporated by reference herein.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1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1, 2025</w:t>
            </w:r>
          </w:p>
        </w:tc>
      </w:tr>
      <w:tr>
        <w:trPr>
          <w:trHeight w:val="20"/>
        </w:trPr>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806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160" w:type="dxa"/>
            <w:vAlign w:val="bottom"/>
          </w:tcPr>
          <w:p>
            <w:pPr>
              <w:spacing w:after="0"/>
              <w:rPr>
                <w:sz w:val="24"/>
                <w:szCs w:val="24"/>
                <w:color w:val="auto"/>
              </w:rPr>
            </w:pPr>
          </w:p>
        </w:tc>
        <w:tc>
          <w:tcPr>
            <w:tcW w:w="806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 Country Airlines Reports First Quarter 2025 Results</w:t>
      </w:r>
    </w:p>
    <w:p>
      <w:pPr>
        <w:jc w:val="center"/>
        <w:spacing w:after="0" w:line="205" w:lineRule="auto"/>
        <w:rPr>
          <w:sz w:val="20"/>
          <w:szCs w:val="20"/>
          <w:color w:val="auto"/>
        </w:rPr>
      </w:pPr>
      <w:r>
        <w:rPr>
          <w:rFonts w:ascii="Arial" w:cs="Arial" w:eastAsia="Arial" w:hAnsi="Arial"/>
          <w:sz w:val="18"/>
          <w:szCs w:val="18"/>
          <w:color w:val="auto"/>
        </w:rPr>
        <w:t>Revenue of $327 million, highest quarter on record</w:t>
      </w:r>
      <w:r>
        <w:rPr>
          <w:rFonts w:ascii="Arial" w:cs="Arial" w:eastAsia="Arial" w:hAnsi="Arial"/>
          <w:sz w:val="23"/>
          <w:szCs w:val="23"/>
          <w:color w:val="auto"/>
          <w:vertAlign w:val="superscript"/>
        </w:rPr>
        <w:t>(1)</w:t>
      </w:r>
    </w:p>
    <w:p>
      <w:pPr>
        <w:jc w:val="center"/>
        <w:spacing w:after="0"/>
        <w:rPr>
          <w:sz w:val="20"/>
          <w:szCs w:val="20"/>
          <w:color w:val="auto"/>
        </w:rPr>
      </w:pPr>
      <w:r>
        <w:rPr>
          <w:rFonts w:ascii="Arial" w:cs="Arial" w:eastAsia="Arial" w:hAnsi="Arial"/>
          <w:sz w:val="18"/>
          <w:szCs w:val="18"/>
          <w:color w:val="auto"/>
        </w:rPr>
        <w:t>GAAP diluted EPS of $0.66, operating income of $56 million and margin of 17.2%</w:t>
      </w:r>
    </w:p>
    <w:p>
      <w:pPr>
        <w:jc w:val="center"/>
        <w:spacing w:after="0" w:line="227" w:lineRule="auto"/>
        <w:rPr>
          <w:sz w:val="20"/>
          <w:szCs w:val="20"/>
          <w:color w:val="auto"/>
        </w:rPr>
      </w:pPr>
      <w:r>
        <w:rPr>
          <w:rFonts w:ascii="Arial" w:cs="Arial" w:eastAsia="Arial" w:hAnsi="Arial"/>
          <w:sz w:val="18"/>
          <w:szCs w:val="18"/>
          <w:color w:val="auto"/>
        </w:rPr>
        <w:t>Adj. diluted EPS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$0.72, adj. operating income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$60 million, highest first quarter on record</w:t>
      </w:r>
      <w:r>
        <w:rPr>
          <w:rFonts w:ascii="Arial" w:cs="Arial" w:eastAsia="Arial" w:hAnsi="Arial"/>
          <w:sz w:val="23"/>
          <w:szCs w:val="23"/>
          <w:color w:val="auto"/>
          <w:vertAlign w:val="superscript"/>
        </w:rPr>
        <w:t>(1)</w:t>
      </w:r>
      <w:r>
        <w:rPr>
          <w:rFonts w:ascii="Arial" w:cs="Arial" w:eastAsia="Arial" w:hAnsi="Arial"/>
          <w:sz w:val="23"/>
          <w:szCs w:val="23"/>
          <w:color w:val="auto"/>
          <w:vertAlign w:val="subscript"/>
        </w:rPr>
        <w:t>,</w:t>
      </w:r>
      <w:r>
        <w:rPr>
          <w:rFonts w:ascii="Arial" w:cs="Arial" w:eastAsia="Arial" w:hAnsi="Arial"/>
          <w:sz w:val="18"/>
          <w:szCs w:val="18"/>
          <w:color w:val="auto"/>
        </w:rPr>
        <w:t xml:space="preserve"> and margin of 18.3% Approved a new $25 million share repurchase authority</w:t>
      </w:r>
    </w:p>
    <w:p>
      <w:pPr>
        <w:spacing w:after="0" w:line="19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MINNEAPOLIS. May 1, 2025. Sun Country Airlines Holdings, Inc. (“Sun Country Airlines,” “Sun Country,” the “Company”) (</w:t>
      </w:r>
      <w:r>
        <w:rPr>
          <w:rFonts w:ascii="Arial" w:cs="Arial" w:eastAsia="Arial" w:hAnsi="Arial"/>
          <w:sz w:val="18"/>
          <w:szCs w:val="18"/>
          <w:color w:val="0563C1"/>
        </w:rPr>
        <w:t>NASDAQ: SNCY</w:t>
      </w:r>
      <w:r>
        <w:rPr>
          <w:rFonts w:ascii="Arial" w:cs="Arial" w:eastAsia="Arial" w:hAnsi="Arial"/>
          <w:sz w:val="18"/>
          <w:szCs w:val="18"/>
          <w:color w:val="auto"/>
        </w:rPr>
        <w:t>) today reported financial results for its first quarter ended March 31, 2025.</w:t>
      </w:r>
    </w:p>
    <w:p>
      <w:pPr>
        <w:spacing w:after="0" w:line="164" w:lineRule="exact"/>
        <w:rPr>
          <w:sz w:val="20"/>
          <w:szCs w:val="20"/>
          <w:color w:val="auto"/>
        </w:rPr>
      </w:pPr>
    </w:p>
    <w:p>
      <w:pPr>
        <w:ind w:right="80"/>
        <w:spacing w:after="0" w:line="208" w:lineRule="auto"/>
        <w:rPr>
          <w:sz w:val="20"/>
          <w:szCs w:val="20"/>
          <w:color w:val="auto"/>
        </w:rPr>
      </w:pPr>
      <w:r>
        <w:rPr>
          <w:rFonts w:ascii="Arial" w:cs="Arial" w:eastAsia="Arial" w:hAnsi="Arial"/>
          <w:sz w:val="17"/>
          <w:szCs w:val="17"/>
          <w:color w:val="0A0A0A"/>
        </w:rPr>
        <w:t xml:space="preserve">“Sun Country is pleased to report our eleventh consecutive profitable quarter with GAAP EPS of </w:t>
      </w:r>
      <w:r>
        <w:rPr>
          <w:rFonts w:ascii="Arial" w:cs="Arial" w:eastAsia="Arial" w:hAnsi="Arial"/>
          <w:sz w:val="17"/>
          <w:szCs w:val="17"/>
          <w:color w:val="000000"/>
        </w:rPr>
        <w:t>$0.66</w:t>
      </w:r>
      <w:r>
        <w:rPr>
          <w:rFonts w:ascii="Arial" w:cs="Arial" w:eastAsia="Arial" w:hAnsi="Arial"/>
          <w:sz w:val="17"/>
          <w:szCs w:val="17"/>
          <w:color w:val="0A0A0A"/>
        </w:rPr>
        <w:t xml:space="preserve"> and adjusted diluted EPS of </w:t>
      </w:r>
      <w:r>
        <w:rPr>
          <w:rFonts w:ascii="Arial" w:cs="Arial" w:eastAsia="Arial" w:hAnsi="Arial"/>
          <w:sz w:val="17"/>
          <w:szCs w:val="17"/>
          <w:color w:val="000000"/>
        </w:rPr>
        <w:t>$0.72</w:t>
      </w:r>
      <w:r>
        <w:rPr>
          <w:rFonts w:ascii="Arial" w:cs="Arial" w:eastAsia="Arial" w:hAnsi="Arial"/>
          <w:sz w:val="22"/>
          <w:szCs w:val="22"/>
          <w:color w:val="0A0A0A"/>
          <w:vertAlign w:val="superscript"/>
        </w:rPr>
        <w:t>(2)</w:t>
      </w:r>
      <w:r>
        <w:rPr>
          <w:rFonts w:ascii="Arial" w:cs="Arial" w:eastAsia="Arial" w:hAnsi="Arial"/>
          <w:sz w:val="17"/>
          <w:szCs w:val="17"/>
          <w:color w:val="0A0A0A"/>
        </w:rPr>
        <w:t xml:space="preserve">,” said Jude Bricker, Chief Executive Officer of Sun Country. “Despite the challenging scheduled revenue environment, we delivered </w:t>
      </w:r>
      <w:r>
        <w:rPr>
          <w:rFonts w:ascii="Arial" w:cs="Arial" w:eastAsia="Arial" w:hAnsi="Arial"/>
          <w:sz w:val="17"/>
          <w:szCs w:val="17"/>
          <w:color w:val="000000"/>
        </w:rPr>
        <w:t>$327</w:t>
      </w:r>
      <w:r>
        <w:rPr>
          <w:rFonts w:ascii="Arial" w:cs="Arial" w:eastAsia="Arial" w:hAnsi="Arial"/>
          <w:sz w:val="17"/>
          <w:szCs w:val="17"/>
          <w:color w:val="0A0A0A"/>
        </w:rPr>
        <w:t xml:space="preserve"> million of total revenue, our highest quarterly total</w:t>
      </w:r>
      <w:r>
        <w:rPr>
          <w:rFonts w:ascii="Arial" w:cs="Arial" w:eastAsia="Arial" w:hAnsi="Arial"/>
          <w:sz w:val="22"/>
          <w:szCs w:val="22"/>
          <w:color w:val="0A0A0A"/>
          <w:vertAlign w:val="superscript"/>
        </w:rPr>
        <w:t>(1)</w:t>
      </w:r>
      <w:r>
        <w:rPr>
          <w:rFonts w:ascii="Arial" w:cs="Arial" w:eastAsia="Arial" w:hAnsi="Arial"/>
          <w:sz w:val="22"/>
          <w:szCs w:val="22"/>
          <w:color w:val="0A0A0A"/>
          <w:vertAlign w:val="subscript"/>
        </w:rPr>
        <w:t>,</w:t>
      </w:r>
      <w:r>
        <w:rPr>
          <w:rFonts w:ascii="Arial" w:cs="Arial" w:eastAsia="Arial" w:hAnsi="Arial"/>
          <w:sz w:val="17"/>
          <w:szCs w:val="17"/>
          <w:color w:val="0A0A0A"/>
        </w:rPr>
        <w:t xml:space="preserve"> along with </w:t>
      </w:r>
      <w:r>
        <w:rPr>
          <w:rFonts w:ascii="Arial" w:cs="Arial" w:eastAsia="Arial" w:hAnsi="Arial"/>
          <w:sz w:val="17"/>
          <w:szCs w:val="17"/>
          <w:color w:val="000000"/>
        </w:rPr>
        <w:t>$56</w:t>
      </w:r>
      <w:r>
        <w:rPr>
          <w:rFonts w:ascii="Arial" w:cs="Arial" w:eastAsia="Arial" w:hAnsi="Arial"/>
          <w:sz w:val="17"/>
          <w:szCs w:val="17"/>
          <w:color w:val="0A0A0A"/>
        </w:rPr>
        <w:t xml:space="preserve"> million of GAAP operating income and </w:t>
      </w:r>
      <w:r>
        <w:rPr>
          <w:rFonts w:ascii="Arial" w:cs="Arial" w:eastAsia="Arial" w:hAnsi="Arial"/>
          <w:sz w:val="17"/>
          <w:szCs w:val="17"/>
          <w:color w:val="000000"/>
        </w:rPr>
        <w:t>$60</w:t>
      </w:r>
      <w:r>
        <w:rPr>
          <w:rFonts w:ascii="Arial" w:cs="Arial" w:eastAsia="Arial" w:hAnsi="Arial"/>
          <w:sz w:val="17"/>
          <w:szCs w:val="17"/>
          <w:color w:val="0A0A0A"/>
        </w:rPr>
        <w:t xml:space="preserve"> million of adjusted operating income</w:t>
      </w:r>
      <w:r>
        <w:rPr>
          <w:rFonts w:ascii="Arial" w:cs="Arial" w:eastAsia="Arial" w:hAnsi="Arial"/>
          <w:sz w:val="22"/>
          <w:szCs w:val="22"/>
          <w:color w:val="0A0A0A"/>
          <w:vertAlign w:val="superscript"/>
        </w:rPr>
        <w:t>(2)</w:t>
      </w:r>
      <w:r>
        <w:rPr>
          <w:rFonts w:ascii="Arial" w:cs="Arial" w:eastAsia="Arial" w:hAnsi="Arial"/>
          <w:sz w:val="17"/>
          <w:szCs w:val="17"/>
          <w:color w:val="0A0A0A"/>
        </w:rPr>
        <w:t>, also a quarterly record</w:t>
      </w:r>
      <w:r>
        <w:rPr>
          <w:rFonts w:ascii="Arial" w:cs="Arial" w:eastAsia="Arial" w:hAnsi="Arial"/>
          <w:sz w:val="22"/>
          <w:szCs w:val="22"/>
          <w:color w:val="0A0A0A"/>
          <w:vertAlign w:val="superscript"/>
        </w:rPr>
        <w:t>(1)</w:t>
      </w:r>
      <w:r>
        <w:rPr>
          <w:rFonts w:ascii="Arial" w:cs="Arial" w:eastAsia="Arial" w:hAnsi="Arial"/>
          <w:sz w:val="17"/>
          <w:szCs w:val="17"/>
          <w:color w:val="0A0A0A"/>
        </w:rPr>
        <w:t>. Robust growth in our charter and cargo businesses helped offset lower than expected scheduled service</w:t>
      </w:r>
    </w:p>
    <w:p>
      <w:pPr>
        <w:spacing w:after="0" w:line="3" w:lineRule="exact"/>
        <w:rPr>
          <w:sz w:val="20"/>
          <w:szCs w:val="20"/>
          <w:color w:val="auto"/>
        </w:rPr>
      </w:pPr>
    </w:p>
    <w:p>
      <w:pPr>
        <w:ind w:right="160"/>
        <w:spacing w:after="0" w:line="199" w:lineRule="auto"/>
        <w:rPr>
          <w:sz w:val="20"/>
          <w:szCs w:val="20"/>
          <w:color w:val="auto"/>
        </w:rPr>
      </w:pPr>
      <w:r>
        <w:rPr>
          <w:rFonts w:ascii="Arial" w:cs="Arial" w:eastAsia="Arial" w:hAnsi="Arial"/>
          <w:sz w:val="18"/>
          <w:szCs w:val="18"/>
          <w:color w:val="0A0A0A"/>
        </w:rPr>
        <w:t xml:space="preserve">revenue, demonstrating the effectiveness of our diversified business model. As a result, we were able to produce a GAAP operating margin of </w:t>
      </w:r>
      <w:r>
        <w:rPr>
          <w:rFonts w:ascii="Arial" w:cs="Arial" w:eastAsia="Arial" w:hAnsi="Arial"/>
          <w:sz w:val="18"/>
          <w:szCs w:val="18"/>
          <w:color w:val="000000"/>
        </w:rPr>
        <w:t>17.2%</w:t>
      </w:r>
      <w:r>
        <w:rPr>
          <w:rFonts w:ascii="Arial" w:cs="Arial" w:eastAsia="Arial" w:hAnsi="Arial"/>
          <w:sz w:val="18"/>
          <w:szCs w:val="18"/>
          <w:color w:val="0A0A0A"/>
        </w:rPr>
        <w:t xml:space="preserve"> and adjusted operating margin</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of </w:t>
      </w:r>
      <w:r>
        <w:rPr>
          <w:rFonts w:ascii="Arial" w:cs="Arial" w:eastAsia="Arial" w:hAnsi="Arial"/>
          <w:sz w:val="18"/>
          <w:szCs w:val="18"/>
          <w:color w:val="000000"/>
        </w:rPr>
        <w:t>18.3%</w:t>
      </w:r>
      <w:r>
        <w:rPr>
          <w:rFonts w:ascii="Arial" w:cs="Arial" w:eastAsia="Arial" w:hAnsi="Arial"/>
          <w:sz w:val="18"/>
          <w:szCs w:val="18"/>
          <w:color w:val="0A0A0A"/>
        </w:rPr>
        <w:t xml:space="preserve"> which was higher than last year. In addition to our excellent performance, our board of</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0A0A0A"/>
        </w:rPr>
        <w:t>directors has approved a $25 million share repurchase authorization. As always, we want to thank our employees for their hard work and dedication during a challenging operating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First Quarter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00" w:type="dxa"/>
            <w:vAlign w:val="bottom"/>
            <w:gridSpan w:val="3"/>
          </w:tcPr>
          <w:p>
            <w:pPr>
              <w:jc w:val="right"/>
              <w:ind w:right="813"/>
              <w:spacing w:after="0"/>
              <w:rPr>
                <w:sz w:val="20"/>
                <w:szCs w:val="20"/>
                <w:color w:val="auto"/>
              </w:rPr>
            </w:pPr>
            <w:r>
              <w:rPr>
                <w:rFonts w:ascii="Arial" w:cs="Arial" w:eastAsia="Arial" w:hAnsi="Arial"/>
                <w:sz w:val="14"/>
                <w:szCs w:val="14"/>
                <w:b w:val="1"/>
                <w:bCs w:val="1"/>
                <w:color w:val="auto"/>
              </w:rPr>
              <w:t>Three Months Ended March 31,</w:t>
            </w:r>
          </w:p>
        </w:tc>
        <w:tc>
          <w:tcPr>
            <w:tcW w:w="1500" w:type="dxa"/>
            <w:vAlign w:val="bottom"/>
          </w:tcPr>
          <w:p>
            <w:pPr>
              <w:spacing w:after="0"/>
              <w:rPr>
                <w:sz w:val="17"/>
                <w:szCs w:val="17"/>
                <w:color w:val="auto"/>
              </w:rPr>
            </w:pPr>
          </w:p>
        </w:tc>
      </w:tr>
      <w:tr>
        <w:trPr>
          <w:trHeight w:val="203"/>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0A0A0A"/>
              </w:rPr>
              <w:t>2025</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0A0A0A"/>
              </w:rPr>
              <w:t>2024</w:t>
            </w: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326.6</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311.5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4.9</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56.2</w:t>
            </w:r>
          </w:p>
        </w:tc>
        <w:tc>
          <w:tcPr>
            <w:tcW w:w="440" w:type="dxa"/>
            <w:vAlign w:val="bottom"/>
          </w:tcPr>
          <w:p>
            <w:pPr>
              <w:spacing w:after="0"/>
              <w:rPr>
                <w:sz w:val="19"/>
                <w:szCs w:val="19"/>
                <w:color w:val="auto"/>
              </w:rPr>
            </w:pPr>
          </w:p>
        </w:tc>
        <w:tc>
          <w:tcPr>
            <w:tcW w:w="1540" w:type="dxa"/>
            <w:vAlign w:val="bottom"/>
          </w:tcPr>
          <w:p>
            <w:pPr>
              <w:jc w:val="right"/>
              <w:ind w:right="213"/>
              <w:spacing w:after="0"/>
              <w:rPr>
                <w:sz w:val="20"/>
                <w:szCs w:val="20"/>
                <w:color w:val="auto"/>
              </w:rPr>
            </w:pPr>
            <w:r>
              <w:rPr>
                <w:rFonts w:ascii="Arial" w:cs="Arial" w:eastAsia="Arial" w:hAnsi="Arial"/>
                <w:sz w:val="18"/>
                <w:szCs w:val="18"/>
                <w:color w:val="0A0A0A"/>
              </w:rPr>
              <w:t>55.2</w:t>
            </w:r>
          </w:p>
        </w:tc>
        <w:tc>
          <w:tcPr>
            <w:tcW w:w="1500" w:type="dxa"/>
            <w:vAlign w:val="bottom"/>
          </w:tcPr>
          <w:p>
            <w:pPr>
              <w:jc w:val="right"/>
              <w:spacing w:after="0"/>
              <w:rPr>
                <w:sz w:val="20"/>
                <w:szCs w:val="20"/>
                <w:color w:val="auto"/>
              </w:rPr>
            </w:pPr>
            <w:r>
              <w:rPr>
                <w:rFonts w:ascii="Arial" w:cs="Arial" w:eastAsia="Arial" w:hAnsi="Arial"/>
                <w:sz w:val="18"/>
                <w:szCs w:val="18"/>
                <w:color w:val="0A0A0A"/>
              </w:rPr>
              <w:t>1.9</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6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48.1</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46.6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3.4</w:t>
            </w:r>
          </w:p>
        </w:tc>
      </w:tr>
      <w:tr>
        <w:trPr>
          <w:trHeight w:val="229"/>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36.5</w:t>
            </w:r>
          </w:p>
        </w:tc>
        <w:tc>
          <w:tcPr>
            <w:tcW w:w="440" w:type="dxa"/>
            <w:vAlign w:val="bottom"/>
          </w:tcPr>
          <w:p>
            <w:pPr>
              <w:spacing w:after="0"/>
              <w:rPr>
                <w:sz w:val="19"/>
                <w:szCs w:val="19"/>
                <w:color w:val="auto"/>
              </w:rPr>
            </w:pPr>
          </w:p>
        </w:tc>
        <w:tc>
          <w:tcPr>
            <w:tcW w:w="1540" w:type="dxa"/>
            <w:vAlign w:val="bottom"/>
          </w:tcPr>
          <w:p>
            <w:pPr>
              <w:jc w:val="right"/>
              <w:ind w:right="213"/>
              <w:spacing w:after="0"/>
              <w:rPr>
                <w:sz w:val="20"/>
                <w:szCs w:val="20"/>
                <w:color w:val="auto"/>
              </w:rPr>
            </w:pPr>
            <w:r>
              <w:rPr>
                <w:rFonts w:ascii="Arial" w:cs="Arial" w:eastAsia="Arial" w:hAnsi="Arial"/>
                <w:sz w:val="18"/>
                <w:szCs w:val="18"/>
                <w:color w:val="0A0A0A"/>
              </w:rPr>
              <w:t>35.3</w:t>
            </w:r>
          </w:p>
        </w:tc>
        <w:tc>
          <w:tcPr>
            <w:tcW w:w="1500" w:type="dxa"/>
            <w:vAlign w:val="bottom"/>
          </w:tcPr>
          <w:p>
            <w:pPr>
              <w:jc w:val="right"/>
              <w:spacing w:after="0"/>
              <w:rPr>
                <w:sz w:val="20"/>
                <w:szCs w:val="20"/>
                <w:color w:val="auto"/>
              </w:rPr>
            </w:pPr>
            <w:r>
              <w:rPr>
                <w:rFonts w:ascii="Arial" w:cs="Arial" w:eastAsia="Arial" w:hAnsi="Arial"/>
                <w:sz w:val="18"/>
                <w:szCs w:val="18"/>
                <w:color w:val="0A0A0A"/>
              </w:rPr>
              <w:t>3.5</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0.66</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0.64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3.1</w:t>
            </w:r>
          </w:p>
        </w:tc>
      </w:tr>
      <w:tr>
        <w:trPr>
          <w:trHeight w:val="430"/>
        </w:trPr>
        <w:tc>
          <w:tcPr>
            <w:tcW w:w="4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00" w:type="dxa"/>
            <w:vAlign w:val="bottom"/>
            <w:gridSpan w:val="3"/>
          </w:tcPr>
          <w:p>
            <w:pPr>
              <w:jc w:val="right"/>
              <w:ind w:right="813"/>
              <w:spacing w:after="0"/>
              <w:rPr>
                <w:sz w:val="20"/>
                <w:szCs w:val="20"/>
                <w:color w:val="auto"/>
              </w:rPr>
            </w:pPr>
            <w:r>
              <w:rPr>
                <w:rFonts w:ascii="Arial" w:cs="Arial" w:eastAsia="Arial" w:hAnsi="Arial"/>
                <w:sz w:val="14"/>
                <w:szCs w:val="14"/>
                <w:b w:val="1"/>
                <w:bCs w:val="1"/>
                <w:color w:val="auto"/>
              </w:rPr>
              <w:t>Three Months Ended March 31,</w:t>
            </w:r>
          </w:p>
        </w:tc>
        <w:tc>
          <w:tcPr>
            <w:tcW w:w="1500" w:type="dxa"/>
            <w:vAlign w:val="bottom"/>
          </w:tcPr>
          <w:p>
            <w:pPr>
              <w:spacing w:after="0"/>
              <w:rPr>
                <w:sz w:val="24"/>
                <w:szCs w:val="24"/>
                <w:color w:val="auto"/>
              </w:rPr>
            </w:pPr>
          </w:p>
        </w:tc>
      </w:tr>
      <w:tr>
        <w:trPr>
          <w:trHeight w:val="20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0A0A0A"/>
              </w:rPr>
              <w:t>2025</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0A0A0A"/>
              </w:rPr>
              <w:t>2024</w:t>
            </w:r>
          </w:p>
        </w:tc>
        <w:tc>
          <w:tcPr>
            <w:tcW w:w="15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0A0A0A"/>
              </w:rPr>
              <w:t>% Change</w:t>
            </w:r>
          </w:p>
        </w:tc>
      </w:tr>
      <w:tr>
        <w:trPr>
          <w:trHeight w:val="265"/>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59.7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56.7</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5.4</w:t>
            </w:r>
          </w:p>
        </w:tc>
      </w:tr>
      <w:tr>
        <w:trPr>
          <w:trHeight w:val="270"/>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tc>
        <w:tc>
          <w:tcPr>
            <w:tcW w:w="16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52.3</w:t>
            </w:r>
          </w:p>
        </w:tc>
        <w:tc>
          <w:tcPr>
            <w:tcW w:w="440" w:type="dxa"/>
            <w:vAlign w:val="bottom"/>
          </w:tcPr>
          <w:p>
            <w:pPr>
              <w:spacing w:after="0"/>
              <w:rPr>
                <w:sz w:val="23"/>
                <w:szCs w:val="23"/>
                <w:color w:val="auto"/>
              </w:rPr>
            </w:pPr>
          </w:p>
        </w:tc>
        <w:tc>
          <w:tcPr>
            <w:tcW w:w="1540" w:type="dxa"/>
            <w:vAlign w:val="bottom"/>
          </w:tcPr>
          <w:p>
            <w:pPr>
              <w:jc w:val="right"/>
              <w:ind w:right="213"/>
              <w:spacing w:after="0"/>
              <w:rPr>
                <w:sz w:val="20"/>
                <w:szCs w:val="20"/>
                <w:color w:val="auto"/>
              </w:rPr>
            </w:pPr>
            <w:r>
              <w:rPr>
                <w:rFonts w:ascii="Arial" w:cs="Arial" w:eastAsia="Arial" w:hAnsi="Arial"/>
                <w:sz w:val="18"/>
                <w:szCs w:val="18"/>
                <w:color w:val="0A0A0A"/>
              </w:rPr>
              <w:t>48.1</w:t>
            </w:r>
          </w:p>
        </w:tc>
        <w:tc>
          <w:tcPr>
            <w:tcW w:w="1500" w:type="dxa"/>
            <w:vAlign w:val="bottom"/>
          </w:tcPr>
          <w:p>
            <w:pPr>
              <w:jc w:val="right"/>
              <w:spacing w:after="0"/>
              <w:rPr>
                <w:sz w:val="20"/>
                <w:szCs w:val="20"/>
                <w:color w:val="auto"/>
              </w:rPr>
            </w:pPr>
            <w:r>
              <w:rPr>
                <w:rFonts w:ascii="Arial" w:cs="Arial" w:eastAsia="Arial" w:hAnsi="Arial"/>
                <w:sz w:val="18"/>
                <w:szCs w:val="18"/>
                <w:color w:val="0A0A0A"/>
              </w:rPr>
              <w:t>8.8</w:t>
            </w:r>
          </w:p>
        </w:tc>
      </w:tr>
      <w:tr>
        <w:trPr>
          <w:trHeight w:val="27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tc>
        <w:tc>
          <w:tcPr>
            <w:tcW w:w="16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39.7</w:t>
            </w: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0A0A0A"/>
              </w:rPr>
              <w:t>36.5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8.9</w:t>
            </w:r>
          </w:p>
        </w:tc>
      </w:tr>
      <w:tr>
        <w:trPr>
          <w:trHeight w:val="316"/>
        </w:trPr>
        <w:tc>
          <w:tcPr>
            <w:tcW w:w="480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0.72</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3"/>
              <w:spacing w:after="0"/>
              <w:rPr>
                <w:sz w:val="20"/>
                <w:szCs w:val="20"/>
                <w:color w:val="auto"/>
              </w:rPr>
            </w:pPr>
            <w:r>
              <w:rPr>
                <w:rFonts w:ascii="Arial" w:cs="Arial" w:eastAsia="Arial" w:hAnsi="Arial"/>
                <w:sz w:val="18"/>
                <w:szCs w:val="18"/>
                <w:color w:val="0A0A0A"/>
              </w:rPr>
              <w:t>0.66</w:t>
            </w:r>
          </w:p>
        </w:tc>
        <w:tc>
          <w:tcPr>
            <w:tcW w:w="1500" w:type="dxa"/>
            <w:vAlign w:val="bottom"/>
          </w:tcPr>
          <w:p>
            <w:pPr>
              <w:jc w:val="right"/>
              <w:spacing w:after="0"/>
              <w:rPr>
                <w:sz w:val="20"/>
                <w:szCs w:val="20"/>
                <w:color w:val="auto"/>
              </w:rPr>
            </w:pPr>
            <w:r>
              <w:rPr>
                <w:rFonts w:ascii="Arial" w:cs="Arial" w:eastAsia="Arial" w:hAnsi="Arial"/>
                <w:sz w:val="18"/>
                <w:szCs w:val="18"/>
                <w:color w:val="0A0A0A"/>
              </w:rPr>
              <w:t>9.1</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Amounts presented in the tables above may not recalculate due to rounding</w:t>
      </w:r>
    </w:p>
    <w:p>
      <w:pPr>
        <w:spacing w:after="0" w:line="111"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0A0A0A"/>
        </w:rPr>
        <w:t>For the quarter ended March 31, 2025, Sun Country reported net income of approximately $37 million and income before income tax of $48 million, on $327 million of revenue. Adjusted income before income tax</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for the quarter was approximately $52 million. GAAP operating income during the quarter was $56 million, while adjusted operating income</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was $60 million, and GAAP operating margin was 17.2% and adjusted operating margin</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was 18.3%</w:t>
      </w:r>
      <w:r>
        <w:rPr>
          <w:rFonts w:ascii="Arial" w:cs="Arial" w:eastAsia="Arial" w:hAnsi="Arial"/>
          <w:sz w:val="23"/>
          <w:szCs w:val="23"/>
          <w:color w:val="0A0A0A"/>
          <w:vertAlign w:val="subscript"/>
        </w:rPr>
        <w:t>.</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0A0A0A"/>
        </w:rPr>
        <w:t>“Our first quarter results reflect the continued earnings power of our diversified business model,” said Bill Trousdale, Interim Chief Financial Officer. “Both cargo and charter revenue growth exceeded their block hour growth for the quarter. This strength offset the weaker first quarter scheduled service demand environment that we experienced. We expect strength in the charter and cargo businesses to persist, especially</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0A0A0A"/>
        </w:rPr>
        <w:t>as we plan to add five more cargo aircraft to the fleet by the end of the third quarter, bringing us to a total of 20 cargo aircraft. We had been proactively re-sizing our scheduled service business to grow our cargo business at improved economics even before we saw close-in</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0A0A0A"/>
        </w:rPr>
        <w:t>demand weakness in February. We believe this will position us well to rely on other portions of our business that are not as impacted by the macro weakness that we witnessed in the first quarter.”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A0A0A"/>
        </w:rPr>
        <w:t>Notable Highlights</w:t>
      </w:r>
    </w:p>
    <w:p>
      <w:pPr>
        <w:spacing w:after="0" w:line="239" w:lineRule="exact"/>
        <w:rPr>
          <w:sz w:val="20"/>
          <w:szCs w:val="20"/>
          <w:color w:val="auto"/>
        </w:rPr>
      </w:pPr>
    </w:p>
    <w:p>
      <w:pPr>
        <w:ind w:left="660" w:right="20" w:hanging="328"/>
        <w:spacing w:after="0"/>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a secondary public offering which resulted in certain investment funds managed by affiliates of Apollo Global Management, Inc. exiting their position in Sun Country. Through this process the Company purchased $10 million of shares acquired from the underwriters at a price per share equivalent to the price at which the underwriters purchased the shares from the investment funds managed by affiliates of Apollo Global Management, Inc.</w:t>
      </w:r>
    </w:p>
    <w:p>
      <w:pPr>
        <w:ind w:left="660" w:right="8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Sun Country and its flight attendants, represented by the International Brotherhood of Teamsters, ratified a new collective bargaining agreement.</w:t>
      </w:r>
    </w:p>
    <w:p>
      <w:pPr>
        <w:spacing w:after="0" w:line="1" w:lineRule="exact"/>
        <w:rPr>
          <w:rFonts w:ascii="Arial" w:cs="Arial" w:eastAsia="Arial" w:hAnsi="Arial"/>
          <w:sz w:val="18"/>
          <w:szCs w:val="18"/>
          <w:color w:val="auto"/>
        </w:rPr>
      </w:pPr>
    </w:p>
    <w:p>
      <w:pPr>
        <w:ind w:left="660" w:right="440" w:hanging="328"/>
        <w:spacing w:after="0" w:line="24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3A3A3A"/>
        </w:rPr>
        <w:t>Sun Country reached agreement with the dispatchers represented by the Transport Workers Union (TWU) which was ratified on February 13.</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entered into a four-year $75 million Revolving Credit Facility which represents a $50 million increase from the previous revolver.</w:t>
      </w:r>
    </w:p>
    <w:p>
      <w:pPr>
        <w:ind w:left="660" w:right="48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an agreement with Synchrony Bank to be the issuer of the Sun Country credit card. The partnership is expected to launch later this year.</w:t>
      </w:r>
    </w:p>
    <w:p>
      <w:pPr>
        <w:ind w:left="660" w:right="1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Taken possession of three incremental cargo aircraft. One aircraft entered service late in the quarter and the other two are currently in the induction process and expected to enter service during the second quarter.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Named the recipient of the Air Transport World (ATW) Airline Market Leader Award for 2025.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Extended the selling schedule through December 9,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0A0A0A"/>
        </w:rPr>
        <w:t xml:space="preserve">System block hours flown during the first quarter of 2025 grew by 5.8% year-over-year. All of this growth was allocated to the passenger segment, resulting in a </w:t>
      </w:r>
      <w:r>
        <w:rPr>
          <w:rFonts w:ascii="Arial" w:cs="Arial" w:eastAsia="Arial" w:hAnsi="Arial"/>
          <w:sz w:val="18"/>
          <w:szCs w:val="18"/>
          <w:color w:val="000000"/>
        </w:rPr>
        <w:t>6.7%</w:t>
      </w:r>
      <w:r>
        <w:rPr>
          <w:rFonts w:ascii="Arial" w:cs="Arial" w:eastAsia="Arial" w:hAnsi="Arial"/>
          <w:sz w:val="18"/>
          <w:szCs w:val="18"/>
          <w:color w:val="0A0A0A"/>
        </w:rPr>
        <w:t xml:space="preserve"> increase in scheduled service ASMs and </w:t>
      </w:r>
      <w:r>
        <w:rPr>
          <w:rFonts w:ascii="Arial" w:cs="Arial" w:eastAsia="Arial" w:hAnsi="Arial"/>
          <w:sz w:val="18"/>
          <w:szCs w:val="18"/>
          <w:color w:val="000000"/>
        </w:rPr>
        <w:t>10.7% increase in charter block hours</w:t>
      </w:r>
      <w:r>
        <w:rPr>
          <w:rFonts w:ascii="Arial" w:cs="Arial" w:eastAsia="Arial" w:hAnsi="Arial"/>
          <w:sz w:val="18"/>
          <w:szCs w:val="18"/>
          <w:color w:val="0A0A0A"/>
        </w:rPr>
        <w:t>. Scheduled service ASMs are expected to decline in the second quarter 2025 by approximately seven percent to allow for planned cargo segment growth. Cargo block hours declined in the first quarter by 1.1% year-over-year due to normalization of the cargo schedules and some weather events throughout the quarter.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0A0A0A"/>
        </w:rPr>
        <w:t xml:space="preserve">The scheduled service domestic market was impacted by weaker off-peak demand in February which pressured unit revenue for the quarter. The Company reported total revenue of $327 million for the first quarter, which was 4.9% greater than the first quarter of 2024. </w:t>
      </w:r>
      <w:r>
        <w:rPr>
          <w:rFonts w:ascii="Arial" w:cs="Arial" w:eastAsia="Arial" w:hAnsi="Arial"/>
          <w:sz w:val="18"/>
          <w:szCs w:val="18"/>
          <w:color w:val="000000"/>
        </w:rPr>
        <w:t>Scheduled</w:t>
      </w:r>
      <w:r>
        <w:rPr>
          <w:rFonts w:ascii="Arial" w:cs="Arial" w:eastAsia="Arial" w:hAnsi="Arial"/>
          <w:sz w:val="18"/>
          <w:szCs w:val="18"/>
          <w:color w:val="0A0A0A"/>
        </w:rPr>
        <w:t xml:space="preserve"> </w:t>
      </w:r>
      <w:r>
        <w:rPr>
          <w:rFonts w:ascii="Arial" w:cs="Arial" w:eastAsia="Arial" w:hAnsi="Arial"/>
          <w:sz w:val="18"/>
          <w:szCs w:val="18"/>
          <w:color w:val="000000"/>
        </w:rPr>
        <w:t>service TRASM</w:t>
      </w:r>
      <w:r>
        <w:rPr>
          <w:rFonts w:ascii="Arial" w:cs="Arial" w:eastAsia="Arial" w:hAnsi="Arial"/>
          <w:sz w:val="23"/>
          <w:szCs w:val="23"/>
          <w:color w:val="000000"/>
          <w:vertAlign w:val="superscript"/>
        </w:rPr>
        <w:t>(3)</w:t>
      </w:r>
      <w:r>
        <w:rPr>
          <w:rFonts w:ascii="Arial" w:cs="Arial" w:eastAsia="Arial" w:hAnsi="Arial"/>
          <w:sz w:val="18"/>
          <w:szCs w:val="18"/>
          <w:color w:val="000000"/>
        </w:rPr>
        <w:t xml:space="preserve"> of 11.63 cents decreased 4.7% year-over-year, while scheduled service ASMs increased 6.7%. The first quarter 2025 total fare per scheduled passenger of $198 was higher than </w:t>
      </w:r>
      <w:r>
        <w:rPr>
          <w:rFonts w:ascii="Arial" w:cs="Arial" w:eastAsia="Arial" w:hAnsi="Arial"/>
          <w:sz w:val="18"/>
          <w:szCs w:val="18"/>
          <w:color w:val="0A0A0A"/>
        </w:rPr>
        <w:t>first</w:t>
      </w:r>
      <w:r>
        <w:rPr>
          <w:rFonts w:ascii="Arial" w:cs="Arial" w:eastAsia="Arial" w:hAnsi="Arial"/>
          <w:sz w:val="18"/>
          <w:szCs w:val="18"/>
          <w:color w:val="000000"/>
        </w:rPr>
        <w:t xml:space="preserve"> quarter 2024 by 1.0% but was offset by a 3.9 percentage point decline in load factor year over year. The Company’s </w:t>
      </w:r>
      <w:r>
        <w:rPr>
          <w:rFonts w:ascii="Arial" w:cs="Arial" w:eastAsia="Arial" w:hAnsi="Arial"/>
          <w:sz w:val="18"/>
          <w:szCs w:val="18"/>
          <w:color w:val="0A0A0A"/>
        </w:rPr>
        <w:t>first</w:t>
      </w:r>
      <w:r>
        <w:rPr>
          <w:rFonts w:ascii="Arial" w:cs="Arial" w:eastAsia="Arial" w:hAnsi="Arial"/>
          <w:sz w:val="18"/>
          <w:szCs w:val="18"/>
          <w:color w:val="000000"/>
        </w:rPr>
        <w:t xml:space="preserve"> quarter charter service revenue was $55 million, an increase of 15.6% year-over-year, exceeding charter block hour growth of only 10.7% and offsetting the impact of lower fuel cost reimbursements from our customers.</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first quarter of 2025, cargo revenue was $28 million, a 17.6% increase versus the first quarter of 2024 on a 1.1% decline in cargo block hours. This improvement was primarily driven by the annual rate escalation which went into effect in mid-December 2024 and the continuation of the new Amazon contract rates which went into effect in June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5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First </w:t>
      </w:r>
      <w:r>
        <w:rPr>
          <w:rFonts w:ascii="Arial" w:cs="Arial" w:eastAsia="Arial" w:hAnsi="Arial"/>
          <w:sz w:val="18"/>
          <w:szCs w:val="18"/>
          <w:color w:val="0A0A0A"/>
        </w:rPr>
        <w:t>quarter CASM fell</w:t>
      </w:r>
      <w:r>
        <w:rPr>
          <w:rFonts w:ascii="Arial" w:cs="Arial" w:eastAsia="Arial" w:hAnsi="Arial"/>
          <w:sz w:val="18"/>
          <w:szCs w:val="18"/>
          <w:color w:val="auto"/>
        </w:rPr>
        <w:t xml:space="preserve"> 1.6%, </w:t>
      </w:r>
      <w:r>
        <w:rPr>
          <w:rFonts w:ascii="Arial" w:cs="Arial" w:eastAsia="Arial" w:hAnsi="Arial"/>
          <w:sz w:val="18"/>
          <w:szCs w:val="18"/>
          <w:color w:val="0A0A0A"/>
        </w:rPr>
        <w:t>while adjusted CASM</w:t>
      </w:r>
      <w:r>
        <w:rPr>
          <w:rFonts w:ascii="Arial" w:cs="Arial" w:eastAsia="Arial" w:hAnsi="Arial"/>
          <w:sz w:val="23"/>
          <w:szCs w:val="23"/>
          <w:color w:val="0A0A0A"/>
          <w:vertAlign w:val="superscript"/>
        </w:rPr>
        <w:t>(4)</w:t>
      </w:r>
      <w:r>
        <w:rPr>
          <w:rFonts w:ascii="Arial" w:cs="Arial" w:eastAsia="Arial" w:hAnsi="Arial"/>
          <w:sz w:val="18"/>
          <w:szCs w:val="18"/>
          <w:color w:val="auto"/>
        </w:rPr>
        <w:t xml:space="preserve"> </w:t>
      </w:r>
      <w:r>
        <w:rPr>
          <w:rFonts w:ascii="Arial" w:cs="Arial" w:eastAsia="Arial" w:hAnsi="Arial"/>
          <w:sz w:val="18"/>
          <w:szCs w:val="18"/>
          <w:color w:val="0A0A0A"/>
        </w:rPr>
        <w:t>was up</w:t>
      </w:r>
      <w:r>
        <w:rPr>
          <w:rFonts w:ascii="Arial" w:cs="Arial" w:eastAsia="Arial" w:hAnsi="Arial"/>
          <w:sz w:val="18"/>
          <w:szCs w:val="18"/>
          <w:color w:val="auto"/>
        </w:rPr>
        <w:t xml:space="preserve"> 3.5% year-over-year. T</w:t>
      </w:r>
      <w:r>
        <w:rPr>
          <w:rFonts w:ascii="Arial" w:cs="Arial" w:eastAsia="Arial" w:hAnsi="Arial"/>
          <w:sz w:val="18"/>
          <w:szCs w:val="18"/>
          <w:color w:val="0A0A0A"/>
        </w:rPr>
        <w:t xml:space="preserve">otal GAAP operating expenses increased 5.5% year-over-year, primarily due to a </w:t>
      </w:r>
      <w:r>
        <w:rPr>
          <w:rFonts w:ascii="Arial" w:cs="Arial" w:eastAsia="Arial" w:hAnsi="Arial"/>
          <w:sz w:val="18"/>
          <w:szCs w:val="18"/>
          <w:color w:val="000000"/>
        </w:rPr>
        <w:t>5.8%</w:t>
      </w:r>
      <w:r>
        <w:rPr>
          <w:rFonts w:ascii="Arial" w:cs="Arial" w:eastAsia="Arial" w:hAnsi="Arial"/>
          <w:sz w:val="18"/>
          <w:szCs w:val="18"/>
          <w:color w:val="0A0A0A"/>
        </w:rPr>
        <w:t xml:space="preserve"> increase in total block hours. The most significant non-fuel expenses that grew faster than the level of flying included salaries, maintenance, ground handling and landing fees. Salaries, which increased 12.9%, were mostly driven by an 8% increase in pilot headcount and a 6% contractual pilot wage scale increase that occurred at the end of 2024. Maintenance expenses, which increased </w:t>
      </w:r>
      <w:r>
        <w:rPr>
          <w:rFonts w:ascii="Arial" w:cs="Arial" w:eastAsia="Arial" w:hAnsi="Arial"/>
          <w:sz w:val="18"/>
          <w:szCs w:val="18"/>
          <w:color w:val="000000"/>
        </w:rPr>
        <w:t>12.2%,</w:t>
      </w:r>
      <w:r>
        <w:rPr>
          <w:rFonts w:ascii="Arial" w:cs="Arial" w:eastAsia="Arial" w:hAnsi="Arial"/>
          <w:sz w:val="18"/>
          <w:szCs w:val="18"/>
          <w:color w:val="0A0A0A"/>
        </w:rPr>
        <w:t xml:space="preserve"> were impacted by an increase in non-routine maintenance events and growth in the fleet and operations. Ground handling costs increased 24.6%, driven by a 5% increase in Passenger segment departures and a combination of rate increases at our outsourced ground stations as well as operational challenges in the quarter. Landing fees and airport rent increased 14.3% due to rate increases at airports.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28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A0A0A"/>
        </w:rPr>
        <w:t>Total liquidity</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was $227 million on March 31, 2025, while the Company’s net debt</w:t>
      </w:r>
      <w:r>
        <w:rPr>
          <w:rFonts w:ascii="Arial" w:cs="Arial" w:eastAsia="Arial" w:hAnsi="Arial"/>
          <w:sz w:val="23"/>
          <w:szCs w:val="23"/>
          <w:color w:val="0A0A0A"/>
          <w:vertAlign w:val="superscript"/>
        </w:rPr>
        <w:t>(6)</w:t>
      </w:r>
      <w:r>
        <w:rPr>
          <w:rFonts w:ascii="Arial" w:cs="Arial" w:eastAsia="Arial" w:hAnsi="Arial"/>
          <w:sz w:val="18"/>
          <w:szCs w:val="18"/>
          <w:color w:val="0A0A0A"/>
        </w:rPr>
        <w:t xml:space="preserve"> was $447 million.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3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March 31, 2025</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2024</w:t>
            </w:r>
          </w:p>
        </w:tc>
      </w:tr>
      <w:tr>
        <w:trPr>
          <w:trHeight w:val="222"/>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3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March 31, 2025</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2024</w:t>
            </w:r>
          </w:p>
        </w:tc>
      </w:tr>
      <w:tr>
        <w:trPr>
          <w:trHeight w:val="222"/>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271.3</w:t>
            </w:r>
          </w:p>
        </w:tc>
      </w:tr>
      <w:tr>
        <w:trPr>
          <w:trHeight w:val="2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1"/>
        </w:trPr>
        <w:tc>
          <w:tcPr>
            <w:tcW w:w="662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3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w:t>
            </w:r>
          </w:p>
        </w:tc>
      </w:tr>
      <w:tr>
        <w:trPr>
          <w:trHeight w:val="2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March 31, 2025, the Company had 45 aircraft in its passenger service fleet, had 15 freighter aircraft in its cargo fleet and had six aircraft that are currently on lease to unaffiliated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Second Quarter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jc w:val="center"/>
              <w:ind w:left="1373"/>
              <w:spacing w:after="0"/>
              <w:rPr>
                <w:sz w:val="20"/>
                <w:szCs w:val="20"/>
                <w:color w:val="auto"/>
              </w:rPr>
            </w:pPr>
            <w:r>
              <w:rPr>
                <w:rFonts w:ascii="Arial" w:cs="Arial" w:eastAsia="Arial" w:hAnsi="Arial"/>
                <w:sz w:val="14"/>
                <w:szCs w:val="14"/>
                <w:b w:val="1"/>
                <w:bCs w:val="1"/>
                <w:color w:val="0A0A0A"/>
              </w:rPr>
              <w:t>Q2 2025</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Q2 2024</w:t>
            </w:r>
          </w:p>
        </w:tc>
      </w:tr>
      <w:tr>
        <w:trPr>
          <w:trHeight w:val="224"/>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660" w:type="dxa"/>
            <w:vAlign w:val="bottom"/>
            <w:shd w:val="clear" w:color="auto" w:fill="CCEEFF"/>
          </w:tcPr>
          <w:p>
            <w:pPr>
              <w:jc w:val="center"/>
              <w:ind w:left="1373"/>
              <w:spacing w:after="0"/>
              <w:rPr>
                <w:sz w:val="20"/>
                <w:szCs w:val="20"/>
                <w:color w:val="auto"/>
              </w:rPr>
            </w:pPr>
            <w:r>
              <w:rPr>
                <w:rFonts w:ascii="Arial" w:cs="Arial" w:eastAsia="Arial" w:hAnsi="Arial"/>
                <w:sz w:val="18"/>
                <w:szCs w:val="18"/>
                <w:color w:val="0A0A0A"/>
                <w:w w:val="98"/>
              </w:rPr>
              <w:t>$250 to $260</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(2)% to 2%</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660" w:type="dxa"/>
            <w:vAlign w:val="bottom"/>
          </w:tcPr>
          <w:p>
            <w:pPr>
              <w:jc w:val="center"/>
              <w:ind w:left="1373"/>
              <w:spacing w:after="0"/>
              <w:rPr>
                <w:sz w:val="20"/>
                <w:szCs w:val="20"/>
                <w:color w:val="auto"/>
              </w:rPr>
            </w:pPr>
            <w:r>
              <w:rPr>
                <w:rFonts w:ascii="Arial" w:cs="Arial" w:eastAsia="Arial" w:hAnsi="Arial"/>
                <w:sz w:val="18"/>
                <w:szCs w:val="18"/>
                <w:color w:val="0A0A0A"/>
                <w:w w:val="97"/>
              </w:rPr>
              <w:t>$2.44</w:t>
            </w:r>
          </w:p>
        </w:tc>
        <w:tc>
          <w:tcPr>
            <w:tcW w:w="2380" w:type="dxa"/>
            <w:vAlign w:val="bottom"/>
          </w:tcPr>
          <w:p>
            <w:pPr>
              <w:jc w:val="center"/>
              <w:spacing w:after="0"/>
              <w:rPr>
                <w:sz w:val="20"/>
                <w:szCs w:val="20"/>
                <w:color w:val="auto"/>
              </w:rPr>
            </w:pPr>
            <w:r>
              <w:rPr>
                <w:rFonts w:ascii="Arial" w:cs="Arial" w:eastAsia="Arial" w:hAnsi="Arial"/>
                <w:sz w:val="18"/>
                <w:szCs w:val="18"/>
                <w:color w:val="0A0A0A"/>
                <w:w w:val="99"/>
              </w:rPr>
              <w:t>(15)%</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660" w:type="dxa"/>
            <w:vAlign w:val="bottom"/>
            <w:shd w:val="clear" w:color="auto" w:fill="CCEEFF"/>
          </w:tcPr>
          <w:p>
            <w:pPr>
              <w:jc w:val="center"/>
              <w:ind w:left="1373"/>
              <w:spacing w:after="0"/>
              <w:rPr>
                <w:sz w:val="20"/>
                <w:szCs w:val="20"/>
                <w:color w:val="auto"/>
              </w:rPr>
            </w:pPr>
            <w:r>
              <w:rPr>
                <w:rFonts w:ascii="Arial" w:cs="Arial" w:eastAsia="Arial" w:hAnsi="Arial"/>
                <w:sz w:val="18"/>
                <w:szCs w:val="18"/>
                <w:color w:val="0A0A0A"/>
                <w:w w:val="98"/>
              </w:rPr>
              <w:t>4% to 7%</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0A0A0A"/>
                <w:w w:val="99"/>
              </w:rPr>
              <w:t>(1.5)pp to 1.5pp</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660" w:type="dxa"/>
            <w:vAlign w:val="bottom"/>
          </w:tcPr>
          <w:p>
            <w:pPr>
              <w:jc w:val="center"/>
              <w:ind w:left="1373"/>
              <w:spacing w:after="0"/>
              <w:rPr>
                <w:sz w:val="20"/>
                <w:szCs w:val="20"/>
                <w:color w:val="auto"/>
              </w:rPr>
            </w:pPr>
            <w:r>
              <w:rPr>
                <w:rFonts w:ascii="Arial" w:cs="Arial" w:eastAsia="Arial" w:hAnsi="Arial"/>
                <w:sz w:val="18"/>
                <w:szCs w:val="18"/>
                <w:color w:val="0A0A0A"/>
                <w:w w:val="99"/>
              </w:rPr>
              <w:t>23%</w:t>
            </w:r>
          </w:p>
        </w:tc>
        <w:tc>
          <w:tcPr>
            <w:tcW w:w="2380" w:type="dxa"/>
            <w:vAlign w:val="bottom"/>
          </w:tcPr>
          <w:p>
            <w:pPr>
              <w:spacing w:after="0"/>
              <w:rPr>
                <w:sz w:val="19"/>
                <w:szCs w:val="19"/>
                <w:color w:val="auto"/>
              </w:rPr>
            </w:pP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660" w:type="dxa"/>
            <w:vAlign w:val="bottom"/>
            <w:shd w:val="clear" w:color="auto" w:fill="CCEEFF"/>
          </w:tcPr>
          <w:p>
            <w:pPr>
              <w:jc w:val="center"/>
              <w:ind w:left="1373"/>
              <w:spacing w:after="0"/>
              <w:rPr>
                <w:sz w:val="20"/>
                <w:szCs w:val="20"/>
                <w:color w:val="auto"/>
              </w:rPr>
            </w:pPr>
            <w:r>
              <w:rPr>
                <w:rFonts w:ascii="Arial" w:cs="Arial" w:eastAsia="Arial" w:hAnsi="Arial"/>
                <w:sz w:val="18"/>
                <w:szCs w:val="18"/>
                <w:color w:val="0A0A0A"/>
                <w:w w:val="98"/>
              </w:rPr>
              <w:t>36 to 37</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(3)% to (1)%</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0A0A0A"/>
        </w:rPr>
        <w:t xml:space="preserve">Sun Country Airlines will host a conference call to discuss its first quarter 2025 results at 8:30 a.m. Eastern Time on Friday, May 2, 2025.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r>
        <w:rPr>
          <w:rFonts w:ascii="Arial" w:cs="Arial" w:eastAsia="Arial" w:hAnsi="Arial"/>
          <w:sz w:val="18"/>
          <w:szCs w:val="18"/>
          <w:color w:val="026DCE"/>
        </w:rPr>
        <w:t xml:space="preserve"> </w:t>
      </w:r>
      <w:r>
        <w:rPr>
          <w:rFonts w:ascii="Arial" w:cs="Arial" w:eastAsia="Arial" w:hAnsi="Arial"/>
          <w:sz w:val="18"/>
          <w:szCs w:val="18"/>
          <w:color w:val="000000"/>
        </w:rPr>
        <w:t>hour after the call.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w:t>
      </w:r>
      <w:r>
        <w:rPr>
          <w:rFonts w:ascii="Arial" w:cs="Arial" w:eastAsia="Arial" w:hAnsi="Arial"/>
          <w:sz w:val="18"/>
          <w:szCs w:val="18"/>
          <w:u w:val="single" w:color="auto"/>
          <w:color w:val="026DCE"/>
        </w:rPr>
        <w:t>https://www.stories.suncountry.com/multimedia</w:t>
      </w:r>
      <w:r>
        <w:rPr>
          <w:rFonts w:ascii="Arial" w:cs="Arial" w:eastAsia="Arial" w:hAnsi="Arial"/>
          <w:sz w:val="18"/>
          <w:szCs w:val="18"/>
          <w:color w:val="000000"/>
          <w:highlight w:val="white"/>
        </w:rPr>
        <w:t>.</w:t>
      </w:r>
    </w:p>
    <w:p>
      <w:pPr>
        <w:sectPr>
          <w:pgSz w:w="11900" w:h="16838" w:orient="portrait"/>
          <w:cols w:equalWidth="0" w:num="1">
            <w:col w:w="11220"/>
          </w:cols>
          <w:pgMar w:left="320" w:top="12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20"/>
          </w:cols>
          <w:pgMar w:left="320" w:top="1282"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0A0A0A"/>
        </w:rPr>
        <w:t>End Notes</w:t>
      </w:r>
    </w:p>
    <w:p>
      <w:pPr>
        <w:spacing w:after="0" w:line="5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1 -</w:t>
        <w:tab/>
        <w:t>Records begin in January 2017</w:t>
      </w:r>
    </w:p>
    <w:p>
      <w:pPr>
        <w:spacing w:after="0" w:line="50" w:lineRule="exact"/>
        <w:rPr>
          <w:sz w:val="20"/>
          <w:szCs w:val="20"/>
          <w:color w:val="auto"/>
        </w:rPr>
      </w:pPr>
    </w:p>
    <w:p>
      <w:pPr>
        <w:jc w:val="both"/>
        <w:ind w:left="480" w:hanging="458"/>
        <w:spacing w:after="0" w:line="266" w:lineRule="auto"/>
        <w:tabs>
          <w:tab w:leader="none" w:pos="460" w:val="left"/>
        </w:tabs>
        <w:rPr>
          <w:sz w:val="20"/>
          <w:szCs w:val="20"/>
          <w:color w:val="auto"/>
        </w:rPr>
      </w:pPr>
      <w:r>
        <w:rPr>
          <w:rFonts w:ascii="Arial" w:cs="Arial" w:eastAsia="Arial" w:hAnsi="Arial"/>
          <w:sz w:val="18"/>
          <w:szCs w:val="18"/>
          <w:color w:val="auto"/>
        </w:rPr>
        <w:t>2 -</w:t>
      </w:r>
      <w:r>
        <w:rPr>
          <w:rFonts w:ascii="Arial" w:cs="Arial" w:eastAsia="Arial" w:hAnsi="Arial"/>
          <w:sz w:val="18"/>
          <w:szCs w:val="18"/>
          <w:color w:val="0A0A0A"/>
        </w:rPr>
        <w:tab/>
        <w:t>See additional details, including reconciliations to the most comparable GAAP measures, in the section titled “</w:t>
      </w:r>
      <w:r>
        <w:rPr>
          <w:rFonts w:ascii="Arial" w:cs="Arial" w:eastAsia="Arial" w:hAnsi="Arial"/>
          <w:sz w:val="18"/>
          <w:szCs w:val="18"/>
          <w:color w:val="000000"/>
        </w:rPr>
        <w:t>Non-GAAP financial</w:t>
      </w:r>
      <w:r>
        <w:rPr>
          <w:rFonts w:ascii="Arial" w:cs="Arial" w:eastAsia="Arial" w:hAnsi="Arial"/>
          <w:sz w:val="18"/>
          <w:szCs w:val="18"/>
          <w:color w:val="0A0A0A"/>
        </w:rPr>
        <w:t xml:space="preserve"> </w:t>
      </w:r>
      <w:r>
        <w:rPr>
          <w:rFonts w:ascii="Arial" w:cs="Arial" w:eastAsia="Arial" w:hAnsi="Arial"/>
          <w:sz w:val="18"/>
          <w:szCs w:val="18"/>
          <w:color w:val="000000"/>
        </w:rPr>
        <w:t>measures”</w:t>
      </w:r>
    </w:p>
    <w:p>
      <w:pPr>
        <w:jc w:val="both"/>
        <w:ind w:left="480" w:hanging="458"/>
        <w:spacing w:after="0" w:line="247" w:lineRule="auto"/>
        <w:tabs>
          <w:tab w:leader="none" w:pos="460" w:val="left"/>
        </w:tabs>
        <w:rPr>
          <w:sz w:val="20"/>
          <w:szCs w:val="20"/>
          <w:color w:val="auto"/>
        </w:rPr>
      </w:pPr>
      <w:r>
        <w:rPr>
          <w:rFonts w:ascii="Arial" w:cs="Arial" w:eastAsia="Arial" w:hAnsi="Arial"/>
          <w:sz w:val="18"/>
          <w:szCs w:val="18"/>
          <w:color w:val="auto"/>
        </w:rPr>
        <w:t>3 -</w:t>
        <w:tab/>
        <w:t>Scheduled Service TRASM includes Schedule Service revenue, Ancillary revenue, and ASM generating revenue classified within Other Revenue on the Condensed Consolidated Statement of Operations / Scheduled Service ASMs. Other Revenue includes rental revenue associated with certain assets that generate lease income of approximately $8.6 million and $9.3 million in the three months ended March 31, 2025 and 2024, respectively, which is not included.</w:t>
      </w:r>
    </w:p>
    <w:p>
      <w:pPr>
        <w:sectPr>
          <w:pgSz w:w="11900" w:h="16838" w:orient="portrait"/>
          <w:cols w:equalWidth="0" w:num="1">
            <w:col w:w="11120"/>
          </w:cols>
          <w:pgMar w:left="320" w:top="1066" w:right="45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8"/>
          <w:szCs w:val="18"/>
          <w:color w:val="auto"/>
        </w:rPr>
        <w:t>Adjusted CASM is a non-GAAP measure derived from CASM by excluding fuel costs, non-cash management stock compensation expense, costs arising from its cargo operations, depreciation and amortization recognized on certain assets that generate lease income, certain commissions, and other costs of selling its vacations product from this measure. See table titled “Reconciliation of CASM to Adjusted CASM”</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line="200" w:lineRule="exact"/>
        <w:rPr>
          <w:sz w:val="20"/>
          <w:szCs w:val="20"/>
          <w:color w:val="auto"/>
        </w:rPr>
      </w:pPr>
    </w:p>
    <w:p>
      <w:pPr>
        <w:sectPr>
          <w:pgSz w:w="11900" w:h="16838" w:orient="portrait"/>
          <w:cols w:equalWidth="0" w:num="2">
            <w:col w:w="240" w:space="240"/>
            <w:col w:w="10640"/>
          </w:cols>
          <w:pgMar w:left="320" w:top="1066" w:right="45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120"/>
          </w:cols>
          <w:pgMar w:left="320" w:top="1066"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could relate to the following, among other items:</w:t>
      </w:r>
    </w:p>
    <w:p>
      <w:pPr>
        <w:spacing w:after="0" w:line="183"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066"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gridSpan w:val="5"/>
          </w:tcPr>
          <w:p>
            <w:pPr>
              <w:ind w:left="420"/>
              <w:spacing w:after="0"/>
              <w:rPr>
                <w:sz w:val="20"/>
                <w:szCs w:val="20"/>
                <w:color w:val="auto"/>
              </w:rPr>
            </w:pPr>
            <w:r>
              <w:rPr>
                <w:rFonts w:ascii="Arial" w:cs="Arial" w:eastAsia="Arial" w:hAnsi="Arial"/>
                <w:sz w:val="14"/>
                <w:szCs w:val="14"/>
                <w:b w:val="1"/>
                <w:bCs w:val="1"/>
                <w:color w:val="0A0A0A"/>
              </w:rPr>
              <w:t>Three Months Ended March 31,</w:t>
            </w:r>
          </w:p>
        </w:tc>
        <w:tc>
          <w:tcPr>
            <w:tcW w:w="188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2025</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2024</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143,522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141,194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1.6</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47,312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15.6</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86,158</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1.8</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274,664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4.1</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28,157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23,948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17.6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12,604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12,871</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(2.1)</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311,483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4.9</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70,304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(8.1)</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92,845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82,238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16,817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10,679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23,809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4.2</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9,154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14,729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360" w:type="dxa"/>
            <w:vAlign w:val="bottom"/>
          </w:tcPr>
          <w:p>
            <w:pPr>
              <w:ind w:left="180"/>
              <w:spacing w:after="0" w:line="230" w:lineRule="exact"/>
              <w:rPr>
                <w:sz w:val="20"/>
                <w:szCs w:val="20"/>
                <w:color w:val="auto"/>
              </w:rPr>
            </w:pPr>
            <w:r>
              <w:rPr>
                <w:rFonts w:ascii="Arial" w:cs="Arial" w:eastAsia="Arial" w:hAnsi="Arial"/>
                <w:sz w:val="18"/>
                <w:szCs w:val="18"/>
                <w:color w:val="0A0A0A"/>
              </w:rPr>
              <w:t xml:space="preserve">Special Items, net </w:t>
            </w:r>
            <w:r>
              <w:rPr>
                <w:rFonts w:ascii="Arial" w:cs="Arial" w:eastAsia="Arial" w:hAnsi="Arial"/>
                <w:sz w:val="23"/>
                <w:szCs w:val="23"/>
                <w:color w:val="0A0A0A"/>
                <w:vertAlign w:val="superscript"/>
              </w:rPr>
              <w:t>(1)</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0A0A0A"/>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28,577</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256,307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5.5</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55,176</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1.9</w:t>
            </w:r>
          </w:p>
        </w:tc>
      </w:t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2,448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(11,112)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(8,618)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3"/>
        </w:trPr>
        <w:tc>
          <w:tcPr>
            <w:tcW w:w="53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46,558</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11,245</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0.67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0.64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53,342,226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53,034,538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55,508,359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55,397,685</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0A0A0A"/>
        </w:rPr>
        <w:t>NM - not meaningful</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1 – During the three months ended March 31, 2025, the Company's flight attendants, represented by the International Brotherhood of Teamsters, ratified a new five-year collective bargaining agreement. A ratification bonus was paid to the flight attendants in March 2025, per the collective bargaining agreement. Upon ratification of the new agreement, eligible flights attendants became entitled to a one-time ratification bonus. Eligibility requirements stipulate that flight attendants must be on the seniority list as of the ratification date, have completed probation, and hold an active status in order to receive the bonus payment. Certain portions of the ratification bonus will be paid in future periods as flight attendants on the seniority list as of the ratification date complete their probationary period or change their status from inactive to active. The ratification bonus and payroll related tax expense was included within Special Items, net.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40"/>
          </w:cols>
          <w:pgMar w:left="320" w:top="133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KEY OPERATING STATISTICS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29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key operating statistics and metrics for the three months ended March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20" w:type="dxa"/>
            <w:vAlign w:val="bottom"/>
            <w:gridSpan w:val="3"/>
          </w:tcPr>
          <w:p>
            <w:pPr>
              <w:jc w:val="right"/>
              <w:ind w:right="1091"/>
              <w:spacing w:after="0"/>
              <w:rPr>
                <w:sz w:val="20"/>
                <w:szCs w:val="20"/>
                <w:color w:val="auto"/>
              </w:rPr>
            </w:pPr>
            <w:r>
              <w:rPr>
                <w:rFonts w:ascii="Arial" w:cs="Arial" w:eastAsia="Arial" w:hAnsi="Arial"/>
                <w:sz w:val="14"/>
                <w:szCs w:val="14"/>
                <w:b w:val="1"/>
                <w:bCs w:val="1"/>
                <w:color w:val="0A0A0A"/>
              </w:rPr>
              <w:t>Three Months Ended March 31,</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4"/>
        </w:trPr>
        <w:tc>
          <w:tcPr>
            <w:tcW w:w="4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11"/>
              <w:spacing w:after="0"/>
              <w:rPr>
                <w:sz w:val="20"/>
                <w:szCs w:val="20"/>
                <w:color w:val="auto"/>
              </w:rPr>
            </w:pPr>
            <w:r>
              <w:rPr>
                <w:rFonts w:ascii="Arial" w:cs="Arial" w:eastAsia="Arial" w:hAnsi="Arial"/>
                <w:sz w:val="14"/>
                <w:szCs w:val="14"/>
                <w:b w:val="1"/>
                <w:bCs w:val="1"/>
                <w:color w:val="auto"/>
              </w:rPr>
              <w:t>2024</w:t>
            </w:r>
          </w:p>
        </w:tc>
        <w:tc>
          <w:tcPr>
            <w:tcW w:w="15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tcPr>
          <w:p>
            <w:pPr>
              <w:spacing w:after="0"/>
              <w:rPr>
                <w:sz w:val="17"/>
                <w:szCs w:val="17"/>
                <w:color w:val="auto"/>
              </w:rPr>
            </w:pPr>
          </w:p>
        </w:tc>
      </w:tr>
      <w:tr>
        <w:trPr>
          <w:trHeight w:val="224"/>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1,686,484</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1,654,851</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2,020,545</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1,892,891</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83.5%</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87.4%</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28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1,165,073</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1,157,511</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7,466</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7,169</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27,242</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25,496</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11.63</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12.20</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123.19</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121.98</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75.25</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74.43</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198.44</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196.41</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21,289</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20,050</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r>
      <w:tr>
        <w:trPr>
          <w:trHeight w:val="270"/>
        </w:trPr>
        <w:tc>
          <w:tcPr>
            <w:tcW w:w="45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2,468</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2,292</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5,424</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4,900</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331,510</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299,058</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3,699</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3,434</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r>
      <w:tr>
        <w:trPr>
          <w:trHeight w:val="270"/>
        </w:trPr>
        <w:tc>
          <w:tcPr>
            <w:tcW w:w="45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2,926</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2,961</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7,605</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7,688</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r>
      <w:tr>
        <w:trPr>
          <w:trHeight w:val="270"/>
        </w:trPr>
        <w:tc>
          <w:tcPr>
            <w:tcW w:w="45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42.0</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44</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aircraft – end of period</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Leased aircraft – end of period</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1740" w:type="dxa"/>
            <w:vAlign w:val="bottom"/>
          </w:tcPr>
          <w:p>
            <w:pPr>
              <w:jc w:val="right"/>
              <w:ind w:right="231"/>
              <w:spacing w:after="0"/>
              <w:rPr>
                <w:sz w:val="20"/>
                <w:szCs w:val="20"/>
                <w:color w:val="auto"/>
              </w:rPr>
            </w:pPr>
            <w:r>
              <w:rPr>
                <w:rFonts w:ascii="Arial" w:cs="Arial" w:eastAsia="Arial" w:hAnsi="Arial"/>
                <w:sz w:val="18"/>
                <w:szCs w:val="18"/>
                <w:color w:val="auto"/>
              </w:rPr>
              <w:t>7</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2,370,755</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2,211,886</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12,964</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12,539</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40,681</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38,437</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8.0</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1,283</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1,255</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r>
      <w:tr>
        <w:trPr>
          <w:trHeight w:val="247"/>
        </w:trPr>
        <w:tc>
          <w:tcPr>
            <w:tcW w:w="454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14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12.23</w:t>
            </w:r>
          </w:p>
        </w:tc>
        <w:tc>
          <w:tcPr>
            <w:tcW w:w="560" w:type="dxa"/>
            <w:vAlign w:val="bottom"/>
          </w:tcPr>
          <w:p>
            <w:pPr>
              <w:spacing w:after="0"/>
              <w:rPr>
                <w:sz w:val="21"/>
                <w:szCs w:val="21"/>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12.58</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r>
      <w:tr>
        <w:trPr>
          <w:trHeight w:val="23"/>
        </w:trPr>
        <w:tc>
          <w:tcPr>
            <w:tcW w:w="4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11.41</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11.59</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560" w:type="dxa"/>
            <w:vAlign w:val="bottom"/>
          </w:tcPr>
          <w:p>
            <w:pPr>
              <w:spacing w:after="0"/>
              <w:rPr>
                <w:sz w:val="19"/>
                <w:szCs w:val="19"/>
                <w:color w:val="auto"/>
              </w:rPr>
            </w:pP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7.09</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25,171</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23,676</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2.66</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51"/>
              <w:spacing w:after="0"/>
              <w:rPr>
                <w:sz w:val="20"/>
                <w:szCs w:val="20"/>
                <w:color w:val="auto"/>
              </w:rPr>
            </w:pPr>
            <w:r>
              <w:rPr>
                <w:rFonts w:ascii="Arial" w:cs="Arial" w:eastAsia="Arial" w:hAnsi="Arial"/>
                <w:sz w:val="18"/>
                <w:szCs w:val="18"/>
                <w:color w:val="auto"/>
              </w:rPr>
              <w:t>3.01</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3,124</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2,865</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9"/>
                <w:szCs w:val="19"/>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1 – See note 3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 – See note 4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3- Percentage point difference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20"/>
          </w:cols>
          <w:pgMar w:left="320" w:top="1322" w:right="359" w:bottom="1440" w:gutter="0" w:footer="0" w:header="0"/>
        </w:sectPr>
      </w:pPr>
    </w:p>
    <w:bookmarkStart w:id="10" w:name="page11"/>
    <w:bookmarkEnd w:id="10"/>
    <w:p>
      <w:pPr>
        <w:spacing w:after="0" w:line="1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2024</w:t>
            </w: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 Change</w:t>
            </w:r>
          </w:p>
        </w:tc>
      </w:tr>
      <w:tr>
        <w:trPr>
          <w:trHeight w:val="222"/>
        </w:trPr>
        <w:tc>
          <w:tcPr>
            <w:tcW w:w="5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7"/>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9"/>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970.1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36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1,592.0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1,630.2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53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160.7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 net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360" w:type="dxa"/>
            <w:vAlign w:val="bottom"/>
          </w:tcPr>
          <w:p>
            <w:pPr>
              <w:ind w:left="160"/>
              <w:spacing w:after="0"/>
              <w:rPr>
                <w:sz w:val="20"/>
                <w:szCs w:val="20"/>
                <w:color w:val="auto"/>
              </w:rPr>
            </w:pPr>
            <w:r>
              <w:rPr>
                <w:rFonts w:ascii="Arial" w:cs="Arial" w:eastAsia="Arial" w:hAnsi="Arial"/>
                <w:sz w:val="18"/>
                <w:szCs w:val="18"/>
                <w:color w:val="0A0A0A"/>
              </w:rPr>
              <w:t>Total Current Liabilities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422.3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Finance Lease Obligations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Operating Lease Obligations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Long-Term Debt, net</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5360" w:type="dxa"/>
            <w:vAlign w:val="bottom"/>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1,059.8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3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7"/>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603.0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570.4</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220"/>
          </w:cols>
          <w:pgMar w:left="320" w:top="144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SUMMARY CASH FLOW</w:t>
      </w:r>
    </w:p>
    <w:p>
      <w:pPr>
        <w:spacing w:after="0"/>
        <w:rPr>
          <w:sz w:val="20"/>
          <w:szCs w:val="20"/>
          <w:color w:val="auto"/>
        </w:rPr>
      </w:pPr>
      <w:r>
        <w:rPr>
          <w:rFonts w:ascii="Arial" w:cs="Arial" w:eastAsia="Arial" w:hAnsi="Arial"/>
          <w:sz w:val="18"/>
          <w:szCs w:val="18"/>
          <w:b w:val="1"/>
          <w:bCs w:val="1"/>
          <w:color w:val="auto"/>
        </w:rPr>
        <w:t>(Dollars in millions)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46"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Three Months Ended March 31,</w:t>
      </w:r>
    </w:p>
    <w:p>
      <w:pPr>
        <w:spacing w:after="0" w:line="42" w:lineRule="exact"/>
        <w:rPr>
          <w:sz w:val="20"/>
          <w:szCs w:val="20"/>
          <w:color w:val="auto"/>
        </w:rPr>
      </w:pPr>
    </w:p>
    <w:p>
      <w:pPr>
        <w:jc w:val="both"/>
        <w:ind w:left="6140"/>
        <w:spacing w:after="0"/>
        <w:tabs>
          <w:tab w:leader="none" w:pos="8120" w:val="left"/>
          <w:tab w:leader="none" w:pos="990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2343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ectPr>
          <w:pgSz w:w="11900" w:h="16838" w:orient="portrait"/>
          <w:cols w:equalWidth="0" w:num="1">
            <w:col w:w="11200"/>
          </w:cols>
          <w:pgMar w:left="340" w:top="1376" w:right="359" w:bottom="1440" w:gutter="0" w:footer="0" w:header="0"/>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80" w:type="dxa"/>
            <w:vAlign w:val="bottom"/>
          </w:tcPr>
          <w:p>
            <w:pPr>
              <w:ind w:left="60"/>
              <w:spacing w:after="0"/>
              <w:rPr>
                <w:sz w:val="20"/>
                <w:szCs w:val="20"/>
                <w:color w:val="auto"/>
              </w:rPr>
            </w:pPr>
            <w:r>
              <w:rPr>
                <w:rFonts w:ascii="Arial" w:cs="Arial" w:eastAsia="Arial" w:hAnsi="Arial"/>
                <w:sz w:val="18"/>
                <w:szCs w:val="18"/>
                <w:b w:val="1"/>
                <w:bCs w:val="1"/>
                <w:color w:val="0A0A0A"/>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2"/>
        </w:trPr>
        <w:tc>
          <w:tcPr>
            <w:tcW w:w="5280" w:type="dxa"/>
            <w:vAlign w:val="bottom"/>
          </w:tcPr>
          <w:p>
            <w:pPr>
              <w:ind w:left="60"/>
              <w:spacing w:after="0"/>
              <w:rPr>
                <w:sz w:val="20"/>
                <w:szCs w:val="20"/>
                <w:color w:val="auto"/>
              </w:rPr>
            </w:pPr>
            <w:r>
              <w:rPr>
                <w:rFonts w:ascii="Arial" w:cs="Arial" w:eastAsia="Arial" w:hAnsi="Arial"/>
                <w:sz w:val="18"/>
                <w:szCs w:val="18"/>
                <w:color w:val="0A0A0A"/>
              </w:rPr>
              <w:t>Purchases of Property &amp; Equipment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60"/>
              <w:spacing w:after="0"/>
              <w:rPr>
                <w:sz w:val="20"/>
                <w:szCs w:val="20"/>
                <w:color w:val="auto"/>
              </w:rPr>
            </w:pPr>
            <w:r>
              <w:rPr>
                <w:rFonts w:ascii="Arial" w:cs="Arial" w:eastAsia="Arial" w:hAnsi="Arial"/>
                <w:sz w:val="18"/>
                <w:szCs w:val="18"/>
                <w:color w:val="0A0A0A"/>
              </w:rPr>
              <w:t>Other, net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80" w:type="dxa"/>
            <w:vAlign w:val="bottom"/>
          </w:tcPr>
          <w:p>
            <w:pPr>
              <w:spacing w:after="0"/>
              <w:rPr>
                <w:sz w:val="20"/>
                <w:szCs w:val="20"/>
                <w:color w:val="auto"/>
              </w:rPr>
            </w:pPr>
            <w:r>
              <w:rPr>
                <w:rFonts w:ascii="Arial" w:cs="Arial" w:eastAsia="Arial" w:hAnsi="Arial"/>
                <w:sz w:val="18"/>
                <w:szCs w:val="18"/>
                <w:b w:val="1"/>
                <w:bCs w:val="1"/>
                <w:color w:val="0A0A0A"/>
              </w:rPr>
              <w:t>Net Cash Used in Investing Activities</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280" w:type="dxa"/>
            <w:vAlign w:val="bottom"/>
          </w:tcPr>
          <w:p>
            <w:pPr>
              <w:ind w:left="60"/>
              <w:spacing w:after="0"/>
              <w:rPr>
                <w:sz w:val="20"/>
                <w:szCs w:val="20"/>
                <w:color w:val="auto"/>
              </w:rPr>
            </w:pPr>
            <w:r>
              <w:rPr>
                <w:rFonts w:ascii="Arial" w:cs="Arial" w:eastAsia="Arial" w:hAnsi="Arial"/>
                <w:sz w:val="18"/>
                <w:szCs w:val="18"/>
                <w:color w:val="0A0A0A"/>
              </w:rPr>
              <w:t>Common Stock Repurchases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60"/>
              <w:spacing w:after="0"/>
              <w:rPr>
                <w:sz w:val="20"/>
                <w:szCs w:val="20"/>
                <w:color w:val="auto"/>
              </w:rPr>
            </w:pPr>
            <w:r>
              <w:rPr>
                <w:rFonts w:ascii="Arial" w:cs="Arial" w:eastAsia="Arial" w:hAnsi="Arial"/>
                <w:sz w:val="18"/>
                <w:szCs w:val="18"/>
                <w:color w:val="0A0A0A"/>
              </w:rPr>
              <w:t>Repayment of Finance Lease Obligations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60"/>
              <w:spacing w:after="0"/>
              <w:rPr>
                <w:sz w:val="20"/>
                <w:szCs w:val="20"/>
                <w:color w:val="auto"/>
              </w:rPr>
            </w:pPr>
            <w:r>
              <w:rPr>
                <w:rFonts w:ascii="Arial" w:cs="Arial" w:eastAsia="Arial" w:hAnsi="Arial"/>
                <w:sz w:val="18"/>
                <w:szCs w:val="18"/>
                <w:color w:val="0A0A0A"/>
              </w:rPr>
              <w:t>Repayment of Borrowings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60"/>
              <w:spacing w:after="0"/>
              <w:rPr>
                <w:sz w:val="20"/>
                <w:szCs w:val="20"/>
                <w:color w:val="auto"/>
              </w:rPr>
            </w:pPr>
            <w:r>
              <w:rPr>
                <w:rFonts w:ascii="Arial" w:cs="Arial" w:eastAsia="Arial" w:hAnsi="Arial"/>
                <w:sz w:val="18"/>
                <w:szCs w:val="18"/>
                <w:color w:val="0A0A0A"/>
              </w:rPr>
              <w:t>Other, net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80" w:type="dxa"/>
            <w:vAlign w:val="bottom"/>
          </w:tcPr>
          <w:p>
            <w:pPr>
              <w:spacing w:after="0"/>
              <w:rPr>
                <w:sz w:val="20"/>
                <w:szCs w:val="20"/>
                <w:color w:val="auto"/>
              </w:rPr>
            </w:pPr>
            <w:r>
              <w:rPr>
                <w:rFonts w:ascii="Arial" w:cs="Arial" w:eastAsia="Arial" w:hAnsi="Arial"/>
                <w:sz w:val="18"/>
                <w:szCs w:val="18"/>
                <w:b w:val="1"/>
                <w:bCs w:val="1"/>
                <w:color w:val="0A0A0A"/>
              </w:rPr>
              <w:t>Net Cash Used in Financing Activities</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280" w:type="dxa"/>
            <w:vAlign w:val="bottom"/>
          </w:tcPr>
          <w:p>
            <w:pPr>
              <w:ind w:left="80"/>
              <w:spacing w:after="0"/>
              <w:rPr>
                <w:sz w:val="20"/>
                <w:szCs w:val="20"/>
                <w:color w:val="auto"/>
              </w:rPr>
            </w:pPr>
            <w:r>
              <w:rPr>
                <w:rFonts w:ascii="Arial" w:cs="Arial" w:eastAsia="Arial" w:hAnsi="Arial"/>
                <w:sz w:val="18"/>
                <w:szCs w:val="18"/>
                <w:color w:val="0A0A0A"/>
              </w:rPr>
              <w:t>Net Decrease in Cash, Cash Equivalents and Restricted Cash</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80" w:type="dxa"/>
            <w:vAlign w:val="bottom"/>
          </w:tcPr>
          <w:p>
            <w:pPr>
              <w:ind w:left="80"/>
              <w:spacing w:after="0" w:line="181" w:lineRule="exact"/>
              <w:rPr>
                <w:sz w:val="20"/>
                <w:szCs w:val="20"/>
                <w:color w:val="auto"/>
              </w:rPr>
            </w:pPr>
            <w:r>
              <w:rPr>
                <w:rFonts w:ascii="Arial" w:cs="Arial" w:eastAsia="Arial" w:hAnsi="Arial"/>
                <w:sz w:val="18"/>
                <w:szCs w:val="18"/>
                <w:color w:val="0A0A0A"/>
              </w:rPr>
              <w:t>Cash, Cash Equivalents and Restricted Cash – Beginning of the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160"/>
              <w:spacing w:after="0"/>
              <w:rPr>
                <w:sz w:val="20"/>
                <w:szCs w:val="20"/>
                <w:color w:val="auto"/>
              </w:rPr>
            </w:pPr>
            <w:r>
              <w:rPr>
                <w:rFonts w:ascii="Arial" w:cs="Arial" w:eastAsia="Arial" w:hAnsi="Arial"/>
                <w:sz w:val="18"/>
                <w:szCs w:val="18"/>
                <w:color w:val="0A0A0A"/>
              </w:rPr>
              <w:t>Period</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280" w:type="dxa"/>
            <w:vAlign w:val="bottom"/>
          </w:tcPr>
          <w:p>
            <w:pPr>
              <w:ind w:left="80"/>
              <w:spacing w:after="0" w:line="181" w:lineRule="exact"/>
              <w:rPr>
                <w:sz w:val="20"/>
                <w:szCs w:val="20"/>
                <w:color w:val="auto"/>
              </w:rPr>
            </w:pPr>
            <w:r>
              <w:rPr>
                <w:rFonts w:ascii="Arial" w:cs="Arial" w:eastAsia="Arial" w:hAnsi="Arial"/>
                <w:sz w:val="18"/>
                <w:szCs w:val="18"/>
                <w:color w:val="0A0A0A"/>
              </w:rPr>
              <w:t>Cash, Cash Equivalents and Restricted Cash –</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5280" w:type="dxa"/>
            <w:vAlign w:val="bottom"/>
            <w:vMerge w:val="restart"/>
          </w:tcPr>
          <w:p>
            <w:pPr>
              <w:ind w:left="160"/>
              <w:spacing w:after="0"/>
              <w:rPr>
                <w:sz w:val="20"/>
                <w:szCs w:val="20"/>
                <w:color w:val="auto"/>
              </w:rPr>
            </w:pPr>
            <w:r>
              <w:rPr>
                <w:rFonts w:ascii="Arial" w:cs="Arial" w:eastAsia="Arial" w:hAnsi="Arial"/>
                <w:sz w:val="18"/>
                <w:szCs w:val="18"/>
                <w:color w:val="0A0A0A"/>
              </w:rPr>
              <w:t>End of the Period</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2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-2199640</wp:posOffset>
            </wp:positionV>
            <wp:extent cx="71234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-1582420</wp:posOffset>
            </wp:positionV>
            <wp:extent cx="712343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-1290955</wp:posOffset>
            </wp:positionV>
            <wp:extent cx="712343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-673735</wp:posOffset>
            </wp:positionV>
            <wp:extent cx="71234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-262255</wp:posOffset>
            </wp:positionV>
            <wp:extent cx="712343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-999490</wp:posOffset>
            </wp:positionV>
            <wp:extent cx="712343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-1908175</wp:posOffset>
            </wp:positionV>
            <wp:extent cx="71234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474"/>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(15.4)</w:t>
            </w:r>
          </w:p>
        </w:tc>
        <w:tc>
          <w:tcPr>
            <w:tcW w:w="7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23"/>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(10.6)</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474"/>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(10.0)</w:t>
            </w:r>
          </w:p>
        </w:tc>
        <w:tc>
          <w:tcPr>
            <w:tcW w:w="7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(14.8)</w:t>
            </w:r>
          </w:p>
        </w:tc>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(9.5)</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r>
      <w:tr>
        <w:trPr>
          <w:trHeight w:val="223"/>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(39.2)</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484"/>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(33.3)</w:t>
            </w:r>
          </w:p>
        </w:tc>
        <w:tc>
          <w:tcPr>
            <w:tcW w:w="7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324"/>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100.5</w:t>
            </w:r>
          </w:p>
        </w:tc>
        <w:tc>
          <w:tcPr>
            <w:tcW w:w="7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90"/>
        </w:trPr>
        <w:tc>
          <w:tcPr>
            <w:tcW w:w="6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r>
      <w:tr>
        <w:trPr>
          <w:trHeight w:val="294"/>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67.1</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77"/>
        </w:trPr>
        <w:tc>
          <w:tcPr>
            <w:tcW w:w="62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r>
      <w:tr>
        <w:trPr>
          <w:trHeight w:val="20"/>
        </w:trPr>
        <w:tc>
          <w:tcPr>
            <w:tcW w:w="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-8255</wp:posOffset>
            </wp:positionV>
            <wp:extent cx="1200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-865505</wp:posOffset>
            </wp:positionV>
            <wp:extent cx="1200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-1774190</wp:posOffset>
            </wp:positionV>
            <wp:extent cx="1200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-2390775</wp:posOffset>
            </wp:positionV>
            <wp:extent cx="1200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480"/>
          </w:cols>
          <w:pgMar w:left="340" w:top="13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00"/>
          </w:cols>
          <w:pgMar w:left="340" w:top="1376"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Net Income per Share, Adjusted EBITDA and Adjusted EBITDA Margin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aforementioned reasons, Adjusted Operating Income, Adjusted Operating Income Margin, Adjusted Income Before Income Tax, Adjusted Pre-tax Margin, Adjusted Net Income, Adjusted Net Income per Share, Adjusted EBITDA and Adjusted EBITDA Margin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357" w:lineRule="exact"/>
        <w:rPr>
          <w:sz w:val="20"/>
          <w:szCs w:val="20"/>
          <w:color w:val="auto"/>
        </w:rPr>
      </w:pPr>
    </w:p>
    <w:p>
      <w:pPr>
        <w:ind w:left="20" w:right="4520"/>
        <w:spacing w:after="0" w:line="343"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352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7"/>
                <w:szCs w:val="17"/>
                <w:color w:val="auto"/>
              </w:rPr>
            </w:pPr>
          </w:p>
        </w:tc>
      </w:tr>
      <w:tr>
        <w:trPr>
          <w:trHeight w:val="203"/>
        </w:trPr>
        <w:tc>
          <w:tcPr>
            <w:tcW w:w="6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28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326.6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311.5</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55.2</w:t>
            </w:r>
          </w:p>
        </w:tc>
      </w:tr>
      <w:tr>
        <w:trPr>
          <w:trHeight w:val="230"/>
        </w:trPr>
        <w:tc>
          <w:tcPr>
            <w:tcW w:w="6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Compensation Expense</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128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59.7</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1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r>
      <w:tr>
        <w:trPr>
          <w:trHeight w:val="239"/>
        </w:trPr>
        <w:tc>
          <w:tcPr>
            <w:tcW w:w="6980" w:type="dxa"/>
            <w:vAlign w:val="bottom"/>
          </w:tcPr>
          <w:p>
            <w:pPr>
              <w:ind w:left="20"/>
              <w:spacing w:after="0"/>
              <w:rPr>
                <w:sz w:val="20"/>
                <w:szCs w:val="20"/>
                <w:color w:val="auto"/>
              </w:rPr>
            </w:pPr>
            <w:r>
              <w:rPr>
                <w:rFonts w:ascii="Arial" w:cs="Arial" w:eastAsia="Arial" w:hAnsi="Arial"/>
                <w:sz w:val="18"/>
                <w:szCs w:val="18"/>
                <w:color w:val="auto"/>
              </w:rPr>
              <w:t>Adjusted Operating Income Margin</w:t>
            </w:r>
          </w:p>
        </w:tc>
        <w:tc>
          <w:tcPr>
            <w:tcW w:w="1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18.3 %</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18.2 %</w:t>
            </w:r>
          </w:p>
        </w:tc>
      </w:tr>
    </w:tbl>
    <w:p>
      <w:pPr>
        <w:spacing w:after="0" w:line="27" w:lineRule="exact"/>
        <w:rPr>
          <w:sz w:val="20"/>
          <w:szCs w:val="20"/>
          <w:color w:val="auto"/>
        </w:rPr>
      </w:pPr>
    </w:p>
    <w:p>
      <w:pPr>
        <w:ind w:left="440" w:hanging="414"/>
        <w:spacing w:after="0"/>
        <w:tabs>
          <w:tab w:leader="none" w:pos="440" w:val="left"/>
        </w:tabs>
        <w:numPr>
          <w:ilvl w:val="0"/>
          <w:numId w:val="5"/>
        </w:numPr>
        <w:rPr>
          <w:rFonts w:ascii="Arial" w:cs="Arial" w:eastAsia="Arial" w:hAnsi="Arial"/>
          <w:sz w:val="29"/>
          <w:szCs w:val="29"/>
          <w:color w:val="auto"/>
          <w:vertAlign w:val="superscript"/>
        </w:rPr>
      </w:pPr>
      <w:r>
        <w:rPr>
          <w:rFonts w:ascii="Arial" w:cs="Arial" w:eastAsia="Arial" w:hAnsi="Arial"/>
          <w:sz w:val="14"/>
          <w:szCs w:val="14"/>
          <w:color w:val="auto"/>
        </w:rPr>
        <w:t>See Note 1 on page 6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40"/>
          </w:cols>
          <w:pgMar w:left="320" w:top="1282" w:right="339" w:bottom="1440" w:gutter="0" w:footer="0" w:header="0"/>
        </w:sectPr>
      </w:pPr>
    </w:p>
    <w:bookmarkStart w:id="13" w:name="page14"/>
    <w:bookmarkEnd w:id="13"/>
    <w:p>
      <w:pPr>
        <w:ind w:left="20" w:right="3480"/>
        <w:spacing w:after="0" w:line="343" w:lineRule="auto"/>
        <w:rPr>
          <w:sz w:val="20"/>
          <w:szCs w:val="20"/>
          <w:color w:val="auto"/>
        </w:rPr>
      </w:pPr>
      <w:r>
        <w:rPr>
          <w:rFonts w:ascii="Arial" w:cs="Arial" w:eastAsia="Arial" w:hAnsi="Arial"/>
          <w:sz w:val="18"/>
          <w:szCs w:val="18"/>
          <w:b w:val="1"/>
          <w:bCs w:val="1"/>
          <w:color w:val="auto"/>
        </w:rPr>
        <w:t>Reconciliation of GAAP Income Before Income Tax to Adjusted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before income tax to adjusted income before income tax.</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35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Pr>
          <w:p>
            <w:pPr>
              <w:spacing w:after="0"/>
              <w:rPr>
                <w:sz w:val="17"/>
                <w:szCs w:val="17"/>
                <w:color w:val="auto"/>
              </w:rPr>
            </w:pPr>
          </w:p>
        </w:tc>
      </w:tr>
      <w:tr>
        <w:trPr>
          <w:trHeight w:val="204"/>
        </w:trPr>
        <w:tc>
          <w:tcPr>
            <w:tcW w:w="6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35.3</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11.2</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46.6</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14.9 %</w:t>
            </w:r>
          </w:p>
        </w:tc>
      </w:tr>
      <w:tr>
        <w:trPr>
          <w:trHeight w:val="229"/>
        </w:trPr>
        <w:tc>
          <w:tcPr>
            <w:tcW w:w="6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36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Credit Facility</w:t>
            </w:r>
          </w:p>
        </w:tc>
        <w:tc>
          <w:tcPr>
            <w:tcW w:w="1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Secondary Offering Costs</w:t>
            </w: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w:t>
            </w:r>
          </w:p>
        </w:tc>
        <w:tc>
          <w:tcPr>
            <w:tcW w:w="136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r>
    </w:tbl>
    <w:p>
      <w:pPr>
        <w:spacing w:after="0" w:line="91" w:lineRule="exact"/>
        <w:rPr>
          <w:sz w:val="20"/>
          <w:szCs w:val="20"/>
          <w:color w:val="auto"/>
        </w:rPr>
      </w:pPr>
    </w:p>
    <w:p>
      <w:pPr>
        <w:ind w:left="440" w:hanging="414"/>
        <w:spacing w:after="0"/>
        <w:tabs>
          <w:tab w:leader="none" w:pos="44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See Note 1 on page 6 of this release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right="1140"/>
        <w:spacing w:after="0" w:line="378" w:lineRule="auto"/>
        <w:rPr>
          <w:sz w:val="20"/>
          <w:szCs w:val="20"/>
          <w:color w:val="auto"/>
        </w:rPr>
      </w:pPr>
      <w:r>
        <w:rPr>
          <w:rFonts w:ascii="Arial" w:cs="Arial" w:eastAsia="Arial" w:hAnsi="Arial"/>
          <w:sz w:val="17"/>
          <w:szCs w:val="17"/>
          <w:b w:val="1"/>
          <w:bCs w:val="1"/>
          <w:color w:val="auto"/>
        </w:rPr>
        <w:t>Reconciliation of GAAP Net Income and Earnings per Share to Adjusted Net Income and Adjusted Earnings per Share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93"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following table presents the reconciliation of GAAP net income and earnings per share to adjusted net income and adjusted earnings per share.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1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1460" w:type="dxa"/>
            <w:vAlign w:val="bottom"/>
            <w:tcBorders>
              <w:bottom w:val="single" w:sz="8" w:color="auto"/>
            </w:tcBorders>
          </w:tcPr>
          <w:p>
            <w:pPr>
              <w:spacing w:after="0"/>
              <w:rPr>
                <w:sz w:val="17"/>
                <w:szCs w:val="17"/>
                <w:color w:val="auto"/>
              </w:rPr>
            </w:pPr>
          </w:p>
        </w:tc>
      </w:tr>
      <w:tr>
        <w:trPr>
          <w:trHeight w:val="196"/>
        </w:trPr>
        <w:tc>
          <w:tcPr>
            <w:tcW w:w="4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 - diluted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Per Share - diluted</w:t>
            </w: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Loss on Credit Facility</w:t>
            </w: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Offering Costs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(2)</w:t>
            </w:r>
          </w:p>
        </w:tc>
        <w:tc>
          <w:tcPr>
            <w:tcW w:w="10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 count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bl>
    <w:p>
      <w:pPr>
        <w:spacing w:after="0" w:line="253" w:lineRule="exact"/>
        <w:rPr>
          <w:sz w:val="20"/>
          <w:szCs w:val="20"/>
          <w:color w:val="auto"/>
        </w:rPr>
      </w:pPr>
    </w:p>
    <w:p>
      <w:pPr>
        <w:ind w:left="440" w:hanging="414"/>
        <w:spacing w:after="0"/>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See Note 1 on page 6 of this release</w:t>
      </w:r>
    </w:p>
    <w:p>
      <w:pPr>
        <w:spacing w:after="0" w:line="39" w:lineRule="exact"/>
        <w:rPr>
          <w:rFonts w:ascii="Arial" w:cs="Arial" w:eastAsia="Arial" w:hAnsi="Arial"/>
          <w:sz w:val="29"/>
          <w:szCs w:val="29"/>
          <w:color w:val="auto"/>
          <w:vertAlign w:val="superscript"/>
        </w:rPr>
      </w:pPr>
    </w:p>
    <w:p>
      <w:pPr>
        <w:ind w:left="440" w:hanging="414"/>
        <w:spacing w:after="0"/>
        <w:tabs>
          <w:tab w:leader="none" w:pos="4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application period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20"/>
          </w:cols>
          <w:pgMar w:left="320" w:top="1174" w:right="359" w:bottom="1440" w:gutter="0" w:footer="0" w:header="0"/>
        </w:sectPr>
      </w:pPr>
    </w:p>
    <w:bookmarkStart w:id="14" w:name="page15"/>
    <w:bookmarkEnd w:id="14"/>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GAAP Net Income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net income to adjusted EBITDA for the periods presented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35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Pr>
          <w:p>
            <w:pPr>
              <w:spacing w:after="0"/>
              <w:rPr>
                <w:sz w:val="17"/>
                <w:szCs w:val="17"/>
                <w:color w:val="auto"/>
              </w:rPr>
            </w:pPr>
          </w:p>
        </w:tc>
      </w:tr>
      <w:tr>
        <w:trPr>
          <w:trHeight w:val="203"/>
        </w:trPr>
        <w:tc>
          <w:tcPr>
            <w:tcW w:w="69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7"/>
                <w:szCs w:val="17"/>
                <w:color w:val="auto"/>
              </w:rPr>
            </w:pPr>
          </w:p>
        </w:tc>
      </w:tr>
      <w:tr>
        <w:trPr>
          <w:trHeight w:val="224"/>
        </w:trPr>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340" w:type="dxa"/>
            <w:vAlign w:val="bottom"/>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35.3</w:t>
            </w:r>
          </w:p>
        </w:tc>
      </w:tr>
      <w:tr>
        <w:trPr>
          <w:trHeight w:val="229"/>
        </w:trPr>
        <w:tc>
          <w:tcPr>
            <w:tcW w:w="696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30"/>
        </w:trPr>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w:t>
            </w:r>
          </w:p>
        </w:tc>
      </w:tr>
      <w:tr>
        <w:trPr>
          <w:trHeight w:val="229"/>
        </w:trPr>
        <w:tc>
          <w:tcPr>
            <w:tcW w:w="6960" w:type="dxa"/>
            <w:vAlign w:val="bottom"/>
          </w:tcPr>
          <w:p>
            <w:pPr>
              <w:ind w:left="8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134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r>
      <w:tr>
        <w:trPr>
          <w:trHeight w:val="230"/>
        </w:trPr>
        <w:tc>
          <w:tcPr>
            <w:tcW w:w="6960" w:type="dxa"/>
            <w:vAlign w:val="bottom"/>
          </w:tcPr>
          <w:p>
            <w:pPr>
              <w:ind w:left="80"/>
              <w:spacing w:after="0"/>
              <w:rPr>
                <w:sz w:val="20"/>
                <w:szCs w:val="20"/>
                <w:color w:val="auto"/>
              </w:rPr>
            </w:pPr>
            <w:r>
              <w:rPr>
                <w:rFonts w:ascii="Arial" w:cs="Arial" w:eastAsia="Arial" w:hAnsi="Arial"/>
                <w:sz w:val="18"/>
                <w:szCs w:val="18"/>
                <w:color w:val="auto"/>
              </w:rPr>
              <w:t>Secondary Offering Costs</w:t>
            </w:r>
          </w:p>
        </w:tc>
        <w:tc>
          <w:tcPr>
            <w:tcW w:w="134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w:t>
            </w:r>
          </w:p>
        </w:tc>
      </w:tr>
      <w:tr>
        <w:trPr>
          <w:trHeight w:val="230"/>
        </w:trPr>
        <w:tc>
          <w:tcPr>
            <w:tcW w:w="6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23.8</w:t>
            </w:r>
          </w:p>
        </w:tc>
      </w:tr>
      <w:tr>
        <w:trPr>
          <w:trHeight w:val="248"/>
        </w:trPr>
        <w:tc>
          <w:tcPr>
            <w:tcW w:w="6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34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80.5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6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 margin</w:t>
            </w:r>
          </w:p>
        </w:tc>
        <w:tc>
          <w:tcPr>
            <w:tcW w:w="1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r>
    </w:tbl>
    <w:p>
      <w:pPr>
        <w:spacing w:after="0" w:line="77" w:lineRule="exact"/>
        <w:rPr>
          <w:sz w:val="20"/>
          <w:szCs w:val="20"/>
          <w:color w:val="auto"/>
        </w:rPr>
      </w:pPr>
    </w:p>
    <w:p>
      <w:pPr>
        <w:ind w:left="440" w:hanging="414"/>
        <w:spacing w:after="0"/>
        <w:tabs>
          <w:tab w:leader="none" w:pos="440" w:val="left"/>
        </w:tabs>
        <w:numPr>
          <w:ilvl w:val="0"/>
          <w:numId w:val="8"/>
        </w:numPr>
        <w:rPr>
          <w:rFonts w:ascii="Arial" w:cs="Arial" w:eastAsia="Arial" w:hAnsi="Arial"/>
          <w:sz w:val="29"/>
          <w:szCs w:val="29"/>
          <w:color w:val="auto"/>
          <w:vertAlign w:val="superscript"/>
        </w:rPr>
      </w:pPr>
      <w:r>
        <w:rPr>
          <w:rFonts w:ascii="Arial" w:cs="Arial" w:eastAsia="Arial" w:hAnsi="Arial"/>
          <w:sz w:val="14"/>
          <w:szCs w:val="14"/>
          <w:color w:val="auto"/>
        </w:rPr>
        <w:t>See Note 1 on page 6 of this release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20"/>
          </w:cols>
          <w:pgMar w:left="320" w:top="1440"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Adjusted CASM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stock based compensation, depreciation and amortization recognized on certain assets that generate lease income,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and depreciation recognized on certain assets that generate lease income as these operations do not create ASMs. We have entered into a series of transactions where we serve as a lessor. As of March 31, 2025, we leased or subleased six aircraft. Adjusted CASM further excludes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282"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182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gridSpan w:val="4"/>
          </w:tcPr>
          <w:p>
            <w:pPr>
              <w:jc w:val="center"/>
              <w:ind w:right="240"/>
              <w:spacing w:after="0" w:line="147"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5"/>
        </w:trPr>
        <w:tc>
          <w:tcPr>
            <w:tcW w:w="4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9"/>
        </w:trPr>
        <w:tc>
          <w:tcPr>
            <w:tcW w:w="474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80"/>
              <w:spacing w:after="0" w:line="230" w:lineRule="exact"/>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Leased Aircraft, Depreciation and Amortization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40" w:hanging="414"/>
        <w:spacing w:after="0"/>
        <w:tabs>
          <w:tab w:leader="none" w:pos="44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See Note 1 on page 6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14</w:t>
      </w:r>
    </w:p>
    <w:sectPr>
      <w:pgSz w:w="11900" w:h="16838" w:orient="portrait"/>
      <w:cols w:equalWidth="0" w:num="1">
        <w:col w:w="11220"/>
      </w:cols>
      <w:pgMar w:left="320" w:top="11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2025-05-01T15:22:06Z</dcterms:created>
  <dcterms:modified xsi:type="dcterms:W3CDTF">2025-05-01T15:22:06Z</dcterms:modified>
</cp:coreProperties>
</file>