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5,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7" w:lineRule="exact"/>
        <w:rPr>
          <w:sz w:val="24"/>
          <w:szCs w:val="24"/>
          <w:color w:val="auto"/>
        </w:rPr>
      </w:pPr>
    </w:p>
    <w:tbl>
      <w:tblPr>
        <w:tblLayout w:type="fixed"/>
        <w:tblInd w:w="1360" w:type="dxa"/>
        <w:tblCellMar>
          <w:top w:w="0" w:type="dxa"/>
          <w:left w:w="0" w:type="dxa"/>
          <w:bottom w:w="0" w:type="dxa"/>
          <w:right w:w="0" w:type="dxa"/>
        </w:tblCellMar>
      </w:tblPr>
      <w:tr>
        <w:trPr>
          <w:trHeight w:val="238"/>
        </w:trPr>
        <w:tc>
          <w:tcPr>
            <w:tcW w:w="3320" w:type="dxa"/>
            <w:vAlign w:val="bottom"/>
          </w:tcPr>
          <w:p>
            <w:pPr>
              <w:jc w:val="center"/>
              <w:ind w:right="22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3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001-40217</w:t>
            </w:r>
          </w:p>
        </w:tc>
        <w:tc>
          <w:tcPr>
            <w:tcW w:w="29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82-4092570</w:t>
            </w:r>
          </w:p>
        </w:tc>
      </w:tr>
      <w:tr>
        <w:trPr>
          <w:trHeight w:val="252"/>
        </w:trPr>
        <w:tc>
          <w:tcPr>
            <w:tcW w:w="3320" w:type="dxa"/>
            <w:vAlign w:val="bottom"/>
          </w:tcPr>
          <w:p>
            <w:pPr>
              <w:jc w:val="center"/>
              <w:ind w:right="2210"/>
              <w:spacing w:after="0"/>
              <w:rPr>
                <w:sz w:val="20"/>
                <w:szCs w:val="20"/>
                <w:color w:val="auto"/>
              </w:rPr>
            </w:pPr>
            <w:r>
              <w:rPr>
                <w:rFonts w:ascii="Times New Roman" w:cs="Times New Roman" w:eastAsia="Times New Roman" w:hAnsi="Times New Roman"/>
                <w:sz w:val="18"/>
                <w:szCs w:val="18"/>
                <w:color w:val="auto"/>
              </w:rPr>
              <w:t>(State of</w:t>
            </w:r>
          </w:p>
        </w:tc>
        <w:tc>
          <w:tcPr>
            <w:tcW w:w="23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(Commission</w:t>
            </w:r>
          </w:p>
        </w:tc>
        <w:tc>
          <w:tcPr>
            <w:tcW w:w="2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20" w:type="dxa"/>
            <w:vAlign w:val="bottom"/>
          </w:tcPr>
          <w:p>
            <w:pPr>
              <w:jc w:val="center"/>
              <w:ind w:right="2190"/>
              <w:spacing w:after="0"/>
              <w:rPr>
                <w:sz w:val="20"/>
                <w:szCs w:val="20"/>
                <w:color w:val="auto"/>
              </w:rPr>
            </w:pPr>
            <w:r>
              <w:rPr>
                <w:rFonts w:ascii="Times New Roman" w:cs="Times New Roman" w:eastAsia="Times New Roman" w:hAnsi="Times New Roman"/>
                <w:sz w:val="18"/>
                <w:szCs w:val="18"/>
                <w:color w:val="auto"/>
                <w:w w:val="99"/>
              </w:rPr>
              <w:t>Incorporation)</w:t>
            </w:r>
          </w:p>
        </w:tc>
        <w:tc>
          <w:tcPr>
            <w:tcW w:w="23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File Number)</w:t>
            </w:r>
          </w:p>
        </w:tc>
        <w:tc>
          <w:tcPr>
            <w:tcW w:w="298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80"/>
        </w:trPr>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2005 Cargo Road</w:t>
            </w:r>
          </w:p>
        </w:tc>
        <w:tc>
          <w:tcPr>
            <w:tcW w:w="23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73"/>
        </w:trPr>
        <w:tc>
          <w:tcPr>
            <w:tcW w:w="332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Minneapolis, Minnesota</w:t>
            </w:r>
          </w:p>
        </w:tc>
        <w:tc>
          <w:tcPr>
            <w:tcW w:w="2380" w:type="dxa"/>
            <w:vAlign w:val="bottom"/>
          </w:tcPr>
          <w:p>
            <w:pPr>
              <w:spacing w:after="0"/>
              <w:rPr>
                <w:sz w:val="24"/>
                <w:szCs w:val="24"/>
                <w:color w:val="auto"/>
              </w:rPr>
            </w:pPr>
          </w:p>
        </w:tc>
        <w:tc>
          <w:tcPr>
            <w:tcW w:w="2980" w:type="dxa"/>
            <w:vAlign w:val="bottom"/>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55450</w:t>
            </w:r>
          </w:p>
        </w:tc>
      </w:tr>
      <w:tr>
        <w:trPr>
          <w:trHeight w:val="243"/>
        </w:trPr>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380" w:type="dxa"/>
            <w:vAlign w:val="bottom"/>
          </w:tcPr>
          <w:p>
            <w:pPr>
              <w:spacing w:after="0"/>
              <w:rPr>
                <w:sz w:val="21"/>
                <w:szCs w:val="21"/>
                <w:color w:val="auto"/>
              </w:rPr>
            </w:pPr>
          </w:p>
        </w:tc>
        <w:tc>
          <w:tcPr>
            <w:tcW w:w="29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651 681-3900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64"/>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4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9"/>
              </w:rPr>
              <w:t>SNCY</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06"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February 5, 2026, Sun Country Airlines Holdings, Inc. issued a press release announcing its financial results for the year and fiscal quarter ended December 31, 2025. A copy of the press release is attached hereto as Exhibit 99.1 and incorporated by reference herein.</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of 1934, as amended, regardless of any general incorporation language in such filings, unless expressly incorporated by specific reference in such filing.</w:t>
      </w:r>
    </w:p>
    <w:p>
      <w:pPr>
        <w:spacing w:after="0" w:line="28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tc>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86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3"/>
                <w:szCs w:val="23"/>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6860" w:type="dxa"/>
            <w:vAlign w:val="bottom"/>
            <w:tcBorders>
              <w:bottom w:val="single" w:sz="8" w:color="auto"/>
            </w:tcBorders>
          </w:tcPr>
          <w:p>
            <w:pPr>
              <w:spacing w:after="0"/>
              <w:rPr>
                <w:sz w:val="2"/>
                <w:szCs w:val="2"/>
                <w:color w:val="auto"/>
              </w:rPr>
            </w:pPr>
          </w:p>
        </w:tc>
      </w:tr>
      <w:tr>
        <w:trPr>
          <w:trHeight w:val="196"/>
        </w:trPr>
        <w:tc>
          <w:tcPr>
            <w:tcW w:w="15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February 5, 2026</w:t>
            </w:r>
          </w:p>
        </w:tc>
      </w:tr>
      <w:tr>
        <w:trPr>
          <w:trHeight w:val="20"/>
        </w:trPr>
        <w:tc>
          <w:tcPr>
            <w:tcW w:w="3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291"/>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46"/>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6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2026</w:t>
            </w:r>
          </w:p>
        </w:tc>
        <w:tc>
          <w:tcPr>
            <w:tcW w:w="7900" w:type="dxa"/>
            <w:vAlign w:val="bottom"/>
            <w:gridSpan w:val="3"/>
          </w:tcPr>
          <w:p>
            <w:pPr>
              <w:ind w:left="1660"/>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tc>
      </w:tr>
      <w:tr>
        <w:trPr>
          <w:trHeight w:val="513"/>
        </w:trPr>
        <w:tc>
          <w:tcPr>
            <w:tcW w:w="3320" w:type="dxa"/>
            <w:vAlign w:val="bottom"/>
          </w:tcPr>
          <w:p>
            <w:pPr>
              <w:spacing w:after="0"/>
              <w:rPr>
                <w:sz w:val="24"/>
                <w:szCs w:val="24"/>
                <w:color w:val="auto"/>
              </w:rPr>
            </w:pPr>
          </w:p>
        </w:tc>
        <w:tc>
          <w:tcPr>
            <w:tcW w:w="79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By:  /s/ Erin Rose Neale</w:t>
            </w:r>
          </w:p>
        </w:tc>
      </w:tr>
      <w:tr>
        <w:trPr>
          <w:trHeight w:val="218"/>
        </w:trPr>
        <w:tc>
          <w:tcPr>
            <w:tcW w:w="3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Erin Rose Neale</w:t>
            </w:r>
          </w:p>
        </w:tc>
      </w:tr>
      <w:tr>
        <w:trPr>
          <w:trHeight w:val="234"/>
        </w:trPr>
        <w:tc>
          <w:tcPr>
            <w:tcW w:w="33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Legal Officer, Senior Vice President, and Corporate Secretary</w:t>
            </w:r>
          </w:p>
        </w:tc>
      </w:tr>
    </w:tbl>
    <w:p>
      <w:pPr>
        <w:sectPr>
          <w:pgSz w:w="11900" w:h="16838" w:orient="portrait"/>
          <w:cols w:equalWidth="0" w:num="1">
            <w:col w:w="11240"/>
          </w:cols>
          <w:pgMar w:left="320" w:top="1143" w:right="339" w:bottom="1440" w:gutter="0" w:footer="0" w:header="0"/>
        </w:sectPr>
      </w:pPr>
    </w:p>
    <w:bookmarkStart w:id="3" w:name="page4"/>
    <w:bookmarkEnd w:id="3"/>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243205</wp:posOffset>
            </wp:positionV>
            <wp:extent cx="2571750"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1435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jc w:val="center"/>
        <w:spacing w:after="0" w:line="232" w:lineRule="auto"/>
        <w:rPr>
          <w:sz w:val="20"/>
          <w:szCs w:val="20"/>
          <w:color w:val="auto"/>
        </w:rPr>
      </w:pPr>
      <w:r>
        <w:rPr>
          <w:rFonts w:ascii="Arial" w:cs="Arial" w:eastAsia="Arial" w:hAnsi="Arial"/>
          <w:sz w:val="18"/>
          <w:szCs w:val="18"/>
          <w:b w:val="1"/>
          <w:bCs w:val="1"/>
          <w:color w:val="auto"/>
        </w:rPr>
        <w:t xml:space="preserve">Sun Country Airlines Reports Fourth Quarter and Full Year 2025 Results </w:t>
      </w:r>
      <w:r>
        <w:rPr>
          <w:rFonts w:ascii="Arial" w:cs="Arial" w:eastAsia="Arial" w:hAnsi="Arial"/>
          <w:sz w:val="18"/>
          <w:szCs w:val="18"/>
          <w:i w:val="1"/>
          <w:iCs w:val="1"/>
          <w:color w:val="auto"/>
        </w:rPr>
        <w:t xml:space="preserve">Fourteenth consecutive quarter and fifth consecutive year of profitability </w:t>
      </w:r>
      <w:r>
        <w:rPr>
          <w:rFonts w:ascii="Arial" w:cs="Arial" w:eastAsia="Arial" w:hAnsi="Arial"/>
          <w:sz w:val="18"/>
          <w:szCs w:val="18"/>
          <w:color w:val="auto"/>
        </w:rPr>
        <w:t>Q4 2025 total revenue of $281.0 million, highest fourth quarter on record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Q4 2025 GAAP diluted EPS of $0.15 and adjusted diluted EPS of $0.17</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FY 2025 total revenue of $1.13 billion, highest full year on record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FY 2025 GAAP diluted EPS of $0.96 and adjusted diluted EPS of $1.10</w:t>
      </w:r>
      <w:r>
        <w:rPr>
          <w:rFonts w:ascii="Arial" w:cs="Arial" w:eastAsia="Arial" w:hAnsi="Arial"/>
          <w:sz w:val="23"/>
          <w:szCs w:val="23"/>
          <w:color w:val="auto"/>
          <w:vertAlign w:val="superscript"/>
        </w:rPr>
        <w:t>(2)</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MINNEAPOLIS. February 5, 2026. Sun Country Airlines Holdings, Inc. (“Sun Country Airlines,” “Sun Country,” the “Company”) (</w:t>
      </w:r>
      <w:r>
        <w:rPr>
          <w:rFonts w:ascii="Arial" w:cs="Arial" w:eastAsia="Arial" w:hAnsi="Arial"/>
          <w:sz w:val="18"/>
          <w:szCs w:val="18"/>
          <w:color w:val="0563C1"/>
        </w:rPr>
        <w:t>NASDAQ:</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563C1"/>
        </w:rPr>
        <w:t>SNCY</w:t>
      </w:r>
      <w:r>
        <w:rPr>
          <w:rFonts w:ascii="Arial" w:cs="Arial" w:eastAsia="Arial" w:hAnsi="Arial"/>
          <w:sz w:val="18"/>
          <w:szCs w:val="18"/>
          <w:color w:val="000000"/>
        </w:rPr>
        <w:t>) today reported financial results for its fourth quarter and full year ended December 31, 2025.</w:t>
      </w:r>
    </w:p>
    <w:p>
      <w:pPr>
        <w:spacing w:after="0" w:line="221"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"I'm proud to report our 14th consecutive profitable quarter and fifth consecutive year of profitability," said Jude Bricker, President and Chief Executive Officer of Sun Country. "2025 was a transformative and successful year for Sun Country. We expanded our cargo fleet by eight</w:t>
      </w:r>
    </w:p>
    <w:p>
      <w:pPr>
        <w:spacing w:after="0" w:line="1"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aircraft to strengthen our cargo business. This strategic growth required deliberate capacity adjustments in our scheduled service network, and despite this complexity, we delivered margins that are among the highest in the industry. This achievement reflects the exceptional</w:t>
      </w:r>
    </w:p>
    <w:p>
      <w:pPr>
        <w:spacing w:after="0" w:line="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dedication and effort of our team. R</w:t>
      </w:r>
      <w:r>
        <w:rPr>
          <w:rFonts w:ascii="Arial" w:cs="Arial" w:eastAsia="Arial" w:hAnsi="Arial"/>
          <w:sz w:val="18"/>
          <w:szCs w:val="18"/>
          <w:color w:val="0A0A0A"/>
        </w:rPr>
        <w:t>ecently, we announced our transformative</w:t>
      </w:r>
      <w:r>
        <w:rPr>
          <w:rFonts w:ascii="Arial" w:cs="Arial" w:eastAsia="Arial" w:hAnsi="Arial"/>
          <w:sz w:val="18"/>
          <w:szCs w:val="18"/>
          <w:color w:val="auto"/>
        </w:rPr>
        <w:t xml:space="preserve"> merger with Allegiant, and we are looking forward to capitalizing on our promise of our combined airline for our customers, employees, and shareholders alike. </w:t>
      </w:r>
      <w:r>
        <w:rPr>
          <w:rFonts w:ascii="Arial" w:cs="Arial" w:eastAsia="Arial" w:hAnsi="Arial"/>
          <w:sz w:val="18"/>
          <w:szCs w:val="18"/>
          <w:color w:val="0A0A0A"/>
        </w:rPr>
        <w:t>We continue to focus on executing</w:t>
      </w:r>
      <w:r>
        <w:rPr>
          <w:rFonts w:ascii="Arial" w:cs="Arial" w:eastAsia="Arial" w:hAnsi="Arial"/>
          <w:sz w:val="18"/>
          <w:szCs w:val="18"/>
          <w:color w:val="auto"/>
        </w:rPr>
        <w:t xml:space="preserve"> </w:t>
      </w:r>
      <w:r>
        <w:rPr>
          <w:rFonts w:ascii="Arial" w:cs="Arial" w:eastAsia="Arial" w:hAnsi="Arial"/>
          <w:sz w:val="18"/>
          <w:szCs w:val="18"/>
          <w:color w:val="0A0A0A"/>
        </w:rPr>
        <w:t>a safe, reliable profitable airline</w:t>
      </w:r>
      <w:r>
        <w:rPr>
          <w:rFonts w:ascii="Arial" w:cs="Arial" w:eastAsia="Arial" w:hAnsi="Arial"/>
          <w:sz w:val="18"/>
          <w:szCs w:val="18"/>
          <w:color w:val="000000"/>
        </w:rPr>
        <w: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Fourth Quarter and Full Year</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380" w:type="dxa"/>
            <w:vAlign w:val="bottom"/>
            <w:gridSpan w:val="3"/>
          </w:tcPr>
          <w:p>
            <w:pPr>
              <w:jc w:val="right"/>
              <w:ind w:right="675"/>
              <w:spacing w:after="0"/>
              <w:rPr>
                <w:sz w:val="20"/>
                <w:szCs w:val="20"/>
                <w:color w:val="auto"/>
              </w:rPr>
            </w:pPr>
            <w:r>
              <w:rPr>
                <w:rFonts w:ascii="Arial" w:cs="Arial" w:eastAsia="Arial" w:hAnsi="Arial"/>
                <w:sz w:val="14"/>
                <w:szCs w:val="14"/>
                <w:b w:val="1"/>
                <w:bCs w:val="1"/>
                <w:color w:val="auto"/>
              </w:rPr>
              <w:t>Three Months Ended December 31,</w:t>
            </w:r>
          </w:p>
        </w:tc>
        <w:tc>
          <w:tcPr>
            <w:tcW w:w="1500" w:type="dxa"/>
            <w:vAlign w:val="bottom"/>
          </w:tcPr>
          <w:p>
            <w:pPr>
              <w:spacing w:after="0"/>
              <w:rPr>
                <w:sz w:val="17"/>
                <w:szCs w:val="17"/>
                <w:color w:val="auto"/>
              </w:rPr>
            </w:pPr>
          </w:p>
        </w:tc>
      </w:tr>
      <w:tr>
        <w:trPr>
          <w:trHeight w:val="204"/>
        </w:trPr>
        <w:tc>
          <w:tcPr>
            <w:tcW w:w="4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5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0A0A0A"/>
              </w:rPr>
              <w:t>2025</w:t>
            </w:r>
          </w:p>
        </w:tc>
        <w:tc>
          <w:tcPr>
            <w:tcW w:w="4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0A0A0A"/>
              </w:rPr>
              <w:t>2024</w:t>
            </w:r>
          </w:p>
        </w:tc>
        <w:tc>
          <w:tcPr>
            <w:tcW w:w="15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0A0A0A"/>
              </w:rPr>
              <w:t>% Change</w:t>
            </w:r>
          </w:p>
        </w:tc>
      </w:tr>
      <w:tr>
        <w:trPr>
          <w:trHeight w:val="224"/>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Operating Revenue</w:t>
            </w: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0A0A0A"/>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281.0</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0A0A0A"/>
              </w:rPr>
              <w:t>260.4</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7.9</w:t>
            </w:r>
          </w:p>
        </w:tc>
      </w:tr>
      <w:tr>
        <w:trPr>
          <w:trHeight w:val="229"/>
        </w:trPr>
        <w:tc>
          <w:tcPr>
            <w:tcW w:w="4800" w:type="dxa"/>
            <w:vAlign w:val="bottom"/>
          </w:tcPr>
          <w:p>
            <w:pPr>
              <w:ind w:left="80"/>
              <w:spacing w:after="0"/>
              <w:rPr>
                <w:sz w:val="20"/>
                <w:szCs w:val="20"/>
                <w:color w:val="auto"/>
              </w:rPr>
            </w:pPr>
            <w:r>
              <w:rPr>
                <w:rFonts w:ascii="Arial" w:cs="Arial" w:eastAsia="Arial" w:hAnsi="Arial"/>
                <w:sz w:val="18"/>
                <w:szCs w:val="18"/>
                <w:color w:val="0A0A0A"/>
              </w:rPr>
              <w:t>Operating Income</w:t>
            </w:r>
          </w:p>
        </w:tc>
        <w:tc>
          <w:tcPr>
            <w:tcW w:w="15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0A0A0A"/>
              </w:rPr>
              <w:t>18.2</w:t>
            </w:r>
          </w:p>
        </w:tc>
        <w:tc>
          <w:tcPr>
            <w:tcW w:w="440" w:type="dxa"/>
            <w:vAlign w:val="bottom"/>
          </w:tcPr>
          <w:p>
            <w:pPr>
              <w:spacing w:after="0"/>
              <w:rPr>
                <w:sz w:val="19"/>
                <w:szCs w:val="19"/>
                <w:color w:val="auto"/>
              </w:rPr>
            </w:pPr>
          </w:p>
        </w:tc>
        <w:tc>
          <w:tcPr>
            <w:tcW w:w="1540" w:type="dxa"/>
            <w:vAlign w:val="bottom"/>
          </w:tcPr>
          <w:p>
            <w:pPr>
              <w:jc w:val="right"/>
              <w:ind w:right="215"/>
              <w:spacing w:after="0"/>
              <w:rPr>
                <w:sz w:val="20"/>
                <w:szCs w:val="20"/>
                <w:color w:val="auto"/>
              </w:rPr>
            </w:pPr>
            <w:r>
              <w:rPr>
                <w:rFonts w:ascii="Arial" w:cs="Arial" w:eastAsia="Arial" w:hAnsi="Arial"/>
                <w:sz w:val="18"/>
                <w:szCs w:val="18"/>
                <w:color w:val="0A0A0A"/>
              </w:rPr>
              <w:t>26.1</w:t>
            </w:r>
          </w:p>
        </w:tc>
        <w:tc>
          <w:tcPr>
            <w:tcW w:w="1500" w:type="dxa"/>
            <w:vAlign w:val="bottom"/>
          </w:tcPr>
          <w:p>
            <w:pPr>
              <w:jc w:val="right"/>
              <w:spacing w:after="0"/>
              <w:rPr>
                <w:sz w:val="20"/>
                <w:szCs w:val="20"/>
                <w:color w:val="auto"/>
              </w:rPr>
            </w:pPr>
            <w:r>
              <w:rPr>
                <w:rFonts w:ascii="Arial" w:cs="Arial" w:eastAsia="Arial" w:hAnsi="Arial"/>
                <w:sz w:val="18"/>
                <w:szCs w:val="18"/>
                <w:color w:val="0A0A0A"/>
              </w:rPr>
              <w:t>(30.3)</w:t>
            </w:r>
          </w:p>
        </w:tc>
      </w:tr>
      <w:tr>
        <w:trPr>
          <w:trHeight w:val="230"/>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Before Income Tax</w:t>
            </w:r>
          </w:p>
        </w:tc>
        <w:tc>
          <w:tcPr>
            <w:tcW w:w="15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11.4</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0A0A0A"/>
              </w:rPr>
              <w:t>16.9</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(32.9)</w:t>
            </w:r>
          </w:p>
        </w:tc>
      </w:tr>
      <w:tr>
        <w:trPr>
          <w:trHeight w:val="230"/>
        </w:trPr>
        <w:tc>
          <w:tcPr>
            <w:tcW w:w="4800" w:type="dxa"/>
            <w:vAlign w:val="bottom"/>
          </w:tcPr>
          <w:p>
            <w:pPr>
              <w:ind w:left="80"/>
              <w:spacing w:after="0"/>
              <w:rPr>
                <w:sz w:val="20"/>
                <w:szCs w:val="20"/>
                <w:color w:val="auto"/>
              </w:rPr>
            </w:pPr>
            <w:r>
              <w:rPr>
                <w:rFonts w:ascii="Arial" w:cs="Arial" w:eastAsia="Arial" w:hAnsi="Arial"/>
                <w:sz w:val="18"/>
                <w:szCs w:val="18"/>
                <w:color w:val="0A0A0A"/>
              </w:rPr>
              <w:t>Net Income</w:t>
            </w:r>
          </w:p>
        </w:tc>
        <w:tc>
          <w:tcPr>
            <w:tcW w:w="15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0A0A0A"/>
              </w:rPr>
              <w:t>8.1</w:t>
            </w:r>
          </w:p>
        </w:tc>
        <w:tc>
          <w:tcPr>
            <w:tcW w:w="440" w:type="dxa"/>
            <w:vAlign w:val="bottom"/>
          </w:tcPr>
          <w:p>
            <w:pPr>
              <w:spacing w:after="0"/>
              <w:rPr>
                <w:sz w:val="19"/>
                <w:szCs w:val="19"/>
                <w:color w:val="auto"/>
              </w:rPr>
            </w:pPr>
          </w:p>
        </w:tc>
        <w:tc>
          <w:tcPr>
            <w:tcW w:w="1540" w:type="dxa"/>
            <w:vAlign w:val="bottom"/>
          </w:tcPr>
          <w:p>
            <w:pPr>
              <w:jc w:val="right"/>
              <w:ind w:right="215"/>
              <w:spacing w:after="0"/>
              <w:rPr>
                <w:sz w:val="20"/>
                <w:szCs w:val="20"/>
                <w:color w:val="auto"/>
              </w:rPr>
            </w:pPr>
            <w:r>
              <w:rPr>
                <w:rFonts w:ascii="Arial" w:cs="Arial" w:eastAsia="Arial" w:hAnsi="Arial"/>
                <w:sz w:val="18"/>
                <w:szCs w:val="18"/>
                <w:color w:val="0A0A0A"/>
              </w:rPr>
              <w:t>13.4</w:t>
            </w:r>
          </w:p>
        </w:tc>
        <w:tc>
          <w:tcPr>
            <w:tcW w:w="1500" w:type="dxa"/>
            <w:vAlign w:val="bottom"/>
          </w:tcPr>
          <w:p>
            <w:pPr>
              <w:jc w:val="right"/>
              <w:spacing w:after="0"/>
              <w:rPr>
                <w:sz w:val="20"/>
                <w:szCs w:val="20"/>
                <w:color w:val="auto"/>
              </w:rPr>
            </w:pPr>
            <w:r>
              <w:rPr>
                <w:rFonts w:ascii="Arial" w:cs="Arial" w:eastAsia="Arial" w:hAnsi="Arial"/>
                <w:sz w:val="18"/>
                <w:szCs w:val="18"/>
                <w:color w:val="0A0A0A"/>
              </w:rPr>
              <w:t>(39.4)</w:t>
            </w:r>
          </w:p>
        </w:tc>
      </w:tr>
      <w:tr>
        <w:trPr>
          <w:trHeight w:val="230"/>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Diluted earnings per share</w:t>
            </w: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0A0A0A"/>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0.15</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0A0A0A"/>
              </w:rPr>
              <w:t>0.24</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(37.5)</w:t>
            </w:r>
          </w:p>
        </w:tc>
      </w:tr>
      <w:tr>
        <w:trPr>
          <w:trHeight w:val="363"/>
        </w:trPr>
        <w:tc>
          <w:tcPr>
            <w:tcW w:w="4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380" w:type="dxa"/>
            <w:vAlign w:val="bottom"/>
            <w:gridSpan w:val="3"/>
          </w:tcPr>
          <w:p>
            <w:pPr>
              <w:jc w:val="right"/>
              <w:ind w:right="675"/>
              <w:spacing w:after="0"/>
              <w:rPr>
                <w:sz w:val="20"/>
                <w:szCs w:val="20"/>
                <w:color w:val="auto"/>
              </w:rPr>
            </w:pPr>
            <w:r>
              <w:rPr>
                <w:rFonts w:ascii="Arial" w:cs="Arial" w:eastAsia="Arial" w:hAnsi="Arial"/>
                <w:sz w:val="14"/>
                <w:szCs w:val="14"/>
                <w:b w:val="1"/>
                <w:bCs w:val="1"/>
                <w:color w:val="auto"/>
              </w:rPr>
              <w:t>Three Months Ended December 31,</w:t>
            </w:r>
          </w:p>
        </w:tc>
        <w:tc>
          <w:tcPr>
            <w:tcW w:w="1500" w:type="dxa"/>
            <w:vAlign w:val="bottom"/>
          </w:tcPr>
          <w:p>
            <w:pPr>
              <w:spacing w:after="0"/>
              <w:rPr>
                <w:sz w:val="24"/>
                <w:szCs w:val="24"/>
                <w:color w:val="auto"/>
              </w:rPr>
            </w:pPr>
          </w:p>
        </w:tc>
      </w:tr>
      <w:tr>
        <w:trPr>
          <w:trHeight w:val="203"/>
        </w:trPr>
        <w:tc>
          <w:tcPr>
            <w:tcW w:w="4800" w:type="dxa"/>
            <w:vAlign w:val="bottom"/>
          </w:tcPr>
          <w:p>
            <w:pPr>
              <w:ind w:left="8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540" w:type="dxa"/>
            <w:vAlign w:val="bottom"/>
          </w:tcPr>
          <w:p>
            <w:pPr>
              <w:spacing w:after="0"/>
              <w:rPr>
                <w:sz w:val="17"/>
                <w:szCs w:val="17"/>
                <w:color w:val="auto"/>
              </w:rPr>
            </w:pPr>
          </w:p>
        </w:tc>
        <w:tc>
          <w:tcPr>
            <w:tcW w:w="1400" w:type="dxa"/>
            <w:vAlign w:val="bottom"/>
          </w:tcPr>
          <w:p>
            <w:pPr>
              <w:jc w:val="right"/>
              <w:ind w:right="618"/>
              <w:spacing w:after="0"/>
              <w:rPr>
                <w:sz w:val="20"/>
                <w:szCs w:val="20"/>
                <w:color w:val="auto"/>
              </w:rPr>
            </w:pPr>
            <w:r>
              <w:rPr>
                <w:rFonts w:ascii="Arial" w:cs="Arial" w:eastAsia="Arial" w:hAnsi="Arial"/>
                <w:sz w:val="14"/>
                <w:szCs w:val="14"/>
                <w:b w:val="1"/>
                <w:bCs w:val="1"/>
                <w:color w:val="0A0A0A"/>
              </w:rPr>
              <w:t>2025</w:t>
            </w:r>
          </w:p>
        </w:tc>
        <w:tc>
          <w:tcPr>
            <w:tcW w:w="440" w:type="dxa"/>
            <w:vAlign w:val="bottom"/>
          </w:tcPr>
          <w:p>
            <w:pPr>
              <w:spacing w:after="0"/>
              <w:rPr>
                <w:sz w:val="17"/>
                <w:szCs w:val="17"/>
                <w:color w:val="auto"/>
              </w:rPr>
            </w:pPr>
          </w:p>
        </w:tc>
        <w:tc>
          <w:tcPr>
            <w:tcW w:w="1540" w:type="dxa"/>
            <w:vAlign w:val="bottom"/>
          </w:tcPr>
          <w:p>
            <w:pPr>
              <w:jc w:val="right"/>
              <w:ind w:right="855"/>
              <w:spacing w:after="0"/>
              <w:rPr>
                <w:sz w:val="20"/>
                <w:szCs w:val="20"/>
                <w:color w:val="auto"/>
              </w:rPr>
            </w:pPr>
            <w:r>
              <w:rPr>
                <w:rFonts w:ascii="Arial" w:cs="Arial" w:eastAsia="Arial" w:hAnsi="Arial"/>
                <w:sz w:val="14"/>
                <w:szCs w:val="14"/>
                <w:b w:val="1"/>
                <w:bCs w:val="1"/>
                <w:color w:val="0A0A0A"/>
              </w:rPr>
              <w:t>2024</w:t>
            </w:r>
          </w:p>
        </w:tc>
        <w:tc>
          <w:tcPr>
            <w:tcW w:w="1500" w:type="dxa"/>
            <w:vAlign w:val="bottom"/>
          </w:tcPr>
          <w:p>
            <w:pPr>
              <w:jc w:val="right"/>
              <w:ind w:right="415"/>
              <w:spacing w:after="0"/>
              <w:rPr>
                <w:sz w:val="20"/>
                <w:szCs w:val="20"/>
                <w:color w:val="auto"/>
              </w:rPr>
            </w:pPr>
            <w:r>
              <w:rPr>
                <w:rFonts w:ascii="Arial" w:cs="Arial" w:eastAsia="Arial" w:hAnsi="Arial"/>
                <w:sz w:val="14"/>
                <w:szCs w:val="14"/>
                <w:b w:val="1"/>
                <w:bCs w:val="1"/>
                <w:color w:val="0A0A0A"/>
              </w:rPr>
              <w:t>% 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2343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1803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Operating Income </w:t>
      </w:r>
      <w:r>
        <w:rPr>
          <w:rFonts w:ascii="Arial" w:cs="Arial" w:eastAsia="Arial" w:hAnsi="Arial"/>
          <w:sz w:val="23"/>
          <w:szCs w:val="23"/>
          <w:color w:val="0A0A0A"/>
          <w:vertAlign w:val="superscript"/>
        </w:rPr>
        <w:t>(2)</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Income Before Income Tax </w:t>
      </w:r>
      <w:r>
        <w:rPr>
          <w:rFonts w:ascii="Arial" w:cs="Arial" w:eastAsia="Arial" w:hAnsi="Arial"/>
          <w:sz w:val="23"/>
          <w:szCs w:val="23"/>
          <w:color w:val="0A0A0A"/>
          <w:vertAlign w:val="superscript"/>
        </w:rPr>
        <w:t>(2)</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Net Income </w:t>
      </w:r>
      <w:r>
        <w:rPr>
          <w:rFonts w:ascii="Arial" w:cs="Arial" w:eastAsia="Arial" w:hAnsi="Arial"/>
          <w:sz w:val="23"/>
          <w:szCs w:val="23"/>
          <w:color w:val="0A0A0A"/>
          <w:vertAlign w:val="superscript"/>
        </w:rPr>
        <w:t>(2)</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diluted earnings per share </w:t>
      </w:r>
      <w:r>
        <w:rPr>
          <w:rFonts w:ascii="Arial" w:cs="Arial" w:eastAsia="Arial" w:hAnsi="Arial"/>
          <w:sz w:val="23"/>
          <w:szCs w:val="23"/>
          <w:color w:val="0A0A0A"/>
          <w:vertAlign w:val="superscript"/>
        </w:rPr>
        <w:t>(2)</w:t>
      </w:r>
    </w:p>
    <w:p>
      <w:pPr>
        <w:spacing w:after="0" w:line="36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0A0A0A"/>
        </w:rPr>
        <w:t>(unaudited) (in millions, except per share amounts)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80" w:type="dxa"/>
            <w:vAlign w:val="bottom"/>
          </w:tcPr>
          <w:p>
            <w:pPr>
              <w:jc w:val="right"/>
              <w:ind w:right="190"/>
              <w:spacing w:after="0"/>
              <w:rPr>
                <w:sz w:val="20"/>
                <w:szCs w:val="20"/>
                <w:color w:val="auto"/>
              </w:rPr>
            </w:pPr>
            <w:r>
              <w:rPr>
                <w:rFonts w:ascii="Arial" w:cs="Arial" w:eastAsia="Arial" w:hAnsi="Arial"/>
                <w:sz w:val="18"/>
                <w:szCs w:val="18"/>
                <w:color w:val="0A0A0A"/>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0A0A0A"/>
              </w:rPr>
              <w:t>19.5</w:t>
            </w:r>
          </w:p>
        </w:tc>
        <w:tc>
          <w:tcPr>
            <w:tcW w:w="440" w:type="dxa"/>
            <w:vAlign w:val="bottom"/>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tcPr>
          <w:p>
            <w:pPr>
              <w:jc w:val="right"/>
              <w:ind w:right="214"/>
              <w:spacing w:after="0"/>
              <w:rPr>
                <w:sz w:val="20"/>
                <w:szCs w:val="20"/>
                <w:color w:val="auto"/>
              </w:rPr>
            </w:pPr>
            <w:r>
              <w:rPr>
                <w:rFonts w:ascii="Arial" w:cs="Arial" w:eastAsia="Arial" w:hAnsi="Arial"/>
                <w:sz w:val="18"/>
                <w:szCs w:val="18"/>
                <w:color w:val="0A0A0A"/>
              </w:rPr>
              <w:t>27.5</w:t>
            </w:r>
          </w:p>
        </w:tc>
        <w:tc>
          <w:tcPr>
            <w:tcW w:w="1440" w:type="dxa"/>
            <w:vAlign w:val="bottom"/>
          </w:tcPr>
          <w:p>
            <w:pPr>
              <w:jc w:val="right"/>
              <w:spacing w:after="0"/>
              <w:rPr>
                <w:sz w:val="20"/>
                <w:szCs w:val="20"/>
                <w:color w:val="auto"/>
              </w:rPr>
            </w:pPr>
            <w:r>
              <w:rPr>
                <w:rFonts w:ascii="Arial" w:cs="Arial" w:eastAsia="Arial" w:hAnsi="Arial"/>
                <w:sz w:val="18"/>
                <w:szCs w:val="18"/>
                <w:color w:val="0A0A0A"/>
              </w:rPr>
              <w:t>(29.0)</w:t>
            </w:r>
          </w:p>
        </w:tc>
      </w:tr>
      <w:tr>
        <w:trPr>
          <w:trHeight w:val="270"/>
        </w:trPr>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0A0A0A"/>
              </w:rPr>
              <w:t>12.7</w:t>
            </w:r>
          </w:p>
        </w:tc>
        <w:tc>
          <w:tcPr>
            <w:tcW w:w="440" w:type="dxa"/>
            <w:vAlign w:val="bottom"/>
          </w:tcPr>
          <w:p>
            <w:pPr>
              <w:spacing w:after="0"/>
              <w:rPr>
                <w:sz w:val="23"/>
                <w:szCs w:val="23"/>
                <w:color w:val="auto"/>
              </w:rPr>
            </w:pPr>
          </w:p>
        </w:tc>
        <w:tc>
          <w:tcPr>
            <w:tcW w:w="1540" w:type="dxa"/>
            <w:vAlign w:val="bottom"/>
          </w:tcPr>
          <w:p>
            <w:pPr>
              <w:jc w:val="right"/>
              <w:ind w:right="214"/>
              <w:spacing w:after="0"/>
              <w:rPr>
                <w:sz w:val="20"/>
                <w:szCs w:val="20"/>
                <w:color w:val="auto"/>
              </w:rPr>
            </w:pPr>
            <w:r>
              <w:rPr>
                <w:rFonts w:ascii="Arial" w:cs="Arial" w:eastAsia="Arial" w:hAnsi="Arial"/>
                <w:sz w:val="18"/>
                <w:szCs w:val="18"/>
                <w:color w:val="0A0A0A"/>
              </w:rPr>
              <w:t>18.9</w:t>
            </w:r>
          </w:p>
        </w:tc>
        <w:tc>
          <w:tcPr>
            <w:tcW w:w="1440" w:type="dxa"/>
            <w:vAlign w:val="bottom"/>
          </w:tcPr>
          <w:p>
            <w:pPr>
              <w:jc w:val="right"/>
              <w:spacing w:after="0"/>
              <w:rPr>
                <w:sz w:val="20"/>
                <w:szCs w:val="20"/>
                <w:color w:val="auto"/>
              </w:rPr>
            </w:pPr>
            <w:r>
              <w:rPr>
                <w:rFonts w:ascii="Arial" w:cs="Arial" w:eastAsia="Arial" w:hAnsi="Arial"/>
                <w:sz w:val="18"/>
                <w:szCs w:val="18"/>
                <w:color w:val="0A0A0A"/>
              </w:rPr>
              <w:t>(32.8)</w:t>
            </w:r>
          </w:p>
        </w:tc>
      </w:tr>
      <w:tr>
        <w:trPr>
          <w:trHeight w:val="270"/>
        </w:trPr>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0A0A0A"/>
              </w:rPr>
              <w:t>9.2</w:t>
            </w:r>
          </w:p>
        </w:tc>
        <w:tc>
          <w:tcPr>
            <w:tcW w:w="440" w:type="dxa"/>
            <w:vAlign w:val="bottom"/>
          </w:tcPr>
          <w:p>
            <w:pPr>
              <w:spacing w:after="0"/>
              <w:rPr>
                <w:sz w:val="23"/>
                <w:szCs w:val="23"/>
                <w:color w:val="auto"/>
              </w:rPr>
            </w:pPr>
          </w:p>
        </w:tc>
        <w:tc>
          <w:tcPr>
            <w:tcW w:w="1540" w:type="dxa"/>
            <w:vAlign w:val="bottom"/>
          </w:tcPr>
          <w:p>
            <w:pPr>
              <w:jc w:val="right"/>
              <w:ind w:right="214"/>
              <w:spacing w:after="0"/>
              <w:rPr>
                <w:sz w:val="20"/>
                <w:szCs w:val="20"/>
                <w:color w:val="auto"/>
              </w:rPr>
            </w:pPr>
            <w:r>
              <w:rPr>
                <w:rFonts w:ascii="Arial" w:cs="Arial" w:eastAsia="Arial" w:hAnsi="Arial"/>
                <w:sz w:val="18"/>
                <w:szCs w:val="18"/>
                <w:color w:val="0A0A0A"/>
              </w:rPr>
              <w:t>15.0</w:t>
            </w:r>
          </w:p>
        </w:tc>
        <w:tc>
          <w:tcPr>
            <w:tcW w:w="1440" w:type="dxa"/>
            <w:vAlign w:val="bottom"/>
          </w:tcPr>
          <w:p>
            <w:pPr>
              <w:jc w:val="right"/>
              <w:spacing w:after="0"/>
              <w:rPr>
                <w:sz w:val="20"/>
                <w:szCs w:val="20"/>
                <w:color w:val="auto"/>
              </w:rPr>
            </w:pPr>
            <w:r>
              <w:rPr>
                <w:rFonts w:ascii="Arial" w:cs="Arial" w:eastAsia="Arial" w:hAnsi="Arial"/>
                <w:sz w:val="18"/>
                <w:szCs w:val="18"/>
                <w:color w:val="0A0A0A"/>
              </w:rPr>
              <w:t>(38.6)</w:t>
            </w:r>
          </w:p>
        </w:tc>
      </w:tr>
      <w:tr>
        <w:trPr>
          <w:trHeight w:val="270"/>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0.17</w:t>
            </w:r>
          </w:p>
        </w:tc>
        <w:tc>
          <w:tcPr>
            <w:tcW w:w="440" w:type="dxa"/>
            <w:vAlign w:val="bottom"/>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tcPr>
          <w:p>
            <w:pPr>
              <w:jc w:val="right"/>
              <w:ind w:right="214"/>
              <w:spacing w:after="0"/>
              <w:rPr>
                <w:sz w:val="20"/>
                <w:szCs w:val="20"/>
                <w:color w:val="auto"/>
              </w:rPr>
            </w:pPr>
            <w:r>
              <w:rPr>
                <w:rFonts w:ascii="Arial" w:cs="Arial" w:eastAsia="Arial" w:hAnsi="Arial"/>
                <w:sz w:val="18"/>
                <w:szCs w:val="18"/>
                <w:color w:val="0A0A0A"/>
              </w:rPr>
              <w:t>0.27</w:t>
            </w:r>
          </w:p>
        </w:tc>
        <w:tc>
          <w:tcPr>
            <w:tcW w:w="1440" w:type="dxa"/>
            <w:vAlign w:val="bottom"/>
          </w:tcPr>
          <w:p>
            <w:pPr>
              <w:jc w:val="right"/>
              <w:spacing w:after="0"/>
              <w:rPr>
                <w:sz w:val="20"/>
                <w:szCs w:val="20"/>
                <w:color w:val="auto"/>
              </w:rPr>
            </w:pPr>
            <w:r>
              <w:rPr>
                <w:rFonts w:ascii="Arial" w:cs="Arial" w:eastAsia="Arial" w:hAnsi="Arial"/>
                <w:sz w:val="18"/>
                <w:szCs w:val="18"/>
                <w:color w:val="0A0A0A"/>
              </w:rPr>
              <w:t>(37.0)</w:t>
            </w:r>
          </w:p>
        </w:tc>
      </w:tr>
      <w:tr>
        <w:trPr>
          <w:trHeight w:val="413"/>
        </w:trPr>
        <w:tc>
          <w:tcPr>
            <w:tcW w:w="380" w:type="dxa"/>
            <w:vAlign w:val="bottom"/>
          </w:tcPr>
          <w:p>
            <w:pPr>
              <w:spacing w:after="0"/>
              <w:rPr>
                <w:sz w:val="24"/>
                <w:szCs w:val="24"/>
                <w:color w:val="auto"/>
              </w:rPr>
            </w:pPr>
          </w:p>
        </w:tc>
        <w:tc>
          <w:tcPr>
            <w:tcW w:w="3300" w:type="dxa"/>
            <w:vAlign w:val="bottom"/>
            <w:gridSpan w:val="3"/>
          </w:tcPr>
          <w:p>
            <w:pPr>
              <w:jc w:val="right"/>
              <w:ind w:right="994"/>
              <w:spacing w:after="0"/>
              <w:rPr>
                <w:sz w:val="20"/>
                <w:szCs w:val="20"/>
                <w:color w:val="auto"/>
              </w:rPr>
            </w:pPr>
            <w:r>
              <w:rPr>
                <w:rFonts w:ascii="Arial" w:cs="Arial" w:eastAsia="Arial" w:hAnsi="Arial"/>
                <w:sz w:val="14"/>
                <w:szCs w:val="14"/>
                <w:b w:val="1"/>
                <w:bCs w:val="1"/>
                <w:color w:val="0A0A0A"/>
              </w:rPr>
              <w:t>Year Ended December 31,</w:t>
            </w:r>
          </w:p>
        </w:tc>
        <w:tc>
          <w:tcPr>
            <w:tcW w:w="144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1320" w:type="dxa"/>
            <w:vAlign w:val="bottom"/>
          </w:tcPr>
          <w:p>
            <w:pPr>
              <w:jc w:val="right"/>
              <w:ind w:right="616"/>
              <w:spacing w:after="0"/>
              <w:rPr>
                <w:sz w:val="20"/>
                <w:szCs w:val="20"/>
                <w:color w:val="auto"/>
              </w:rPr>
            </w:pPr>
            <w:r>
              <w:rPr>
                <w:rFonts w:ascii="Arial" w:cs="Arial" w:eastAsia="Arial" w:hAnsi="Arial"/>
                <w:sz w:val="14"/>
                <w:szCs w:val="14"/>
                <w:b w:val="1"/>
                <w:bCs w:val="1"/>
                <w:color w:val="0A0A0A"/>
              </w:rPr>
              <w:t>2025</w:t>
            </w:r>
          </w:p>
        </w:tc>
        <w:tc>
          <w:tcPr>
            <w:tcW w:w="440" w:type="dxa"/>
            <w:vAlign w:val="bottom"/>
          </w:tcPr>
          <w:p>
            <w:pPr>
              <w:spacing w:after="0"/>
              <w:rPr>
                <w:sz w:val="17"/>
                <w:szCs w:val="17"/>
                <w:color w:val="auto"/>
              </w:rPr>
            </w:pPr>
          </w:p>
        </w:tc>
        <w:tc>
          <w:tcPr>
            <w:tcW w:w="1540" w:type="dxa"/>
            <w:vAlign w:val="bottom"/>
          </w:tcPr>
          <w:p>
            <w:pPr>
              <w:jc w:val="right"/>
              <w:ind w:right="854"/>
              <w:spacing w:after="0"/>
              <w:rPr>
                <w:sz w:val="20"/>
                <w:szCs w:val="20"/>
                <w:color w:val="auto"/>
              </w:rPr>
            </w:pPr>
            <w:r>
              <w:rPr>
                <w:rFonts w:ascii="Arial" w:cs="Arial" w:eastAsia="Arial" w:hAnsi="Arial"/>
                <w:sz w:val="14"/>
                <w:szCs w:val="14"/>
                <w:b w:val="1"/>
                <w:bCs w:val="1"/>
                <w:color w:val="0A0A0A"/>
              </w:rPr>
              <w:t>2024</w:t>
            </w:r>
          </w:p>
        </w:tc>
        <w:tc>
          <w:tcPr>
            <w:tcW w:w="1440" w:type="dxa"/>
            <w:vAlign w:val="bottom"/>
          </w:tcPr>
          <w:p>
            <w:pPr>
              <w:jc w:val="right"/>
              <w:ind w:right="354"/>
              <w:spacing w:after="0"/>
              <w:rPr>
                <w:sz w:val="20"/>
                <w:szCs w:val="20"/>
                <w:color w:val="auto"/>
              </w:rPr>
            </w:pPr>
            <w:r>
              <w:rPr>
                <w:rFonts w:ascii="Arial" w:cs="Arial" w:eastAsia="Arial" w:hAnsi="Arial"/>
                <w:sz w:val="14"/>
                <w:szCs w:val="14"/>
                <w:b w:val="1"/>
                <w:bCs w:val="1"/>
                <w:color w:val="0A0A0A"/>
              </w:rPr>
              <w:t>% 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-709295</wp:posOffset>
            </wp:positionV>
            <wp:extent cx="71234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20" w:space="720"/>
            <w:col w:w="52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48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0A0A0A"/>
              </w:rPr>
              <w:t>Total Operating Revenue</w:t>
            </w:r>
          </w:p>
        </w:tc>
        <w:tc>
          <w:tcPr>
            <w:tcW w:w="162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1,126.8</w:t>
            </w:r>
          </w:p>
        </w:tc>
        <w:tc>
          <w:tcPr>
            <w:tcW w:w="46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0A0A0A"/>
              </w:rPr>
              <w:t>1,075.7</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4.7</w:t>
            </w:r>
          </w:p>
        </w:tc>
      </w:tr>
      <w:tr>
        <w:trPr>
          <w:trHeight w:val="229"/>
        </w:trPr>
        <w:tc>
          <w:tcPr>
            <w:tcW w:w="4800" w:type="dxa"/>
            <w:vAlign w:val="bottom"/>
          </w:tcPr>
          <w:p>
            <w:pPr>
              <w:ind w:left="80"/>
              <w:spacing w:after="0"/>
              <w:rPr>
                <w:sz w:val="20"/>
                <w:szCs w:val="20"/>
                <w:color w:val="auto"/>
              </w:rPr>
            </w:pPr>
            <w:r>
              <w:rPr>
                <w:rFonts w:ascii="Arial" w:cs="Arial" w:eastAsia="Arial" w:hAnsi="Arial"/>
                <w:sz w:val="18"/>
                <w:szCs w:val="18"/>
                <w:color w:val="0A0A0A"/>
              </w:rPr>
              <w:t>Operating Income</w:t>
            </w:r>
          </w:p>
        </w:tc>
        <w:tc>
          <w:tcPr>
            <w:tcW w:w="1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A0A0A"/>
              </w:rPr>
              <w:t>100.6</w:t>
            </w:r>
          </w:p>
        </w:tc>
        <w:tc>
          <w:tcPr>
            <w:tcW w:w="460" w:type="dxa"/>
            <w:vAlign w:val="bottom"/>
          </w:tcPr>
          <w:p>
            <w:pPr>
              <w:spacing w:after="0"/>
              <w:rPr>
                <w:sz w:val="19"/>
                <w:szCs w:val="19"/>
                <w:color w:val="auto"/>
              </w:rPr>
            </w:pPr>
          </w:p>
        </w:tc>
        <w:tc>
          <w:tcPr>
            <w:tcW w:w="1540" w:type="dxa"/>
            <w:vAlign w:val="bottom"/>
          </w:tcPr>
          <w:p>
            <w:pPr>
              <w:jc w:val="right"/>
              <w:ind w:right="212"/>
              <w:spacing w:after="0"/>
              <w:rPr>
                <w:sz w:val="20"/>
                <w:szCs w:val="20"/>
                <w:color w:val="auto"/>
              </w:rPr>
            </w:pPr>
            <w:r>
              <w:rPr>
                <w:rFonts w:ascii="Arial" w:cs="Arial" w:eastAsia="Arial" w:hAnsi="Arial"/>
                <w:sz w:val="18"/>
                <w:szCs w:val="18"/>
                <w:color w:val="0A0A0A"/>
              </w:rPr>
              <w:t>106.0</w:t>
            </w:r>
          </w:p>
        </w:tc>
        <w:tc>
          <w:tcPr>
            <w:tcW w:w="1500" w:type="dxa"/>
            <w:vAlign w:val="bottom"/>
          </w:tcPr>
          <w:p>
            <w:pPr>
              <w:jc w:val="right"/>
              <w:spacing w:after="0"/>
              <w:rPr>
                <w:sz w:val="20"/>
                <w:szCs w:val="20"/>
                <w:color w:val="auto"/>
              </w:rPr>
            </w:pPr>
            <w:r>
              <w:rPr>
                <w:rFonts w:ascii="Arial" w:cs="Arial" w:eastAsia="Arial" w:hAnsi="Arial"/>
                <w:sz w:val="18"/>
                <w:szCs w:val="18"/>
                <w:color w:val="0A0A0A"/>
              </w:rPr>
              <w:t>(5.1)</w:t>
            </w:r>
          </w:p>
        </w:tc>
      </w:tr>
      <w:tr>
        <w:trPr>
          <w:trHeight w:val="230"/>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Before Income Tax</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70.2</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69.6</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0.9</w:t>
            </w:r>
          </w:p>
        </w:tc>
      </w:tr>
      <w:tr>
        <w:trPr>
          <w:trHeight w:val="230"/>
        </w:trPr>
        <w:tc>
          <w:tcPr>
            <w:tcW w:w="4800" w:type="dxa"/>
            <w:vAlign w:val="bottom"/>
          </w:tcPr>
          <w:p>
            <w:pPr>
              <w:ind w:left="80"/>
              <w:spacing w:after="0"/>
              <w:rPr>
                <w:sz w:val="20"/>
                <w:szCs w:val="20"/>
                <w:color w:val="auto"/>
              </w:rPr>
            </w:pPr>
            <w:r>
              <w:rPr>
                <w:rFonts w:ascii="Arial" w:cs="Arial" w:eastAsia="Arial" w:hAnsi="Arial"/>
                <w:sz w:val="18"/>
                <w:szCs w:val="18"/>
                <w:color w:val="0A0A0A"/>
              </w:rPr>
              <w:t>Net Income</w:t>
            </w:r>
          </w:p>
        </w:tc>
        <w:tc>
          <w:tcPr>
            <w:tcW w:w="1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A0A0A"/>
              </w:rPr>
              <w:t>52.8</w:t>
            </w:r>
          </w:p>
        </w:tc>
        <w:tc>
          <w:tcPr>
            <w:tcW w:w="460" w:type="dxa"/>
            <w:vAlign w:val="bottom"/>
          </w:tcPr>
          <w:p>
            <w:pPr>
              <w:spacing w:after="0"/>
              <w:rPr>
                <w:sz w:val="19"/>
                <w:szCs w:val="19"/>
                <w:color w:val="auto"/>
              </w:rPr>
            </w:pPr>
          </w:p>
        </w:tc>
        <w:tc>
          <w:tcPr>
            <w:tcW w:w="1540" w:type="dxa"/>
            <w:vAlign w:val="bottom"/>
          </w:tcPr>
          <w:p>
            <w:pPr>
              <w:jc w:val="right"/>
              <w:ind w:right="212"/>
              <w:spacing w:after="0"/>
              <w:rPr>
                <w:sz w:val="20"/>
                <w:szCs w:val="20"/>
                <w:color w:val="auto"/>
              </w:rPr>
            </w:pPr>
            <w:r>
              <w:rPr>
                <w:rFonts w:ascii="Arial" w:cs="Arial" w:eastAsia="Arial" w:hAnsi="Arial"/>
                <w:sz w:val="18"/>
                <w:szCs w:val="18"/>
                <w:color w:val="auto"/>
              </w:rPr>
              <w:t>52.9</w:t>
            </w:r>
          </w:p>
        </w:tc>
        <w:tc>
          <w:tcPr>
            <w:tcW w:w="1500" w:type="dxa"/>
            <w:vAlign w:val="bottom"/>
          </w:tcPr>
          <w:p>
            <w:pPr>
              <w:jc w:val="right"/>
              <w:spacing w:after="0"/>
              <w:rPr>
                <w:sz w:val="20"/>
                <w:szCs w:val="20"/>
                <w:color w:val="auto"/>
              </w:rPr>
            </w:pPr>
            <w:r>
              <w:rPr>
                <w:rFonts w:ascii="Arial" w:cs="Arial" w:eastAsia="Arial" w:hAnsi="Arial"/>
                <w:sz w:val="18"/>
                <w:szCs w:val="18"/>
                <w:color w:val="0A0A0A"/>
              </w:rPr>
              <w:t>(0.2)</w:t>
            </w:r>
          </w:p>
        </w:tc>
      </w:tr>
      <w:tr>
        <w:trPr>
          <w:trHeight w:val="230"/>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Diluted earnings per share</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0.96</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0A0A0A"/>
              </w:rPr>
              <w:t>0.96</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w:t>
            </w:r>
          </w:p>
        </w:tc>
      </w:tr>
      <w:tr>
        <w:trPr>
          <w:trHeight w:val="376"/>
        </w:trPr>
        <w:tc>
          <w:tcPr>
            <w:tcW w:w="4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300" w:type="dxa"/>
            <w:vAlign w:val="bottom"/>
            <w:gridSpan w:val="3"/>
          </w:tcPr>
          <w:p>
            <w:pPr>
              <w:jc w:val="right"/>
              <w:ind w:right="992"/>
              <w:spacing w:after="0"/>
              <w:rPr>
                <w:sz w:val="20"/>
                <w:szCs w:val="20"/>
                <w:color w:val="auto"/>
              </w:rPr>
            </w:pPr>
            <w:r>
              <w:rPr>
                <w:rFonts w:ascii="Arial" w:cs="Arial" w:eastAsia="Arial" w:hAnsi="Arial"/>
                <w:sz w:val="14"/>
                <w:szCs w:val="14"/>
                <w:b w:val="1"/>
                <w:bCs w:val="1"/>
                <w:color w:val="0A0A0A"/>
              </w:rPr>
              <w:t>Year Ended December 31,</w:t>
            </w:r>
          </w:p>
        </w:tc>
        <w:tc>
          <w:tcPr>
            <w:tcW w:w="1500" w:type="dxa"/>
            <w:vAlign w:val="bottom"/>
          </w:tcPr>
          <w:p>
            <w:pPr>
              <w:spacing w:after="0"/>
              <w:rPr>
                <w:sz w:val="24"/>
                <w:szCs w:val="24"/>
                <w:color w:val="auto"/>
              </w:rPr>
            </w:pPr>
          </w:p>
        </w:tc>
      </w:tr>
      <w:tr>
        <w:trPr>
          <w:trHeight w:val="204"/>
        </w:trPr>
        <w:tc>
          <w:tcPr>
            <w:tcW w:w="4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6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0A0A0A"/>
              </w:rPr>
              <w:t>2025</w:t>
            </w: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0A0A0A"/>
              </w:rPr>
              <w:t>2024</w:t>
            </w:r>
          </w:p>
        </w:tc>
        <w:tc>
          <w:tcPr>
            <w:tcW w:w="15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0A0A0A"/>
              </w:rPr>
              <w:t>% Change</w:t>
            </w:r>
          </w:p>
        </w:tc>
      </w:tr>
      <w:tr>
        <w:trPr>
          <w:trHeight w:val="264"/>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 xml:space="preserve">Adjusted Operating Income </w:t>
            </w:r>
            <w:r>
              <w:rPr>
                <w:rFonts w:ascii="Arial" w:cs="Arial" w:eastAsia="Arial" w:hAnsi="Arial"/>
                <w:sz w:val="23"/>
                <w:szCs w:val="23"/>
                <w:color w:val="0A0A0A"/>
                <w:vertAlign w:val="superscript"/>
              </w:rPr>
              <w:t>(2)</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109.5</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0A0A0A"/>
              </w:rPr>
              <w:t>112.0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(2.2)</w:t>
            </w:r>
          </w:p>
        </w:tc>
      </w:tr>
      <w:tr>
        <w:trPr>
          <w:trHeight w:val="270"/>
        </w:trPr>
        <w:tc>
          <w:tcPr>
            <w:tcW w:w="4800" w:type="dxa"/>
            <w:vAlign w:val="bottom"/>
          </w:tcPr>
          <w:p>
            <w:pPr>
              <w:ind w:left="80"/>
              <w:spacing w:after="0"/>
              <w:rPr>
                <w:sz w:val="20"/>
                <w:szCs w:val="20"/>
                <w:color w:val="auto"/>
              </w:rPr>
            </w:pPr>
            <w:r>
              <w:rPr>
                <w:rFonts w:ascii="Arial" w:cs="Arial" w:eastAsia="Arial" w:hAnsi="Arial"/>
                <w:sz w:val="18"/>
                <w:szCs w:val="18"/>
                <w:color w:val="0A0A0A"/>
              </w:rPr>
              <w:t xml:space="preserve">Adjusted Income Before Income Tax </w:t>
            </w:r>
            <w:r>
              <w:rPr>
                <w:rFonts w:ascii="Arial" w:cs="Arial" w:eastAsia="Arial" w:hAnsi="Arial"/>
                <w:sz w:val="23"/>
                <w:szCs w:val="23"/>
                <w:color w:val="0A0A0A"/>
                <w:vertAlign w:val="superscript"/>
              </w:rPr>
              <w:t>(2)</w:t>
            </w:r>
          </w:p>
        </w:tc>
        <w:tc>
          <w:tcPr>
            <w:tcW w:w="16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A0A0A"/>
              </w:rPr>
              <w:t>80.2</w:t>
            </w:r>
          </w:p>
        </w:tc>
        <w:tc>
          <w:tcPr>
            <w:tcW w:w="460" w:type="dxa"/>
            <w:vAlign w:val="bottom"/>
          </w:tcPr>
          <w:p>
            <w:pPr>
              <w:spacing w:after="0"/>
              <w:rPr>
                <w:sz w:val="23"/>
                <w:szCs w:val="23"/>
                <w:color w:val="auto"/>
              </w:rPr>
            </w:pPr>
          </w:p>
        </w:tc>
        <w:tc>
          <w:tcPr>
            <w:tcW w:w="1540" w:type="dxa"/>
            <w:vAlign w:val="bottom"/>
          </w:tcPr>
          <w:p>
            <w:pPr>
              <w:jc w:val="right"/>
              <w:ind w:right="212"/>
              <w:spacing w:after="0"/>
              <w:rPr>
                <w:sz w:val="20"/>
                <w:szCs w:val="20"/>
                <w:color w:val="auto"/>
              </w:rPr>
            </w:pPr>
            <w:r>
              <w:rPr>
                <w:rFonts w:ascii="Arial" w:cs="Arial" w:eastAsia="Arial" w:hAnsi="Arial"/>
                <w:sz w:val="18"/>
                <w:szCs w:val="18"/>
                <w:color w:val="0A0A0A"/>
              </w:rPr>
              <w:t>76.1</w:t>
            </w:r>
          </w:p>
        </w:tc>
        <w:tc>
          <w:tcPr>
            <w:tcW w:w="1500" w:type="dxa"/>
            <w:vAlign w:val="bottom"/>
          </w:tcPr>
          <w:p>
            <w:pPr>
              <w:jc w:val="right"/>
              <w:spacing w:after="0"/>
              <w:rPr>
                <w:sz w:val="20"/>
                <w:szCs w:val="20"/>
                <w:color w:val="auto"/>
              </w:rPr>
            </w:pPr>
            <w:r>
              <w:rPr>
                <w:rFonts w:ascii="Arial" w:cs="Arial" w:eastAsia="Arial" w:hAnsi="Arial"/>
                <w:sz w:val="18"/>
                <w:szCs w:val="18"/>
                <w:color w:val="0A0A0A"/>
              </w:rPr>
              <w:t>5.3</w:t>
            </w:r>
          </w:p>
        </w:tc>
      </w:tr>
      <w:tr>
        <w:trPr>
          <w:trHeight w:val="270"/>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 xml:space="preserve">Adjusted Net Income </w:t>
            </w:r>
            <w:r>
              <w:rPr>
                <w:rFonts w:ascii="Arial" w:cs="Arial" w:eastAsia="Arial" w:hAnsi="Arial"/>
                <w:sz w:val="23"/>
                <w:szCs w:val="23"/>
                <w:color w:val="0A0A0A"/>
                <w:vertAlign w:val="superscript"/>
              </w:rPr>
              <w:t>(2)</w:t>
            </w:r>
          </w:p>
        </w:tc>
        <w:tc>
          <w:tcPr>
            <w:tcW w:w="16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60.5</w:t>
            </w: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0A0A0A"/>
              </w:rPr>
              <w:t>58.0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4.4</w:t>
            </w:r>
          </w:p>
        </w:tc>
      </w:tr>
      <w:tr>
        <w:trPr>
          <w:trHeight w:val="316"/>
        </w:trPr>
        <w:tc>
          <w:tcPr>
            <w:tcW w:w="4800" w:type="dxa"/>
            <w:vAlign w:val="bottom"/>
          </w:tcPr>
          <w:p>
            <w:pPr>
              <w:ind w:left="80"/>
              <w:spacing w:after="0"/>
              <w:rPr>
                <w:sz w:val="20"/>
                <w:szCs w:val="20"/>
                <w:color w:val="auto"/>
              </w:rPr>
            </w:pPr>
            <w:r>
              <w:rPr>
                <w:rFonts w:ascii="Arial" w:cs="Arial" w:eastAsia="Arial" w:hAnsi="Arial"/>
                <w:sz w:val="18"/>
                <w:szCs w:val="18"/>
                <w:color w:val="0A0A0A"/>
              </w:rPr>
              <w:t xml:space="preserve">Adjusted diluted earnings per share </w:t>
            </w:r>
            <w:r>
              <w:rPr>
                <w:rFonts w:ascii="Arial" w:cs="Arial" w:eastAsia="Arial" w:hAnsi="Arial"/>
                <w:sz w:val="23"/>
                <w:szCs w:val="23"/>
                <w:color w:val="0A0A0A"/>
                <w:vertAlign w:val="superscript"/>
              </w:rPr>
              <w:t>(2)</w:t>
            </w:r>
          </w:p>
        </w:tc>
        <w:tc>
          <w:tcPr>
            <w:tcW w:w="1620" w:type="dxa"/>
            <w:vAlign w:val="bottom"/>
          </w:tcPr>
          <w:p>
            <w:pPr>
              <w:jc w:val="right"/>
              <w:ind w:right="190"/>
              <w:spacing w:after="0"/>
              <w:rPr>
                <w:sz w:val="20"/>
                <w:szCs w:val="20"/>
                <w:color w:val="auto"/>
              </w:rPr>
            </w:pPr>
            <w:r>
              <w:rPr>
                <w:rFonts w:ascii="Arial" w:cs="Arial" w:eastAsia="Arial" w:hAnsi="Arial"/>
                <w:sz w:val="18"/>
                <w:szCs w:val="18"/>
                <w:color w:val="0A0A0A"/>
              </w:rPr>
              <w:t>$</w:t>
            </w:r>
          </w:p>
        </w:tc>
        <w:tc>
          <w:tcPr>
            <w:tcW w:w="1300" w:type="dxa"/>
            <w:vAlign w:val="bottom"/>
          </w:tcPr>
          <w:p>
            <w:pPr>
              <w:jc w:val="right"/>
              <w:spacing w:after="0"/>
              <w:rPr>
                <w:sz w:val="20"/>
                <w:szCs w:val="20"/>
                <w:color w:val="auto"/>
              </w:rPr>
            </w:pPr>
            <w:r>
              <w:rPr>
                <w:rFonts w:ascii="Arial" w:cs="Arial" w:eastAsia="Arial" w:hAnsi="Arial"/>
                <w:sz w:val="18"/>
                <w:szCs w:val="18"/>
                <w:color w:val="0A0A0A"/>
              </w:rPr>
              <w:t>1.10</w:t>
            </w:r>
          </w:p>
        </w:tc>
        <w:tc>
          <w:tcPr>
            <w:tcW w:w="460" w:type="dxa"/>
            <w:vAlign w:val="bottom"/>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tcPr>
          <w:p>
            <w:pPr>
              <w:jc w:val="right"/>
              <w:ind w:right="212"/>
              <w:spacing w:after="0"/>
              <w:rPr>
                <w:sz w:val="20"/>
                <w:szCs w:val="20"/>
                <w:color w:val="auto"/>
              </w:rPr>
            </w:pPr>
            <w:r>
              <w:rPr>
                <w:rFonts w:ascii="Arial" w:cs="Arial" w:eastAsia="Arial" w:hAnsi="Arial"/>
                <w:sz w:val="18"/>
                <w:szCs w:val="18"/>
                <w:color w:val="0A0A0A"/>
              </w:rPr>
              <w:t>1.05</w:t>
            </w:r>
          </w:p>
        </w:tc>
        <w:tc>
          <w:tcPr>
            <w:tcW w:w="1500" w:type="dxa"/>
            <w:vAlign w:val="bottom"/>
          </w:tcPr>
          <w:p>
            <w:pPr>
              <w:jc w:val="right"/>
              <w:spacing w:after="0"/>
              <w:rPr>
                <w:sz w:val="20"/>
                <w:szCs w:val="20"/>
                <w:color w:val="auto"/>
              </w:rPr>
            </w:pPr>
            <w:r>
              <w:rPr>
                <w:rFonts w:ascii="Arial" w:cs="Arial" w:eastAsia="Arial" w:hAnsi="Arial"/>
                <w:sz w:val="18"/>
                <w:szCs w:val="18"/>
                <w:color w:val="0A0A0A"/>
              </w:rPr>
              <w:t>4.8</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1"/>
          <w:szCs w:val="11"/>
          <w:color w:val="auto"/>
        </w:rPr>
        <w:t>Amounts presented in the tables above may not recalculate due to rounding</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w:t>
      </w:r>
    </w:p>
    <w:p>
      <w:pPr>
        <w:sectPr>
          <w:pgSz w:w="11900" w:h="16838" w:orient="portrait"/>
          <w:cols w:equalWidth="0" w:num="1">
            <w:col w:w="11240"/>
          </w:cols>
          <w:pgMar w:left="320" w:top="1440" w:right="339" w:bottom="1440" w:gutter="0" w:footer="0" w:header="0"/>
          <w:type w:val="continuous"/>
        </w:sectPr>
      </w:pPr>
    </w:p>
    <w:bookmarkStart w:id="4" w:name="page5"/>
    <w:bookmarkEnd w:id="4"/>
    <w:p>
      <w:pPr>
        <w:jc w:val="both"/>
        <w:spacing w:after="0" w:line="232" w:lineRule="auto"/>
        <w:rPr>
          <w:sz w:val="20"/>
          <w:szCs w:val="20"/>
          <w:color w:val="auto"/>
        </w:rPr>
      </w:pPr>
      <w:r>
        <w:rPr>
          <w:rFonts w:ascii="Arial" w:cs="Arial" w:eastAsia="Arial" w:hAnsi="Arial"/>
          <w:sz w:val="18"/>
          <w:szCs w:val="18"/>
          <w:color w:val="0A0A0A"/>
        </w:rPr>
        <w:t>For the quarter ended December 31, 2025, Sun Country reported Income Before Income Tax of $11.4 million and Net Income of $ 8.1 million, on $281.0 million of revenue. Adjusted Income Before Income Tax for the quarter was $12.7 million</w:t>
      </w:r>
      <w:r>
        <w:rPr>
          <w:rFonts w:ascii="Arial" w:cs="Arial" w:eastAsia="Arial" w:hAnsi="Arial"/>
          <w:sz w:val="23"/>
          <w:szCs w:val="23"/>
          <w:color w:val="0A0A0A"/>
          <w:vertAlign w:val="superscript"/>
        </w:rPr>
        <w:t>(2)</w:t>
      </w:r>
      <w:r>
        <w:rPr>
          <w:rFonts w:ascii="Arial" w:cs="Arial" w:eastAsia="Arial" w:hAnsi="Arial"/>
          <w:sz w:val="18"/>
          <w:szCs w:val="18"/>
          <w:color w:val="0A0A0A"/>
        </w:rPr>
        <w:t>. GAAP Operating Income during the quarter was $18.2 million, producing an Operating Income Margin of 6.5%, while Adjusted Operating Income was $19.5 million</w:t>
      </w:r>
      <w:r>
        <w:rPr>
          <w:rFonts w:ascii="Arial" w:cs="Arial" w:eastAsia="Arial" w:hAnsi="Arial"/>
          <w:sz w:val="23"/>
          <w:szCs w:val="23"/>
          <w:color w:val="0A0A0A"/>
          <w:vertAlign w:val="superscript"/>
        </w:rPr>
        <w:t>(2)</w:t>
      </w:r>
      <w:r>
        <w:rPr>
          <w:rFonts w:ascii="Arial" w:cs="Arial" w:eastAsia="Arial" w:hAnsi="Arial"/>
          <w:sz w:val="18"/>
          <w:szCs w:val="18"/>
          <w:color w:val="0A0A0A"/>
        </w:rPr>
        <w:t>, resulting in an Adjusted Operating Income Margin of 7.0%</w:t>
      </w:r>
      <w:r>
        <w:rPr>
          <w:rFonts w:ascii="Arial" w:cs="Arial" w:eastAsia="Arial" w:hAnsi="Arial"/>
          <w:sz w:val="23"/>
          <w:szCs w:val="23"/>
          <w:color w:val="0A0A0A"/>
          <w:vertAlign w:val="superscript"/>
        </w:rPr>
        <w:t>(2)</w:t>
      </w:r>
      <w:r>
        <w:rPr>
          <w:rFonts w:ascii="Arial" w:cs="Arial" w:eastAsia="Arial" w:hAnsi="Arial"/>
          <w:sz w:val="18"/>
          <w:szCs w:val="18"/>
          <w:color w:val="0A0A0A"/>
        </w:rPr>
        <w:t>.</w:t>
      </w:r>
    </w:p>
    <w:p>
      <w:pPr>
        <w:spacing w:after="0" w:line="126" w:lineRule="exact"/>
        <w:rPr>
          <w:sz w:val="20"/>
          <w:szCs w:val="20"/>
          <w:color w:val="auto"/>
        </w:rPr>
      </w:pPr>
    </w:p>
    <w:p>
      <w:pPr>
        <w:ind w:right="40"/>
        <w:spacing w:after="0" w:line="214" w:lineRule="auto"/>
        <w:rPr>
          <w:sz w:val="20"/>
          <w:szCs w:val="20"/>
          <w:color w:val="auto"/>
        </w:rPr>
      </w:pPr>
      <w:r>
        <w:rPr>
          <w:rFonts w:ascii="Arial" w:cs="Arial" w:eastAsia="Arial" w:hAnsi="Arial"/>
          <w:sz w:val="17"/>
          <w:szCs w:val="17"/>
          <w:color w:val="0A0A0A"/>
        </w:rPr>
        <w:t>"Our diversified business model delivered exceptional results in the fourth quarter, with record cargo revenue</w:t>
      </w:r>
      <w:r>
        <w:rPr>
          <w:rFonts w:ascii="Arial" w:cs="Arial" w:eastAsia="Arial" w:hAnsi="Arial"/>
          <w:sz w:val="22"/>
          <w:szCs w:val="22"/>
          <w:color w:val="0A0A0A"/>
          <w:vertAlign w:val="superscript"/>
        </w:rPr>
        <w:t>(1)</w:t>
      </w:r>
      <w:r>
        <w:rPr>
          <w:rFonts w:ascii="Arial" w:cs="Arial" w:eastAsia="Arial" w:hAnsi="Arial"/>
          <w:sz w:val="17"/>
          <w:szCs w:val="17"/>
          <w:color w:val="0A0A0A"/>
        </w:rPr>
        <w:t xml:space="preserve"> and the highest fourth quarter charter revenue in company history</w:t>
      </w:r>
      <w:r>
        <w:rPr>
          <w:rFonts w:ascii="Arial" w:cs="Arial" w:eastAsia="Arial" w:hAnsi="Arial"/>
          <w:sz w:val="22"/>
          <w:szCs w:val="22"/>
          <w:color w:val="0A0A0A"/>
          <w:vertAlign w:val="superscript"/>
        </w:rPr>
        <w:t>(1)</w:t>
      </w:r>
      <w:r>
        <w:rPr>
          <w:rFonts w:ascii="Arial" w:cs="Arial" w:eastAsia="Arial" w:hAnsi="Arial"/>
          <w:sz w:val="17"/>
          <w:szCs w:val="17"/>
          <w:color w:val="0A0A0A"/>
        </w:rPr>
        <w:t>," said Torque Zubeck, Chief Financial Officer. "</w:t>
      </w:r>
      <w:r>
        <w:rPr>
          <w:rFonts w:ascii="Arial" w:cs="Arial" w:eastAsia="Arial" w:hAnsi="Arial"/>
          <w:sz w:val="17"/>
          <w:szCs w:val="17"/>
          <w:color w:val="000000"/>
        </w:rPr>
        <w:t>Our strong charter performance demonstrates the</w:t>
      </w:r>
      <w:r>
        <w:rPr>
          <w:rFonts w:ascii="Arial" w:cs="Arial" w:eastAsia="Arial" w:hAnsi="Arial"/>
          <w:sz w:val="17"/>
          <w:szCs w:val="17"/>
          <w:color w:val="0A0A0A"/>
        </w:rPr>
        <w:t xml:space="preserve"> </w:t>
      </w:r>
      <w:r>
        <w:rPr>
          <w:rFonts w:ascii="Arial" w:cs="Arial" w:eastAsia="Arial" w:hAnsi="Arial"/>
          <w:sz w:val="17"/>
          <w:szCs w:val="17"/>
          <w:color w:val="000000"/>
        </w:rPr>
        <w:t xml:space="preserve">flexibility of our business model and our ability to quickly respond to opportunities in the market. </w:t>
      </w:r>
      <w:r>
        <w:rPr>
          <w:rFonts w:ascii="Arial" w:cs="Arial" w:eastAsia="Arial" w:hAnsi="Arial"/>
          <w:sz w:val="17"/>
          <w:szCs w:val="17"/>
          <w:color w:val="0A0A0A"/>
        </w:rPr>
        <w:t>In scheduled service, capacity decreased</w:t>
      </w:r>
    </w:p>
    <w:p>
      <w:pPr>
        <w:ind w:right="120"/>
        <w:spacing w:after="0" w:line="221"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color w:val="0A0A0A"/>
        </w:rPr>
        <w:t>as resources were redeployed to accommodate our cargo fleet expansion. The reduction in scheduled service capacity combined with</w:t>
      </w:r>
      <w:r>
        <w:rPr>
          <w:rFonts w:ascii="Arial" w:cs="Arial" w:eastAsia="Arial" w:hAnsi="Arial"/>
          <w:sz w:val="18"/>
          <w:szCs w:val="18"/>
          <w:color w:val="auto"/>
        </w:rPr>
        <w:t xml:space="preserve"> </w:t>
      </w:r>
      <w:r>
        <w:rPr>
          <w:rFonts w:ascii="Arial" w:cs="Arial" w:eastAsia="Arial" w:hAnsi="Arial"/>
          <w:sz w:val="18"/>
          <w:szCs w:val="18"/>
          <w:color w:val="0A0A0A"/>
        </w:rPr>
        <w:t>a strong demand environment drove scheduled service TRASM</w:t>
      </w:r>
      <w:r>
        <w:rPr>
          <w:rFonts w:ascii="Arial" w:cs="Arial" w:eastAsia="Arial" w:hAnsi="Arial"/>
          <w:sz w:val="23"/>
          <w:szCs w:val="23"/>
          <w:color w:val="0A0A0A"/>
          <w:vertAlign w:val="superscript"/>
        </w:rPr>
        <w:t>(3)</w:t>
      </w:r>
      <w:r>
        <w:rPr>
          <w:rFonts w:ascii="Arial" w:cs="Arial" w:eastAsia="Arial" w:hAnsi="Arial"/>
          <w:sz w:val="18"/>
          <w:szCs w:val="18"/>
          <w:color w:val="0A0A0A"/>
        </w:rPr>
        <w:t xml:space="preserve"> growth of </w:t>
      </w:r>
      <w:r>
        <w:rPr>
          <w:rFonts w:ascii="Arial" w:cs="Arial" w:eastAsia="Arial" w:hAnsi="Arial"/>
          <w:sz w:val="18"/>
          <w:szCs w:val="18"/>
          <w:color w:val="000000"/>
        </w:rPr>
        <w:t>8.9%</w:t>
      </w:r>
      <w:r>
        <w:rPr>
          <w:rFonts w:ascii="Arial" w:cs="Arial" w:eastAsia="Arial" w:hAnsi="Arial"/>
          <w:sz w:val="18"/>
          <w:szCs w:val="18"/>
          <w:color w:val="0A0A0A"/>
        </w:rPr>
        <w:t>. We are well positioned for continued growth in 2026 as first quarter demand trends remain strong and we will be growing back our scheduled service business later in the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Notable Operational Highlights</w:t>
      </w:r>
    </w:p>
    <w:p>
      <w:pPr>
        <w:spacing w:after="0" w:line="252" w:lineRule="exact"/>
        <w:rPr>
          <w:sz w:val="20"/>
          <w:szCs w:val="20"/>
          <w:color w:val="auto"/>
        </w:rPr>
      </w:pPr>
    </w:p>
    <w:p>
      <w:pPr>
        <w:ind w:left="660" w:hanging="328"/>
        <w:spacing w:after="0" w:line="253" w:lineRule="auto"/>
        <w:tabs>
          <w:tab w:leader="none" w:pos="655" w:val="left"/>
        </w:tabs>
        <w:numPr>
          <w:ilvl w:val="0"/>
          <w:numId w:val="2"/>
        </w:numPr>
        <w:rPr>
          <w:rFonts w:ascii="Arial" w:cs="Arial" w:eastAsia="Arial" w:hAnsi="Arial"/>
          <w:sz w:val="18"/>
          <w:szCs w:val="18"/>
          <w:color w:val="0A0A0A"/>
        </w:rPr>
      </w:pPr>
      <w:r>
        <w:rPr>
          <w:rFonts w:ascii="Arial" w:cs="Arial" w:eastAsia="Arial" w:hAnsi="Arial"/>
          <w:sz w:val="18"/>
          <w:szCs w:val="18"/>
          <w:color w:val="0A0A0A"/>
        </w:rPr>
        <w:t>Announced plans to open a new operational base at Cincinnati/Northern Kentucky International Airport (CVG) in early 2026 which we believe will bolster operational efficiencies in our cargo business</w:t>
      </w:r>
    </w:p>
    <w:p>
      <w:pPr>
        <w:ind w:left="660" w:right="60" w:hanging="328"/>
        <w:spacing w:after="0" w:line="234" w:lineRule="auto"/>
        <w:tabs>
          <w:tab w:leader="none" w:pos="655" w:val="left"/>
        </w:tabs>
        <w:numPr>
          <w:ilvl w:val="0"/>
          <w:numId w:val="2"/>
        </w:numPr>
        <w:rPr>
          <w:rFonts w:ascii="Arial" w:cs="Arial" w:eastAsia="Arial" w:hAnsi="Arial"/>
          <w:sz w:val="18"/>
          <w:szCs w:val="18"/>
          <w:color w:val="0A0A0A"/>
        </w:rPr>
      </w:pPr>
      <w:r>
        <w:rPr>
          <w:rFonts w:ascii="Arial" w:cs="Arial" w:eastAsia="Arial" w:hAnsi="Arial"/>
          <w:sz w:val="18"/>
          <w:szCs w:val="18"/>
          <w:color w:val="auto"/>
        </w:rPr>
        <w:t>Plans to add two new cargo aircraft to the fleet, with both aircraft expected to be operational in early third quarter 2026. One of these aircraft will be utilized as a spare to support the cargo operation.</w:t>
      </w:r>
    </w:p>
    <w:p>
      <w:pPr>
        <w:spacing w:after="0" w:line="1" w:lineRule="exact"/>
        <w:rPr>
          <w:rFonts w:ascii="Arial" w:cs="Arial" w:eastAsia="Arial" w:hAnsi="Arial"/>
          <w:sz w:val="18"/>
          <w:szCs w:val="18"/>
          <w:color w:val="0A0A0A"/>
        </w:rPr>
      </w:pPr>
    </w:p>
    <w:p>
      <w:pPr>
        <w:ind w:left="660" w:right="220" w:hanging="328"/>
        <w:spacing w:after="0" w:line="248"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color w:val="auto"/>
        </w:rPr>
        <w:t>Received one 737-900ER and one 737-800 during the quarter. Both of these aircraft were previously on lease with other operators and are being transitioned into Sun Country configurations and are expected to enter into service by the end of first quarter 2026.</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Currently has three aircraft on lease that are expected to be returned to the Company through 2026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Capacity</w:t>
      </w:r>
    </w:p>
    <w:p>
      <w:pPr>
        <w:spacing w:after="0" w:line="239" w:lineRule="exact"/>
        <w:rPr>
          <w:sz w:val="20"/>
          <w:szCs w:val="20"/>
          <w:color w:val="auto"/>
        </w:rPr>
      </w:pPr>
    </w:p>
    <w:p>
      <w:pPr>
        <w:ind w:right="380"/>
        <w:spacing w:after="0" w:line="251" w:lineRule="auto"/>
        <w:rPr>
          <w:sz w:val="20"/>
          <w:szCs w:val="20"/>
          <w:color w:val="auto"/>
        </w:rPr>
      </w:pPr>
      <w:r>
        <w:rPr>
          <w:rFonts w:ascii="Arial" w:cs="Arial" w:eastAsia="Arial" w:hAnsi="Arial"/>
          <w:sz w:val="17"/>
          <w:szCs w:val="17"/>
          <w:color w:val="0A0A0A"/>
        </w:rPr>
        <w:t xml:space="preserve">System block hours flown during the fourth quarter of </w:t>
      </w:r>
      <w:r>
        <w:rPr>
          <w:rFonts w:ascii="Arial" w:cs="Arial" w:eastAsia="Arial" w:hAnsi="Arial"/>
          <w:sz w:val="17"/>
          <w:szCs w:val="17"/>
          <w:color w:val="000000"/>
        </w:rPr>
        <w:t>2025</w:t>
      </w:r>
      <w:r>
        <w:rPr>
          <w:rFonts w:ascii="Arial" w:cs="Arial" w:eastAsia="Arial" w:hAnsi="Arial"/>
          <w:sz w:val="17"/>
          <w:szCs w:val="17"/>
          <w:color w:val="0A0A0A"/>
        </w:rPr>
        <w:t xml:space="preserve"> grew by </w:t>
      </w:r>
      <w:r>
        <w:rPr>
          <w:rFonts w:ascii="Arial" w:cs="Arial" w:eastAsia="Arial" w:hAnsi="Arial"/>
          <w:sz w:val="17"/>
          <w:szCs w:val="17"/>
          <w:color w:val="000000"/>
        </w:rPr>
        <w:t>9.2%</w:t>
      </w:r>
      <w:r>
        <w:rPr>
          <w:rFonts w:ascii="Arial" w:cs="Arial" w:eastAsia="Arial" w:hAnsi="Arial"/>
          <w:sz w:val="17"/>
          <w:szCs w:val="17"/>
          <w:color w:val="0A0A0A"/>
        </w:rPr>
        <w:t xml:space="preserve"> year-over-year, driven by the segments under contract. Cargo block hours increased in the fourth quarter by </w:t>
      </w:r>
      <w:r>
        <w:rPr>
          <w:rFonts w:ascii="Arial" w:cs="Arial" w:eastAsia="Arial" w:hAnsi="Arial"/>
          <w:sz w:val="17"/>
          <w:szCs w:val="17"/>
          <w:color w:val="000000"/>
        </w:rPr>
        <w:t>50.6%</w:t>
      </w:r>
      <w:r>
        <w:rPr>
          <w:rFonts w:ascii="Arial" w:cs="Arial" w:eastAsia="Arial" w:hAnsi="Arial"/>
          <w:sz w:val="17"/>
          <w:szCs w:val="17"/>
          <w:color w:val="0A0A0A"/>
        </w:rPr>
        <w:t xml:space="preserve"> year-over-year while charter block hours increased </w:t>
      </w:r>
      <w:r>
        <w:rPr>
          <w:rFonts w:ascii="Arial" w:cs="Arial" w:eastAsia="Arial" w:hAnsi="Arial"/>
          <w:sz w:val="17"/>
          <w:szCs w:val="17"/>
          <w:color w:val="000000"/>
        </w:rPr>
        <w:t>12.4%. Scheduled service block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hours declined 8.5% in the quarter as pilot resources were shifted to support cargo growth.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Revenue</w:t>
      </w:r>
    </w:p>
    <w:p>
      <w:pPr>
        <w:spacing w:after="0" w:line="239"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The Company experienced strong scheduled service demand during the fourth quarter. Scheduled service TRASM</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increased 8.9% year-over-year on a 9.8% decrease in scheduled service ASMs. Average base fare, ancillary revenue per passenger, and scheduled service load factor all increased versus the fourth quarter of 2024.</w:t>
      </w:r>
    </w:p>
    <w:p>
      <w:pPr>
        <w:spacing w:after="0" w:line="20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Charter revenue increased 18.0% on a 12.4% increase in charter block hours. Charter flying under long-term contracts accounted for 64% of charter block hours versus 61% in the fourth quarter of 2024.</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Fourth quarter cargo revenue increased 67.9% on block hour growth of 50.6%, primarily driven by the eight additional cargo aircraft deployed earlier in the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Cost</w:t>
      </w:r>
    </w:p>
    <w:p>
      <w:pPr>
        <w:spacing w:after="0" w:line="239"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Fourth quarter GAAP operating expense increased 12.1%, compared to total block hour growth of 9.2%. Fuel cost per gallon increased 3.6%.</w:t>
      </w:r>
    </w:p>
    <w:p>
      <w:pPr>
        <w:spacing w:after="0" w:line="178" w:lineRule="exact"/>
        <w:rPr>
          <w:sz w:val="20"/>
          <w:szCs w:val="20"/>
          <w:color w:val="auto"/>
        </w:rPr>
      </w:pPr>
    </w:p>
    <w:p>
      <w:pPr>
        <w:ind w:right="180"/>
        <w:spacing w:after="0" w:line="220" w:lineRule="auto"/>
        <w:rPr>
          <w:sz w:val="20"/>
          <w:szCs w:val="20"/>
          <w:color w:val="auto"/>
        </w:rPr>
      </w:pPr>
      <w:r>
        <w:rPr>
          <w:rFonts w:ascii="Arial" w:cs="Arial" w:eastAsia="Arial" w:hAnsi="Arial"/>
          <w:sz w:val="17"/>
          <w:szCs w:val="17"/>
          <w:color w:val="auto"/>
        </w:rPr>
        <w:t>CASM increased 19.1% on a 5.8% decrease in system ASMs. Adjusted CASM</w:t>
      </w:r>
      <w:r>
        <w:rPr>
          <w:rFonts w:ascii="Arial" w:cs="Arial" w:eastAsia="Arial" w:hAnsi="Arial"/>
          <w:sz w:val="22"/>
          <w:szCs w:val="22"/>
          <w:color w:val="auto"/>
          <w:vertAlign w:val="superscript"/>
        </w:rPr>
        <w:t>(4)</w:t>
      </w:r>
      <w:r>
        <w:rPr>
          <w:rFonts w:ascii="Arial" w:cs="Arial" w:eastAsia="Arial" w:hAnsi="Arial"/>
          <w:sz w:val="17"/>
          <w:szCs w:val="17"/>
          <w:color w:val="auto"/>
        </w:rPr>
        <w:t xml:space="preserve"> increased 12.1%, primarily driven by headcount growth of 4.5% to support the expanded aircraft fleet and a significant increase in scheduled heavy maintenance versus the fourth quarter of 2024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able to pull forward some events from 2026.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Balance Sheet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A0A0A"/>
        </w:rPr>
        <w:t>Total liquidity</w:t>
      </w:r>
      <w:r>
        <w:rPr>
          <w:rFonts w:ascii="Arial" w:cs="Arial" w:eastAsia="Arial" w:hAnsi="Arial"/>
          <w:sz w:val="23"/>
          <w:szCs w:val="23"/>
          <w:color w:val="0A0A0A"/>
          <w:vertAlign w:val="superscript"/>
        </w:rPr>
        <w:t>(5)</w:t>
      </w:r>
      <w:r>
        <w:rPr>
          <w:rFonts w:ascii="Arial" w:cs="Arial" w:eastAsia="Arial" w:hAnsi="Arial"/>
          <w:sz w:val="18"/>
          <w:szCs w:val="18"/>
          <w:color w:val="0A0A0A"/>
        </w:rPr>
        <w:t xml:space="preserve"> was $302.8 million on December 31, 2025, while the Company’s net debt</w:t>
      </w:r>
      <w:r>
        <w:rPr>
          <w:rFonts w:ascii="Arial" w:cs="Arial" w:eastAsia="Arial" w:hAnsi="Arial"/>
          <w:sz w:val="23"/>
          <w:szCs w:val="23"/>
          <w:color w:val="0A0A0A"/>
          <w:vertAlign w:val="superscript"/>
        </w:rPr>
        <w:t>(6)</w:t>
      </w:r>
      <w:r>
        <w:rPr>
          <w:rFonts w:ascii="Arial" w:cs="Arial" w:eastAsia="Arial" w:hAnsi="Arial"/>
          <w:sz w:val="18"/>
          <w:szCs w:val="18"/>
          <w:color w:val="0A0A0A"/>
        </w:rPr>
        <w:t xml:space="preserve"> was $364.0 million.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w:t>
      </w:r>
    </w:p>
    <w:p>
      <w:pPr>
        <w:sectPr>
          <w:pgSz w:w="11900" w:h="16838" w:orient="portrait"/>
          <w:cols w:equalWidth="0" w:num="1">
            <w:col w:w="11240"/>
          </w:cols>
          <w:pgMar w:left="320" w:top="128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5"/>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 amounts may not recalculate due to rounding)</w:t>
            </w:r>
          </w:p>
        </w:tc>
        <w:tc>
          <w:tcPr>
            <w:tcW w:w="3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December 31, 2025</w:t>
            </w:r>
          </w:p>
        </w:tc>
        <w:tc>
          <w:tcPr>
            <w:tcW w:w="3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December 31, 2024</w:t>
            </w:r>
          </w:p>
        </w:tc>
      </w:tr>
      <w:tr>
        <w:trPr>
          <w:trHeight w:val="222"/>
        </w:trPr>
        <w:tc>
          <w:tcPr>
            <w:tcW w:w="6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5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r>
      <w:tr>
        <w:trPr>
          <w:trHeight w:val="247"/>
        </w:trPr>
        <w:tc>
          <w:tcPr>
            <w:tcW w:w="66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97.6</w:t>
            </w:r>
          </w:p>
        </w:tc>
      </w:tr>
      <w:tr>
        <w:trPr>
          <w:trHeight w:val="23"/>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Available Under Revolving Credit Facility</w:t>
            </w: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63"/>
        </w:trPr>
        <w:tc>
          <w:tcPr>
            <w:tcW w:w="6620" w:type="dxa"/>
            <w:vAlign w:val="bottom"/>
          </w:tcPr>
          <w:p>
            <w:pPr>
              <w:ind w:left="240"/>
              <w:spacing w:after="0"/>
              <w:rPr>
                <w:sz w:val="20"/>
                <w:szCs w:val="20"/>
                <w:color w:val="auto"/>
              </w:rPr>
            </w:pPr>
            <w:r>
              <w:rPr>
                <w:rFonts w:ascii="Arial" w:cs="Arial" w:eastAsia="Arial" w:hAnsi="Arial"/>
                <w:sz w:val="18"/>
                <w:szCs w:val="18"/>
                <w:color w:val="auto"/>
              </w:rPr>
              <w:t>Total Liquidity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205.6</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83"/>
        </w:trPr>
        <w:tc>
          <w:tcPr>
            <w:tcW w:w="6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23"/>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 amounts may not recalculate due to rounding)</w:t>
            </w:r>
          </w:p>
        </w:tc>
        <w:tc>
          <w:tcPr>
            <w:tcW w:w="3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December 31, 2025</w:t>
            </w: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December 31, 2024</w:t>
            </w:r>
          </w:p>
        </w:tc>
      </w:tr>
      <w:tr>
        <w:trPr>
          <w:trHeight w:val="222"/>
        </w:trPr>
        <w:tc>
          <w:tcPr>
            <w:tcW w:w="6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5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327.1</w:t>
            </w:r>
          </w:p>
        </w:tc>
      </w:tr>
      <w:tr>
        <w:trPr>
          <w:trHeight w:val="247"/>
        </w:trPr>
        <w:tc>
          <w:tcPr>
            <w:tcW w:w="662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251.1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271.3</w:t>
            </w:r>
          </w:p>
        </w:tc>
      </w:tr>
      <w:tr>
        <w:trPr>
          <w:trHeight w:val="23"/>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41"/>
        </w:trPr>
        <w:tc>
          <w:tcPr>
            <w:tcW w:w="6620" w:type="dxa"/>
            <w:vAlign w:val="bottom"/>
          </w:tcPr>
          <w:p>
            <w:pPr>
              <w:ind w:left="180"/>
              <w:spacing w:after="0"/>
              <w:rPr>
                <w:sz w:val="20"/>
                <w:szCs w:val="20"/>
                <w:color w:val="auto"/>
              </w:rPr>
            </w:pPr>
            <w:r>
              <w:rPr>
                <w:rFonts w:ascii="Arial" w:cs="Arial" w:eastAsia="Arial" w:hAnsi="Arial"/>
                <w:sz w:val="18"/>
                <w:szCs w:val="18"/>
                <w:color w:val="auto"/>
              </w:rPr>
              <w:t>Total Debt and Lease Obligations</w:t>
            </w:r>
          </w:p>
        </w:tc>
        <w:tc>
          <w:tcPr>
            <w:tcW w:w="30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619.0</w:t>
            </w:r>
          </w:p>
        </w:tc>
      </w:tr>
      <w:tr>
        <w:trPr>
          <w:trHeight w:val="23"/>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r>
      <w:tr>
        <w:trPr>
          <w:trHeight w:val="247"/>
        </w:trPr>
        <w:tc>
          <w:tcPr>
            <w:tcW w:w="66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97.6</w:t>
            </w:r>
          </w:p>
        </w:tc>
      </w:tr>
      <w:tr>
        <w:trPr>
          <w:trHeight w:val="23"/>
        </w:trPr>
        <w:tc>
          <w:tcPr>
            <w:tcW w:w="6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88"/>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Fleet</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of December 31, 2025, the Company had 47 aircraft in its passenger service fleet, operated 20 freighter aircraft in its cargo operation and had three aircraft that are currently on lease to unaffiliated airlines.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Pending Transaction with Allegiant</w:t>
      </w:r>
    </w:p>
    <w:p>
      <w:pPr>
        <w:spacing w:after="0" w:line="23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0A0A0A"/>
        </w:rPr>
        <w:t>On January 11, 2026, Sun Country and Allegiant entered into a definitive agreement under which Allegiant will acquire all of the outstanding shares of Sun Country in a cash and stock transaction (the “Merger”).</w:t>
      </w:r>
    </w:p>
    <w:p>
      <w:pPr>
        <w:spacing w:after="0" w:line="19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0A0A0A"/>
        </w:rPr>
        <w:t>In light of the pending transaction, Sun Country will not host a live conference call to discuss its financial results, and Sun Country will no longer provide quarterly guidance.</w:t>
      </w:r>
    </w:p>
    <w:p>
      <w:pPr>
        <w:spacing w:after="0" w:line="18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0A0A0A"/>
        </w:rPr>
        <w:t>The transaction is expected to close in the second half of 2026, subject to receipt of U.S. federal antitrust clearance and other required regulatory approvals, the approval of both companies' shareholders and other customary closing conditions.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About Sun Country Airlines</w:t>
      </w:r>
    </w:p>
    <w:p>
      <w:pPr>
        <w:spacing w:after="0" w:line="1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0A0A0A"/>
        </w:rPr>
        <w:t>Sun Country Airlines is a new breed of hybrid low-cost air carrier, whose mission is to connect guests to their favorite people and places, to create lifelong memories and transformative experiences. Sun Country dynamically deploys shared resources across our synergistic scheduled service, charter and cargo businesses. Based in Minnesota, we focus on serving leisure and visiting friends and relatives (“VFR") passengers and charter customers and providing cargo CMI services, with flights throughout the United States and to destinations</w:t>
      </w:r>
    </w:p>
    <w:p>
      <w:pPr>
        <w:spacing w:after="0" w:line="2" w:lineRule="exact"/>
        <w:rPr>
          <w:sz w:val="20"/>
          <w:szCs w:val="20"/>
          <w:color w:val="auto"/>
        </w:rPr>
      </w:pPr>
    </w:p>
    <w:p>
      <w:pPr>
        <w:ind w:right="1980"/>
        <w:spacing w:after="0" w:line="266" w:lineRule="auto"/>
        <w:rPr>
          <w:sz w:val="20"/>
          <w:szCs w:val="20"/>
          <w:color w:val="auto"/>
        </w:rPr>
      </w:pPr>
      <w:r>
        <w:rPr>
          <w:rFonts w:ascii="Arial" w:cs="Arial" w:eastAsia="Arial" w:hAnsi="Arial"/>
          <w:sz w:val="18"/>
          <w:szCs w:val="18"/>
          <w:color w:val="0A0A0A"/>
        </w:rPr>
        <w:t>in Mexico, Central America, Canada, and the Caribbean. For photos, b-roll and additional company information, visit https://www.stories.suncountry.com/multimedia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End Notes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3</w:t>
      </w:r>
    </w:p>
    <w:p>
      <w:pPr>
        <w:sectPr>
          <w:pgSz w:w="11900" w:h="16838" w:orient="portrait"/>
          <w:cols w:equalWidth="0" w:num="1">
            <w:col w:w="11200"/>
          </w:cols>
          <w:pgMar w:left="320" w:top="1372" w:right="379" w:bottom="1440" w:gutter="0" w:footer="0" w:header="0"/>
        </w:sectPr>
      </w:pPr>
    </w:p>
    <w:bookmarkStart w:id="6" w:name="page7"/>
    <w:bookmarkEnd w:id="6"/>
    <w:p>
      <w:pPr>
        <w:ind w:left="20"/>
        <w:spacing w:after="0"/>
        <w:tabs>
          <w:tab w:leader="none" w:pos="460" w:val="left"/>
        </w:tabs>
        <w:rPr>
          <w:sz w:val="20"/>
          <w:szCs w:val="20"/>
          <w:color w:val="auto"/>
        </w:rPr>
      </w:pPr>
      <w:r>
        <w:rPr>
          <w:rFonts w:ascii="Arial" w:cs="Arial" w:eastAsia="Arial" w:hAnsi="Arial"/>
          <w:sz w:val="18"/>
          <w:szCs w:val="18"/>
          <w:color w:val="auto"/>
        </w:rPr>
        <w:t>1 -</w:t>
        <w:tab/>
        <w:t>Records began in January 2017</w:t>
      </w:r>
    </w:p>
    <w:p>
      <w:pPr>
        <w:spacing w:after="0" w:line="50" w:lineRule="exact"/>
        <w:rPr>
          <w:sz w:val="20"/>
          <w:szCs w:val="20"/>
          <w:color w:val="auto"/>
        </w:rPr>
      </w:pPr>
    </w:p>
    <w:p>
      <w:pPr>
        <w:ind w:left="480" w:hanging="458"/>
        <w:spacing w:after="0" w:line="266" w:lineRule="auto"/>
        <w:tabs>
          <w:tab w:leader="none" w:pos="460" w:val="left"/>
        </w:tabs>
        <w:rPr>
          <w:sz w:val="20"/>
          <w:szCs w:val="20"/>
          <w:color w:val="auto"/>
        </w:rPr>
      </w:pPr>
      <w:r>
        <w:rPr>
          <w:rFonts w:ascii="Arial" w:cs="Arial" w:eastAsia="Arial" w:hAnsi="Arial"/>
          <w:sz w:val="18"/>
          <w:szCs w:val="18"/>
          <w:color w:val="auto"/>
        </w:rPr>
        <w:t>2 -</w:t>
      </w:r>
      <w:r>
        <w:rPr>
          <w:rFonts w:ascii="Arial" w:cs="Arial" w:eastAsia="Arial" w:hAnsi="Arial"/>
          <w:sz w:val="18"/>
          <w:szCs w:val="18"/>
          <w:color w:val="0A0A0A"/>
        </w:rPr>
        <w:tab/>
        <w:t>See additional details, including reconciliations to the most comparable GAAP measures, in the section titled “</w:t>
      </w:r>
      <w:r>
        <w:rPr>
          <w:rFonts w:ascii="Arial" w:cs="Arial" w:eastAsia="Arial" w:hAnsi="Arial"/>
          <w:sz w:val="18"/>
          <w:szCs w:val="18"/>
          <w:color w:val="000000"/>
        </w:rPr>
        <w:t>Non-GAAP financial</w:t>
      </w:r>
      <w:r>
        <w:rPr>
          <w:rFonts w:ascii="Arial" w:cs="Arial" w:eastAsia="Arial" w:hAnsi="Arial"/>
          <w:sz w:val="18"/>
          <w:szCs w:val="18"/>
          <w:color w:val="0A0A0A"/>
        </w:rPr>
        <w:t xml:space="preserve"> </w:t>
      </w:r>
      <w:r>
        <w:rPr>
          <w:rFonts w:ascii="Arial" w:cs="Arial" w:eastAsia="Arial" w:hAnsi="Arial"/>
          <w:sz w:val="18"/>
          <w:szCs w:val="18"/>
          <w:color w:val="000000"/>
        </w:rPr>
        <w:t>measures”</w:t>
      </w:r>
    </w:p>
    <w:p>
      <w:pPr>
        <w:sectPr>
          <w:pgSz w:w="11900" w:h="16838" w:orient="portrait"/>
          <w:cols w:equalWidth="0" w:num="1">
            <w:col w:w="11120"/>
          </w:cols>
          <w:pgMar w:left="320" w:top="1106" w:right="459" w:bottom="1440" w:gutter="0" w:footer="0" w:header="0"/>
        </w:sectPr>
      </w:pPr>
    </w:p>
    <w:p>
      <w:pPr>
        <w:spacing w:after="0" w:line="14" w:lineRule="exact"/>
        <w:rPr>
          <w:sz w:val="20"/>
          <w:szCs w:val="20"/>
          <w:color w:val="auto"/>
        </w:rPr>
      </w:pPr>
    </w:p>
    <w:p>
      <w:pPr>
        <w:ind w:left="180" w:hanging="154"/>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4 -</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7"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br w:type="column"/>
      </w:r>
    </w:p>
    <w:p>
      <w:pPr>
        <w:jc w:val="both"/>
        <w:spacing w:after="0" w:line="244" w:lineRule="auto"/>
        <w:rPr>
          <w:sz w:val="20"/>
          <w:szCs w:val="20"/>
          <w:color w:val="auto"/>
        </w:rPr>
      </w:pPr>
      <w:r>
        <w:rPr>
          <w:rFonts w:ascii="Arial" w:cs="Arial" w:eastAsia="Arial" w:hAnsi="Arial"/>
          <w:sz w:val="18"/>
          <w:szCs w:val="18"/>
          <w:color w:val="auto"/>
        </w:rPr>
        <w:t>Scheduled Service TRASM includes Schedule Service revenue, Ancillary revenue, and ASM generating revenue classified within Other Revenue on the Consolidated Statement of Operations / Scheduled Service ASMs. Other Revenue includes rental revenue of approximately $8.4 million and $13.1 million associated with certain assets that generate lease income in the three months ended December 31, 2025 and 2024, respectively and $35.2 million and $42.3 million associated with certain assets that generate lease income in the year ended December 31, 2025 and 2024, respectively, which is not included.</w:t>
      </w:r>
    </w:p>
    <w:p>
      <w:pPr>
        <w:spacing w:after="0" w:line="2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Adjusted CASM is a metric that uses a non-GAAP measure </w:t>
      </w:r>
      <w:r>
        <w:rPr>
          <w:rFonts w:ascii="Arial" w:cs="Arial" w:eastAsia="Arial" w:hAnsi="Arial"/>
          <w:sz w:val="18"/>
          <w:szCs w:val="18"/>
          <w:color w:val="0A0A0A"/>
        </w:rPr>
        <w:t>derived from CASM by excluding fuel costs, non-cash management stock</w:t>
      </w:r>
      <w:r>
        <w:rPr>
          <w:rFonts w:ascii="Arial" w:cs="Arial" w:eastAsia="Arial" w:hAnsi="Arial"/>
          <w:sz w:val="18"/>
          <w:szCs w:val="18"/>
          <w:color w:val="auto"/>
        </w:rPr>
        <w:t xml:space="preserve"> </w:t>
      </w:r>
      <w:r>
        <w:rPr>
          <w:rFonts w:ascii="Arial" w:cs="Arial" w:eastAsia="Arial" w:hAnsi="Arial"/>
          <w:sz w:val="18"/>
          <w:szCs w:val="18"/>
          <w:color w:val="0A0A0A"/>
        </w:rPr>
        <w:t xml:space="preserve">compensation expense, costs arising from its cargo operations, </w:t>
      </w:r>
      <w:r>
        <w:rPr>
          <w:rFonts w:ascii="Arial" w:cs="Arial" w:eastAsia="Arial" w:hAnsi="Arial"/>
          <w:sz w:val="18"/>
          <w:szCs w:val="18"/>
          <w:color w:val="000000"/>
        </w:rPr>
        <w:t>depreciation and amortization recognized on certain assets that</w:t>
      </w:r>
      <w:r>
        <w:rPr>
          <w:rFonts w:ascii="Arial" w:cs="Arial" w:eastAsia="Arial" w:hAnsi="Arial"/>
          <w:sz w:val="18"/>
          <w:szCs w:val="18"/>
          <w:color w:val="0A0A0A"/>
        </w:rPr>
        <w:t xml:space="preserve"> </w:t>
      </w:r>
      <w:r>
        <w:rPr>
          <w:rFonts w:ascii="Arial" w:cs="Arial" w:eastAsia="Arial" w:hAnsi="Arial"/>
          <w:sz w:val="18"/>
          <w:szCs w:val="18"/>
          <w:color w:val="000000"/>
        </w:rPr>
        <w:t xml:space="preserve">generate lease income, </w:t>
      </w:r>
      <w:r>
        <w:rPr>
          <w:rFonts w:ascii="Arial" w:cs="Arial" w:eastAsia="Arial" w:hAnsi="Arial"/>
          <w:sz w:val="18"/>
          <w:szCs w:val="18"/>
          <w:color w:val="0A0A0A"/>
        </w:rPr>
        <w:t>certain unplanned engine events, certain commissions, and other costs of selling its vacations product from</w:t>
      </w:r>
      <w:r>
        <w:rPr>
          <w:rFonts w:ascii="Arial" w:cs="Arial" w:eastAsia="Arial" w:hAnsi="Arial"/>
          <w:sz w:val="18"/>
          <w:szCs w:val="18"/>
          <w:color w:val="000000"/>
        </w:rPr>
        <w:t xml:space="preserve"> </w:t>
      </w:r>
      <w:r>
        <w:rPr>
          <w:rFonts w:ascii="Arial" w:cs="Arial" w:eastAsia="Arial" w:hAnsi="Arial"/>
          <w:sz w:val="18"/>
          <w:szCs w:val="18"/>
          <w:color w:val="0A0A0A"/>
        </w:rPr>
        <w:t>this measure. See table titled “</w:t>
      </w:r>
      <w:r>
        <w:rPr>
          <w:rFonts w:ascii="Arial" w:cs="Arial" w:eastAsia="Arial" w:hAnsi="Arial"/>
          <w:sz w:val="18"/>
          <w:szCs w:val="18"/>
          <w:color w:val="000000"/>
        </w:rPr>
        <w:t>Reconciliation of CASM to Adjusted CASM”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 liquidity = cash and cash equivalents + available-for-sale securities + amount available under revolver</w:t>
      </w:r>
    </w:p>
    <w:p>
      <w:pPr>
        <w:spacing w:after="0" w:line="49" w:lineRule="exact"/>
        <w:rPr>
          <w:sz w:val="20"/>
          <w:szCs w:val="20"/>
          <w:color w:val="auto"/>
        </w:rPr>
      </w:pPr>
    </w:p>
    <w:p>
      <w:pPr>
        <w:sectPr>
          <w:pgSz w:w="11900" w:h="16838" w:orient="portrait"/>
          <w:cols w:equalWidth="0" w:num="2">
            <w:col w:w="240" w:space="240"/>
            <w:col w:w="10640"/>
          </w:cols>
          <w:pgMar w:left="320" w:top="1106" w:right="459" w:bottom="1440" w:gutter="0" w:footer="0" w:header="0"/>
          <w:type w:val="continuous"/>
        </w:sectPr>
      </w:pPr>
    </w:p>
    <w:p>
      <w:pPr>
        <w:ind w:left="480" w:hanging="458"/>
        <w:spacing w:after="0" w:line="271" w:lineRule="auto"/>
        <w:tabs>
          <w:tab w:leader="none" w:pos="460" w:val="left"/>
        </w:tabs>
        <w:rPr>
          <w:sz w:val="20"/>
          <w:szCs w:val="20"/>
          <w:color w:val="auto"/>
        </w:rPr>
      </w:pPr>
      <w:r>
        <w:rPr>
          <w:rFonts w:ascii="Arial" w:cs="Arial" w:eastAsia="Arial" w:hAnsi="Arial"/>
          <w:sz w:val="18"/>
          <w:szCs w:val="18"/>
          <w:color w:val="auto"/>
        </w:rPr>
        <w:t>6 -</w:t>
        <w:tab/>
        <w:t>Net debt = current portion of long-term debt + long-term debt + finance lease obligations + operating lease obligations – cash and cash equivalents - available-for-sale securities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Contacts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0A0A0A"/>
        </w:rPr>
        <w:t>I</w:t>
      </w:r>
      <w:r>
        <w:rPr>
          <w:rFonts w:ascii="Arial" w:cs="Arial" w:eastAsia="Arial" w:hAnsi="Arial"/>
          <w:sz w:val="17"/>
          <w:szCs w:val="17"/>
          <w:b w:val="1"/>
          <w:bCs w:val="1"/>
          <w:color w:val="0A0A0A"/>
        </w:rPr>
        <w:t>nvestor Relations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0A0A0A"/>
        </w:rPr>
        <w:t>Chris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A0A0A"/>
        </w:rPr>
        <w:t>651-681-4810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IR@suncountry.com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A0A0A"/>
        </w:rPr>
        <w:t>Wendy Burt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A0A0A"/>
        </w:rPr>
        <w:t>651-900-8400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mediarelations@suncountry.com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Page 4</w:t>
      </w:r>
    </w:p>
    <w:p>
      <w:pPr>
        <w:sectPr>
          <w:pgSz w:w="11900" w:h="16838" w:orient="portrait"/>
          <w:cols w:equalWidth="0" w:num="1">
            <w:col w:w="11120"/>
          </w:cols>
          <w:pgMar w:left="320" w:top="1106" w:right="4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0A0A0A"/>
        </w:rPr>
        <w:t>Forward-Looking Statements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0A0A0A"/>
        </w:rPr>
        <w:t>This press release contains forward-looking statements within the meaning of the U.S. Private Securities Litigation Reform Act of 1995,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press release, including statements regarding our strategy, future operations, future financial position, future revenue, projected costs, prospects, plans, objectives of management, and expected market growth are forward-looking statements. The forward-looking statements are relating to:</w:t>
      </w:r>
    </w:p>
    <w:p>
      <w:pPr>
        <w:spacing w:after="0" w:line="183"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our strategy, outlook and growth prospects;</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our operational and financial targets and dividend policy;</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general economic trends and trends in the industry and markets;</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potential repurchases of our common stock;</w:t>
      </w:r>
    </w:p>
    <w:p>
      <w:pPr>
        <w:spacing w:after="0" w:line="252" w:lineRule="exact"/>
        <w:rPr>
          <w:rFonts w:ascii="Arial" w:cs="Arial" w:eastAsia="Arial" w:hAnsi="Arial"/>
          <w:sz w:val="18"/>
          <w:szCs w:val="18"/>
          <w:color w:val="0A0A0A"/>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competitive environment in which we operate.</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complete Merger;</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parties’ ability to satisfy the conditions to the consummation of the Merger;</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substantial costs and management resources required to consummate the Merger;</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certain interim covenants that we are subject to under the merger agreement; and</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associated with failure to consummate the cash tender offer and merger;</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0A0A0A"/>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0A0A0A"/>
        </w:rPr>
        <w:t>These forward-looking statements reflect our views with respect to future events as of the date of this press release and are based on assumptions and subject to risks and uncertainties. Given these uncertainties, you should not place undue reliance on these forward-looking statements. These forward-looking statements represent our estimates and assumptions only as of the date of this press release and, except as required by law, we undertake no obligation to update or review publicly any forward-looking statements, whether as a result of new information, future events or otherwise after the date of this press release. We anticipate that subsequent events and developments will cause our views to change. You should read this press release completely and with the understanding that our actual future results may be materially different from what we expect. Our forward-looking statements do not reflect the potential impact of any future acquisitions, mergers, dispositions, joint ventures, or investments we may undertake. We qualify all of our forward-looking statements by these cautionary statements. Additional information concerning certain factors is contained in the Company’s Securities and Exchange Commission filings, including but not limited to the Company’s Annual Reports on Form 10-K, Quarterly Reports on Form 10-Q, and Current Reports on Form 8-K.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Non-GAAP Financial Measures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sometimes use information that is derived from the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5</w:t>
      </w:r>
    </w:p>
    <w:p>
      <w:pPr>
        <w:sectPr>
          <w:pgSz w:w="11900" w:h="16838" w:orient="portrait"/>
          <w:cols w:equalWidth="0" w:num="1">
            <w:col w:w="11240"/>
          </w:cols>
          <w:pgMar w:left="320" w:top="1309" w:right="339" w:bottom="1440" w:gutter="0" w:footer="0" w:header="0"/>
          <w:type w:val="continuous"/>
        </w:sectPr>
      </w:pPr>
    </w:p>
    <w:bookmarkStart w:id="8" w:name="page9"/>
    <w:bookmarkEnd w:id="8"/>
    <w:p>
      <w:pPr>
        <w:jc w:val="both"/>
        <w:spacing w:after="0" w:line="262" w:lineRule="auto"/>
        <w:rPr>
          <w:sz w:val="20"/>
          <w:szCs w:val="20"/>
          <w:color w:val="auto"/>
        </w:rPr>
      </w:pPr>
      <w:r>
        <w:rPr>
          <w:rFonts w:ascii="Arial" w:cs="Arial" w:eastAsia="Arial" w:hAnsi="Arial"/>
          <w:sz w:val="18"/>
          <w:szCs w:val="18"/>
          <w:color w:val="auto"/>
        </w:rPr>
        <w:t>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document to the most directly comparable 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6</w:t>
      </w:r>
    </w:p>
    <w:p>
      <w:pPr>
        <w:sectPr>
          <w:pgSz w:w="11900" w:h="16838" w:orient="portrait"/>
          <w:cols w:equalWidth="0" w:num="1">
            <w:col w:w="11240"/>
          </w:cols>
          <w:pgMar w:left="320" w:top="1282" w:right="339" w:bottom="1440" w:gutter="0" w:footer="0" w:header="0"/>
        </w:sectPr>
      </w:pPr>
    </w:p>
    <w:bookmarkStart w:id="9" w:name="page10"/>
    <w:bookmarkEnd w:id="9"/>
    <w:p>
      <w:pPr>
        <w:ind w:left="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(Dollars in thousands, except shares and per share amounts)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234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540" w:type="dxa"/>
            <w:vAlign w:val="bottom"/>
            <w:gridSpan w:val="5"/>
          </w:tcPr>
          <w:p>
            <w:pPr>
              <w:ind w:left="320"/>
              <w:spacing w:after="0"/>
              <w:rPr>
                <w:sz w:val="20"/>
                <w:szCs w:val="20"/>
                <w:color w:val="auto"/>
              </w:rPr>
            </w:pPr>
            <w:r>
              <w:rPr>
                <w:rFonts w:ascii="Arial" w:cs="Arial" w:eastAsia="Arial" w:hAnsi="Arial"/>
                <w:sz w:val="14"/>
                <w:szCs w:val="14"/>
                <w:b w:val="1"/>
                <w:bCs w:val="1"/>
                <w:color w:val="0A0A0A"/>
              </w:rPr>
              <w:t>Three Months Ended December 31,</w:t>
            </w:r>
          </w:p>
        </w:tc>
        <w:tc>
          <w:tcPr>
            <w:tcW w:w="1880" w:type="dxa"/>
            <w:vAlign w:val="bottom"/>
          </w:tcPr>
          <w:p>
            <w:pPr>
              <w:spacing w:after="0"/>
              <w:rPr>
                <w:sz w:val="17"/>
                <w:szCs w:val="17"/>
                <w:color w:val="auto"/>
              </w:rPr>
            </w:pPr>
          </w:p>
        </w:tc>
      </w:tr>
      <w:tr>
        <w:trPr>
          <w:trHeight w:val="203"/>
        </w:trPr>
        <w:tc>
          <w:tcPr>
            <w:tcW w:w="53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0A0A0A"/>
              </w:rPr>
              <w:t>2025</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0A0A0A"/>
              </w:rPr>
              <w:t>2024</w:t>
            </w:r>
          </w:p>
        </w:tc>
        <w:tc>
          <w:tcPr>
            <w:tcW w:w="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0A0A0A"/>
              </w:rPr>
              <w:t>% Change</w:t>
            </w:r>
          </w:p>
        </w:tc>
      </w:tr>
      <w:tr>
        <w:trPr>
          <w:trHeight w:val="224"/>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Operating Revenues: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Scheduled Service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95,592</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0A0A0A"/>
              </w:rPr>
              <w:t>96,077</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(0.5)</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Charter</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47,955</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18.0</w:t>
            </w:r>
          </w:p>
        </w:tc>
      </w:tr>
      <w:tr>
        <w:trPr>
          <w:trHeight w:val="229"/>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Ancillary</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69,292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71,232</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(2.7)</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Passenger</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215,264</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2.9</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Cargo</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48,045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28,615</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67.9</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11,441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16,527</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(30.8)</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Revenue</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280,961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260,406</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7.9</w:t>
            </w:r>
          </w:p>
        </w:tc>
      </w:tr>
      <w:tr>
        <w:trPr>
          <w:trHeight w:val="250"/>
        </w:trPr>
        <w:tc>
          <w:tcPr>
            <w:tcW w:w="53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b w:val="1"/>
                <w:bCs w:val="1"/>
                <w:color w:val="0A0A0A"/>
              </w:rPr>
              <w:t>Operating Expenses:</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Fuel</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49,931</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Salaries, Wages, and Benefits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97,101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84,259</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Maintenance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18,641</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Sales and Marketing</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8,116</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Depreciation and Amortization</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23,795</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Ground Handling</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10,474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10,027</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Landing Fees and Airport Rent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15,119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5360" w:type="dxa"/>
            <w:vAlign w:val="bottom"/>
          </w:tcPr>
          <w:p>
            <w:pPr>
              <w:ind w:left="180"/>
              <w:spacing w:after="0" w:line="230" w:lineRule="exact"/>
              <w:rPr>
                <w:sz w:val="20"/>
                <w:szCs w:val="20"/>
                <w:color w:val="auto"/>
              </w:rPr>
            </w:pPr>
            <w:r>
              <w:rPr>
                <w:rFonts w:ascii="Arial" w:cs="Arial" w:eastAsia="Arial" w:hAnsi="Arial"/>
                <w:sz w:val="17"/>
                <w:szCs w:val="17"/>
                <w:color w:val="0A0A0A"/>
              </w:rPr>
              <w:t xml:space="preserve">Special Items, net </w:t>
            </w:r>
            <w:r>
              <w:rPr>
                <w:rFonts w:ascii="Arial" w:cs="Arial" w:eastAsia="Arial" w:hAnsi="Arial"/>
                <w:sz w:val="26"/>
                <w:szCs w:val="26"/>
                <w:color w:val="000000"/>
                <w:vertAlign w:val="superscript"/>
              </w:rPr>
              <w:t>(1)</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0A0A0A"/>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 Operating, net</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24,456</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Expenses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262,798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234,344</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12.1</w:t>
            </w: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Operating Income</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26,062</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(30.3)</w:t>
            </w:r>
          </w:p>
        </w:tc>
      </w:tr>
      <w:tr>
        <w:trPr>
          <w:trHeight w:val="196"/>
        </w:trPr>
        <w:tc>
          <w:tcPr>
            <w:tcW w:w="5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Non-operating Income (Expense), net: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Interest Income</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1,927</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Interest Expense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(11,063)</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Other, net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0A0A0A"/>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3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0A0A0A"/>
              </w:rPr>
              <w:t>Total Non-operating Expense, net</w:t>
            </w:r>
          </w:p>
        </w:tc>
        <w:tc>
          <w:tcPr>
            <w:tcW w:w="4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(9,136)</w:t>
            </w:r>
          </w:p>
        </w:tc>
        <w:tc>
          <w:tcPr>
            <w:tcW w:w="8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03"/>
        </w:trPr>
        <w:tc>
          <w:tcPr>
            <w:tcW w:w="53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before Income Tax</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16,926</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(32.9)</w:t>
            </w:r>
          </w:p>
        </w:tc>
      </w:tr>
      <w:tr>
        <w:trPr>
          <w:trHeight w:val="223"/>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Income Tax Expense</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3,490</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48"/>
        </w:trPr>
        <w:tc>
          <w:tcPr>
            <w:tcW w:w="5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0A0A0A"/>
              </w:rPr>
              <w:t>Net Income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13,436</w:t>
            </w:r>
          </w:p>
        </w:tc>
        <w:tc>
          <w:tcPr>
            <w:tcW w:w="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(39.4)</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Net Income per share to common stockholders: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Basic</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0A0A0A"/>
              </w:rPr>
              <w:t>0.25</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Diluted</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0.24</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color w:val="0A0A0A"/>
              </w:rPr>
              <w:t>Shares used for computation:</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Basic</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52,872,877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53,031,997</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9"/>
        </w:trPr>
        <w:tc>
          <w:tcPr>
            <w:tcW w:w="5360" w:type="dxa"/>
            <w:vAlign w:val="bottom"/>
          </w:tcPr>
          <w:p>
            <w:pPr>
              <w:ind w:left="180"/>
              <w:spacing w:after="0"/>
              <w:rPr>
                <w:sz w:val="20"/>
                <w:szCs w:val="20"/>
                <w:color w:val="auto"/>
              </w:rPr>
            </w:pPr>
            <w:r>
              <w:rPr>
                <w:rFonts w:ascii="Arial" w:cs="Arial" w:eastAsia="Arial" w:hAnsi="Arial"/>
                <w:sz w:val="18"/>
                <w:szCs w:val="18"/>
                <w:color w:val="0A0A0A"/>
              </w:rPr>
              <w:t>Diluted</w:t>
            </w: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54,478,675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55,251,373</w:t>
            </w:r>
          </w:p>
        </w:tc>
        <w:tc>
          <w:tcPr>
            <w:tcW w:w="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0A0A0A"/>
        </w:rPr>
        <w:t>NM - not meaningful</w:t>
      </w:r>
    </w:p>
    <w:p>
      <w:pPr>
        <w:spacing w:after="0" w:line="5" w:lineRule="exact"/>
        <w:rPr>
          <w:sz w:val="20"/>
          <w:szCs w:val="20"/>
          <w:color w:val="auto"/>
        </w:rPr>
      </w:pPr>
    </w:p>
    <w:p>
      <w:pPr>
        <w:spacing w:after="0"/>
        <w:rPr>
          <w:sz w:val="20"/>
          <w:szCs w:val="20"/>
          <w:color w:val="auto"/>
        </w:rPr>
      </w:pPr>
      <w:r>
        <w:rPr>
          <w:rFonts w:ascii="Arial" w:cs="Arial" w:eastAsia="Arial" w:hAnsi="Arial"/>
          <w:sz w:val="10"/>
          <w:szCs w:val="10"/>
          <w:color w:val="auto"/>
        </w:rPr>
        <w:t>1 – In March 2025, the Company's flight attendants, represented by the International Brotherhood of Teamsters, ratified a new five-year collective bargaining agreement. Upon ratification of the new agreement, eligible flights attendants</w:t>
      </w:r>
    </w:p>
    <w:p>
      <w:pPr>
        <w:spacing w:after="0" w:line="17" w:lineRule="exact"/>
        <w:rPr>
          <w:sz w:val="20"/>
          <w:szCs w:val="20"/>
          <w:color w:val="auto"/>
        </w:rPr>
      </w:pPr>
    </w:p>
    <w:p>
      <w:pPr>
        <w:jc w:val="both"/>
        <w:spacing w:after="0" w:line="267" w:lineRule="auto"/>
        <w:rPr>
          <w:sz w:val="20"/>
          <w:szCs w:val="20"/>
          <w:color w:val="auto"/>
        </w:rPr>
      </w:pPr>
      <w:r>
        <w:rPr>
          <w:rFonts w:ascii="Arial" w:cs="Arial" w:eastAsia="Arial" w:hAnsi="Arial"/>
          <w:sz w:val="10"/>
          <w:szCs w:val="10"/>
          <w:color w:val="auto"/>
        </w:rPr>
        <w:t>became entitled to a one-time ratification bonus. Eligibility requirements stipulate that flight attendants must be on the seniority list as of the ratification date, have completed probation, and hold an active status in order to receive the bonus payment. Ratification bonuses were paid to all eligible flight attendants during the three months and year ended December 31, 2025, per the collective bargaining agreement. Certain portions of the ratification bonus are paid in</w:t>
      </w:r>
    </w:p>
    <w:p>
      <w:pPr>
        <w:spacing w:after="0" w:line="1" w:lineRule="exact"/>
        <w:rPr>
          <w:sz w:val="20"/>
          <w:szCs w:val="20"/>
          <w:color w:val="auto"/>
        </w:rPr>
      </w:pPr>
    </w:p>
    <w:p>
      <w:pPr>
        <w:jc w:val="both"/>
        <w:ind w:right="20"/>
        <w:spacing w:after="0" w:line="272" w:lineRule="auto"/>
        <w:rPr>
          <w:sz w:val="20"/>
          <w:szCs w:val="20"/>
          <w:color w:val="auto"/>
        </w:rPr>
      </w:pPr>
      <w:r>
        <w:rPr>
          <w:rFonts w:ascii="Arial" w:cs="Arial" w:eastAsia="Arial" w:hAnsi="Arial"/>
          <w:sz w:val="11"/>
          <w:szCs w:val="11"/>
          <w:color w:val="auto"/>
        </w:rPr>
        <w:t>future periods as flight attendants on the seniority list as of the ratification date complete their probationary period or change their status from inactive to active. The ratification bonus and payroll related tax expense were included within Special Items, net.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7</w:t>
      </w:r>
    </w:p>
    <w:p>
      <w:pPr>
        <w:sectPr>
          <w:pgSz w:w="11900" w:h="16838" w:orient="portrait"/>
          <w:cols w:equalWidth="0" w:num="1">
            <w:col w:w="11240"/>
          </w:cols>
          <w:pgMar w:left="320" w:top="1336" w:right="339" w:bottom="1440" w:gutter="0" w:footer="0" w:header="0"/>
        </w:sectPr>
      </w:pPr>
    </w:p>
    <w:bookmarkStart w:id="10" w:name="page11"/>
    <w:bookmarkEnd w:id="10"/>
    <w:p>
      <w:pPr>
        <w:ind w:left="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0980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20" w:type="dxa"/>
            <w:vAlign w:val="bottom"/>
            <w:gridSpan w:val="5"/>
          </w:tcPr>
          <w:p>
            <w:pPr>
              <w:ind w:left="620"/>
              <w:spacing w:after="0"/>
              <w:rPr>
                <w:sz w:val="20"/>
                <w:szCs w:val="20"/>
                <w:color w:val="auto"/>
              </w:rPr>
            </w:pPr>
            <w:r>
              <w:rPr>
                <w:rFonts w:ascii="Arial" w:cs="Arial" w:eastAsia="Arial" w:hAnsi="Arial"/>
                <w:sz w:val="14"/>
                <w:szCs w:val="14"/>
                <w:b w:val="1"/>
                <w:bCs w:val="1"/>
                <w:color w:val="0A0A0A"/>
              </w:rPr>
              <w:t>Year Ended December 31,</w:t>
            </w:r>
          </w:p>
        </w:tc>
        <w:tc>
          <w:tcPr>
            <w:tcW w:w="1880" w:type="dxa"/>
            <w:vAlign w:val="bottom"/>
          </w:tcPr>
          <w:p>
            <w:pPr>
              <w:spacing w:after="0"/>
              <w:rPr>
                <w:sz w:val="17"/>
                <w:szCs w:val="17"/>
                <w:color w:val="auto"/>
              </w:rPr>
            </w:pPr>
          </w:p>
        </w:tc>
      </w:tr>
      <w:tr>
        <w:trPr>
          <w:trHeight w:val="204"/>
        </w:trPr>
        <w:tc>
          <w:tcPr>
            <w:tcW w:w="5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0A0A0A"/>
              </w:rPr>
              <w:t>2025</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0A0A0A"/>
              </w:rPr>
              <w:t>2024</w:t>
            </w:r>
          </w:p>
        </w:tc>
        <w:tc>
          <w:tcPr>
            <w:tcW w:w="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0A0A0A"/>
              </w:rPr>
              <w:t>% Change</w:t>
            </w:r>
          </w:p>
        </w:tc>
      </w:tr>
      <w:tr>
        <w:trPr>
          <w:trHeight w:val="224"/>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Operating Revenues:</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Scheduled Service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403,998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0A0A0A"/>
              </w:rPr>
              <w:t>409,133</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(1.3)</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Charter</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197,045</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13.8</w:t>
            </w:r>
          </w:p>
        </w:tc>
      </w:tr>
      <w:tr>
        <w:trPr>
          <w:trHeight w:val="229"/>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Ancillary</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294,904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307,909</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(4.2)</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Passenger</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923,129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914,087</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1.0</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Cargo</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A0A0A"/>
              </w:rPr>
              <w:t>155,027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107,174</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44.6</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48,613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54,478</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(10.8)</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Revenue</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1,126,769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1,075,739</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4.7</w:t>
            </w:r>
          </w:p>
        </w:tc>
      </w:tr>
      <w:tr>
        <w:trPr>
          <w:trHeight w:val="250"/>
        </w:trPr>
        <w:tc>
          <w:tcPr>
            <w:tcW w:w="53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b w:val="1"/>
                <w:bCs w:val="1"/>
                <w:color w:val="0A0A0A"/>
              </w:rPr>
              <w:t>Operating Expenses:</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Fuel</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213,480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237,160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(10.0)</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Salaries, Wages, and Benefits</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372,597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326,775</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Maintenance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68,770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Sales and Marketing</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33,300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34,935</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Depreciation and Amortization</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94,989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4.1</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Ground Handling</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44,701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42,118</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Landing Fees and Airport Rent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59,549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5360" w:type="dxa"/>
            <w:vAlign w:val="bottom"/>
          </w:tcPr>
          <w:p>
            <w:pPr>
              <w:ind w:left="180"/>
              <w:spacing w:after="0" w:line="230" w:lineRule="exact"/>
              <w:rPr>
                <w:sz w:val="20"/>
                <w:szCs w:val="20"/>
                <w:color w:val="auto"/>
              </w:rPr>
            </w:pPr>
            <w:r>
              <w:rPr>
                <w:rFonts w:ascii="Arial" w:cs="Arial" w:eastAsia="Arial" w:hAnsi="Arial"/>
                <w:sz w:val="17"/>
                <w:szCs w:val="17"/>
                <w:color w:val="0A0A0A"/>
              </w:rPr>
              <w:t xml:space="preserve">Special Items, net </w:t>
            </w:r>
            <w:r>
              <w:rPr>
                <w:rFonts w:ascii="Arial" w:cs="Arial" w:eastAsia="Arial" w:hAnsi="Arial"/>
                <w:sz w:val="26"/>
                <w:szCs w:val="26"/>
                <w:color w:val="000000"/>
                <w:vertAlign w:val="superscript"/>
              </w:rPr>
              <w:t>(1)</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0A0A0A"/>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 Operating, net</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105,457</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Expenses</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1,026,196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969,753</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5.8</w:t>
            </w: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Operating Income</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100,573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105,986</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(5.1)</w:t>
            </w:r>
          </w:p>
        </w:tc>
      </w:tr>
      <w:tr>
        <w:trPr>
          <w:trHeight w:val="196"/>
        </w:trPr>
        <w:tc>
          <w:tcPr>
            <w:tcW w:w="5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Non-operating Income (Expense), net: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Interest Income</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6,973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7,833</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(11.0)</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Interest Expense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(44,300)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Other, net</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55</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961.8</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Total Non-operating Expense, net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(36,412)</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03"/>
        </w:trPr>
        <w:tc>
          <w:tcPr>
            <w:tcW w:w="53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before Income Tax</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70,211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69,574</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Income Tax Expense</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16,671</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48"/>
        </w:trPr>
        <w:tc>
          <w:tcPr>
            <w:tcW w:w="5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0A0A0A"/>
              </w:rPr>
              <w:t>Net Income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52,903</w:t>
            </w:r>
          </w:p>
        </w:tc>
        <w:tc>
          <w:tcPr>
            <w:tcW w:w="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Net Income per share to common stockholders:</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Basic</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0A0A0A"/>
              </w:rPr>
              <w:t>1.00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Diluted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0.96</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color w:val="0A0A0A"/>
              </w:rPr>
              <w:t>Shares used for computation:</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Basic</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53,116,591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52,908,322</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9"/>
        </w:trPr>
        <w:tc>
          <w:tcPr>
            <w:tcW w:w="5360" w:type="dxa"/>
            <w:vAlign w:val="bottom"/>
          </w:tcPr>
          <w:p>
            <w:pPr>
              <w:ind w:left="180"/>
              <w:spacing w:after="0"/>
              <w:rPr>
                <w:sz w:val="20"/>
                <w:szCs w:val="20"/>
                <w:color w:val="auto"/>
              </w:rPr>
            </w:pPr>
            <w:r>
              <w:rPr>
                <w:rFonts w:ascii="Arial" w:cs="Arial" w:eastAsia="Arial" w:hAnsi="Arial"/>
                <w:sz w:val="18"/>
                <w:szCs w:val="18"/>
                <w:color w:val="0A0A0A"/>
              </w:rPr>
              <w:t>Diluted</w:t>
            </w:r>
          </w:p>
        </w:tc>
        <w:tc>
          <w:tcPr>
            <w:tcW w:w="4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54,860,147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55,055,897</w:t>
            </w:r>
          </w:p>
        </w:tc>
        <w:tc>
          <w:tcPr>
            <w:tcW w:w="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0A0A0A"/>
        </w:rPr>
        <w:t>NM - not meaningful</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1 – See Note 1 on the previous page of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8</w:t>
      </w:r>
    </w:p>
    <w:p>
      <w:pPr>
        <w:sectPr>
          <w:pgSz w:w="11900" w:h="16838" w:orient="portrait"/>
          <w:cols w:equalWidth="0" w:num="1">
            <w:col w:w="11220"/>
          </w:cols>
          <w:pgMar w:left="320" w:top="1336" w:right="35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b w:val="1"/>
          <w:bCs w:val="1"/>
          <w:color w:val="auto"/>
        </w:rPr>
        <w:t>KEY OPERATING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294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key operating statistics and metrics for the three months and year ended December 31, 2025 and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40" w:type="dxa"/>
            <w:vAlign w:val="bottom"/>
            <w:gridSpan w:val="3"/>
          </w:tcPr>
          <w:p>
            <w:pPr>
              <w:jc w:val="right"/>
              <w:ind w:right="851"/>
              <w:spacing w:after="0"/>
              <w:rPr>
                <w:sz w:val="20"/>
                <w:szCs w:val="20"/>
                <w:color w:val="auto"/>
              </w:rPr>
            </w:pPr>
            <w:r>
              <w:rPr>
                <w:rFonts w:ascii="Arial" w:cs="Arial" w:eastAsia="Arial" w:hAnsi="Arial"/>
                <w:sz w:val="14"/>
                <w:szCs w:val="14"/>
                <w:b w:val="1"/>
                <w:bCs w:val="1"/>
                <w:color w:val="0A0A0A"/>
              </w:rPr>
              <w:t>Three Months Ended December 31,</w:t>
            </w:r>
          </w:p>
        </w:tc>
        <w:tc>
          <w:tcPr>
            <w:tcW w:w="1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931"/>
              <w:spacing w:after="0"/>
              <w:rPr>
                <w:sz w:val="20"/>
                <w:szCs w:val="20"/>
                <w:color w:val="auto"/>
              </w:rPr>
            </w:pPr>
            <w:r>
              <w:rPr>
                <w:rFonts w:ascii="Arial" w:cs="Arial" w:eastAsia="Arial" w:hAnsi="Arial"/>
                <w:sz w:val="14"/>
                <w:szCs w:val="14"/>
                <w:b w:val="1"/>
                <w:bCs w:val="1"/>
                <w:color w:val="auto"/>
              </w:rPr>
              <w:t>2024</w:t>
            </w:r>
          </w:p>
        </w:tc>
        <w:tc>
          <w:tcPr>
            <w:tcW w:w="16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 Change</w:t>
            </w:r>
          </w:p>
        </w:tc>
        <w:tc>
          <w:tcPr>
            <w:tcW w:w="3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Scheduled Service Statistics:</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80"/>
              <w:spacing w:after="0"/>
              <w:rPr>
                <w:sz w:val="20"/>
                <w:szCs w:val="20"/>
                <w:color w:val="auto"/>
              </w:rPr>
            </w:pPr>
            <w:r>
              <w:rPr>
                <w:rFonts w:ascii="Arial" w:cs="Arial" w:eastAsia="Arial" w:hAnsi="Arial"/>
                <w:sz w:val="18"/>
                <w:szCs w:val="18"/>
                <w:color w:val="auto"/>
              </w:rPr>
              <w:t>Revenue passenger miles (RPMs) – thousands</w:t>
            </w:r>
          </w:p>
        </w:tc>
        <w:tc>
          <w:tcPr>
            <w:tcW w:w="10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1,224,939</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1,312,728</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1,450,556</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1,608,432</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(9.8)</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520" w:type="dxa"/>
            <w:vAlign w:val="bottom"/>
            <w:vMerge w:val="restart"/>
          </w:tcPr>
          <w:p>
            <w:pPr>
              <w:ind w:left="80"/>
              <w:spacing w:after="0"/>
              <w:rPr>
                <w:sz w:val="20"/>
                <w:szCs w:val="20"/>
                <w:color w:val="auto"/>
              </w:rPr>
            </w:pPr>
            <w:r>
              <w:rPr>
                <w:rFonts w:ascii="Arial" w:cs="Arial" w:eastAsia="Arial" w:hAnsi="Arial"/>
                <w:sz w:val="18"/>
                <w:szCs w:val="18"/>
                <w:color w:val="auto"/>
              </w:rPr>
              <w:t>Load factor</w:t>
            </w:r>
          </w:p>
        </w:tc>
        <w:tc>
          <w:tcPr>
            <w:tcW w:w="106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84.4%</w:t>
            </w:r>
          </w:p>
        </w:tc>
        <w:tc>
          <w:tcPr>
            <w:tcW w:w="520" w:type="dxa"/>
            <w:vAlign w:val="bottom"/>
          </w:tcPr>
          <w:p>
            <w:pPr>
              <w:spacing w:after="0"/>
              <w:rPr>
                <w:sz w:val="12"/>
                <w:szCs w:val="12"/>
                <w:color w:val="auto"/>
              </w:rPr>
            </w:pPr>
          </w:p>
        </w:tc>
        <w:tc>
          <w:tcPr>
            <w:tcW w:w="1680" w:type="dxa"/>
            <w:vAlign w:val="bottom"/>
            <w:vMerge w:val="restart"/>
          </w:tcPr>
          <w:p>
            <w:pPr>
              <w:jc w:val="right"/>
              <w:ind w:right="271"/>
              <w:spacing w:after="0"/>
              <w:rPr>
                <w:sz w:val="20"/>
                <w:szCs w:val="20"/>
                <w:color w:val="auto"/>
              </w:rPr>
            </w:pPr>
            <w:r>
              <w:rPr>
                <w:rFonts w:ascii="Arial" w:cs="Arial" w:eastAsia="Arial" w:hAnsi="Arial"/>
                <w:sz w:val="18"/>
                <w:szCs w:val="18"/>
                <w:color w:val="auto"/>
              </w:rPr>
              <w:t>81.6%</w:t>
            </w:r>
          </w:p>
        </w:tc>
        <w:tc>
          <w:tcPr>
            <w:tcW w:w="1660" w:type="dxa"/>
            <w:vAlign w:val="bottom"/>
            <w:vMerge w:val="restart"/>
          </w:tcPr>
          <w:p>
            <w:pPr>
              <w:jc w:val="right"/>
              <w:ind w:right="51"/>
              <w:spacing w:after="0"/>
              <w:rPr>
                <w:sz w:val="20"/>
                <w:szCs w:val="20"/>
                <w:color w:val="auto"/>
              </w:rPr>
            </w:pPr>
            <w:r>
              <w:rPr>
                <w:rFonts w:ascii="Arial" w:cs="Arial" w:eastAsia="Arial" w:hAnsi="Arial"/>
                <w:sz w:val="18"/>
                <w:szCs w:val="18"/>
                <w:color w:val="auto"/>
              </w:rPr>
              <w:t>2.8</w:t>
            </w: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88"/>
        </w:trPr>
        <w:tc>
          <w:tcPr>
            <w:tcW w:w="452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Revenue passengers carried</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980,532</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1,046,510</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(6.3)</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0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6,232</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6,930</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20,211</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22,079</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(8.5)</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80"/>
              <w:spacing w:after="0" w:line="230" w:lineRule="exact"/>
              <w:rPr>
                <w:sz w:val="20"/>
                <w:szCs w:val="20"/>
                <w:color w:val="auto"/>
              </w:rPr>
            </w:pPr>
            <w:r>
              <w:rPr>
                <w:rFonts w:ascii="Arial" w:cs="Arial" w:eastAsia="Arial" w:hAnsi="Arial"/>
                <w:sz w:val="18"/>
                <w:szCs w:val="18"/>
                <w:color w:val="auto"/>
              </w:rPr>
              <w:t>Scheduled service TRASM</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 cents</w:t>
            </w:r>
          </w:p>
        </w:tc>
        <w:tc>
          <w:tcPr>
            <w:tcW w:w="10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11.57</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10.62</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base fare per passenger</w:t>
            </w: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97.49</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91.81</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6.2</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80"/>
              <w:spacing w:after="0"/>
              <w:rPr>
                <w:sz w:val="20"/>
                <w:szCs w:val="20"/>
                <w:color w:val="auto"/>
              </w:rPr>
            </w:pPr>
            <w:r>
              <w:rPr>
                <w:rFonts w:ascii="Arial" w:cs="Arial" w:eastAsia="Arial" w:hAnsi="Arial"/>
                <w:sz w:val="18"/>
                <w:szCs w:val="18"/>
                <w:color w:val="auto"/>
              </w:rPr>
              <w:t>Ancillary revenue per passenger</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70.67</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68.07</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fare per passenger</w:t>
            </w: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168.16</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159.88</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5.2</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80"/>
              <w:spacing w:after="0"/>
              <w:rPr>
                <w:sz w:val="20"/>
                <w:szCs w:val="20"/>
                <w:color w:val="auto"/>
              </w:rPr>
            </w:pPr>
            <w:r>
              <w:rPr>
                <w:rFonts w:ascii="Arial" w:cs="Arial" w:eastAsia="Arial" w:hAnsi="Arial"/>
                <w:sz w:val="18"/>
                <w:szCs w:val="18"/>
                <w:color w:val="auto"/>
              </w:rPr>
              <w:t>Fuel gallons - thousands</w:t>
            </w:r>
          </w:p>
        </w:tc>
        <w:tc>
          <w:tcPr>
            <w:tcW w:w="10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15,569</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16,996</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80"/>
              <w:spacing w:after="0"/>
              <w:rPr>
                <w:sz w:val="20"/>
                <w:szCs w:val="20"/>
                <w:color w:val="auto"/>
              </w:rPr>
            </w:pPr>
            <w:r>
              <w:rPr>
                <w:rFonts w:ascii="Arial" w:cs="Arial" w:eastAsia="Arial" w:hAnsi="Arial"/>
                <w:sz w:val="18"/>
                <w:szCs w:val="18"/>
                <w:b w:val="1"/>
                <w:bCs w:val="1"/>
                <w:color w:val="auto"/>
              </w:rPr>
              <w:t>Charter Statistics:</w:t>
            </w:r>
          </w:p>
        </w:tc>
        <w:tc>
          <w:tcPr>
            <w:tcW w:w="1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Departures</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2,721</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8.6</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80"/>
              <w:spacing w:after="0"/>
              <w:rPr>
                <w:sz w:val="20"/>
                <w:szCs w:val="20"/>
                <w:color w:val="auto"/>
              </w:rPr>
            </w:pPr>
            <w:r>
              <w:rPr>
                <w:rFonts w:ascii="Arial" w:cs="Arial" w:eastAsia="Arial" w:hAnsi="Arial"/>
                <w:sz w:val="18"/>
                <w:szCs w:val="18"/>
                <w:color w:val="auto"/>
              </w:rPr>
              <w:t>Block hours</w:t>
            </w:r>
          </w:p>
        </w:tc>
        <w:tc>
          <w:tcPr>
            <w:tcW w:w="10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6,093</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5,420</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seats miles (ASMs) - thousands</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371,345</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333,399</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11.4</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80"/>
              <w:spacing w:after="0"/>
              <w:rPr>
                <w:sz w:val="20"/>
                <w:szCs w:val="20"/>
                <w:color w:val="auto"/>
              </w:rPr>
            </w:pPr>
            <w:r>
              <w:rPr>
                <w:rFonts w:ascii="Arial" w:cs="Arial" w:eastAsia="Arial" w:hAnsi="Arial"/>
                <w:sz w:val="18"/>
                <w:szCs w:val="18"/>
                <w:color w:val="auto"/>
              </w:rPr>
              <w:t>Fuel gallons - thousands</w:t>
            </w:r>
          </w:p>
        </w:tc>
        <w:tc>
          <w:tcPr>
            <w:tcW w:w="10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3,658</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3,109</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17.7</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80"/>
              <w:spacing w:after="0"/>
              <w:rPr>
                <w:sz w:val="20"/>
                <w:szCs w:val="20"/>
                <w:color w:val="auto"/>
              </w:rPr>
            </w:pPr>
            <w:r>
              <w:rPr>
                <w:rFonts w:ascii="Arial" w:cs="Arial" w:eastAsia="Arial" w:hAnsi="Arial"/>
                <w:sz w:val="18"/>
                <w:szCs w:val="18"/>
                <w:b w:val="1"/>
                <w:bCs w:val="1"/>
                <w:color w:val="auto"/>
              </w:rPr>
              <w:t>Cargo Statistics:</w:t>
            </w:r>
          </w:p>
        </w:tc>
        <w:tc>
          <w:tcPr>
            <w:tcW w:w="1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Departures</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3,368</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56.6</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80"/>
              <w:spacing w:after="0"/>
              <w:rPr>
                <w:sz w:val="20"/>
                <w:szCs w:val="20"/>
                <w:color w:val="auto"/>
              </w:rPr>
            </w:pPr>
            <w:r>
              <w:rPr>
                <w:rFonts w:ascii="Arial" w:cs="Arial" w:eastAsia="Arial" w:hAnsi="Arial"/>
                <w:sz w:val="18"/>
                <w:szCs w:val="18"/>
                <w:color w:val="auto"/>
              </w:rPr>
              <w:t>Block hours</w:t>
            </w:r>
          </w:p>
        </w:tc>
        <w:tc>
          <w:tcPr>
            <w:tcW w:w="10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13,156</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8,736</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50.6</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80"/>
              <w:spacing w:after="0"/>
              <w:rPr>
                <w:sz w:val="20"/>
                <w:szCs w:val="20"/>
                <w:color w:val="auto"/>
              </w:rPr>
            </w:pPr>
            <w:r>
              <w:rPr>
                <w:rFonts w:ascii="Arial" w:cs="Arial" w:eastAsia="Arial" w:hAnsi="Arial"/>
                <w:sz w:val="18"/>
                <w:szCs w:val="18"/>
                <w:b w:val="1"/>
                <w:bCs w:val="1"/>
                <w:color w:val="auto"/>
              </w:rPr>
              <w:t>Total System Statistics:</w:t>
            </w:r>
          </w:p>
        </w:tc>
        <w:tc>
          <w:tcPr>
            <w:tcW w:w="1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passenger aircraft</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44.0</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80"/>
              <w:spacing w:after="0"/>
              <w:rPr>
                <w:sz w:val="20"/>
                <w:szCs w:val="20"/>
                <w:color w:val="auto"/>
              </w:rPr>
            </w:pPr>
            <w:r>
              <w:rPr>
                <w:rFonts w:ascii="Arial" w:cs="Arial" w:eastAsia="Arial" w:hAnsi="Arial"/>
                <w:sz w:val="18"/>
                <w:szCs w:val="18"/>
                <w:color w:val="auto"/>
              </w:rPr>
              <w:t>Passenger aircraft – end of period</w:t>
            </w:r>
          </w:p>
        </w:tc>
        <w:tc>
          <w:tcPr>
            <w:tcW w:w="10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45</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Leased Aircraft - end of period</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6</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(50.0)</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80"/>
              <w:spacing w:after="0"/>
              <w:rPr>
                <w:sz w:val="20"/>
                <w:szCs w:val="20"/>
                <w:color w:val="auto"/>
              </w:rPr>
            </w:pPr>
            <w:r>
              <w:rPr>
                <w:rFonts w:ascii="Arial" w:cs="Arial" w:eastAsia="Arial" w:hAnsi="Arial"/>
                <w:sz w:val="18"/>
                <w:szCs w:val="18"/>
                <w:color w:val="auto"/>
              </w:rPr>
              <w:t>Cargo aircraft – end of period</w:t>
            </w:r>
          </w:p>
        </w:tc>
        <w:tc>
          <w:tcPr>
            <w:tcW w:w="10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12</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66.7</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1,848,662</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1,963,254</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0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14,604</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13,130</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11.2</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39,992</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36,610</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9.2</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80"/>
              <w:spacing w:after="0"/>
              <w:rPr>
                <w:sz w:val="20"/>
                <w:szCs w:val="20"/>
                <w:color w:val="auto"/>
              </w:rPr>
            </w:pPr>
            <w:r>
              <w:rPr>
                <w:rFonts w:ascii="Arial" w:cs="Arial" w:eastAsia="Arial" w:hAnsi="Arial"/>
                <w:sz w:val="18"/>
                <w:szCs w:val="18"/>
                <w:color w:val="auto"/>
              </w:rPr>
              <w:t>Daily utilization – hours</w:t>
            </w:r>
          </w:p>
        </w:tc>
        <w:tc>
          <w:tcPr>
            <w:tcW w:w="10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6.9</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stage length – miles</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1,092</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520" w:type="dxa"/>
            <w:vAlign w:val="bottom"/>
          </w:tcPr>
          <w:p>
            <w:pPr>
              <w:ind w:left="80"/>
              <w:spacing w:after="0"/>
              <w:rPr>
                <w:sz w:val="20"/>
                <w:szCs w:val="20"/>
                <w:color w:val="auto"/>
              </w:rPr>
            </w:pPr>
            <w:r>
              <w:rPr>
                <w:rFonts w:ascii="Arial" w:cs="Arial" w:eastAsia="Arial" w:hAnsi="Arial"/>
                <w:sz w:val="18"/>
                <w:szCs w:val="18"/>
                <w:color w:val="auto"/>
              </w:rPr>
              <w:t>Total revenue per ASM (TRASM) - cents</w:t>
            </w:r>
          </w:p>
        </w:tc>
        <w:tc>
          <w:tcPr>
            <w:tcW w:w="10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12.15</w:t>
            </w:r>
          </w:p>
        </w:tc>
        <w:tc>
          <w:tcPr>
            <w:tcW w:w="520" w:type="dxa"/>
            <w:vAlign w:val="bottom"/>
          </w:tcPr>
          <w:p>
            <w:pPr>
              <w:spacing w:after="0"/>
              <w:rPr>
                <w:sz w:val="21"/>
                <w:szCs w:val="21"/>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11.14</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per ASM (CASM) - cents</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11.94</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19.1</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80"/>
              <w:spacing w:after="0" w:line="230" w:lineRule="exact"/>
              <w:rPr>
                <w:sz w:val="20"/>
                <w:szCs w:val="20"/>
                <w:color w:val="auto"/>
              </w:rPr>
            </w:pPr>
            <w:r>
              <w:rPr>
                <w:rFonts w:ascii="Arial" w:cs="Arial" w:eastAsia="Arial" w:hAnsi="Arial"/>
                <w:sz w:val="18"/>
                <w:szCs w:val="18"/>
                <w:color w:val="auto"/>
              </w:rPr>
              <w:t>Adjusted CASM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 cents</w:t>
            </w:r>
          </w:p>
        </w:tc>
        <w:tc>
          <w:tcPr>
            <w:tcW w:w="10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8.78</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7.83</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12.1</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Fuel gallons - thousands</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19,478</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20,301</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(4.1)</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80"/>
              <w:spacing w:after="0"/>
              <w:rPr>
                <w:sz w:val="20"/>
                <w:szCs w:val="20"/>
                <w:color w:val="auto"/>
              </w:rPr>
            </w:pPr>
            <w:r>
              <w:rPr>
                <w:rFonts w:ascii="Arial" w:cs="Arial" w:eastAsia="Arial" w:hAnsi="Arial"/>
                <w:sz w:val="18"/>
                <w:szCs w:val="18"/>
                <w:color w:val="auto"/>
              </w:rPr>
              <w:t>Fuel cost per gallon</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2.56</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2.47</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Employees at end of period</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3,141</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1 – See note 3 in End Notes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2 – See note 4 in End Notes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3 – Percentage point difference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9</w:t>
      </w:r>
    </w:p>
    <w:p>
      <w:pPr>
        <w:sectPr>
          <w:pgSz w:w="11900" w:h="16838" w:orient="portrait"/>
          <w:cols w:equalWidth="0" w:num="1">
            <w:col w:w="11220"/>
          </w:cols>
          <w:pgMar w:left="320" w:top="1106" w:right="359" w:bottom="1440" w:gutter="0" w:footer="0" w:header="0"/>
        </w:sectPr>
      </w:pPr>
    </w:p>
    <w:bookmarkStart w:id="12" w:name="page13"/>
    <w:bookmarkEnd w:id="12"/>
    <w:p>
      <w:pPr>
        <w:ind w:left="20"/>
        <w:spacing w:after="0"/>
        <w:rPr>
          <w:sz w:val="20"/>
          <w:szCs w:val="20"/>
          <w:color w:val="auto"/>
        </w:rPr>
      </w:pPr>
      <w:r>
        <w:rPr>
          <w:rFonts w:ascii="Arial" w:cs="Arial" w:eastAsia="Arial" w:hAnsi="Arial"/>
          <w:sz w:val="18"/>
          <w:szCs w:val="18"/>
          <w:b w:val="1"/>
          <w:bCs w:val="1"/>
          <w:color w:val="auto"/>
        </w:rPr>
        <w:t>KEY OPERATING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034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580" w:type="dxa"/>
            <w:vAlign w:val="bottom"/>
            <w:gridSpan w:val="3"/>
          </w:tcPr>
          <w:p>
            <w:pPr>
              <w:jc w:val="right"/>
              <w:ind w:right="1171"/>
              <w:spacing w:after="0"/>
              <w:rPr>
                <w:sz w:val="20"/>
                <w:szCs w:val="20"/>
                <w:color w:val="auto"/>
              </w:rPr>
            </w:pPr>
            <w:r>
              <w:rPr>
                <w:rFonts w:ascii="Arial" w:cs="Arial" w:eastAsia="Arial" w:hAnsi="Arial"/>
                <w:sz w:val="14"/>
                <w:szCs w:val="14"/>
                <w:b w:val="1"/>
                <w:bCs w:val="1"/>
                <w:color w:val="0A0A0A"/>
              </w:rPr>
              <w:t>Year Ended December 31,</w:t>
            </w:r>
          </w:p>
        </w:tc>
        <w:tc>
          <w:tcPr>
            <w:tcW w:w="1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931"/>
              <w:spacing w:after="0"/>
              <w:rPr>
                <w:sz w:val="20"/>
                <w:szCs w:val="20"/>
                <w:color w:val="auto"/>
              </w:rPr>
            </w:pPr>
            <w:r>
              <w:rPr>
                <w:rFonts w:ascii="Arial" w:cs="Arial" w:eastAsia="Arial" w:hAnsi="Arial"/>
                <w:sz w:val="14"/>
                <w:szCs w:val="14"/>
                <w:b w:val="1"/>
                <w:bCs w:val="1"/>
                <w:color w:val="auto"/>
              </w:rPr>
              <w:t>2024</w:t>
            </w:r>
          </w:p>
        </w:tc>
        <w:tc>
          <w:tcPr>
            <w:tcW w:w="16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 Change</w:t>
            </w:r>
          </w:p>
        </w:tc>
        <w:tc>
          <w:tcPr>
            <w:tcW w:w="3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Scheduled Service Statistics:</w:t>
            </w:r>
          </w:p>
        </w:tc>
        <w:tc>
          <w:tcPr>
            <w:tcW w:w="10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140"/>
              <w:spacing w:after="0"/>
              <w:rPr>
                <w:sz w:val="20"/>
                <w:szCs w:val="20"/>
                <w:color w:val="auto"/>
              </w:rPr>
            </w:pPr>
            <w:r>
              <w:rPr>
                <w:rFonts w:ascii="Arial" w:cs="Arial" w:eastAsia="Arial" w:hAnsi="Arial"/>
                <w:sz w:val="18"/>
                <w:szCs w:val="18"/>
                <w:color w:val="auto"/>
              </w:rPr>
              <w:t>Revenue passenger miles (RPMs) – thousands</w:t>
            </w:r>
          </w:p>
        </w:tc>
        <w:tc>
          <w:tcPr>
            <w:tcW w:w="10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5,362,531</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5,648,351</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Available seat miles (ASMs) – thousands</w:t>
            </w:r>
          </w:p>
        </w:tc>
        <w:tc>
          <w:tcPr>
            <w:tcW w:w="10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6,416,830</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6,707,308</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560" w:type="dxa"/>
            <w:vAlign w:val="bottom"/>
            <w:vMerge w:val="restart"/>
          </w:tcPr>
          <w:p>
            <w:pPr>
              <w:ind w:left="140"/>
              <w:spacing w:after="0"/>
              <w:rPr>
                <w:sz w:val="20"/>
                <w:szCs w:val="20"/>
                <w:color w:val="auto"/>
              </w:rPr>
            </w:pPr>
            <w:r>
              <w:rPr>
                <w:rFonts w:ascii="Arial" w:cs="Arial" w:eastAsia="Arial" w:hAnsi="Arial"/>
                <w:sz w:val="18"/>
                <w:szCs w:val="18"/>
                <w:color w:val="auto"/>
              </w:rPr>
              <w:t>Load factor</w:t>
            </w:r>
          </w:p>
        </w:tc>
        <w:tc>
          <w:tcPr>
            <w:tcW w:w="108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83.6%</w:t>
            </w:r>
          </w:p>
        </w:tc>
        <w:tc>
          <w:tcPr>
            <w:tcW w:w="520" w:type="dxa"/>
            <w:vAlign w:val="bottom"/>
          </w:tcPr>
          <w:p>
            <w:pPr>
              <w:spacing w:after="0"/>
              <w:rPr>
                <w:sz w:val="12"/>
                <w:szCs w:val="12"/>
                <w:color w:val="auto"/>
              </w:rPr>
            </w:pPr>
          </w:p>
        </w:tc>
        <w:tc>
          <w:tcPr>
            <w:tcW w:w="1680" w:type="dxa"/>
            <w:vAlign w:val="bottom"/>
            <w:vMerge w:val="restart"/>
          </w:tcPr>
          <w:p>
            <w:pPr>
              <w:jc w:val="right"/>
              <w:ind w:right="271"/>
              <w:spacing w:after="0"/>
              <w:rPr>
                <w:sz w:val="20"/>
                <w:szCs w:val="20"/>
                <w:color w:val="auto"/>
              </w:rPr>
            </w:pPr>
            <w:r>
              <w:rPr>
                <w:rFonts w:ascii="Arial" w:cs="Arial" w:eastAsia="Arial" w:hAnsi="Arial"/>
                <w:sz w:val="18"/>
                <w:szCs w:val="18"/>
                <w:color w:val="auto"/>
              </w:rPr>
              <w:t>84.2%</w:t>
            </w:r>
          </w:p>
        </w:tc>
        <w:tc>
          <w:tcPr>
            <w:tcW w:w="1660" w:type="dxa"/>
            <w:vAlign w:val="bottom"/>
            <w:vMerge w:val="restart"/>
          </w:tcPr>
          <w:p>
            <w:pPr>
              <w:jc w:val="right"/>
              <w:ind w:right="51"/>
              <w:spacing w:after="0"/>
              <w:rPr>
                <w:sz w:val="20"/>
                <w:szCs w:val="20"/>
                <w:color w:val="auto"/>
              </w:rPr>
            </w:pPr>
            <w:r>
              <w:rPr>
                <w:rFonts w:ascii="Arial" w:cs="Arial" w:eastAsia="Arial" w:hAnsi="Arial"/>
                <w:sz w:val="18"/>
                <w:szCs w:val="18"/>
                <w:color w:val="auto"/>
              </w:rPr>
              <w:t>(0.6)</w:t>
            </w: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88"/>
        </w:trPr>
        <w:tc>
          <w:tcPr>
            <w:tcW w:w="456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 passengers carried</w:t>
            </w:r>
          </w:p>
        </w:tc>
        <w:tc>
          <w:tcPr>
            <w:tcW w:w="10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4,205,847</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4,483,515</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(6.2)</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140"/>
              <w:spacing w:after="0"/>
              <w:rPr>
                <w:sz w:val="20"/>
                <w:szCs w:val="20"/>
                <w:color w:val="auto"/>
              </w:rPr>
            </w:pPr>
            <w:r>
              <w:rPr>
                <w:rFonts w:ascii="Arial" w:cs="Arial" w:eastAsia="Arial" w:hAnsi="Arial"/>
                <w:sz w:val="18"/>
                <w:szCs w:val="18"/>
                <w:color w:val="auto"/>
              </w:rPr>
              <w:t>Departures</w:t>
            </w:r>
          </w:p>
        </w:tc>
        <w:tc>
          <w:tcPr>
            <w:tcW w:w="10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27,037</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29,039</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Block hours</w:t>
            </w:r>
          </w:p>
        </w:tc>
        <w:tc>
          <w:tcPr>
            <w:tcW w:w="10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88,417</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92,391</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140"/>
              <w:spacing w:after="0" w:line="230" w:lineRule="exact"/>
              <w:rPr>
                <w:sz w:val="20"/>
                <w:szCs w:val="20"/>
                <w:color w:val="auto"/>
              </w:rPr>
            </w:pPr>
            <w:r>
              <w:rPr>
                <w:rFonts w:ascii="Arial" w:cs="Arial" w:eastAsia="Arial" w:hAnsi="Arial"/>
                <w:sz w:val="18"/>
                <w:szCs w:val="18"/>
                <w:color w:val="auto"/>
              </w:rPr>
              <w:t>Scheduled service TRASM</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 cents</w:t>
            </w:r>
          </w:p>
        </w:tc>
        <w:tc>
          <w:tcPr>
            <w:tcW w:w="10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11.09</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10.87</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Average base fare per passenger</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91.25</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5.3</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140"/>
              <w:spacing w:after="0"/>
              <w:rPr>
                <w:sz w:val="20"/>
                <w:szCs w:val="20"/>
                <w:color w:val="auto"/>
              </w:rPr>
            </w:pPr>
            <w:r>
              <w:rPr>
                <w:rFonts w:ascii="Arial" w:cs="Arial" w:eastAsia="Arial" w:hAnsi="Arial"/>
                <w:sz w:val="18"/>
                <w:szCs w:val="18"/>
                <w:color w:val="auto"/>
              </w:rPr>
              <w:t>Ancillary revenue per passenger</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70.12</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68.68</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fare per passenger</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166.17</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159.93</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140"/>
              <w:spacing w:after="0"/>
              <w:rPr>
                <w:sz w:val="20"/>
                <w:szCs w:val="20"/>
                <w:color w:val="auto"/>
              </w:rPr>
            </w:pPr>
            <w:r>
              <w:rPr>
                <w:rFonts w:ascii="Arial" w:cs="Arial" w:eastAsia="Arial" w:hAnsi="Arial"/>
                <w:sz w:val="18"/>
                <w:szCs w:val="18"/>
                <w:color w:val="auto"/>
              </w:rPr>
              <w:t>Fuel gallons - thousands</w:t>
            </w:r>
          </w:p>
        </w:tc>
        <w:tc>
          <w:tcPr>
            <w:tcW w:w="10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68,539</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71,631</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80"/>
              <w:spacing w:after="0"/>
              <w:rPr>
                <w:sz w:val="20"/>
                <w:szCs w:val="20"/>
                <w:color w:val="auto"/>
              </w:rPr>
            </w:pPr>
            <w:r>
              <w:rPr>
                <w:rFonts w:ascii="Arial" w:cs="Arial" w:eastAsia="Arial" w:hAnsi="Arial"/>
                <w:sz w:val="18"/>
                <w:szCs w:val="18"/>
                <w:b w:val="1"/>
                <w:bCs w:val="1"/>
                <w:color w:val="auto"/>
              </w:rPr>
              <w:t>Charter Statistics:</w:t>
            </w:r>
          </w:p>
        </w:tc>
        <w:tc>
          <w:tcPr>
            <w:tcW w:w="10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Departures</w:t>
            </w:r>
          </w:p>
        </w:tc>
        <w:tc>
          <w:tcPr>
            <w:tcW w:w="10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11,069</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10,359</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6.9</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80"/>
              <w:spacing w:after="0"/>
              <w:rPr>
                <w:sz w:val="20"/>
                <w:szCs w:val="20"/>
                <w:color w:val="auto"/>
              </w:rPr>
            </w:pPr>
            <w:r>
              <w:rPr>
                <w:rFonts w:ascii="Arial" w:cs="Arial" w:eastAsia="Arial" w:hAnsi="Arial"/>
                <w:sz w:val="18"/>
                <w:szCs w:val="18"/>
                <w:color w:val="auto"/>
              </w:rPr>
              <w:t>Block hours</w:t>
            </w:r>
          </w:p>
        </w:tc>
        <w:tc>
          <w:tcPr>
            <w:tcW w:w="10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22,970</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20,775</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seats miles (ASMs) - thousands</w:t>
            </w:r>
          </w:p>
        </w:tc>
        <w:tc>
          <w:tcPr>
            <w:tcW w:w="10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1,408,600</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1,270,455</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10.9</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80"/>
              <w:spacing w:after="0"/>
              <w:rPr>
                <w:sz w:val="20"/>
                <w:szCs w:val="20"/>
                <w:color w:val="auto"/>
              </w:rPr>
            </w:pPr>
            <w:r>
              <w:rPr>
                <w:rFonts w:ascii="Arial" w:cs="Arial" w:eastAsia="Arial" w:hAnsi="Arial"/>
                <w:sz w:val="18"/>
                <w:szCs w:val="18"/>
                <w:color w:val="auto"/>
              </w:rPr>
              <w:t>Fuel gallons - thousands</w:t>
            </w:r>
          </w:p>
        </w:tc>
        <w:tc>
          <w:tcPr>
            <w:tcW w:w="10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15,173</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13,666</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80"/>
              <w:spacing w:after="0"/>
              <w:rPr>
                <w:sz w:val="20"/>
                <w:szCs w:val="20"/>
                <w:color w:val="auto"/>
              </w:rPr>
            </w:pPr>
            <w:r>
              <w:rPr>
                <w:rFonts w:ascii="Arial" w:cs="Arial" w:eastAsia="Arial" w:hAnsi="Arial"/>
                <w:sz w:val="18"/>
                <w:szCs w:val="18"/>
                <w:b w:val="1"/>
                <w:bCs w:val="1"/>
                <w:color w:val="auto"/>
              </w:rPr>
              <w:t>Cargo Statistics:</w:t>
            </w:r>
          </w:p>
        </w:tc>
        <w:tc>
          <w:tcPr>
            <w:tcW w:w="10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Departures</w:t>
            </w:r>
          </w:p>
        </w:tc>
        <w:tc>
          <w:tcPr>
            <w:tcW w:w="10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16,709</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13,094</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27.6</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80"/>
              <w:spacing w:after="0"/>
              <w:rPr>
                <w:sz w:val="20"/>
                <w:szCs w:val="20"/>
                <w:color w:val="auto"/>
              </w:rPr>
            </w:pPr>
            <w:r>
              <w:rPr>
                <w:rFonts w:ascii="Arial" w:cs="Arial" w:eastAsia="Arial" w:hAnsi="Arial"/>
                <w:sz w:val="18"/>
                <w:szCs w:val="18"/>
                <w:color w:val="auto"/>
              </w:rPr>
              <w:t>Block hours</w:t>
            </w:r>
          </w:p>
        </w:tc>
        <w:tc>
          <w:tcPr>
            <w:tcW w:w="10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41,896</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33,744</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24.2</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80"/>
              <w:spacing w:after="0"/>
              <w:rPr>
                <w:sz w:val="20"/>
                <w:szCs w:val="20"/>
                <w:color w:val="auto"/>
              </w:rPr>
            </w:pPr>
            <w:r>
              <w:rPr>
                <w:rFonts w:ascii="Arial" w:cs="Arial" w:eastAsia="Arial" w:hAnsi="Arial"/>
                <w:sz w:val="18"/>
                <w:szCs w:val="18"/>
                <w:b w:val="1"/>
                <w:bCs w:val="1"/>
                <w:color w:val="auto"/>
              </w:rPr>
              <w:t>Total System Statistics:</w:t>
            </w:r>
          </w:p>
        </w:tc>
        <w:tc>
          <w:tcPr>
            <w:tcW w:w="10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passenger aircraft</w:t>
            </w:r>
          </w:p>
        </w:tc>
        <w:tc>
          <w:tcPr>
            <w:tcW w:w="10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43.0</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80"/>
              <w:spacing w:after="0"/>
              <w:rPr>
                <w:sz w:val="20"/>
                <w:szCs w:val="20"/>
                <w:color w:val="auto"/>
              </w:rPr>
            </w:pPr>
            <w:r>
              <w:rPr>
                <w:rFonts w:ascii="Arial" w:cs="Arial" w:eastAsia="Arial" w:hAnsi="Arial"/>
                <w:sz w:val="18"/>
                <w:szCs w:val="18"/>
                <w:color w:val="auto"/>
              </w:rPr>
              <w:t>Passenger aircraft – end of period</w:t>
            </w:r>
          </w:p>
        </w:tc>
        <w:tc>
          <w:tcPr>
            <w:tcW w:w="10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45</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Leased Aircraft - end of period</w:t>
            </w:r>
          </w:p>
        </w:tc>
        <w:tc>
          <w:tcPr>
            <w:tcW w:w="10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6</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(50.0)</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80"/>
              <w:spacing w:after="0"/>
              <w:rPr>
                <w:sz w:val="20"/>
                <w:szCs w:val="20"/>
                <w:color w:val="auto"/>
              </w:rPr>
            </w:pPr>
            <w:r>
              <w:rPr>
                <w:rFonts w:ascii="Arial" w:cs="Arial" w:eastAsia="Arial" w:hAnsi="Arial"/>
                <w:sz w:val="18"/>
                <w:szCs w:val="18"/>
                <w:color w:val="auto"/>
              </w:rPr>
              <w:t>Cargo aircraft – end of period</w:t>
            </w:r>
          </w:p>
        </w:tc>
        <w:tc>
          <w:tcPr>
            <w:tcW w:w="10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12</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66.7</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0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7,923,857</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8,071,949</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0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55,357</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53,009</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0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155,313</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148,518</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80"/>
              <w:spacing w:after="0"/>
              <w:rPr>
                <w:sz w:val="20"/>
                <w:szCs w:val="20"/>
                <w:color w:val="auto"/>
              </w:rPr>
            </w:pPr>
            <w:r>
              <w:rPr>
                <w:rFonts w:ascii="Arial" w:cs="Arial" w:eastAsia="Arial" w:hAnsi="Arial"/>
                <w:sz w:val="18"/>
                <w:szCs w:val="18"/>
                <w:color w:val="auto"/>
              </w:rPr>
              <w:t>Daily utilization – hours</w:t>
            </w:r>
          </w:p>
        </w:tc>
        <w:tc>
          <w:tcPr>
            <w:tcW w:w="10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7.3</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stage length – miles</w:t>
            </w:r>
          </w:p>
        </w:tc>
        <w:tc>
          <w:tcPr>
            <w:tcW w:w="10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1,098</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560" w:type="dxa"/>
            <w:vAlign w:val="bottom"/>
          </w:tcPr>
          <w:p>
            <w:pPr>
              <w:ind w:left="80"/>
              <w:spacing w:after="0"/>
              <w:rPr>
                <w:sz w:val="20"/>
                <w:szCs w:val="20"/>
                <w:color w:val="auto"/>
              </w:rPr>
            </w:pPr>
            <w:r>
              <w:rPr>
                <w:rFonts w:ascii="Arial" w:cs="Arial" w:eastAsia="Arial" w:hAnsi="Arial"/>
                <w:sz w:val="18"/>
                <w:szCs w:val="18"/>
                <w:color w:val="auto"/>
              </w:rPr>
              <w:t>Total revenue per ASM (TRASM) - cents</w:t>
            </w:r>
          </w:p>
        </w:tc>
        <w:tc>
          <w:tcPr>
            <w:tcW w:w="10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11.82</w:t>
            </w:r>
          </w:p>
        </w:tc>
        <w:tc>
          <w:tcPr>
            <w:tcW w:w="520" w:type="dxa"/>
            <w:vAlign w:val="bottom"/>
          </w:tcPr>
          <w:p>
            <w:pPr>
              <w:spacing w:after="0"/>
              <w:rPr>
                <w:sz w:val="21"/>
                <w:szCs w:val="21"/>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11.47</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per ASM (CASM) - cents</w:t>
            </w:r>
          </w:p>
        </w:tc>
        <w:tc>
          <w:tcPr>
            <w:tcW w:w="10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12.01</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7.8</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80"/>
              <w:spacing w:after="0" w:line="230" w:lineRule="exact"/>
              <w:rPr>
                <w:sz w:val="20"/>
                <w:szCs w:val="20"/>
                <w:color w:val="auto"/>
              </w:rPr>
            </w:pPr>
            <w:r>
              <w:rPr>
                <w:rFonts w:ascii="Arial" w:cs="Arial" w:eastAsia="Arial" w:hAnsi="Arial"/>
                <w:sz w:val="18"/>
                <w:szCs w:val="18"/>
                <w:color w:val="auto"/>
              </w:rPr>
              <w:t>Adjusted CASM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 cents</w:t>
            </w:r>
          </w:p>
        </w:tc>
        <w:tc>
          <w:tcPr>
            <w:tcW w:w="10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8.17</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7.59</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Fuel gallons - thousands</w:t>
            </w:r>
          </w:p>
        </w:tc>
        <w:tc>
          <w:tcPr>
            <w:tcW w:w="10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84,647</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86,185</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80"/>
              <w:spacing w:after="0"/>
              <w:rPr>
                <w:sz w:val="20"/>
                <w:szCs w:val="20"/>
                <w:color w:val="auto"/>
              </w:rPr>
            </w:pPr>
            <w:r>
              <w:rPr>
                <w:rFonts w:ascii="Arial" w:cs="Arial" w:eastAsia="Arial" w:hAnsi="Arial"/>
                <w:sz w:val="18"/>
                <w:szCs w:val="18"/>
                <w:color w:val="auto"/>
              </w:rPr>
              <w:t>Fuel cost per gallon, excluding derivatives</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2.56</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2.77</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Employees at end of period</w:t>
            </w:r>
          </w:p>
        </w:tc>
        <w:tc>
          <w:tcPr>
            <w:tcW w:w="10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3,141</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1 – See note 3 in End Notes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2 – See note 4 in End Notes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3 – Percentage point difference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10</w:t>
      </w:r>
    </w:p>
    <w:p>
      <w:pPr>
        <w:sectPr>
          <w:pgSz w:w="11900" w:h="16838" w:orient="portrait"/>
          <w:cols w:equalWidth="0" w:num="1">
            <w:col w:w="11220"/>
          </w:cols>
          <w:pgMar w:left="320" w:top="1106" w:right="359" w:bottom="1440" w:gutter="0" w:footer="0" w:header="0"/>
        </w:sectPr>
      </w:pPr>
    </w:p>
    <w:bookmarkStart w:id="13" w:name="page14"/>
    <w:bookmarkEnd w:id="13"/>
    <w:p>
      <w:pPr>
        <w:ind w:left="80"/>
        <w:spacing w:after="0"/>
        <w:rPr>
          <w:sz w:val="20"/>
          <w:szCs w:val="20"/>
          <w:color w:val="auto"/>
        </w:rPr>
      </w:pPr>
      <w:r>
        <w:rPr>
          <w:rFonts w:ascii="Arial" w:cs="Arial" w:eastAsia="Arial" w:hAnsi="Arial"/>
          <w:sz w:val="18"/>
          <w:szCs w:val="18"/>
          <w:b w:val="1"/>
          <w:bCs w:val="1"/>
          <w:color w:val="auto"/>
        </w:rPr>
        <w:t>SUMMARY BALANCE SHEET</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(Dollars in millions)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23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December 31, 2025</w:t>
            </w: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2024</w:t>
            </w:r>
          </w:p>
        </w:tc>
        <w:tc>
          <w:tcPr>
            <w:tcW w:w="1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 Change</w:t>
            </w:r>
          </w:p>
        </w:tc>
      </w:tr>
      <w:tr>
        <w:trPr>
          <w:trHeight w:val="222"/>
        </w:trPr>
        <w:tc>
          <w:tcPr>
            <w:tcW w:w="5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7"/>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Cash &amp;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30"/>
        </w:trPr>
        <w:tc>
          <w:tcPr>
            <w:tcW w:w="51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0A0A0A"/>
              </w:rPr>
              <w:t>Other Current Assets</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r>
      <w:tr>
        <w:trPr>
          <w:trHeight w:val="223"/>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Current Assets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Total Property &amp; Equipment, net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927.0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970.1</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5180" w:type="dxa"/>
            <w:vAlign w:val="bottom"/>
          </w:tcPr>
          <w:p>
            <w:pPr>
              <w:ind w:left="160"/>
              <w:spacing w:after="0"/>
              <w:rPr>
                <w:sz w:val="20"/>
                <w:szCs w:val="20"/>
                <w:color w:val="auto"/>
              </w:rPr>
            </w:pPr>
            <w:r>
              <w:rPr>
                <w:rFonts w:ascii="Arial" w:cs="Arial" w:eastAsia="Arial" w:hAnsi="Arial"/>
                <w:sz w:val="18"/>
                <w:szCs w:val="18"/>
                <w:b w:val="1"/>
                <w:bCs w:val="1"/>
                <w:color w:val="0A0A0A"/>
              </w:rPr>
              <w:t>Total Assets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1,680.5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1,630.2</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5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Air Traffic Liabilities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Current Finance Lease Obligations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Current Operating Lease Obligations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Current Maturities of Long-Term Debt, net</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29"/>
        </w:trPr>
        <w:tc>
          <w:tcPr>
            <w:tcW w:w="5180" w:type="dxa"/>
            <w:vAlign w:val="bottom"/>
          </w:tcPr>
          <w:p>
            <w:pPr>
              <w:ind w:left="80"/>
              <w:spacing w:after="0"/>
              <w:rPr>
                <w:sz w:val="20"/>
                <w:szCs w:val="20"/>
                <w:color w:val="auto"/>
              </w:rPr>
            </w:pPr>
            <w:r>
              <w:rPr>
                <w:rFonts w:ascii="Arial" w:cs="Arial" w:eastAsia="Arial" w:hAnsi="Arial"/>
                <w:sz w:val="18"/>
                <w:szCs w:val="18"/>
                <w:color w:val="0A0A0A"/>
              </w:rPr>
              <w:t>Income Tax Receivable Agreement Liability</w:t>
            </w:r>
          </w:p>
        </w:tc>
        <w:tc>
          <w:tcPr>
            <w:tcW w:w="20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5180" w:type="dxa"/>
            <w:vAlign w:val="bottom"/>
          </w:tcPr>
          <w:p>
            <w:pPr>
              <w:ind w:left="160"/>
              <w:spacing w:after="0"/>
              <w:rPr>
                <w:sz w:val="20"/>
                <w:szCs w:val="20"/>
                <w:color w:val="auto"/>
              </w:rPr>
            </w:pPr>
            <w:r>
              <w:rPr>
                <w:rFonts w:ascii="Arial" w:cs="Arial" w:eastAsia="Arial" w:hAnsi="Arial"/>
                <w:sz w:val="18"/>
                <w:szCs w:val="18"/>
                <w:color w:val="0A0A0A"/>
              </w:rPr>
              <w:t>Total Current Liabilities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451.1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422.3</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Finance Lease Obligations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29"/>
        </w:trPr>
        <w:tc>
          <w:tcPr>
            <w:tcW w:w="5180" w:type="dxa"/>
            <w:vAlign w:val="bottom"/>
          </w:tcPr>
          <w:p>
            <w:pPr>
              <w:ind w:left="80"/>
              <w:spacing w:after="0"/>
              <w:rPr>
                <w:sz w:val="20"/>
                <w:szCs w:val="20"/>
                <w:color w:val="auto"/>
              </w:rPr>
            </w:pPr>
            <w:r>
              <w:rPr>
                <w:rFonts w:ascii="Arial" w:cs="Arial" w:eastAsia="Arial" w:hAnsi="Arial"/>
                <w:sz w:val="18"/>
                <w:szCs w:val="18"/>
                <w:color w:val="0A0A0A"/>
              </w:rPr>
              <w:t>Operating Lease Obligations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30"/>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Long-Term Debt, net</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Income Tax Receivable Agreement Liability</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23"/>
        </w:trPr>
        <w:tc>
          <w:tcPr>
            <w:tcW w:w="5180" w:type="dxa"/>
            <w:vAlign w:val="bottom"/>
          </w:tcPr>
          <w:p>
            <w:pPr>
              <w:ind w:left="160"/>
              <w:spacing w:after="0"/>
              <w:rPr>
                <w:sz w:val="20"/>
                <w:szCs w:val="20"/>
                <w:color w:val="auto"/>
              </w:rPr>
            </w:pPr>
            <w:r>
              <w:rPr>
                <w:rFonts w:ascii="Arial" w:cs="Arial" w:eastAsia="Arial" w:hAnsi="Arial"/>
                <w:sz w:val="18"/>
                <w:szCs w:val="18"/>
                <w:b w:val="1"/>
                <w:bCs w:val="1"/>
                <w:color w:val="0A0A0A"/>
              </w:rPr>
              <w:t>Total Liabilities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1,055.3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1,059.8</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0"/>
        </w:trPr>
        <w:tc>
          <w:tcPr>
            <w:tcW w:w="5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47"/>
        </w:trPr>
        <w:tc>
          <w:tcPr>
            <w:tcW w:w="5180" w:type="dxa"/>
            <w:vAlign w:val="bottom"/>
          </w:tcPr>
          <w:p>
            <w:pPr>
              <w:ind w:left="80"/>
              <w:spacing w:after="0"/>
              <w:rPr>
                <w:sz w:val="20"/>
                <w:szCs w:val="20"/>
                <w:color w:val="auto"/>
              </w:rPr>
            </w:pPr>
            <w:r>
              <w:rPr>
                <w:rFonts w:ascii="Arial" w:cs="Arial" w:eastAsia="Arial" w:hAnsi="Arial"/>
                <w:sz w:val="18"/>
                <w:szCs w:val="18"/>
                <w:b w:val="1"/>
                <w:bCs w:val="1"/>
                <w:color w:val="0A0A0A"/>
              </w:rPr>
              <w:t>Total Stockholders’ Equity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625.2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570.4</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Page 11</w:t>
      </w:r>
    </w:p>
    <w:p>
      <w:pPr>
        <w:sectPr>
          <w:pgSz w:w="11900" w:h="16838" w:orient="portrait"/>
          <w:cols w:equalWidth="0" w:num="1">
            <w:col w:w="11160"/>
          </w:cols>
          <w:pgMar w:left="320" w:top="1336" w:right="419" w:bottom="1440" w:gutter="0" w:footer="0" w:header="0"/>
        </w:sectPr>
      </w:pPr>
    </w:p>
    <w:bookmarkStart w:id="14" w:name="page15"/>
    <w:bookmarkEnd w:id="14"/>
    <w:p>
      <w:pPr>
        <w:ind w:left="20"/>
        <w:spacing w:after="0"/>
        <w:rPr>
          <w:sz w:val="20"/>
          <w:szCs w:val="20"/>
          <w:color w:val="auto"/>
        </w:rPr>
      </w:pPr>
      <w:r>
        <w:rPr>
          <w:rFonts w:ascii="Arial" w:cs="Arial" w:eastAsia="Arial" w:hAnsi="Arial"/>
          <w:sz w:val="18"/>
          <w:szCs w:val="18"/>
          <w:b w:val="1"/>
          <w:bCs w:val="1"/>
          <w:color w:val="auto"/>
        </w:rPr>
        <w:t>SUMMARY CASH FLOW</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(Dollars in millions)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234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90"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Year Ended December 31,</w:t>
      </w:r>
    </w:p>
    <w:p>
      <w:pPr>
        <w:spacing w:after="0" w:line="42" w:lineRule="exact"/>
        <w:rPr>
          <w:sz w:val="20"/>
          <w:szCs w:val="20"/>
          <w:color w:val="auto"/>
        </w:rPr>
      </w:pPr>
    </w:p>
    <w:p>
      <w:pPr>
        <w:jc w:val="both"/>
        <w:ind w:left="6140"/>
        <w:spacing w:after="0"/>
        <w:tabs>
          <w:tab w:leader="none" w:pos="8100" w:val="left"/>
          <w:tab w:leader="none" w:pos="992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p>
      <w:pPr>
        <w:spacing w:after="0" w:line="45" w:lineRule="exact"/>
        <w:rPr>
          <w:sz w:val="20"/>
          <w:szCs w:val="20"/>
          <w:color w:val="auto"/>
        </w:rPr>
      </w:pPr>
    </w:p>
    <w:tbl>
      <w:tblPr>
        <w:tblLayout w:type="fixed"/>
        <w:tblInd w:w="80" w:type="dxa"/>
        <w:tblCellMar>
          <w:top w:w="0" w:type="dxa"/>
          <w:left w:w="0" w:type="dxa"/>
          <w:bottom w:w="0" w:type="dxa"/>
          <w:right w:w="0" w:type="dxa"/>
        </w:tblCellMar>
      </w:tblPr>
      <w:tr>
        <w:trPr>
          <w:trHeight w:val="247"/>
        </w:trPr>
        <w:tc>
          <w:tcPr>
            <w:tcW w:w="5220" w:type="dxa"/>
            <w:vAlign w:val="bottom"/>
          </w:tcPr>
          <w:p>
            <w:pPr>
              <w:spacing w:after="0"/>
              <w:rPr>
                <w:sz w:val="20"/>
                <w:szCs w:val="20"/>
                <w:color w:val="auto"/>
              </w:rPr>
            </w:pPr>
            <w:r>
              <w:rPr>
                <w:rFonts w:ascii="Arial" w:cs="Arial" w:eastAsia="Arial" w:hAnsi="Arial"/>
                <w:sz w:val="18"/>
                <w:szCs w:val="18"/>
                <w:b w:val="1"/>
                <w:bCs w:val="1"/>
                <w:color w:val="0A0A0A"/>
              </w:rPr>
              <w:t>Net Cash Provided by 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2"/>
        </w:trPr>
        <w:tc>
          <w:tcPr>
            <w:tcW w:w="5220" w:type="dxa"/>
            <w:vAlign w:val="bottom"/>
          </w:tcPr>
          <w:p>
            <w:pPr>
              <w:spacing w:after="0"/>
              <w:rPr>
                <w:sz w:val="20"/>
                <w:szCs w:val="20"/>
                <w:color w:val="auto"/>
              </w:rPr>
            </w:pPr>
            <w:r>
              <w:rPr>
                <w:rFonts w:ascii="Arial" w:cs="Arial" w:eastAsia="Arial" w:hAnsi="Arial"/>
                <w:sz w:val="18"/>
                <w:szCs w:val="18"/>
                <w:color w:val="0A0A0A"/>
              </w:rPr>
              <w:t>Purchases of Property &amp; Equipment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0A0A0A"/>
              </w:rPr>
              <w:t>Other Investing Activities, net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220" w:type="dxa"/>
            <w:vAlign w:val="bottom"/>
          </w:tcPr>
          <w:p>
            <w:pPr>
              <w:ind w:left="20"/>
              <w:spacing w:after="0"/>
              <w:rPr>
                <w:sz w:val="20"/>
                <w:szCs w:val="20"/>
                <w:color w:val="auto"/>
              </w:rPr>
            </w:pPr>
            <w:r>
              <w:rPr>
                <w:rFonts w:ascii="Arial" w:cs="Arial" w:eastAsia="Arial" w:hAnsi="Arial"/>
                <w:sz w:val="18"/>
                <w:szCs w:val="18"/>
                <w:b w:val="1"/>
                <w:bCs w:val="1"/>
                <w:color w:val="0A0A0A"/>
              </w:rPr>
              <w:t>Net Cash (Used in) Provided by Investing Activities</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6"/>
        </w:trPr>
        <w:tc>
          <w:tcPr>
            <w:tcW w:w="5220" w:type="dxa"/>
            <w:vAlign w:val="bottom"/>
          </w:tcPr>
          <w:p>
            <w:pPr>
              <w:spacing w:after="0"/>
              <w:rPr>
                <w:sz w:val="20"/>
                <w:szCs w:val="20"/>
                <w:color w:val="auto"/>
              </w:rPr>
            </w:pPr>
            <w:r>
              <w:rPr>
                <w:rFonts w:ascii="Arial" w:cs="Arial" w:eastAsia="Arial" w:hAnsi="Arial"/>
                <w:sz w:val="18"/>
                <w:szCs w:val="18"/>
                <w:color w:val="0A0A0A"/>
              </w:rPr>
              <w:t>Common Stock Repurchases</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0A0A0A"/>
              </w:rPr>
              <w:t>Proceeds from Borrowing</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0A0A0A"/>
              </w:rPr>
              <w:t>Repayment of Finance Lease Obligations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0A0A0A"/>
              </w:rPr>
              <w:t>Repayment of Borrowings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0A0A0A"/>
              </w:rPr>
              <w:t>Other Financing Activities, net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220" w:type="dxa"/>
            <w:vAlign w:val="bottom"/>
          </w:tcPr>
          <w:p>
            <w:pPr>
              <w:ind w:left="20"/>
              <w:spacing w:after="0"/>
              <w:rPr>
                <w:sz w:val="20"/>
                <w:szCs w:val="20"/>
                <w:color w:val="auto"/>
              </w:rPr>
            </w:pPr>
            <w:r>
              <w:rPr>
                <w:rFonts w:ascii="Arial" w:cs="Arial" w:eastAsia="Arial" w:hAnsi="Arial"/>
                <w:sz w:val="18"/>
                <w:szCs w:val="18"/>
                <w:b w:val="1"/>
                <w:bCs w:val="1"/>
                <w:color w:val="0A0A0A"/>
              </w:rPr>
              <w:t>Net Cash Used in Financing Activities</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6"/>
        </w:trPr>
        <w:tc>
          <w:tcPr>
            <w:tcW w:w="5220" w:type="dxa"/>
            <w:vAlign w:val="bottom"/>
          </w:tcPr>
          <w:p>
            <w:pPr>
              <w:spacing w:after="0"/>
              <w:rPr>
                <w:sz w:val="20"/>
                <w:szCs w:val="20"/>
                <w:color w:val="auto"/>
              </w:rPr>
            </w:pPr>
            <w:r>
              <w:rPr>
                <w:rFonts w:ascii="Arial" w:cs="Arial" w:eastAsia="Arial" w:hAnsi="Arial"/>
                <w:sz w:val="18"/>
                <w:szCs w:val="18"/>
                <w:color w:val="0A0A0A"/>
              </w:rPr>
              <w:t>Net Increase in Cash</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220" w:type="dxa"/>
            <w:vAlign w:val="bottom"/>
          </w:tcPr>
          <w:p>
            <w:pPr>
              <w:ind w:left="20"/>
              <w:spacing w:after="0" w:line="181" w:lineRule="exact"/>
              <w:rPr>
                <w:sz w:val="20"/>
                <w:szCs w:val="20"/>
                <w:color w:val="auto"/>
              </w:rPr>
            </w:pPr>
            <w:r>
              <w:rPr>
                <w:rFonts w:ascii="Arial" w:cs="Arial" w:eastAsia="Arial" w:hAnsi="Arial"/>
                <w:sz w:val="18"/>
                <w:szCs w:val="18"/>
                <w:color w:val="0A0A0A"/>
              </w:rPr>
              <w:t>Cash, Cash Equivalents and Restricted Cash – Beginning of the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220" w:type="dxa"/>
            <w:vAlign w:val="bottom"/>
          </w:tcPr>
          <w:p>
            <w:pPr>
              <w:ind w:left="100"/>
              <w:spacing w:after="0"/>
              <w:rPr>
                <w:sz w:val="20"/>
                <w:szCs w:val="20"/>
                <w:color w:val="auto"/>
              </w:rPr>
            </w:pPr>
            <w:r>
              <w:rPr>
                <w:rFonts w:ascii="Arial" w:cs="Arial" w:eastAsia="Arial" w:hAnsi="Arial"/>
                <w:sz w:val="18"/>
                <w:szCs w:val="18"/>
                <w:color w:val="0A0A0A"/>
              </w:rPr>
              <w:t>Period</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5220" w:type="dxa"/>
            <w:vAlign w:val="bottom"/>
          </w:tcPr>
          <w:p>
            <w:pPr>
              <w:ind w:left="20"/>
              <w:spacing w:after="0" w:line="181" w:lineRule="exact"/>
              <w:rPr>
                <w:sz w:val="20"/>
                <w:szCs w:val="20"/>
                <w:color w:val="auto"/>
              </w:rPr>
            </w:pPr>
            <w:r>
              <w:rPr>
                <w:rFonts w:ascii="Arial" w:cs="Arial" w:eastAsia="Arial" w:hAnsi="Arial"/>
                <w:sz w:val="18"/>
                <w:szCs w:val="18"/>
                <w:color w:val="0A0A0A"/>
              </w:rPr>
              <w:t>Cash, Cash Equivalents and Restricted Cash –</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9"/>
        </w:trPr>
        <w:tc>
          <w:tcPr>
            <w:tcW w:w="5220" w:type="dxa"/>
            <w:vAlign w:val="bottom"/>
            <w:vMerge w:val="restart"/>
          </w:tcPr>
          <w:p>
            <w:pPr>
              <w:ind w:left="100"/>
              <w:spacing w:after="0"/>
              <w:rPr>
                <w:sz w:val="20"/>
                <w:szCs w:val="20"/>
                <w:color w:val="auto"/>
              </w:rPr>
            </w:pPr>
            <w:r>
              <w:rPr>
                <w:rFonts w:ascii="Arial" w:cs="Arial" w:eastAsia="Arial" w:hAnsi="Arial"/>
                <w:sz w:val="18"/>
                <w:szCs w:val="18"/>
                <w:color w:val="0A0A0A"/>
              </w:rPr>
              <w:t>End of the Period</w:t>
            </w: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52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-2345690</wp:posOffset>
            </wp:positionV>
            <wp:extent cx="711517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-1728470</wp:posOffset>
            </wp:positionV>
            <wp:extent cx="711517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-1437005</wp:posOffset>
            </wp:positionV>
            <wp:extent cx="711517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-1145540</wp:posOffset>
            </wp:positionV>
            <wp:extent cx="711517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-528320</wp:posOffset>
            </wp:positionV>
            <wp:extent cx="7115175"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-845185</wp:posOffset>
            </wp:positionV>
            <wp:extent cx="71151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-2054225</wp:posOffset>
            </wp:positionV>
            <wp:extent cx="711517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740" w:type="dxa"/>
            <w:vAlign w:val="bottom"/>
          </w:tcPr>
          <w:p>
            <w:pPr>
              <w:jc w:val="right"/>
              <w:ind w:right="110"/>
              <w:spacing w:after="0"/>
              <w:rPr>
                <w:sz w:val="20"/>
                <w:szCs w:val="20"/>
                <w:color w:val="auto"/>
              </w:rPr>
            </w:pPr>
            <w:r>
              <w:rPr>
                <w:rFonts w:ascii="Arial" w:cs="Arial" w:eastAsia="Arial" w:hAnsi="Arial"/>
                <w:sz w:val="18"/>
                <w:szCs w:val="18"/>
                <w:color w:val="auto"/>
              </w:rPr>
              <w:t>157.1</w:t>
            </w: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w:t>
            </w:r>
          </w:p>
        </w:tc>
        <w:tc>
          <w:tcPr>
            <w:tcW w:w="140" w:type="dxa"/>
            <w:vAlign w:val="bottom"/>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474"/>
        </w:trPr>
        <w:tc>
          <w:tcPr>
            <w:tcW w:w="740" w:type="dxa"/>
            <w:vAlign w:val="bottom"/>
          </w:tcPr>
          <w:p>
            <w:pPr>
              <w:jc w:val="right"/>
              <w:ind w:right="110"/>
              <w:spacing w:after="0"/>
              <w:rPr>
                <w:sz w:val="20"/>
                <w:szCs w:val="20"/>
                <w:color w:val="auto"/>
              </w:rPr>
            </w:pPr>
            <w:r>
              <w:rPr>
                <w:rFonts w:ascii="Arial" w:cs="Arial" w:eastAsia="Arial" w:hAnsi="Arial"/>
                <w:sz w:val="18"/>
                <w:szCs w:val="18"/>
                <w:color w:val="auto"/>
              </w:rPr>
              <w:t>(73.1)</w:t>
            </w:r>
          </w:p>
        </w:tc>
        <w:tc>
          <w:tcPr>
            <w:tcW w:w="6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(47.3)</w:t>
            </w:r>
          </w:p>
        </w:tc>
        <w:tc>
          <w:tcPr>
            <w:tcW w:w="1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54.5</w:t>
            </w:r>
          </w:p>
        </w:tc>
      </w:tr>
      <w:tr>
        <w:trPr>
          <w:trHeight w:val="235"/>
        </w:trPr>
        <w:tc>
          <w:tcPr>
            <w:tcW w:w="740" w:type="dxa"/>
            <w:vAlign w:val="bottom"/>
          </w:tcPr>
          <w:p>
            <w:pPr>
              <w:jc w:val="right"/>
              <w:ind w:right="110"/>
              <w:spacing w:after="0"/>
              <w:rPr>
                <w:sz w:val="20"/>
                <w:szCs w:val="20"/>
                <w:color w:val="auto"/>
              </w:rPr>
            </w:pPr>
            <w:r>
              <w:rPr>
                <w:rFonts w:ascii="Arial" w:cs="Arial" w:eastAsia="Arial" w:hAnsi="Arial"/>
                <w:sz w:val="18"/>
                <w:szCs w:val="18"/>
                <w:color w:val="auto"/>
              </w:rPr>
              <w:t>34.1</w:t>
            </w:r>
          </w:p>
        </w:tc>
        <w:tc>
          <w:tcPr>
            <w:tcW w:w="6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40" w:type="dxa"/>
            <w:vAlign w:val="bottom"/>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r>
      <w:tr>
        <w:trPr>
          <w:trHeight w:val="223"/>
        </w:trPr>
        <w:tc>
          <w:tcPr>
            <w:tcW w:w="740" w:type="dxa"/>
            <w:vAlign w:val="bottom"/>
          </w:tcPr>
          <w:p>
            <w:pPr>
              <w:jc w:val="right"/>
              <w:ind w:right="110"/>
              <w:spacing w:after="0"/>
              <w:rPr>
                <w:sz w:val="20"/>
                <w:szCs w:val="20"/>
                <w:color w:val="auto"/>
              </w:rPr>
            </w:pPr>
            <w:r>
              <w:rPr>
                <w:rFonts w:ascii="Arial" w:cs="Arial" w:eastAsia="Arial" w:hAnsi="Arial"/>
                <w:sz w:val="18"/>
                <w:szCs w:val="18"/>
                <w:color w:val="auto"/>
              </w:rPr>
              <w:t>(39.0)</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564.5</w:t>
            </w:r>
          </w:p>
        </w:tc>
      </w:tr>
      <w:tr>
        <w:trPr>
          <w:trHeight w:val="474"/>
        </w:trPr>
        <w:tc>
          <w:tcPr>
            <w:tcW w:w="740" w:type="dxa"/>
            <w:vAlign w:val="bottom"/>
          </w:tcPr>
          <w:p>
            <w:pPr>
              <w:jc w:val="right"/>
              <w:ind w:right="110"/>
              <w:spacing w:after="0"/>
              <w:rPr>
                <w:sz w:val="20"/>
                <w:szCs w:val="20"/>
                <w:color w:val="auto"/>
              </w:rPr>
            </w:pPr>
            <w:r>
              <w:rPr>
                <w:rFonts w:ascii="Arial" w:cs="Arial" w:eastAsia="Arial" w:hAnsi="Arial"/>
                <w:sz w:val="18"/>
                <w:szCs w:val="18"/>
                <w:color w:val="auto"/>
              </w:rPr>
              <w:t>(20.0)</w:t>
            </w:r>
          </w:p>
        </w:tc>
        <w:tc>
          <w:tcPr>
            <w:tcW w:w="6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65.3</w:t>
            </w:r>
          </w:p>
        </w:tc>
      </w:tr>
      <w:tr>
        <w:trPr>
          <w:trHeight w:val="229"/>
        </w:trPr>
        <w:tc>
          <w:tcPr>
            <w:tcW w:w="740" w:type="dxa"/>
            <w:vAlign w:val="bottom"/>
          </w:tcPr>
          <w:p>
            <w:pPr>
              <w:jc w:val="right"/>
              <w:ind w:right="110"/>
              <w:spacing w:after="0"/>
              <w:rPr>
                <w:sz w:val="20"/>
                <w:szCs w:val="20"/>
                <w:color w:val="auto"/>
              </w:rPr>
            </w:pPr>
            <w:r>
              <w:rPr>
                <w:rFonts w:ascii="Arial" w:cs="Arial" w:eastAsia="Arial" w:hAnsi="Arial"/>
                <w:sz w:val="18"/>
                <w:szCs w:val="18"/>
                <w:color w:val="auto"/>
              </w:rPr>
              <w:t>108.0</w:t>
            </w: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29"/>
        </w:trPr>
        <w:tc>
          <w:tcPr>
            <w:tcW w:w="740" w:type="dxa"/>
            <w:vAlign w:val="bottom"/>
          </w:tcPr>
          <w:p>
            <w:pPr>
              <w:jc w:val="right"/>
              <w:ind w:right="110"/>
              <w:spacing w:after="0"/>
              <w:rPr>
                <w:sz w:val="20"/>
                <w:szCs w:val="20"/>
                <w:color w:val="auto"/>
              </w:rPr>
            </w:pPr>
            <w:r>
              <w:rPr>
                <w:rFonts w:ascii="Arial" w:cs="Arial" w:eastAsia="Arial" w:hAnsi="Arial"/>
                <w:sz w:val="18"/>
                <w:szCs w:val="18"/>
                <w:color w:val="auto"/>
              </w:rPr>
              <w:t>(20.2)</w:t>
            </w: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(45.9)</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(56.0)</w:t>
            </w:r>
          </w:p>
        </w:tc>
      </w:tr>
      <w:tr>
        <w:trPr>
          <w:trHeight w:val="230"/>
        </w:trPr>
        <w:tc>
          <w:tcPr>
            <w:tcW w:w="740" w:type="dxa"/>
            <w:vAlign w:val="bottom"/>
          </w:tcPr>
          <w:p>
            <w:pPr>
              <w:jc w:val="right"/>
              <w:ind w:right="110"/>
              <w:spacing w:after="0"/>
              <w:rPr>
                <w:sz w:val="20"/>
                <w:szCs w:val="20"/>
                <w:color w:val="auto"/>
              </w:rPr>
            </w:pPr>
            <w:r>
              <w:rPr>
                <w:rFonts w:ascii="Arial" w:cs="Arial" w:eastAsia="Arial" w:hAnsi="Arial"/>
                <w:sz w:val="18"/>
                <w:szCs w:val="18"/>
                <w:color w:val="auto"/>
                <w:w w:val="91"/>
              </w:rPr>
              <w:t>(111.7)</w:t>
            </w: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(145.5)</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35"/>
        </w:trPr>
        <w:tc>
          <w:tcPr>
            <w:tcW w:w="740" w:type="dxa"/>
            <w:vAlign w:val="bottom"/>
          </w:tcPr>
          <w:p>
            <w:pPr>
              <w:jc w:val="right"/>
              <w:ind w:right="110"/>
              <w:spacing w:after="0"/>
              <w:rPr>
                <w:sz w:val="20"/>
                <w:szCs w:val="20"/>
                <w:color w:val="auto"/>
              </w:rPr>
            </w:pPr>
            <w:r>
              <w:rPr>
                <w:rFonts w:ascii="Arial" w:cs="Arial" w:eastAsia="Arial" w:hAnsi="Arial"/>
                <w:sz w:val="18"/>
                <w:szCs w:val="18"/>
                <w:color w:val="auto"/>
              </w:rPr>
              <w:t>(8.6)</w:t>
            </w:r>
          </w:p>
        </w:tc>
        <w:tc>
          <w:tcPr>
            <w:tcW w:w="6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w:t>
            </w:r>
          </w:p>
        </w:tc>
      </w:tr>
      <w:tr>
        <w:trPr>
          <w:trHeight w:val="223"/>
        </w:trPr>
        <w:tc>
          <w:tcPr>
            <w:tcW w:w="740" w:type="dxa"/>
            <w:vAlign w:val="bottom"/>
          </w:tcPr>
          <w:p>
            <w:pPr>
              <w:jc w:val="right"/>
              <w:ind w:right="110"/>
              <w:spacing w:after="0"/>
              <w:rPr>
                <w:sz w:val="20"/>
                <w:szCs w:val="20"/>
                <w:color w:val="auto"/>
              </w:rPr>
            </w:pPr>
            <w:r>
              <w:rPr>
                <w:rFonts w:ascii="Arial" w:cs="Arial" w:eastAsia="Arial" w:hAnsi="Arial"/>
                <w:sz w:val="18"/>
                <w:szCs w:val="18"/>
                <w:color w:val="auto"/>
              </w:rPr>
              <w:t>(52.5)</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14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r>
      <w:tr>
        <w:trPr>
          <w:trHeight w:val="484"/>
        </w:trPr>
        <w:tc>
          <w:tcPr>
            <w:tcW w:w="740" w:type="dxa"/>
            <w:vAlign w:val="bottom"/>
          </w:tcPr>
          <w:p>
            <w:pPr>
              <w:jc w:val="right"/>
              <w:ind w:right="110"/>
              <w:spacing w:after="0"/>
              <w:rPr>
                <w:sz w:val="20"/>
                <w:szCs w:val="20"/>
                <w:color w:val="auto"/>
              </w:rPr>
            </w:pPr>
            <w:r>
              <w:rPr>
                <w:rFonts w:ascii="Arial" w:cs="Arial" w:eastAsia="Arial" w:hAnsi="Arial"/>
                <w:sz w:val="18"/>
                <w:szCs w:val="18"/>
                <w:color w:val="auto"/>
              </w:rPr>
              <w:t>65.6</w:t>
            </w:r>
          </w:p>
        </w:tc>
        <w:tc>
          <w:tcPr>
            <w:tcW w:w="6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(78.3)</w:t>
            </w:r>
          </w:p>
        </w:tc>
      </w:tr>
      <w:tr>
        <w:trPr>
          <w:trHeight w:val="324"/>
        </w:trPr>
        <w:tc>
          <w:tcPr>
            <w:tcW w:w="740" w:type="dxa"/>
            <w:vAlign w:val="bottom"/>
          </w:tcPr>
          <w:p>
            <w:pPr>
              <w:jc w:val="right"/>
              <w:ind w:right="110"/>
              <w:spacing w:after="0"/>
              <w:rPr>
                <w:sz w:val="20"/>
                <w:szCs w:val="20"/>
                <w:color w:val="auto"/>
              </w:rPr>
            </w:pPr>
            <w:r>
              <w:rPr>
                <w:rFonts w:ascii="Arial" w:cs="Arial" w:eastAsia="Arial" w:hAnsi="Arial"/>
                <w:sz w:val="18"/>
                <w:szCs w:val="18"/>
                <w:color w:val="auto"/>
              </w:rPr>
              <w:t>100.5</w:t>
            </w:r>
          </w:p>
        </w:tc>
        <w:tc>
          <w:tcPr>
            <w:tcW w:w="6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63.7</w:t>
            </w:r>
          </w:p>
        </w:tc>
        <w:tc>
          <w:tcPr>
            <w:tcW w:w="1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90"/>
        </w:trPr>
        <w:tc>
          <w:tcPr>
            <w:tcW w:w="74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r>
      <w:tr>
        <w:trPr>
          <w:trHeight w:val="294"/>
        </w:trPr>
        <w:tc>
          <w:tcPr>
            <w:tcW w:w="740" w:type="dxa"/>
            <w:vAlign w:val="bottom"/>
          </w:tcPr>
          <w:p>
            <w:pPr>
              <w:jc w:val="right"/>
              <w:ind w:right="110"/>
              <w:spacing w:after="0"/>
              <w:rPr>
                <w:sz w:val="20"/>
                <w:szCs w:val="20"/>
                <w:color w:val="auto"/>
              </w:rPr>
            </w:pPr>
            <w:r>
              <w:rPr>
                <w:rFonts w:ascii="Arial" w:cs="Arial" w:eastAsia="Arial" w:hAnsi="Arial"/>
                <w:sz w:val="18"/>
                <w:szCs w:val="18"/>
                <w:color w:val="auto"/>
              </w:rPr>
              <w:t>166.0</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100.5</w:t>
            </w:r>
          </w:p>
        </w:tc>
        <w:tc>
          <w:tcPr>
            <w:tcW w:w="1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65.2</w:t>
            </w:r>
          </w:p>
        </w:tc>
      </w:tr>
      <w:tr>
        <w:trPr>
          <w:trHeight w:val="77"/>
        </w:trPr>
        <w:tc>
          <w:tcPr>
            <w:tcW w:w="74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r>
      <w:tr>
        <w:trPr>
          <w:trHeight w:val="20"/>
        </w:trPr>
        <w:tc>
          <w:tcPr>
            <w:tcW w:w="7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-795020</wp:posOffset>
            </wp:positionH>
            <wp:positionV relativeFrom="paragraph">
              <wp:posOffset>-33655</wp:posOffset>
            </wp:positionV>
            <wp:extent cx="11830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83005" cy="8890"/>
                    </a:xfrm>
                    <a:prstGeom prst="rect">
                      <a:avLst/>
                    </a:prstGeom>
                    <a:noFill/>
                  </pic:spPr>
                </pic:pic>
              </a:graphicData>
            </a:graphic>
          </wp:anchor>
        </w:drawing>
        <w:drawing>
          <wp:anchor simplePos="0" relativeHeight="251657728" behindDoc="1" locked="0" layoutInCell="0" allowOverlap="1">
            <wp:simplePos x="0" y="0"/>
            <wp:positionH relativeFrom="column">
              <wp:posOffset>-795020</wp:posOffset>
            </wp:positionH>
            <wp:positionV relativeFrom="paragraph">
              <wp:posOffset>-8255</wp:posOffset>
            </wp:positionV>
            <wp:extent cx="11830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83005" cy="8890"/>
                    </a:xfrm>
                    <a:prstGeom prst="rect">
                      <a:avLst/>
                    </a:prstGeom>
                    <a:noFill/>
                  </pic:spPr>
                </pic:pic>
              </a:graphicData>
            </a:graphic>
          </wp:anchor>
        </w:drawing>
        <w:drawing>
          <wp:anchor simplePos="0" relativeHeight="251657728" behindDoc="1" locked="0" layoutInCell="0" allowOverlap="1">
            <wp:simplePos x="0" y="0"/>
            <wp:positionH relativeFrom="column">
              <wp:posOffset>-795020</wp:posOffset>
            </wp:positionH>
            <wp:positionV relativeFrom="paragraph">
              <wp:posOffset>-281940</wp:posOffset>
            </wp:positionV>
            <wp:extent cx="11830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-795020</wp:posOffset>
            </wp:positionH>
            <wp:positionV relativeFrom="paragraph">
              <wp:posOffset>-1019175</wp:posOffset>
            </wp:positionV>
            <wp:extent cx="11830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-795020</wp:posOffset>
            </wp:positionH>
            <wp:positionV relativeFrom="paragraph">
              <wp:posOffset>-1919605</wp:posOffset>
            </wp:positionV>
            <wp:extent cx="11830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-795020</wp:posOffset>
            </wp:positionH>
            <wp:positionV relativeFrom="paragraph">
              <wp:posOffset>-2536825</wp:posOffset>
            </wp:positionV>
            <wp:extent cx="11830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00" w:space="720"/>
            <w:col w:w="4620"/>
          </w:cols>
          <w:pgMar w:left="320" w:top="1390" w:right="339"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Adjusted Operating Income, Adjusted Operating Income Margin, Adjusted Income before Income Tax, Adjusted Pre-tax Margin, Adjusted Net Income, Adjusted Net Income per Share, Adjusted EBITDA and Adjusted EBITDA Margin</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Operating Income, Adjusted Operating Income Margin, Adjusted Income before Income Tax, Adjusted Pre-tax Margin, Adjusted Net Income, Adjusted Net Income per share, Adjusted EBITDA and Adjusted EBITDA Margin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measures described above have limitations as analytical tools. Some of the limitations applicable to these measures include: they do not reflect the impact of certain cash and non-cash charges resulting from matters we consider not to be indicative of our ongoing operations; and other companies in our industry may calculate these non-GAAP measures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aforementioned reasons, Adjusted Operating Income, Adjusted Operating Income Margin, Adjusted Income before Income Tax, Adjusted Pre-tax Margin, Adjusted Net Income, Adjusted Net Income per Share, Adjusted EBITDA and Adjusted EBITDA Margin have significant limitations which affect their use as indicators of our profitability. Accordingly, readers are cautioned not to place undue reliance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12</w:t>
      </w:r>
    </w:p>
    <w:p>
      <w:pPr>
        <w:sectPr>
          <w:pgSz w:w="11900" w:h="16838" w:orient="portrait"/>
          <w:cols w:equalWidth="0" w:num="1">
            <w:col w:w="11240"/>
          </w:cols>
          <w:pgMar w:left="320" w:top="1390" w:right="339" w:bottom="1440" w:gutter="0" w:footer="0" w:header="0"/>
          <w:type w:val="continuous"/>
        </w:sectPr>
      </w:pPr>
    </w:p>
    <w:bookmarkStart w:id="15" w:name="page16"/>
    <w:bookmarkEnd w:id="15"/>
    <w:p>
      <w:pPr>
        <w:spacing w:after="0" w:line="31" w:lineRule="exact"/>
        <w:rPr>
          <w:sz w:val="20"/>
          <w:szCs w:val="20"/>
          <w:color w:val="auto"/>
        </w:rPr>
      </w:pPr>
    </w:p>
    <w:p>
      <w:pPr>
        <w:ind w:left="20" w:right="4560"/>
        <w:spacing w:after="0" w:line="343" w:lineRule="auto"/>
        <w:rPr>
          <w:sz w:val="20"/>
          <w:szCs w:val="20"/>
          <w:color w:val="auto"/>
        </w:rPr>
      </w:pPr>
      <w:r>
        <w:rPr>
          <w:rFonts w:ascii="Arial" w:cs="Arial" w:eastAsia="Arial" w:hAnsi="Arial"/>
          <w:sz w:val="18"/>
          <w:szCs w:val="18"/>
          <w:b w:val="1"/>
          <w:bCs w:val="1"/>
          <w:color w:val="auto"/>
        </w:rPr>
        <w:t>Reconciliation of GAAP Operating Income to Adjusted Operating Income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234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GAAP Operating Income to Adjusted Operating Income.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3660" w:type="dxa"/>
            <w:vAlign w:val="bottom"/>
            <w:gridSpan w:val="6"/>
          </w:tcPr>
          <w:p>
            <w:pPr>
              <w:ind w:left="580"/>
              <w:spacing w:after="0"/>
              <w:rPr>
                <w:sz w:val="20"/>
                <w:szCs w:val="20"/>
                <w:color w:val="auto"/>
              </w:rPr>
            </w:pPr>
            <w:r>
              <w:rPr>
                <w:rFonts w:ascii="Arial" w:cs="Arial" w:eastAsia="Arial" w:hAnsi="Arial"/>
                <w:sz w:val="14"/>
                <w:szCs w:val="14"/>
                <w:b w:val="1"/>
                <w:bCs w:val="1"/>
                <w:color w:val="auto"/>
              </w:rPr>
              <w:t>Three Months Ended December 31,</w:t>
            </w:r>
          </w:p>
        </w:tc>
        <w:tc>
          <w:tcPr>
            <w:tcW w:w="420" w:type="dxa"/>
            <w:vAlign w:val="bottom"/>
          </w:tcPr>
          <w:p>
            <w:pPr>
              <w:spacing w:after="0"/>
              <w:rPr>
                <w:sz w:val="17"/>
                <w:szCs w:val="17"/>
                <w:color w:val="auto"/>
              </w:rPr>
            </w:pPr>
          </w:p>
        </w:tc>
        <w:tc>
          <w:tcPr>
            <w:tcW w:w="3200" w:type="dxa"/>
            <w:vAlign w:val="bottom"/>
            <w:gridSpan w:val="4"/>
          </w:tcPr>
          <w:p>
            <w:pPr>
              <w:jc w:val="right"/>
              <w:ind w:right="832"/>
              <w:spacing w:after="0"/>
              <w:rPr>
                <w:sz w:val="20"/>
                <w:szCs w:val="20"/>
                <w:color w:val="auto"/>
              </w:rPr>
            </w:pPr>
            <w:r>
              <w:rPr>
                <w:rFonts w:ascii="Arial" w:cs="Arial" w:eastAsia="Arial" w:hAnsi="Arial"/>
                <w:sz w:val="14"/>
                <w:szCs w:val="14"/>
                <w:b w:val="1"/>
                <w:bCs w:val="1"/>
                <w:color w:val="auto"/>
              </w:rPr>
              <w:t>Year Ended December 31,</w:t>
            </w:r>
          </w:p>
        </w:tc>
      </w:tr>
      <w:tr>
        <w:trPr>
          <w:trHeight w:val="203"/>
        </w:trPr>
        <w:tc>
          <w:tcPr>
            <w:tcW w:w="39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2024</w:t>
            </w:r>
          </w:p>
        </w:tc>
      </w:tr>
      <w:tr>
        <w:trPr>
          <w:trHeight w:val="22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7"/>
              </w:rPr>
              <w:t>281.0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260.4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1,126.8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1,075.7</w:t>
            </w: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040" w:type="dxa"/>
            <w:vAlign w:val="bottom"/>
          </w:tcPr>
          <w:p>
            <w:pPr>
              <w:spacing w:after="0"/>
              <w:rPr>
                <w:sz w:val="19"/>
                <w:szCs w:val="19"/>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106.0</w:t>
            </w:r>
          </w:p>
        </w:tc>
      </w:tr>
      <w:tr>
        <w:trPr>
          <w:trHeight w:val="229"/>
        </w:trPr>
        <w:tc>
          <w:tcPr>
            <w:tcW w:w="39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10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1040" w:type="dxa"/>
            <w:vAlign w:val="bottom"/>
          </w:tcPr>
          <w:p>
            <w:pPr>
              <w:spacing w:after="0"/>
              <w:rPr>
                <w:sz w:val="19"/>
                <w:szCs w:val="19"/>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6.0</w:t>
            </w:r>
          </w:p>
        </w:tc>
      </w:tr>
      <w:tr>
        <w:trPr>
          <w:trHeight w:val="230"/>
        </w:trPr>
        <w:tc>
          <w:tcPr>
            <w:tcW w:w="39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Unplanned Engine Retirement </w:t>
            </w:r>
            <w:r>
              <w:rPr>
                <w:rFonts w:ascii="Arial" w:cs="Arial" w:eastAsia="Arial" w:hAnsi="Arial"/>
                <w:sz w:val="23"/>
                <w:szCs w:val="23"/>
                <w:color w:val="auto"/>
                <w:vertAlign w:val="superscript"/>
              </w:rPr>
              <w:t>(2)</w:t>
            </w:r>
          </w:p>
        </w:tc>
        <w:tc>
          <w:tcPr>
            <w:tcW w:w="10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104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112.0</w:t>
            </w: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39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Operating Income Margin</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9.9 %</w:t>
            </w: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r>
    </w:tbl>
    <w:p>
      <w:pPr>
        <w:spacing w:after="0" w:line="91" w:lineRule="exact"/>
        <w:rPr>
          <w:sz w:val="20"/>
          <w:szCs w:val="20"/>
          <w:color w:val="auto"/>
        </w:rPr>
      </w:pPr>
    </w:p>
    <w:p>
      <w:pPr>
        <w:ind w:left="480" w:hanging="454"/>
        <w:spacing w:after="0"/>
        <w:tabs>
          <w:tab w:leader="none" w:pos="480" w:val="left"/>
        </w:tabs>
        <w:numPr>
          <w:ilvl w:val="0"/>
          <w:numId w:val="5"/>
        </w:numPr>
        <w:rPr>
          <w:rFonts w:ascii="Arial" w:cs="Arial" w:eastAsia="Arial" w:hAnsi="Arial"/>
          <w:sz w:val="29"/>
          <w:szCs w:val="29"/>
          <w:color w:val="auto"/>
          <w:vertAlign w:val="superscript"/>
        </w:rPr>
      </w:pPr>
      <w:r>
        <w:rPr>
          <w:rFonts w:ascii="Arial" w:cs="Arial" w:eastAsia="Arial" w:hAnsi="Arial"/>
          <w:sz w:val="14"/>
          <w:szCs w:val="14"/>
          <w:color w:val="auto"/>
        </w:rPr>
        <w:t>See Note 1 on earlier page of this release</w:t>
      </w:r>
    </w:p>
    <w:p>
      <w:pPr>
        <w:spacing w:after="0" w:line="93" w:lineRule="exact"/>
        <w:rPr>
          <w:rFonts w:ascii="Arial" w:cs="Arial" w:eastAsia="Arial" w:hAnsi="Arial"/>
          <w:sz w:val="29"/>
          <w:szCs w:val="29"/>
          <w:color w:val="auto"/>
          <w:vertAlign w:val="superscript"/>
        </w:rPr>
      </w:pPr>
    </w:p>
    <w:p>
      <w:pPr>
        <w:ind w:left="480" w:right="760" w:hanging="454"/>
        <w:spacing w:after="0" w:line="181" w:lineRule="auto"/>
        <w:tabs>
          <w:tab w:leader="none" w:pos="480" w:val="left"/>
        </w:tabs>
        <w:numPr>
          <w:ilvl w:val="0"/>
          <w:numId w:val="5"/>
        </w:numPr>
        <w:rPr>
          <w:rFonts w:ascii="Arial" w:cs="Arial" w:eastAsia="Arial" w:hAnsi="Arial"/>
          <w:sz w:val="26"/>
          <w:szCs w:val="26"/>
          <w:color w:val="auto"/>
          <w:vertAlign w:val="superscript"/>
        </w:rPr>
      </w:pPr>
      <w:r>
        <w:rPr>
          <w:rFonts w:ascii="Arial" w:cs="Arial" w:eastAsia="Arial" w:hAnsi="Arial"/>
          <w:sz w:val="13"/>
          <w:szCs w:val="13"/>
          <w:color w:val="auto"/>
        </w:rPr>
        <w:t>In July 2025, an engine experienced an in-flight shut down ("IFSD"). The engine was subsequently deemed beyond economic repair, which resulted in a non-cash expense due to an unplanned engine retirement. Management does not consider this activity in assessing its operational performance.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right="3520"/>
        <w:spacing w:after="0" w:line="343" w:lineRule="auto"/>
        <w:rPr>
          <w:sz w:val="20"/>
          <w:szCs w:val="20"/>
          <w:color w:val="auto"/>
        </w:rPr>
      </w:pPr>
      <w:r>
        <w:rPr>
          <w:rFonts w:ascii="Arial" w:cs="Arial" w:eastAsia="Arial" w:hAnsi="Arial"/>
          <w:sz w:val="18"/>
          <w:szCs w:val="18"/>
          <w:b w:val="1"/>
          <w:bCs w:val="1"/>
          <w:color w:val="auto"/>
        </w:rPr>
        <w:t>Reconciliation of GAAP Income Before Income Tax to Adjusted Income before Income Tax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234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GAAP Income before Income Tax to Adjusted Income before Income Tax.</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60" w:type="dxa"/>
            <w:vAlign w:val="bottom"/>
          </w:tcPr>
          <w:p>
            <w:pPr>
              <w:spacing w:after="0"/>
              <w:rPr>
                <w:sz w:val="17"/>
                <w:szCs w:val="17"/>
                <w:color w:val="auto"/>
              </w:rPr>
            </w:pPr>
          </w:p>
        </w:tc>
        <w:tc>
          <w:tcPr>
            <w:tcW w:w="352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 December 31,</w:t>
            </w:r>
          </w:p>
        </w:tc>
        <w:tc>
          <w:tcPr>
            <w:tcW w:w="400" w:type="dxa"/>
            <w:vAlign w:val="bottom"/>
          </w:tcPr>
          <w:p>
            <w:pPr>
              <w:spacing w:after="0"/>
              <w:rPr>
                <w:sz w:val="17"/>
                <w:szCs w:val="17"/>
                <w:color w:val="auto"/>
              </w:rPr>
            </w:pPr>
          </w:p>
        </w:tc>
        <w:tc>
          <w:tcPr>
            <w:tcW w:w="306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Year Ended December 31,</w:t>
            </w:r>
          </w:p>
        </w:tc>
      </w:tr>
      <w:tr>
        <w:trPr>
          <w:trHeight w:val="203"/>
        </w:trPr>
        <w:tc>
          <w:tcPr>
            <w:tcW w:w="4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2024</w:t>
            </w:r>
          </w:p>
        </w:tc>
      </w:tr>
      <w:tr>
        <w:trPr>
          <w:trHeight w:val="245"/>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52.9</w:t>
            </w:r>
          </w:p>
        </w:tc>
      </w:tr>
      <w:tr>
        <w:trPr>
          <w:trHeight w:val="230"/>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Provision for Income Tax Expense</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16.7</w:t>
            </w: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 as reported</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69.6</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Pre-tax margin</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70"/>
        </w:trPr>
        <w:tc>
          <w:tcPr>
            <w:tcW w:w="4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30"/>
        </w:trPr>
        <w:tc>
          <w:tcPr>
            <w:tcW w:w="42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104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6.0</w:t>
            </w: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Loss on Debt Extinguishment</w:t>
            </w:r>
          </w:p>
        </w:tc>
        <w:tc>
          <w:tcPr>
            <w:tcW w:w="1040" w:type="dxa"/>
            <w:vAlign w:val="bottom"/>
          </w:tcPr>
          <w:p>
            <w:pPr>
              <w:spacing w:after="0"/>
              <w:rPr>
                <w:sz w:val="21"/>
                <w:szCs w:val="21"/>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3"/>
        </w:trPr>
        <w:tc>
          <w:tcPr>
            <w:tcW w:w="4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Refinancing</w:t>
            </w:r>
          </w:p>
        </w:tc>
        <w:tc>
          <w:tcPr>
            <w:tcW w:w="10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0.6</w:t>
            </w:r>
          </w:p>
        </w:tc>
      </w:tr>
      <w:tr>
        <w:trPr>
          <w:trHeight w:val="270"/>
        </w:trPr>
        <w:tc>
          <w:tcPr>
            <w:tcW w:w="4260" w:type="dxa"/>
            <w:vAlign w:val="bottom"/>
          </w:tcPr>
          <w:p>
            <w:pPr>
              <w:ind w:left="20"/>
              <w:spacing w:after="0"/>
              <w:rPr>
                <w:sz w:val="20"/>
                <w:szCs w:val="20"/>
                <w:color w:val="auto"/>
              </w:rPr>
            </w:pPr>
            <w:r>
              <w:rPr>
                <w:rFonts w:ascii="Arial" w:cs="Arial" w:eastAsia="Arial" w:hAnsi="Arial"/>
                <w:sz w:val="18"/>
                <w:szCs w:val="18"/>
                <w:color w:val="auto"/>
              </w:rPr>
              <w:t xml:space="preserve">Unplanned Engine Retirement </w:t>
            </w:r>
            <w:r>
              <w:rPr>
                <w:rFonts w:ascii="Arial" w:cs="Arial" w:eastAsia="Arial" w:hAnsi="Arial"/>
                <w:sz w:val="23"/>
                <w:szCs w:val="23"/>
                <w:color w:val="auto"/>
                <w:vertAlign w:val="superscript"/>
              </w:rPr>
              <w:t>(2)</w:t>
            </w:r>
          </w:p>
        </w:tc>
        <w:tc>
          <w:tcPr>
            <w:tcW w:w="1040" w:type="dxa"/>
            <w:vAlign w:val="bottom"/>
          </w:tcPr>
          <w:p>
            <w:pPr>
              <w:spacing w:after="0"/>
              <w:rPr>
                <w:sz w:val="23"/>
                <w:szCs w:val="23"/>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Credit Facility</w:t>
            </w:r>
          </w:p>
        </w:tc>
        <w:tc>
          <w:tcPr>
            <w:tcW w:w="10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Secondary Offering Costs</w:t>
            </w:r>
          </w:p>
        </w:tc>
        <w:tc>
          <w:tcPr>
            <w:tcW w:w="104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48"/>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Income before Income Tax</w:t>
            </w:r>
          </w:p>
        </w:tc>
        <w:tc>
          <w:tcPr>
            <w:tcW w:w="104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80.2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76.1</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Pre-tax margin</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r>
    </w:tbl>
    <w:p>
      <w:pPr>
        <w:spacing w:after="0" w:line="91" w:lineRule="exact"/>
        <w:rPr>
          <w:sz w:val="20"/>
          <w:szCs w:val="20"/>
          <w:color w:val="auto"/>
        </w:rPr>
      </w:pPr>
    </w:p>
    <w:p>
      <w:pPr>
        <w:ind w:left="440" w:hanging="414"/>
        <w:spacing w:after="0"/>
        <w:tabs>
          <w:tab w:leader="none" w:pos="440" w:val="left"/>
        </w:tabs>
        <w:numPr>
          <w:ilvl w:val="0"/>
          <w:numId w:val="6"/>
        </w:numPr>
        <w:rPr>
          <w:rFonts w:ascii="Arial" w:cs="Arial" w:eastAsia="Arial" w:hAnsi="Arial"/>
          <w:sz w:val="29"/>
          <w:szCs w:val="29"/>
          <w:color w:val="auto"/>
          <w:vertAlign w:val="superscript"/>
        </w:rPr>
      </w:pPr>
      <w:r>
        <w:rPr>
          <w:rFonts w:ascii="Arial" w:cs="Arial" w:eastAsia="Arial" w:hAnsi="Arial"/>
          <w:sz w:val="14"/>
          <w:szCs w:val="14"/>
          <w:color w:val="auto"/>
        </w:rPr>
        <w:t>See Note 1 on earlier page of this release</w:t>
      </w:r>
    </w:p>
    <w:p>
      <w:pPr>
        <w:spacing w:after="0" w:line="93" w:lineRule="exact"/>
        <w:rPr>
          <w:rFonts w:ascii="Arial" w:cs="Arial" w:eastAsia="Arial" w:hAnsi="Arial"/>
          <w:sz w:val="29"/>
          <w:szCs w:val="29"/>
          <w:color w:val="auto"/>
          <w:vertAlign w:val="superscript"/>
        </w:rPr>
      </w:pPr>
    </w:p>
    <w:p>
      <w:pPr>
        <w:ind w:left="440" w:right="700" w:hanging="414"/>
        <w:spacing w:after="0" w:line="181" w:lineRule="auto"/>
        <w:tabs>
          <w:tab w:leader="none" w:pos="440" w:val="left"/>
        </w:tabs>
        <w:numPr>
          <w:ilvl w:val="0"/>
          <w:numId w:val="6"/>
        </w:numPr>
        <w:rPr>
          <w:rFonts w:ascii="Arial" w:cs="Arial" w:eastAsia="Arial" w:hAnsi="Arial"/>
          <w:sz w:val="26"/>
          <w:szCs w:val="26"/>
          <w:color w:val="auto"/>
          <w:vertAlign w:val="superscript"/>
        </w:rPr>
      </w:pPr>
      <w:r>
        <w:rPr>
          <w:rFonts w:ascii="Arial" w:cs="Arial" w:eastAsia="Arial" w:hAnsi="Arial"/>
          <w:sz w:val="13"/>
          <w:szCs w:val="13"/>
          <w:color w:val="auto"/>
        </w:rPr>
        <w:t>In July 2025, an engine experienced an IFSD. The engine was subsequently deemed beyond economic repair, which resulted in a non-cash expense due to an unplanned engine retirement. Management does not consider this activity in assessing its operational performance.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13</w:t>
      </w:r>
    </w:p>
    <w:p>
      <w:pPr>
        <w:sectPr>
          <w:pgSz w:w="11900" w:h="16838" w:orient="portrait"/>
          <w:cols w:equalWidth="0" w:num="1">
            <w:col w:w="11240"/>
          </w:cols>
          <w:pgMar w:left="320" w:top="1440" w:right="339" w:bottom="1440" w:gutter="0" w:footer="0" w:header="0"/>
          <w:type w:val="continuous"/>
        </w:sectPr>
      </w:pPr>
    </w:p>
    <w:bookmarkStart w:id="16" w:name="page17"/>
    <w:bookmarkEnd w:id="16"/>
    <w:p>
      <w:pPr>
        <w:ind w:left="20" w:right="1140"/>
        <w:spacing w:after="0" w:line="343" w:lineRule="auto"/>
        <w:rPr>
          <w:sz w:val="20"/>
          <w:szCs w:val="20"/>
          <w:color w:val="auto"/>
        </w:rPr>
      </w:pPr>
      <w:r>
        <w:rPr>
          <w:rFonts w:ascii="Arial" w:cs="Arial" w:eastAsia="Arial" w:hAnsi="Arial"/>
          <w:sz w:val="18"/>
          <w:szCs w:val="18"/>
          <w:b w:val="1"/>
          <w:bCs w:val="1"/>
          <w:color w:val="auto"/>
        </w:rPr>
        <w:t>Reconciliation of GAAP Net Income and Earnings per Share to Adjusted Net Income and Adjusted Earnings per Share Dollars and shares in millions, except for per share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234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17" w:lineRule="exact"/>
        <w:rPr>
          <w:sz w:val="20"/>
          <w:szCs w:val="20"/>
          <w:color w:val="auto"/>
        </w:rPr>
      </w:pPr>
    </w:p>
    <w:p>
      <w:pPr>
        <w:ind w:left="20" w:right="20"/>
        <w:spacing w:after="0" w:line="287" w:lineRule="auto"/>
        <w:rPr>
          <w:sz w:val="20"/>
          <w:szCs w:val="20"/>
          <w:color w:val="auto"/>
        </w:rPr>
      </w:pPr>
      <w:r>
        <w:rPr>
          <w:rFonts w:ascii="Arial" w:cs="Arial" w:eastAsia="Arial" w:hAnsi="Arial"/>
          <w:sz w:val="18"/>
          <w:szCs w:val="18"/>
          <w:color w:val="auto"/>
        </w:rPr>
        <w:t>The following table presents the reconciliation of GAAP Net Income and Earnings per Share to Adjusted Net Income and Adjusted Earnings per Share.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4"/>
        </w:trPr>
        <w:tc>
          <w:tcPr>
            <w:tcW w:w="46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1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1440" w:type="dxa"/>
            <w:vAlign w:val="bottom"/>
            <w:tcBorders>
              <w:bottom w:val="single" w:sz="8" w:color="auto"/>
            </w:tcBorders>
          </w:tcPr>
          <w:p>
            <w:pPr>
              <w:spacing w:after="0"/>
              <w:rPr>
                <w:sz w:val="17"/>
                <w:szCs w:val="17"/>
                <w:color w:val="auto"/>
              </w:rPr>
            </w:pPr>
          </w:p>
        </w:tc>
      </w:tr>
      <w:tr>
        <w:trPr>
          <w:trHeight w:val="196"/>
        </w:trPr>
        <w:tc>
          <w:tcPr>
            <w:tcW w:w="4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Per Share - diluted</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Dollars</w:t>
            </w:r>
          </w:p>
        </w:tc>
        <w:tc>
          <w:tcPr>
            <w:tcW w:w="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Per Share - diluted</w:t>
            </w:r>
          </w:p>
        </w:tc>
      </w:tr>
      <w:tr>
        <w:trPr>
          <w:trHeight w:val="22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6"/>
              </w:rPr>
              <w:t>13.4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r>
      <w:tr>
        <w:trPr>
          <w:trHeight w:val="230"/>
        </w:trPr>
        <w:tc>
          <w:tcPr>
            <w:tcW w:w="4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(2)</w:t>
            </w:r>
          </w:p>
        </w:tc>
        <w:tc>
          <w:tcPr>
            <w:tcW w:w="108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47"/>
        </w:trPr>
        <w:tc>
          <w:tcPr>
            <w:tcW w:w="4620" w:type="dxa"/>
            <w:vAlign w:val="bottom"/>
          </w:tcPr>
          <w:p>
            <w:pPr>
              <w:ind w:left="20"/>
              <w:spacing w:after="0"/>
              <w:rPr>
                <w:sz w:val="20"/>
                <w:szCs w:val="20"/>
                <w:color w:val="auto"/>
              </w:rPr>
            </w:pPr>
            <w:r>
              <w:rPr>
                <w:rFonts w:ascii="Arial" w:cs="Arial" w:eastAsia="Arial" w:hAnsi="Arial"/>
                <w:sz w:val="18"/>
                <w:szCs w:val="18"/>
                <w:color w:val="auto"/>
              </w:rPr>
              <w:t>Loss on Debt Extinguishment</w:t>
            </w:r>
          </w:p>
        </w:tc>
        <w:tc>
          <w:tcPr>
            <w:tcW w:w="108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4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Refinancing</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70"/>
        </w:trPr>
        <w:tc>
          <w:tcPr>
            <w:tcW w:w="4620" w:type="dxa"/>
            <w:vAlign w:val="bottom"/>
          </w:tcPr>
          <w:p>
            <w:pPr>
              <w:ind w:left="20"/>
              <w:spacing w:after="0"/>
              <w:rPr>
                <w:sz w:val="20"/>
                <w:szCs w:val="20"/>
                <w:color w:val="auto"/>
              </w:rPr>
            </w:pPr>
            <w:r>
              <w:rPr>
                <w:rFonts w:ascii="Arial" w:cs="Arial" w:eastAsia="Arial" w:hAnsi="Arial"/>
                <w:sz w:val="18"/>
                <w:szCs w:val="18"/>
                <w:color w:val="auto"/>
              </w:rPr>
              <w:t xml:space="preserve">Unplanned Engine Retirement </w:t>
            </w:r>
            <w:r>
              <w:rPr>
                <w:rFonts w:ascii="Arial" w:cs="Arial" w:eastAsia="Arial" w:hAnsi="Arial"/>
                <w:sz w:val="23"/>
                <w:szCs w:val="23"/>
                <w:color w:val="auto"/>
                <w:vertAlign w:val="superscript"/>
              </w:rPr>
              <w:t>(3)</w:t>
            </w:r>
          </w:p>
        </w:tc>
        <w:tc>
          <w:tcPr>
            <w:tcW w:w="1080" w:type="dxa"/>
            <w:vAlign w:val="bottom"/>
          </w:tcPr>
          <w:p>
            <w:pPr>
              <w:spacing w:after="0"/>
              <w:rPr>
                <w:sz w:val="23"/>
                <w:szCs w:val="23"/>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3"/>
                <w:szCs w:val="23"/>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Credit Facility</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Secondary Offering Costs</w:t>
            </w:r>
          </w:p>
        </w:tc>
        <w:tc>
          <w:tcPr>
            <w:tcW w:w="108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(1)</w:t>
            </w:r>
          </w:p>
        </w:tc>
        <w:tc>
          <w:tcPr>
            <w:tcW w:w="10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108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6"/>
              </w:rPr>
              <w:t>15.0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29"/>
        </w:trPr>
        <w:tc>
          <w:tcPr>
            <w:tcW w:w="46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r>
      <w:tr>
        <w:trPr>
          <w:trHeight w:val="239"/>
        </w:trPr>
        <w:tc>
          <w:tcPr>
            <w:tcW w:w="4620" w:type="dxa"/>
            <w:vAlign w:val="bottom"/>
          </w:tcPr>
          <w:p>
            <w:pPr>
              <w:ind w:left="20"/>
              <w:spacing w:after="0"/>
              <w:rPr>
                <w:sz w:val="20"/>
                <w:szCs w:val="20"/>
                <w:color w:val="auto"/>
              </w:rPr>
            </w:pPr>
            <w:r>
              <w:rPr>
                <w:rFonts w:ascii="Arial" w:cs="Arial" w:eastAsia="Arial" w:hAnsi="Arial"/>
                <w:sz w:val="18"/>
                <w:szCs w:val="18"/>
                <w:color w:val="auto"/>
              </w:rPr>
              <w:t>Diluted share count</w:t>
            </w:r>
          </w:p>
        </w:tc>
        <w:tc>
          <w:tcPr>
            <w:tcW w:w="1080" w:type="dxa"/>
            <w:vAlign w:val="bottom"/>
          </w:tcPr>
          <w:p>
            <w:pPr>
              <w:spacing w:after="0"/>
              <w:rPr>
                <w:sz w:val="20"/>
                <w:szCs w:val="20"/>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0A0A0A"/>
              </w:rPr>
              <w:t>54.5</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0A0A0A"/>
                <w:w w:val="96"/>
              </w:rPr>
              <w:t>55.3</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48"/>
        </w:trPr>
        <w:tc>
          <w:tcPr>
            <w:tcW w:w="4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46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1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1440" w:type="dxa"/>
            <w:vAlign w:val="bottom"/>
            <w:tcBorders>
              <w:bottom w:val="single" w:sz="8" w:color="auto"/>
            </w:tcBorders>
          </w:tcPr>
          <w:p>
            <w:pPr>
              <w:spacing w:after="0"/>
              <w:rPr>
                <w:sz w:val="17"/>
                <w:szCs w:val="17"/>
                <w:color w:val="auto"/>
              </w:rPr>
            </w:pPr>
          </w:p>
        </w:tc>
      </w:tr>
      <w:tr>
        <w:trPr>
          <w:trHeight w:val="196"/>
        </w:trPr>
        <w:tc>
          <w:tcPr>
            <w:tcW w:w="4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Per Share - diluted</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Dollars</w:t>
            </w:r>
          </w:p>
        </w:tc>
        <w:tc>
          <w:tcPr>
            <w:tcW w:w="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Per Share - diluted</w:t>
            </w: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6"/>
              </w:rPr>
              <w:t>52.9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0.96</w:t>
            </w:r>
          </w:p>
        </w:tc>
      </w:tr>
      <w:tr>
        <w:trPr>
          <w:trHeight w:val="230"/>
        </w:trPr>
        <w:tc>
          <w:tcPr>
            <w:tcW w:w="4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(2)</w:t>
            </w:r>
          </w:p>
        </w:tc>
        <w:tc>
          <w:tcPr>
            <w:tcW w:w="108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47"/>
        </w:trPr>
        <w:tc>
          <w:tcPr>
            <w:tcW w:w="4620" w:type="dxa"/>
            <w:vAlign w:val="bottom"/>
          </w:tcPr>
          <w:p>
            <w:pPr>
              <w:ind w:left="20"/>
              <w:spacing w:after="0"/>
              <w:rPr>
                <w:sz w:val="20"/>
                <w:szCs w:val="20"/>
                <w:color w:val="auto"/>
              </w:rPr>
            </w:pPr>
            <w:r>
              <w:rPr>
                <w:rFonts w:ascii="Arial" w:cs="Arial" w:eastAsia="Arial" w:hAnsi="Arial"/>
                <w:sz w:val="18"/>
                <w:szCs w:val="18"/>
                <w:color w:val="auto"/>
              </w:rPr>
              <w:t>Loss on Debt Extinguishment</w:t>
            </w:r>
          </w:p>
        </w:tc>
        <w:tc>
          <w:tcPr>
            <w:tcW w:w="108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4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Refinancing</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70"/>
        </w:trPr>
        <w:tc>
          <w:tcPr>
            <w:tcW w:w="4620" w:type="dxa"/>
            <w:vAlign w:val="bottom"/>
          </w:tcPr>
          <w:p>
            <w:pPr>
              <w:ind w:left="20"/>
              <w:spacing w:after="0"/>
              <w:rPr>
                <w:sz w:val="20"/>
                <w:szCs w:val="20"/>
                <w:color w:val="auto"/>
              </w:rPr>
            </w:pPr>
            <w:r>
              <w:rPr>
                <w:rFonts w:ascii="Arial" w:cs="Arial" w:eastAsia="Arial" w:hAnsi="Arial"/>
                <w:sz w:val="18"/>
                <w:szCs w:val="18"/>
                <w:color w:val="auto"/>
              </w:rPr>
              <w:t xml:space="preserve">Unplanned Engine Retirement </w:t>
            </w:r>
            <w:r>
              <w:rPr>
                <w:rFonts w:ascii="Arial" w:cs="Arial" w:eastAsia="Arial" w:hAnsi="Arial"/>
                <w:sz w:val="23"/>
                <w:szCs w:val="23"/>
                <w:color w:val="auto"/>
                <w:vertAlign w:val="superscript"/>
              </w:rPr>
              <w:t>(3)</w:t>
            </w:r>
          </w:p>
        </w:tc>
        <w:tc>
          <w:tcPr>
            <w:tcW w:w="1080" w:type="dxa"/>
            <w:vAlign w:val="bottom"/>
          </w:tcPr>
          <w:p>
            <w:pPr>
              <w:spacing w:after="0"/>
              <w:rPr>
                <w:sz w:val="23"/>
                <w:szCs w:val="23"/>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Credit Facility</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Secondary Offering Costs</w:t>
            </w:r>
          </w:p>
        </w:tc>
        <w:tc>
          <w:tcPr>
            <w:tcW w:w="108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(1)</w:t>
            </w:r>
          </w:p>
        </w:tc>
        <w:tc>
          <w:tcPr>
            <w:tcW w:w="10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108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6"/>
              </w:rPr>
              <w:t>58.0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15"/>
        </w:trPr>
        <w:tc>
          <w:tcPr>
            <w:tcW w:w="46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r>
      <w:tr>
        <w:trPr>
          <w:trHeight w:val="239"/>
        </w:trPr>
        <w:tc>
          <w:tcPr>
            <w:tcW w:w="4620" w:type="dxa"/>
            <w:vAlign w:val="bottom"/>
          </w:tcPr>
          <w:p>
            <w:pPr>
              <w:ind w:left="20"/>
              <w:spacing w:after="0"/>
              <w:rPr>
                <w:sz w:val="20"/>
                <w:szCs w:val="20"/>
                <w:color w:val="auto"/>
              </w:rPr>
            </w:pPr>
            <w:r>
              <w:rPr>
                <w:rFonts w:ascii="Arial" w:cs="Arial" w:eastAsia="Arial" w:hAnsi="Arial"/>
                <w:sz w:val="18"/>
                <w:szCs w:val="18"/>
                <w:color w:val="auto"/>
              </w:rPr>
              <w:t>Diluted share count</w:t>
            </w:r>
          </w:p>
        </w:tc>
        <w:tc>
          <w:tcPr>
            <w:tcW w:w="1080" w:type="dxa"/>
            <w:vAlign w:val="bottom"/>
          </w:tcPr>
          <w:p>
            <w:pPr>
              <w:spacing w:after="0"/>
              <w:rPr>
                <w:sz w:val="20"/>
                <w:szCs w:val="20"/>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0A0A0A"/>
              </w:rPr>
              <w:t>54.9</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0A0A0A"/>
                <w:w w:val="96"/>
              </w:rPr>
              <w:t>55.1</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43" w:lineRule="exact"/>
        <w:rPr>
          <w:sz w:val="20"/>
          <w:szCs w:val="20"/>
          <w:color w:val="auto"/>
        </w:rPr>
      </w:pPr>
    </w:p>
    <w:p>
      <w:pPr>
        <w:ind w:left="440" w:hanging="414"/>
        <w:spacing w:after="0"/>
        <w:tabs>
          <w:tab w:leader="none" w:pos="440" w:val="left"/>
        </w:tabs>
        <w:numPr>
          <w:ilvl w:val="0"/>
          <w:numId w:val="7"/>
        </w:numPr>
        <w:rPr>
          <w:rFonts w:ascii="Arial" w:cs="Arial" w:eastAsia="Arial" w:hAnsi="Arial"/>
          <w:sz w:val="29"/>
          <w:szCs w:val="29"/>
          <w:color w:val="auto"/>
          <w:vertAlign w:val="superscript"/>
        </w:rPr>
      </w:pPr>
      <w:r>
        <w:rPr>
          <w:rFonts w:ascii="Arial" w:cs="Arial" w:eastAsia="Arial" w:hAnsi="Arial"/>
          <w:sz w:val="14"/>
          <w:szCs w:val="14"/>
          <w:color w:val="auto"/>
        </w:rPr>
        <w:t>The tax effect of adjusting items, net is calculated at the Company’s statutory rate for the application period</w:t>
      </w:r>
    </w:p>
    <w:p>
      <w:pPr>
        <w:spacing w:after="0" w:line="93" w:lineRule="exact"/>
        <w:rPr>
          <w:rFonts w:ascii="Arial" w:cs="Arial" w:eastAsia="Arial" w:hAnsi="Arial"/>
          <w:sz w:val="29"/>
          <w:szCs w:val="29"/>
          <w:color w:val="auto"/>
          <w:vertAlign w:val="superscript"/>
        </w:rPr>
      </w:pPr>
    </w:p>
    <w:p>
      <w:pPr>
        <w:ind w:left="440" w:hanging="414"/>
        <w:spacing w:after="0" w:line="183" w:lineRule="auto"/>
        <w:tabs>
          <w:tab w:leader="none" w:pos="440" w:val="left"/>
        </w:tabs>
        <w:numPr>
          <w:ilvl w:val="0"/>
          <w:numId w:val="7"/>
        </w:numPr>
        <w:rPr>
          <w:rFonts w:ascii="Arial" w:cs="Arial" w:eastAsia="Arial" w:hAnsi="Arial"/>
          <w:sz w:val="20"/>
          <w:szCs w:val="20"/>
          <w:color w:val="auto"/>
          <w:vertAlign w:val="superscript"/>
        </w:rPr>
      </w:pPr>
      <w:r>
        <w:rPr>
          <w:rFonts w:ascii="Arial" w:cs="Arial" w:eastAsia="Arial" w:hAnsi="Arial"/>
          <w:sz w:val="12"/>
          <w:szCs w:val="12"/>
          <w:color w:val="auto"/>
        </w:rPr>
        <w:t>See Note 1 on earlier page of this release</w:t>
      </w:r>
    </w:p>
    <w:p>
      <w:pPr>
        <w:spacing w:after="0" w:line="94" w:lineRule="exact"/>
        <w:rPr>
          <w:rFonts w:ascii="Arial" w:cs="Arial" w:eastAsia="Arial" w:hAnsi="Arial"/>
          <w:sz w:val="20"/>
          <w:szCs w:val="20"/>
          <w:color w:val="auto"/>
          <w:vertAlign w:val="superscript"/>
        </w:rPr>
      </w:pPr>
    </w:p>
    <w:p>
      <w:pPr>
        <w:ind w:left="440" w:right="680" w:hanging="414"/>
        <w:spacing w:after="0" w:line="181" w:lineRule="auto"/>
        <w:tabs>
          <w:tab w:leader="none" w:pos="440" w:val="left"/>
        </w:tabs>
        <w:numPr>
          <w:ilvl w:val="0"/>
          <w:numId w:val="7"/>
        </w:numPr>
        <w:rPr>
          <w:rFonts w:ascii="Arial" w:cs="Arial" w:eastAsia="Arial" w:hAnsi="Arial"/>
          <w:sz w:val="26"/>
          <w:szCs w:val="26"/>
          <w:color w:val="auto"/>
          <w:vertAlign w:val="superscript"/>
        </w:rPr>
      </w:pPr>
      <w:r>
        <w:rPr>
          <w:rFonts w:ascii="Arial" w:cs="Arial" w:eastAsia="Arial" w:hAnsi="Arial"/>
          <w:sz w:val="13"/>
          <w:szCs w:val="13"/>
          <w:color w:val="auto"/>
        </w:rPr>
        <w:t>In July 2025, an engine experienced an IFSD. The engine was subsequently deemed beyond economic repair, which resulted in a non-cash expense due to an unplanned engine retirement. Management does not consider this activity in assessing its operational performance.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14</w:t>
      </w:r>
    </w:p>
    <w:p>
      <w:pPr>
        <w:sectPr>
          <w:pgSz w:w="11900" w:h="16838" w:orient="portrait"/>
          <w:cols w:equalWidth="0" w:num="1">
            <w:col w:w="11220"/>
          </w:cols>
          <w:pgMar w:left="320" w:top="1390" w:right="359" w:bottom="1440" w:gutter="0" w:footer="0" w:header="0"/>
        </w:sectPr>
      </w:pPr>
    </w:p>
    <w:bookmarkStart w:id="17" w:name="page18"/>
    <w:bookmarkEnd w:id="17"/>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Reconciliation of GAAP Net Income to Adjusted EBITDA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234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tables present the reconciliation of GAAP Net Income to Adjusted EBITDA for the periods presented below.</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40" w:type="dxa"/>
            <w:vAlign w:val="bottom"/>
          </w:tcPr>
          <w:p>
            <w:pPr>
              <w:spacing w:after="0"/>
              <w:rPr>
                <w:sz w:val="17"/>
                <w:szCs w:val="17"/>
                <w:color w:val="auto"/>
              </w:rPr>
            </w:pPr>
          </w:p>
        </w:tc>
        <w:tc>
          <w:tcPr>
            <w:tcW w:w="29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0" w:type="dxa"/>
            <w:vAlign w:val="bottom"/>
            <w:gridSpan w:val="4"/>
          </w:tcPr>
          <w:p>
            <w:pPr>
              <w:jc w:val="right"/>
              <w:ind w:right="832"/>
              <w:spacing w:after="0"/>
              <w:rPr>
                <w:sz w:val="20"/>
                <w:szCs w:val="20"/>
                <w:color w:val="auto"/>
              </w:rPr>
            </w:pPr>
            <w:r>
              <w:rPr>
                <w:rFonts w:ascii="Arial" w:cs="Arial" w:eastAsia="Arial" w:hAnsi="Arial"/>
                <w:sz w:val="14"/>
                <w:szCs w:val="14"/>
                <w:b w:val="1"/>
                <w:bCs w:val="1"/>
                <w:color w:val="auto"/>
              </w:rPr>
              <w:t>Year Ended December 31,</w:t>
            </w:r>
          </w:p>
        </w:tc>
      </w:tr>
      <w:tr>
        <w:trPr>
          <w:trHeight w:val="203"/>
        </w:trPr>
        <w:tc>
          <w:tcPr>
            <w:tcW w:w="39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2024</w:t>
            </w:r>
          </w:p>
        </w:tc>
      </w:tr>
      <w:tr>
        <w:trPr>
          <w:trHeight w:val="224"/>
        </w:trPr>
        <w:tc>
          <w:tcPr>
            <w:tcW w:w="3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6"/>
              </w:rPr>
              <w:t>13.4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52.9</w:t>
            </w:r>
          </w:p>
        </w:tc>
      </w:tr>
      <w:tr>
        <w:trPr>
          <w:trHeight w:val="230"/>
        </w:trPr>
        <w:tc>
          <w:tcPr>
            <w:tcW w:w="3940" w:type="dxa"/>
            <w:vAlign w:val="bottom"/>
          </w:tcPr>
          <w:p>
            <w:pPr>
              <w:ind w:left="80"/>
              <w:spacing w:after="0"/>
              <w:rPr>
                <w:sz w:val="20"/>
                <w:szCs w:val="20"/>
                <w:color w:val="auto"/>
              </w:rPr>
            </w:pPr>
            <w:r>
              <w:rPr>
                <w:rFonts w:ascii="Arial" w:cs="Arial" w:eastAsia="Arial" w:hAnsi="Arial"/>
                <w:sz w:val="18"/>
                <w:szCs w:val="18"/>
                <w:color w:val="auto"/>
              </w:rPr>
              <w:t>Interest Income</w:t>
            </w:r>
          </w:p>
        </w:tc>
        <w:tc>
          <w:tcPr>
            <w:tcW w:w="1080" w:type="dxa"/>
            <w:vAlign w:val="bottom"/>
          </w:tcPr>
          <w:p>
            <w:pPr>
              <w:spacing w:after="0"/>
              <w:rPr>
                <w:sz w:val="19"/>
                <w:szCs w:val="19"/>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(7.8)</w:t>
            </w:r>
          </w:p>
        </w:tc>
      </w:tr>
      <w:tr>
        <w:trPr>
          <w:trHeight w:val="229"/>
        </w:trPr>
        <w:tc>
          <w:tcPr>
            <w:tcW w:w="3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6"/>
              </w:rPr>
              <w:t>11.1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44.3</w:t>
            </w:r>
          </w:p>
        </w:tc>
      </w:tr>
      <w:tr>
        <w:trPr>
          <w:trHeight w:val="229"/>
        </w:trPr>
        <w:tc>
          <w:tcPr>
            <w:tcW w:w="3940" w:type="dxa"/>
            <w:vAlign w:val="bottom"/>
          </w:tcPr>
          <w:p>
            <w:pPr>
              <w:ind w:left="80"/>
              <w:spacing w:after="0" w:line="230" w:lineRule="exact"/>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1080" w:type="dxa"/>
            <w:vAlign w:val="bottom"/>
          </w:tcPr>
          <w:p>
            <w:pPr>
              <w:spacing w:after="0"/>
              <w:rPr>
                <w:sz w:val="19"/>
                <w:szCs w:val="19"/>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 Compensation Expense</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6.0</w:t>
            </w:r>
          </w:p>
        </w:tc>
      </w:tr>
      <w:tr>
        <w:trPr>
          <w:trHeight w:val="229"/>
        </w:trPr>
        <w:tc>
          <w:tcPr>
            <w:tcW w:w="3940" w:type="dxa"/>
            <w:vAlign w:val="bottom"/>
          </w:tcPr>
          <w:p>
            <w:pPr>
              <w:ind w:left="80"/>
              <w:spacing w:after="0"/>
              <w:rPr>
                <w:sz w:val="20"/>
                <w:szCs w:val="20"/>
                <w:color w:val="auto"/>
              </w:rPr>
            </w:pPr>
            <w:r>
              <w:rPr>
                <w:rFonts w:ascii="Arial" w:cs="Arial" w:eastAsia="Arial" w:hAnsi="Arial"/>
                <w:sz w:val="18"/>
                <w:szCs w:val="18"/>
                <w:color w:val="auto"/>
              </w:rPr>
              <w:t>Secondary Offering Costs</w:t>
            </w:r>
          </w:p>
        </w:tc>
        <w:tc>
          <w:tcPr>
            <w:tcW w:w="1080" w:type="dxa"/>
            <w:vAlign w:val="bottom"/>
          </w:tcPr>
          <w:p>
            <w:pPr>
              <w:spacing w:after="0"/>
              <w:rPr>
                <w:sz w:val="19"/>
                <w:szCs w:val="19"/>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Provision for Income Taxes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16.7</w:t>
            </w:r>
          </w:p>
        </w:tc>
      </w:tr>
      <w:tr>
        <w:trPr>
          <w:trHeight w:val="229"/>
        </w:trPr>
        <w:tc>
          <w:tcPr>
            <w:tcW w:w="39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6"/>
              </w:rPr>
              <w:t>23.8</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98.9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95.0</w:t>
            </w:r>
          </w:p>
        </w:tc>
      </w:tr>
      <w:tr>
        <w:trPr>
          <w:trHeight w:val="248"/>
        </w:trPr>
        <w:tc>
          <w:tcPr>
            <w:tcW w:w="3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Adjusted EBITDA</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6"/>
              </w:rPr>
              <w:t>51.3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207.6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207.1</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3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 Margin</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39"/>
        </w:trPr>
        <w:tc>
          <w:tcPr>
            <w:tcW w:w="3940" w:type="dxa"/>
            <w:vAlign w:val="bottom"/>
          </w:tcPr>
          <w:p>
            <w:pPr>
              <w:ind w:left="80"/>
              <w:spacing w:after="0"/>
              <w:rPr>
                <w:sz w:val="20"/>
                <w:szCs w:val="20"/>
                <w:color w:val="auto"/>
              </w:rPr>
            </w:pPr>
            <w:r>
              <w:rPr>
                <w:rFonts w:ascii="Arial" w:cs="Arial" w:eastAsia="Arial" w:hAnsi="Arial"/>
                <w:sz w:val="18"/>
                <w:szCs w:val="18"/>
                <w:color w:val="auto"/>
              </w:rPr>
              <w:t>Adjusted EBITDA margin</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15.6 %</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19.7 %</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18.4 %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19.2 %</w:t>
            </w:r>
          </w:p>
        </w:tc>
      </w:tr>
    </w:tbl>
    <w:p>
      <w:pPr>
        <w:spacing w:after="0" w:line="81" w:lineRule="exact"/>
        <w:rPr>
          <w:sz w:val="20"/>
          <w:szCs w:val="20"/>
          <w:color w:val="auto"/>
        </w:rPr>
      </w:pPr>
    </w:p>
    <w:p>
      <w:pPr>
        <w:ind w:left="440" w:hanging="414"/>
        <w:spacing w:after="0"/>
        <w:tabs>
          <w:tab w:leader="none" w:pos="440" w:val="left"/>
        </w:tabs>
        <w:numPr>
          <w:ilvl w:val="0"/>
          <w:numId w:val="8"/>
        </w:numPr>
        <w:rPr>
          <w:rFonts w:ascii="Arial" w:cs="Arial" w:eastAsia="Arial" w:hAnsi="Arial"/>
          <w:sz w:val="29"/>
          <w:szCs w:val="29"/>
          <w:color w:val="auto"/>
          <w:vertAlign w:val="superscript"/>
        </w:rPr>
      </w:pPr>
      <w:r>
        <w:rPr>
          <w:rFonts w:ascii="Arial" w:cs="Arial" w:eastAsia="Arial" w:hAnsi="Arial"/>
          <w:sz w:val="14"/>
          <w:szCs w:val="14"/>
          <w:color w:val="auto"/>
        </w:rPr>
        <w:t>See Note 1 on earlier page of this release</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CASM</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CASM is a metric that uses a non-GAAP measure derived from CASM by excluding fuel costs, costs related to our cargo operations, stock based compensation, certain unplanned engine events, depreciation and amortization recognized on certain assets that generate lease income,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CASM excludes fuel costs. By excluding volatile fuel costs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and maintenance costs, and productivity, which are more controllable by management.</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excluded costs related to the cargo operations, as well as depreciation and amortization recognized on certain assets that generate lease income as these operations do not create ASMs. The Company has entered into certain transactions where we act as a lessor. As of December 31, 2025, we leased or subleased three aircraft. Depreciation and Amortization on these aircraft materially began during the three months ended June 30, 2023.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long-term employee retention, rather than to motivate or reward operational performance for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15</w:t>
      </w:r>
    </w:p>
    <w:p>
      <w:pPr>
        <w:sectPr>
          <w:pgSz w:w="11900" w:h="16838" w:orient="portrait"/>
          <w:cols w:equalWidth="0" w:num="1">
            <w:col w:w="11240"/>
          </w:cols>
          <w:pgMar w:left="320" w:top="1440" w:right="339" w:bottom="1440" w:gutter="0" w:footer="0" w:header="0"/>
        </w:sectPr>
      </w:pPr>
    </w:p>
    <w:bookmarkStart w:id="18" w:name="page19"/>
    <w:bookmarkEnd w:id="18"/>
    <w:p>
      <w:pPr>
        <w:jc w:val="both"/>
        <w:spacing w:after="0" w:line="287" w:lineRule="auto"/>
        <w:rPr>
          <w:sz w:val="20"/>
          <w:szCs w:val="20"/>
          <w:color w:val="auto"/>
        </w:rPr>
      </w:pPr>
      <w:r>
        <w:rPr>
          <w:rFonts w:ascii="Arial" w:cs="Arial" w:eastAsia="Arial" w:hAnsi="Arial"/>
          <w:sz w:val="18"/>
          <w:szCs w:val="18"/>
          <w:color w:val="auto"/>
        </w:rPr>
        <w:t>any period. Thus, stock-based compensation expense varies for reasons that are generally unrelated to operational decisions and performance in any period.</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aforementioned reasons, Adjusted CASM has significant limitations which affect its use as an indicator of our profitability. Accordingly, readers are cautioned not to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16</w:t>
      </w:r>
    </w:p>
    <w:p>
      <w:pPr>
        <w:sectPr>
          <w:pgSz w:w="11900" w:h="16838" w:orient="portrait"/>
          <w:cols w:equalWidth="0" w:num="1">
            <w:col w:w="11240"/>
          </w:cols>
          <w:pgMar w:left="320" w:top="1282"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8"/>
          <w:szCs w:val="18"/>
          <w:b w:val="1"/>
          <w:bCs w:val="1"/>
          <w:color w:val="auto"/>
        </w:rPr>
        <w:t>Reconciliation of CASM to Adjusted CASM</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Amounts may not recalculate due to rounding, dollar amounts in millions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234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CASM to Adjusted CASM.</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8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 December 31,</w:t>
            </w:r>
          </w:p>
        </w:tc>
        <w:tc>
          <w:tcPr>
            <w:tcW w:w="138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1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380" w:type="dxa"/>
            <w:vAlign w:val="bottom"/>
            <w:tcBorders>
              <w:bottom w:val="single" w:sz="8" w:color="auto"/>
            </w:tcBorders>
          </w:tcPr>
          <w:p>
            <w:pPr>
              <w:spacing w:after="0"/>
              <w:rPr>
                <w:sz w:val="17"/>
                <w:szCs w:val="17"/>
                <w:color w:val="auto"/>
              </w:rPr>
            </w:pPr>
          </w:p>
        </w:tc>
      </w:tr>
      <w:tr>
        <w:trPr>
          <w:trHeight w:val="188"/>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ind w:left="60"/>
              <w:spacing w:after="0"/>
              <w:rPr>
                <w:sz w:val="20"/>
                <w:szCs w:val="20"/>
                <w:color w:val="auto"/>
              </w:rPr>
            </w:pPr>
            <w:r>
              <w:rPr>
                <w:rFonts w:ascii="Arial" w:cs="Arial" w:eastAsia="Arial" w:hAnsi="Arial"/>
                <w:sz w:val="14"/>
                <w:szCs w:val="14"/>
                <w:b w:val="1"/>
                <w:bCs w:val="1"/>
                <w:color w:val="auto"/>
              </w:rPr>
              <w:t>Operating</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1"/>
        </w:trPr>
        <w:tc>
          <w:tcPr>
            <w:tcW w:w="4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Expenses</w:t>
            </w: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Per ASM (cents)</w:t>
            </w:r>
          </w:p>
        </w:tc>
        <w:tc>
          <w:tcPr>
            <w:tcW w:w="180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rPr>
              <w:t>Operating Expenses</w:t>
            </w: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Per ASM (cents)</w:t>
            </w:r>
          </w:p>
        </w:tc>
      </w:tr>
      <w:tr>
        <w:trPr>
          <w:trHeight w:val="224"/>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CASM</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262.8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234.3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r>
      <w:tr>
        <w:trPr>
          <w:trHeight w:val="229"/>
        </w:trPr>
        <w:tc>
          <w:tcPr>
            <w:tcW w:w="4740" w:type="dxa"/>
            <w:vAlign w:val="bottom"/>
          </w:tcPr>
          <w:p>
            <w:pPr>
              <w:ind w:left="80"/>
              <w:spacing w:after="0"/>
              <w:rPr>
                <w:sz w:val="20"/>
                <w:szCs w:val="20"/>
                <w:color w:val="auto"/>
              </w:rPr>
            </w:pPr>
            <w:r>
              <w:rPr>
                <w:rFonts w:ascii="Arial" w:cs="Arial" w:eastAsia="Arial" w:hAnsi="Arial"/>
                <w:sz w:val="18"/>
                <w:szCs w:val="18"/>
                <w:color w:val="auto"/>
              </w:rPr>
              <w:t>Less:</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740" w:type="dxa"/>
            <w:vAlign w:val="bottom"/>
            <w:shd w:val="clear" w:color="auto" w:fill="CCEEFF"/>
          </w:tcPr>
          <w:p>
            <w:pPr>
              <w:ind w:left="80"/>
              <w:spacing w:after="0" w:line="230" w:lineRule="exact"/>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40" w:type="dxa"/>
            <w:vAlign w:val="bottom"/>
          </w:tcPr>
          <w:p>
            <w:pPr>
              <w:ind w:left="80"/>
              <w:spacing w:after="0"/>
              <w:rPr>
                <w:sz w:val="20"/>
                <w:szCs w:val="20"/>
                <w:color w:val="auto"/>
              </w:rPr>
            </w:pPr>
            <w:r>
              <w:rPr>
                <w:rFonts w:ascii="Arial" w:cs="Arial" w:eastAsia="Arial" w:hAnsi="Arial"/>
                <w:sz w:val="18"/>
                <w:szCs w:val="18"/>
                <w:color w:val="auto"/>
              </w:rPr>
              <w:t>Aircraft Fuel</w:t>
            </w:r>
          </w:p>
        </w:tc>
        <w:tc>
          <w:tcPr>
            <w:tcW w:w="200" w:type="dxa"/>
            <w:vAlign w:val="bottom"/>
          </w:tcPr>
          <w:p>
            <w:pPr>
              <w:spacing w:after="0"/>
              <w:rPr>
                <w:sz w:val="19"/>
                <w:szCs w:val="19"/>
                <w:color w:val="auto"/>
              </w:rPr>
            </w:pPr>
          </w:p>
        </w:tc>
        <w:tc>
          <w:tcPr>
            <w:tcW w:w="1620" w:type="dxa"/>
            <w:vAlign w:val="bottom"/>
          </w:tcPr>
          <w:p>
            <w:pPr>
              <w:jc w:val="right"/>
              <w:ind w:right="234"/>
              <w:spacing w:after="0"/>
              <w:rPr>
                <w:sz w:val="20"/>
                <w:szCs w:val="20"/>
                <w:color w:val="auto"/>
              </w:rPr>
            </w:pPr>
            <w:r>
              <w:rPr>
                <w:rFonts w:ascii="Arial" w:cs="Arial" w:eastAsia="Arial" w:hAnsi="Arial"/>
                <w:sz w:val="18"/>
                <w:szCs w:val="18"/>
                <w:color w:val="auto"/>
              </w:rPr>
              <w:t>49.7</w:t>
            </w:r>
          </w:p>
        </w:tc>
        <w:tc>
          <w:tcPr>
            <w:tcW w:w="138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49.9</w:t>
            </w:r>
          </w:p>
        </w:tc>
        <w:tc>
          <w:tcPr>
            <w:tcW w:w="138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29"/>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 Compensation Expense</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70"/>
        </w:trPr>
        <w:tc>
          <w:tcPr>
            <w:tcW w:w="4740" w:type="dxa"/>
            <w:vAlign w:val="bottom"/>
          </w:tcPr>
          <w:p>
            <w:pPr>
              <w:ind w:left="80"/>
              <w:spacing w:after="0"/>
              <w:rPr>
                <w:sz w:val="20"/>
                <w:szCs w:val="20"/>
                <w:color w:val="auto"/>
              </w:rPr>
            </w:pPr>
            <w:r>
              <w:rPr>
                <w:rFonts w:ascii="Arial" w:cs="Arial" w:eastAsia="Arial" w:hAnsi="Arial"/>
                <w:sz w:val="18"/>
                <w:szCs w:val="18"/>
                <w:color w:val="auto"/>
              </w:rPr>
              <w:t xml:space="preserve">Unplanned Engine Retirement </w:t>
            </w:r>
            <w:r>
              <w:rPr>
                <w:rFonts w:ascii="Arial" w:cs="Arial" w:eastAsia="Arial" w:hAnsi="Arial"/>
                <w:sz w:val="23"/>
                <w:szCs w:val="23"/>
                <w:color w:val="auto"/>
                <w:vertAlign w:val="superscript"/>
              </w:rPr>
              <w:t>(2)</w:t>
            </w:r>
          </w:p>
        </w:tc>
        <w:tc>
          <w:tcPr>
            <w:tcW w:w="200" w:type="dxa"/>
            <w:vAlign w:val="bottom"/>
          </w:tcPr>
          <w:p>
            <w:pPr>
              <w:spacing w:after="0"/>
              <w:rPr>
                <w:sz w:val="23"/>
                <w:szCs w:val="23"/>
                <w:color w:val="auto"/>
              </w:rPr>
            </w:pPr>
          </w:p>
        </w:tc>
        <w:tc>
          <w:tcPr>
            <w:tcW w:w="162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3"/>
                <w:szCs w:val="23"/>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Cargo Expenses, Not Already Adjusted Above</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47.9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27.3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29"/>
        </w:trPr>
        <w:tc>
          <w:tcPr>
            <w:tcW w:w="4740" w:type="dxa"/>
            <w:vAlign w:val="bottom"/>
          </w:tcPr>
          <w:p>
            <w:pPr>
              <w:ind w:left="80"/>
              <w:spacing w:after="0"/>
              <w:rPr>
                <w:sz w:val="20"/>
                <w:szCs w:val="20"/>
                <w:color w:val="auto"/>
              </w:rPr>
            </w:pPr>
            <w:r>
              <w:rPr>
                <w:rFonts w:ascii="Arial" w:cs="Arial" w:eastAsia="Arial" w:hAnsi="Arial"/>
                <w:sz w:val="18"/>
                <w:szCs w:val="18"/>
                <w:color w:val="auto"/>
              </w:rPr>
              <w:t>Sun Country Vacations</w:t>
            </w:r>
          </w:p>
        </w:tc>
        <w:tc>
          <w:tcPr>
            <w:tcW w:w="200" w:type="dxa"/>
            <w:vAlign w:val="bottom"/>
          </w:tcPr>
          <w:p>
            <w:pPr>
              <w:spacing w:after="0"/>
              <w:rPr>
                <w:sz w:val="19"/>
                <w:szCs w:val="19"/>
                <w:color w:val="auto"/>
              </w:rPr>
            </w:pPr>
          </w:p>
        </w:tc>
        <w:tc>
          <w:tcPr>
            <w:tcW w:w="1620" w:type="dxa"/>
            <w:vAlign w:val="bottom"/>
          </w:tcPr>
          <w:p>
            <w:pPr>
              <w:jc w:val="right"/>
              <w:ind w:right="234"/>
              <w:spacing w:after="0"/>
              <w:rPr>
                <w:sz w:val="20"/>
                <w:szCs w:val="20"/>
                <w:color w:val="auto"/>
              </w:rPr>
            </w:pPr>
            <w:r>
              <w:rPr>
                <w:rFonts w:ascii="Arial" w:cs="Arial" w:eastAsia="Arial" w:hAnsi="Arial"/>
                <w:sz w:val="18"/>
                <w:szCs w:val="18"/>
                <w:color w:val="auto"/>
              </w:rPr>
              <w:t>0.2</w:t>
            </w:r>
          </w:p>
        </w:tc>
        <w:tc>
          <w:tcPr>
            <w:tcW w:w="13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0.2</w:t>
            </w:r>
          </w:p>
        </w:tc>
        <w:tc>
          <w:tcPr>
            <w:tcW w:w="138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Leased Aircraft, Depreciation Expense</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1.2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23"/>
        </w:trPr>
        <w:tc>
          <w:tcPr>
            <w:tcW w:w="4740" w:type="dxa"/>
            <w:vAlign w:val="bottom"/>
          </w:tcPr>
          <w:p>
            <w:pPr>
              <w:ind w:left="80"/>
              <w:spacing w:after="0"/>
              <w:rPr>
                <w:sz w:val="20"/>
                <w:szCs w:val="20"/>
                <w:color w:val="auto"/>
              </w:rPr>
            </w:pPr>
            <w:r>
              <w:rPr>
                <w:rFonts w:ascii="Arial" w:cs="Arial" w:eastAsia="Arial" w:hAnsi="Arial"/>
                <w:sz w:val="18"/>
                <w:szCs w:val="18"/>
                <w:color w:val="auto"/>
              </w:rPr>
              <w:t>Adjusted CASM</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162.4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153.7</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9"/>
        </w:trPr>
        <w:tc>
          <w:tcPr>
            <w:tcW w:w="4740" w:type="dxa"/>
            <w:vAlign w:val="bottom"/>
          </w:tcPr>
          <w:p>
            <w:pPr>
              <w:ind w:left="80"/>
              <w:spacing w:after="0"/>
              <w:rPr>
                <w:sz w:val="20"/>
                <w:szCs w:val="20"/>
                <w:color w:val="auto"/>
              </w:rPr>
            </w:pPr>
            <w:r>
              <w:rPr>
                <w:rFonts w:ascii="Arial" w:cs="Arial" w:eastAsia="Arial" w:hAnsi="Arial"/>
                <w:sz w:val="18"/>
                <w:szCs w:val="18"/>
                <w:color w:val="auto"/>
              </w:rPr>
              <w:t>Available seat miles (ASMs) - millions</w:t>
            </w:r>
          </w:p>
        </w:tc>
        <w:tc>
          <w:tcPr>
            <w:tcW w:w="200" w:type="dxa"/>
            <w:vAlign w:val="bottom"/>
          </w:tcPr>
          <w:p>
            <w:pPr>
              <w:spacing w:after="0"/>
              <w:rPr>
                <w:sz w:val="20"/>
                <w:szCs w:val="20"/>
                <w:color w:val="auto"/>
              </w:rPr>
            </w:pPr>
          </w:p>
        </w:tc>
        <w:tc>
          <w:tcPr>
            <w:tcW w:w="1620" w:type="dxa"/>
            <w:vAlign w:val="bottom"/>
          </w:tcPr>
          <w:p>
            <w:pPr>
              <w:jc w:val="right"/>
              <w:ind w:right="234"/>
              <w:spacing w:after="0"/>
              <w:rPr>
                <w:sz w:val="20"/>
                <w:szCs w:val="20"/>
                <w:color w:val="auto"/>
              </w:rPr>
            </w:pPr>
            <w:r>
              <w:rPr>
                <w:rFonts w:ascii="Arial" w:cs="Arial" w:eastAsia="Arial" w:hAnsi="Arial"/>
                <w:sz w:val="18"/>
                <w:szCs w:val="18"/>
                <w:color w:val="auto"/>
              </w:rPr>
              <w:t>1,848.7</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w w:val="99"/>
              </w:rPr>
              <w:t>1,963.3</w:t>
            </w:r>
          </w:p>
        </w:tc>
        <w:tc>
          <w:tcPr>
            <w:tcW w:w="1380" w:type="dxa"/>
            <w:vAlign w:val="bottom"/>
          </w:tcPr>
          <w:p>
            <w:pPr>
              <w:spacing w:after="0"/>
              <w:rPr>
                <w:sz w:val="20"/>
                <w:szCs w:val="20"/>
                <w:color w:val="auto"/>
              </w:rPr>
            </w:pPr>
          </w:p>
        </w:tc>
      </w:tr>
      <w:tr>
        <w:trPr>
          <w:trHeight w:val="610"/>
        </w:trPr>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4"/>
        </w:trPr>
        <w:tc>
          <w:tcPr>
            <w:tcW w:w="4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1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380" w:type="dxa"/>
            <w:vAlign w:val="bottom"/>
            <w:tcBorders>
              <w:bottom w:val="single" w:sz="8" w:color="auto"/>
            </w:tcBorders>
          </w:tcPr>
          <w:p>
            <w:pPr>
              <w:spacing w:after="0"/>
              <w:rPr>
                <w:sz w:val="17"/>
                <w:szCs w:val="17"/>
                <w:color w:val="auto"/>
              </w:rPr>
            </w:pPr>
          </w:p>
        </w:tc>
      </w:tr>
      <w:tr>
        <w:trPr>
          <w:trHeight w:val="174"/>
        </w:trPr>
        <w:tc>
          <w:tcPr>
            <w:tcW w:w="4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ind w:left="60"/>
              <w:spacing w:after="0"/>
              <w:rPr>
                <w:sz w:val="20"/>
                <w:szCs w:val="20"/>
                <w:color w:val="auto"/>
              </w:rPr>
            </w:pPr>
            <w:r>
              <w:rPr>
                <w:rFonts w:ascii="Arial" w:cs="Arial" w:eastAsia="Arial" w:hAnsi="Arial"/>
                <w:sz w:val="14"/>
                <w:szCs w:val="14"/>
                <w:b w:val="1"/>
                <w:bCs w:val="1"/>
                <w:color w:val="auto"/>
              </w:rPr>
              <w:t>Operating</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24"/>
        </w:trPr>
        <w:tc>
          <w:tcPr>
            <w:tcW w:w="4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Expenses</w:t>
            </w: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Per ASM (cents)</w:t>
            </w:r>
          </w:p>
        </w:tc>
        <w:tc>
          <w:tcPr>
            <w:tcW w:w="180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rPr>
              <w:t>Operating Expenses</w:t>
            </w: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Per ASM (cents)</w:t>
            </w:r>
          </w:p>
        </w:tc>
      </w:tr>
      <w:tr>
        <w:trPr>
          <w:trHeight w:val="224"/>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CASM</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1,026.2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969.8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r>
      <w:tr>
        <w:trPr>
          <w:trHeight w:val="230"/>
        </w:trPr>
        <w:tc>
          <w:tcPr>
            <w:tcW w:w="4740" w:type="dxa"/>
            <w:vAlign w:val="bottom"/>
          </w:tcPr>
          <w:p>
            <w:pPr>
              <w:ind w:left="80"/>
              <w:spacing w:after="0"/>
              <w:rPr>
                <w:sz w:val="20"/>
                <w:szCs w:val="20"/>
                <w:color w:val="auto"/>
              </w:rPr>
            </w:pPr>
            <w:r>
              <w:rPr>
                <w:rFonts w:ascii="Arial" w:cs="Arial" w:eastAsia="Arial" w:hAnsi="Arial"/>
                <w:sz w:val="18"/>
                <w:szCs w:val="18"/>
                <w:color w:val="auto"/>
              </w:rPr>
              <w:t>Less:</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740" w:type="dxa"/>
            <w:vAlign w:val="bottom"/>
            <w:shd w:val="clear" w:color="auto" w:fill="CCEEFF"/>
          </w:tcPr>
          <w:p>
            <w:pPr>
              <w:ind w:left="80"/>
              <w:spacing w:after="0" w:line="230" w:lineRule="exact"/>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tcPr>
          <w:p>
            <w:pPr>
              <w:ind w:left="80"/>
              <w:spacing w:after="0"/>
              <w:rPr>
                <w:sz w:val="20"/>
                <w:szCs w:val="20"/>
                <w:color w:val="auto"/>
              </w:rPr>
            </w:pPr>
            <w:r>
              <w:rPr>
                <w:rFonts w:ascii="Arial" w:cs="Arial" w:eastAsia="Arial" w:hAnsi="Arial"/>
                <w:sz w:val="18"/>
                <w:szCs w:val="18"/>
                <w:color w:val="auto"/>
              </w:rPr>
              <w:t>Aircraft Fuel</w:t>
            </w:r>
          </w:p>
        </w:tc>
        <w:tc>
          <w:tcPr>
            <w:tcW w:w="200" w:type="dxa"/>
            <w:vAlign w:val="bottom"/>
          </w:tcPr>
          <w:p>
            <w:pPr>
              <w:spacing w:after="0"/>
              <w:rPr>
                <w:sz w:val="19"/>
                <w:szCs w:val="19"/>
                <w:color w:val="auto"/>
              </w:rPr>
            </w:pPr>
          </w:p>
        </w:tc>
        <w:tc>
          <w:tcPr>
            <w:tcW w:w="1620" w:type="dxa"/>
            <w:vAlign w:val="bottom"/>
          </w:tcPr>
          <w:p>
            <w:pPr>
              <w:jc w:val="right"/>
              <w:ind w:right="234"/>
              <w:spacing w:after="0"/>
              <w:rPr>
                <w:sz w:val="20"/>
                <w:szCs w:val="20"/>
                <w:color w:val="auto"/>
              </w:rPr>
            </w:pPr>
            <w:r>
              <w:rPr>
                <w:rFonts w:ascii="Arial" w:cs="Arial" w:eastAsia="Arial" w:hAnsi="Arial"/>
                <w:sz w:val="18"/>
                <w:szCs w:val="18"/>
                <w:color w:val="auto"/>
              </w:rPr>
              <w:t>213.5</w:t>
            </w:r>
          </w:p>
        </w:tc>
        <w:tc>
          <w:tcPr>
            <w:tcW w:w="138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237.2</w:t>
            </w:r>
          </w:p>
        </w:tc>
        <w:tc>
          <w:tcPr>
            <w:tcW w:w="138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29"/>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 Compensation Expense</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6.3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70"/>
        </w:trPr>
        <w:tc>
          <w:tcPr>
            <w:tcW w:w="4740" w:type="dxa"/>
            <w:vAlign w:val="bottom"/>
          </w:tcPr>
          <w:p>
            <w:pPr>
              <w:ind w:left="80"/>
              <w:spacing w:after="0"/>
              <w:rPr>
                <w:sz w:val="20"/>
                <w:szCs w:val="20"/>
                <w:color w:val="auto"/>
              </w:rPr>
            </w:pPr>
            <w:r>
              <w:rPr>
                <w:rFonts w:ascii="Arial" w:cs="Arial" w:eastAsia="Arial" w:hAnsi="Arial"/>
                <w:sz w:val="18"/>
                <w:szCs w:val="18"/>
                <w:color w:val="auto"/>
              </w:rPr>
              <w:t xml:space="preserve">Unplanned Engine Retirement </w:t>
            </w:r>
            <w:r>
              <w:rPr>
                <w:rFonts w:ascii="Arial" w:cs="Arial" w:eastAsia="Arial" w:hAnsi="Arial"/>
                <w:sz w:val="23"/>
                <w:szCs w:val="23"/>
                <w:color w:val="auto"/>
                <w:vertAlign w:val="superscript"/>
              </w:rPr>
              <w:t>(2)</w:t>
            </w:r>
          </w:p>
        </w:tc>
        <w:tc>
          <w:tcPr>
            <w:tcW w:w="200" w:type="dxa"/>
            <w:vAlign w:val="bottom"/>
          </w:tcPr>
          <w:p>
            <w:pPr>
              <w:spacing w:after="0"/>
              <w:rPr>
                <w:sz w:val="23"/>
                <w:szCs w:val="23"/>
                <w:color w:val="auto"/>
              </w:rPr>
            </w:pPr>
          </w:p>
        </w:tc>
        <w:tc>
          <w:tcPr>
            <w:tcW w:w="1620" w:type="dxa"/>
            <w:vAlign w:val="bottom"/>
          </w:tcPr>
          <w:p>
            <w:pPr>
              <w:jc w:val="right"/>
              <w:ind w:right="234"/>
              <w:spacing w:after="0"/>
              <w:rPr>
                <w:sz w:val="20"/>
                <w:szCs w:val="20"/>
                <w:color w:val="auto"/>
              </w:rPr>
            </w:pPr>
            <w:r>
              <w:rPr>
                <w:rFonts w:ascii="Arial" w:cs="Arial" w:eastAsia="Arial" w:hAnsi="Arial"/>
                <w:sz w:val="18"/>
                <w:szCs w:val="18"/>
                <w:color w:val="auto"/>
              </w:rPr>
              <w:t>0.7</w:t>
            </w:r>
          </w:p>
        </w:tc>
        <w:tc>
          <w:tcPr>
            <w:tcW w:w="13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Cargo Expenses, Not Already Adjusted Above</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149.5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104.6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4740" w:type="dxa"/>
            <w:vAlign w:val="bottom"/>
          </w:tcPr>
          <w:p>
            <w:pPr>
              <w:ind w:left="80"/>
              <w:spacing w:after="0"/>
              <w:rPr>
                <w:sz w:val="20"/>
                <w:szCs w:val="20"/>
                <w:color w:val="auto"/>
              </w:rPr>
            </w:pPr>
            <w:r>
              <w:rPr>
                <w:rFonts w:ascii="Arial" w:cs="Arial" w:eastAsia="Arial" w:hAnsi="Arial"/>
                <w:sz w:val="18"/>
                <w:szCs w:val="18"/>
                <w:color w:val="auto"/>
              </w:rPr>
              <w:t>Sun Country Vacations</w:t>
            </w:r>
          </w:p>
        </w:tc>
        <w:tc>
          <w:tcPr>
            <w:tcW w:w="200" w:type="dxa"/>
            <w:vAlign w:val="bottom"/>
          </w:tcPr>
          <w:p>
            <w:pPr>
              <w:spacing w:after="0"/>
              <w:rPr>
                <w:sz w:val="19"/>
                <w:szCs w:val="19"/>
                <w:color w:val="auto"/>
              </w:rPr>
            </w:pPr>
          </w:p>
        </w:tc>
        <w:tc>
          <w:tcPr>
            <w:tcW w:w="1620" w:type="dxa"/>
            <w:vAlign w:val="bottom"/>
          </w:tcPr>
          <w:p>
            <w:pPr>
              <w:jc w:val="right"/>
              <w:ind w:right="234"/>
              <w:spacing w:after="0"/>
              <w:rPr>
                <w:sz w:val="20"/>
                <w:szCs w:val="20"/>
                <w:color w:val="auto"/>
              </w:rPr>
            </w:pPr>
            <w:r>
              <w:rPr>
                <w:rFonts w:ascii="Arial" w:cs="Arial" w:eastAsia="Arial" w:hAnsi="Arial"/>
                <w:sz w:val="18"/>
                <w:szCs w:val="18"/>
                <w:color w:val="auto"/>
              </w:rPr>
              <w:t>1.1</w:t>
            </w:r>
          </w:p>
        </w:tc>
        <w:tc>
          <w:tcPr>
            <w:tcW w:w="13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1.3</w:t>
            </w:r>
          </w:p>
        </w:tc>
        <w:tc>
          <w:tcPr>
            <w:tcW w:w="138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Leased Aircraft, Depreciation Expense</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5.7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8.1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23"/>
        </w:trPr>
        <w:tc>
          <w:tcPr>
            <w:tcW w:w="4740" w:type="dxa"/>
            <w:vAlign w:val="bottom"/>
          </w:tcPr>
          <w:p>
            <w:pPr>
              <w:ind w:left="80"/>
              <w:spacing w:after="0"/>
              <w:rPr>
                <w:sz w:val="20"/>
                <w:szCs w:val="20"/>
                <w:color w:val="auto"/>
              </w:rPr>
            </w:pPr>
            <w:r>
              <w:rPr>
                <w:rFonts w:ascii="Arial" w:cs="Arial" w:eastAsia="Arial" w:hAnsi="Arial"/>
                <w:sz w:val="18"/>
                <w:szCs w:val="18"/>
                <w:color w:val="auto"/>
              </w:rPr>
              <w:t>Adjusted CASM</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647.5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612.6</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9"/>
        </w:trPr>
        <w:tc>
          <w:tcPr>
            <w:tcW w:w="4740" w:type="dxa"/>
            <w:vAlign w:val="bottom"/>
          </w:tcPr>
          <w:p>
            <w:pPr>
              <w:ind w:left="80"/>
              <w:spacing w:after="0"/>
              <w:rPr>
                <w:sz w:val="20"/>
                <w:szCs w:val="20"/>
                <w:color w:val="auto"/>
              </w:rPr>
            </w:pPr>
            <w:r>
              <w:rPr>
                <w:rFonts w:ascii="Arial" w:cs="Arial" w:eastAsia="Arial" w:hAnsi="Arial"/>
                <w:sz w:val="18"/>
                <w:szCs w:val="18"/>
                <w:color w:val="auto"/>
              </w:rPr>
              <w:t>Available seat miles (ASMs) - millions</w:t>
            </w:r>
          </w:p>
        </w:tc>
        <w:tc>
          <w:tcPr>
            <w:tcW w:w="200" w:type="dxa"/>
            <w:vAlign w:val="bottom"/>
          </w:tcPr>
          <w:p>
            <w:pPr>
              <w:spacing w:after="0"/>
              <w:rPr>
                <w:sz w:val="20"/>
                <w:szCs w:val="20"/>
                <w:color w:val="auto"/>
              </w:rPr>
            </w:pPr>
          </w:p>
        </w:tc>
        <w:tc>
          <w:tcPr>
            <w:tcW w:w="1620" w:type="dxa"/>
            <w:vAlign w:val="bottom"/>
          </w:tcPr>
          <w:p>
            <w:pPr>
              <w:jc w:val="right"/>
              <w:ind w:right="234"/>
              <w:spacing w:after="0"/>
              <w:rPr>
                <w:sz w:val="20"/>
                <w:szCs w:val="20"/>
                <w:color w:val="auto"/>
              </w:rPr>
            </w:pPr>
            <w:r>
              <w:rPr>
                <w:rFonts w:ascii="Arial" w:cs="Arial" w:eastAsia="Arial" w:hAnsi="Arial"/>
                <w:sz w:val="18"/>
                <w:szCs w:val="18"/>
                <w:color w:val="auto"/>
              </w:rPr>
              <w:t>7,923.9</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w w:val="99"/>
              </w:rPr>
              <w:t>8,071.9</w:t>
            </w:r>
          </w:p>
        </w:tc>
        <w:tc>
          <w:tcPr>
            <w:tcW w:w="1380" w:type="dxa"/>
            <w:vAlign w:val="bottom"/>
          </w:tcPr>
          <w:p>
            <w:pPr>
              <w:spacing w:after="0"/>
              <w:rPr>
                <w:sz w:val="20"/>
                <w:szCs w:val="20"/>
                <w:color w:val="auto"/>
              </w:rPr>
            </w:pPr>
          </w:p>
        </w:tc>
      </w:tr>
    </w:tbl>
    <w:p>
      <w:pPr>
        <w:spacing w:after="0" w:line="68" w:lineRule="exact"/>
        <w:rPr>
          <w:sz w:val="20"/>
          <w:szCs w:val="20"/>
          <w:color w:val="auto"/>
        </w:rPr>
      </w:pPr>
    </w:p>
    <w:p>
      <w:pPr>
        <w:ind w:left="440" w:hanging="414"/>
        <w:spacing w:after="0"/>
        <w:tabs>
          <w:tab w:leader="none" w:pos="440" w:val="left"/>
        </w:tabs>
        <w:numPr>
          <w:ilvl w:val="0"/>
          <w:numId w:val="9"/>
        </w:numPr>
        <w:rPr>
          <w:rFonts w:ascii="Arial" w:cs="Arial" w:eastAsia="Arial" w:hAnsi="Arial"/>
          <w:sz w:val="29"/>
          <w:szCs w:val="29"/>
          <w:color w:val="auto"/>
          <w:vertAlign w:val="superscript"/>
        </w:rPr>
      </w:pPr>
      <w:r>
        <w:rPr>
          <w:rFonts w:ascii="Arial" w:cs="Arial" w:eastAsia="Arial" w:hAnsi="Arial"/>
          <w:sz w:val="14"/>
          <w:szCs w:val="14"/>
          <w:color w:val="auto"/>
        </w:rPr>
        <w:t>See Note 1 on earlier page of this release</w:t>
      </w:r>
    </w:p>
    <w:p>
      <w:pPr>
        <w:spacing w:after="0" w:line="93" w:lineRule="exact"/>
        <w:rPr>
          <w:rFonts w:ascii="Arial" w:cs="Arial" w:eastAsia="Arial" w:hAnsi="Arial"/>
          <w:sz w:val="29"/>
          <w:szCs w:val="29"/>
          <w:color w:val="auto"/>
          <w:vertAlign w:val="superscript"/>
        </w:rPr>
      </w:pPr>
    </w:p>
    <w:p>
      <w:pPr>
        <w:ind w:left="440" w:right="680" w:hanging="414"/>
        <w:spacing w:after="0" w:line="181" w:lineRule="auto"/>
        <w:tabs>
          <w:tab w:leader="none" w:pos="440" w:val="left"/>
        </w:tabs>
        <w:numPr>
          <w:ilvl w:val="0"/>
          <w:numId w:val="9"/>
        </w:numPr>
        <w:rPr>
          <w:rFonts w:ascii="Arial" w:cs="Arial" w:eastAsia="Arial" w:hAnsi="Arial"/>
          <w:sz w:val="26"/>
          <w:szCs w:val="26"/>
          <w:color w:val="auto"/>
          <w:vertAlign w:val="superscript"/>
        </w:rPr>
      </w:pPr>
      <w:r>
        <w:rPr>
          <w:rFonts w:ascii="Arial" w:cs="Arial" w:eastAsia="Arial" w:hAnsi="Arial"/>
          <w:sz w:val="13"/>
          <w:szCs w:val="13"/>
          <w:color w:val="auto"/>
        </w:rPr>
        <w:t>In July 2025, an engine experienced an IFSD. The engine was subsequently deemed beyond economic repair, which resulted in a non-cash expense due to an unplanned engine retirement. Management does not consider this activity in assessing its operational performance.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17</w:t>
      </w:r>
    </w:p>
    <w:sectPr>
      <w:pgSz w:w="11900" w:h="16838" w:orient="portrait"/>
      <w:cols w:equalWidth="0" w:num="1">
        <w:col w:w="11220"/>
      </w:cols>
      <w:pgMar w:left="320" w:top="139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2026-02-05T15:35:20Z</dcterms:created>
  <dcterms:modified xsi:type="dcterms:W3CDTF">2026-02-05T15:35:20Z</dcterms:modified>
</cp:coreProperties>
</file>