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18"/>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60" w:type="dxa"/>
            <w:vAlign w:val="bottom"/>
            <w:gridSpan w:val="15"/>
            <w:vMerge w:val="restart"/>
          </w:tcPr>
          <w:p>
            <w:pPr>
              <w:jc w:val="center"/>
              <w:ind w:left="91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160" w:type="dxa"/>
            <w:vAlign w:val="bottom"/>
            <w:gridSpan w:val="15"/>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60" w:type="dxa"/>
            <w:vAlign w:val="bottom"/>
            <w:gridSpan w:val="15"/>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restart"/>
          </w:tcPr>
          <w:p>
            <w:pPr>
              <w:spacing w:after="0" w:line="240"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Gyurci John</w:t>
              </w:r>
            </w:hyperlink>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gridSpan w:val="5"/>
            <w:vMerge w:val="restart"/>
          </w:tcPr>
          <w:p>
            <w:pPr>
              <w:ind w:left="260"/>
              <w:spacing w:after="0" w:line="240"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tcPr>
          <w:p>
            <w:pPr>
              <w:spacing w:after="0"/>
              <w:rPr>
                <w:sz w:val="3"/>
                <w:szCs w:val="3"/>
                <w:color w:val="auto"/>
              </w:rPr>
            </w:pPr>
          </w:p>
        </w:tc>
        <w:tc>
          <w:tcPr>
            <w:tcW w:w="3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440" w:type="dxa"/>
            <w:vAlign w:val="bottom"/>
            <w:tcBorders>
              <w:top w:val="single" w:sz="8" w:color="9A9A9A"/>
            </w:tcBorders>
          </w:tcPr>
          <w:p>
            <w:pPr>
              <w:spacing w:after="0"/>
              <w:rPr>
                <w:sz w:val="4"/>
                <w:szCs w:val="4"/>
                <w:color w:val="auto"/>
              </w:rPr>
            </w:pPr>
          </w:p>
        </w:tc>
        <w:tc>
          <w:tcPr>
            <w:tcW w:w="340" w:type="dxa"/>
            <w:vAlign w:val="bottom"/>
            <w:tcBorders>
              <w:top w:val="single" w:sz="8" w:color="9A9A9A"/>
            </w:tcBorders>
          </w:tcPr>
          <w:p>
            <w:pPr>
              <w:spacing w:after="0"/>
              <w:rPr>
                <w:sz w:val="4"/>
                <w:szCs w:val="4"/>
                <w:color w:val="auto"/>
              </w:rPr>
            </w:pPr>
          </w:p>
        </w:tc>
        <w:tc>
          <w:tcPr>
            <w:tcW w:w="1040" w:type="dxa"/>
            <w:vAlign w:val="bottom"/>
            <w:tcBorders>
              <w:top w:val="single" w:sz="8" w:color="9A9A9A"/>
            </w:tcBorders>
          </w:tcPr>
          <w:p>
            <w:pPr>
              <w:spacing w:after="0"/>
              <w:rPr>
                <w:sz w:val="4"/>
                <w:szCs w:val="4"/>
                <w:color w:val="auto"/>
              </w:rPr>
            </w:pPr>
          </w:p>
        </w:tc>
        <w:tc>
          <w:tcPr>
            <w:tcW w:w="114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4"/>
                <w:szCs w:val="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restart"/>
          </w:tcPr>
          <w:p>
            <w:pPr>
              <w:ind w:left="14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HOLDINGS, INC.</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06/16/2023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7"/>
                <w:szCs w:val="17"/>
                <w:color w:val="0000FF"/>
                <w:w w:val="96"/>
              </w:rPr>
              <w:t>2005 CARGO RD.</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55450</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0"/>
                <w:szCs w:val="20"/>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540" w:type="dxa"/>
            <w:vAlign w:val="bottom"/>
            <w:gridSpan w:val="10"/>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2,776</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7"/>
                <w:szCs w:val="17"/>
                <w:color w:val="0000FF"/>
                <w:w w:val="93"/>
              </w:rPr>
              <w:t>2,776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gridSpan w:val="2"/>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040" w:type="dxa"/>
            <w:vAlign w:val="bottom"/>
          </w:tcPr>
          <w:p>
            <w:pPr>
              <w:jc w:val="right"/>
              <w:ind w:right="132"/>
              <w:spacing w:after="0" w:line="126" w:lineRule="exact"/>
              <w:rPr>
                <w:sz w:val="20"/>
                <w:szCs w:val="20"/>
                <w:color w:val="auto"/>
              </w:rPr>
            </w:pPr>
            <w:r>
              <w:rPr>
                <w:rFonts w:ascii="Arial" w:cs="Arial" w:eastAsia="Arial" w:hAnsi="Arial"/>
                <w:sz w:val="13"/>
                <w:szCs w:val="13"/>
                <w:color w:val="0000FF"/>
              </w:rPr>
              <w:t>06/16/2023</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06/16/2023</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11/21/2028</w:t>
            </w:r>
          </w:p>
        </w:tc>
        <w:tc>
          <w:tcPr>
            <w:tcW w:w="66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line="126" w:lineRule="exact"/>
              <w:rPr>
                <w:sz w:val="20"/>
                <w:szCs w:val="20"/>
                <w:color w:val="auto"/>
              </w:rPr>
            </w:pPr>
            <w:r>
              <w:rPr>
                <w:rFonts w:ascii="Arial" w:cs="Arial" w:eastAsia="Arial" w:hAnsi="Arial"/>
                <w:sz w:val="13"/>
                <w:szCs w:val="13"/>
                <w:color w:val="0000FF"/>
                <w:w w:val="90"/>
              </w:rPr>
              <w:t>93,333</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7045960" cy="5735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21, 2018, the reporting person was granted an option to purchase 99,135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2,776 shares on June 16, 2023.</w:t>
      </w:r>
    </w:p>
    <w:p>
      <w:pPr>
        <w:spacing w:after="0" w:line="21"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9"/>
        </w:trPr>
        <w:tc>
          <w:tcPr>
            <w:tcW w:w="138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fact for John Gyurci</w:t>
            </w:r>
          </w:p>
        </w:tc>
        <w:tc>
          <w:tcPr>
            <w:tcW w:w="8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688"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2023-06-16T15:23:43Z</dcterms:created>
  <dcterms:modified xsi:type="dcterms:W3CDTF">2023-06-16T15:23:43Z</dcterms:modified>
</cp:coreProperties>
</file>