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-234315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-612140</wp:posOffset>
            </wp:positionV>
            <wp:extent cx="57150" cy="625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5292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29209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420"/>
            <w:col w:w="846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Davis Brian Edward</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11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Sun Country Airlines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SNCY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03/21/2022</w:t>
      </w:r>
    </w:p>
    <w:p>
      <w:pPr>
        <w:spacing w:after="0" w:line="20" w:lineRule="exact"/>
        <w:rPr>
          <w:sz w:val="24"/>
          <w:szCs w:val="24"/>
          <w:color w:val="auto"/>
        </w:rPr>
      </w:pPr>
      <w:r>
        <w:rPr>
          <w:sz w:val="24"/>
          <w:szCs w:val="24"/>
          <w:color w:val="auto"/>
        </w:rPr>
        <w:br w:type="column"/>
      </w:r>
    </w:p>
    <w:p>
      <w:pPr>
        <w:ind w:right="680"/>
        <w:spacing w:after="0" w:line="24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tbl>
      <w:tblPr>
        <w:tblLayout w:type="fixed"/>
        <w:tblInd w:w="200" w:type="dxa"/>
        <w:tblCellMar>
          <w:top w:w="0" w:type="dxa"/>
          <w:left w:w="0" w:type="dxa"/>
          <w:bottom w:w="0" w:type="dxa"/>
          <w:right w:w="0" w:type="dxa"/>
        </w:tblCellMar>
      </w:tblPr>
      <w:tr>
        <w:trPr>
          <w:trHeight w:val="166"/>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2"/>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6"/>
          <w:szCs w:val="16"/>
          <w:color w:val="0000FF"/>
        </w:rPr>
        <w:t>Chief Marketing Officer &amp; SVP</w:t>
      </w:r>
    </w:p>
    <w:p>
      <w:pPr>
        <w:spacing w:after="0" w:line="307" w:lineRule="exact"/>
        <w:rPr>
          <w:sz w:val="24"/>
          <w:szCs w:val="24"/>
          <w:color w:val="auto"/>
        </w:rPr>
      </w:pPr>
    </w:p>
    <w:p>
      <w:pPr>
        <w:sectPr>
          <w:pgSz w:w="11900" w:h="16838" w:orient="portrait"/>
          <w:cols w:equalWidth="0" w:num="3">
            <w:col w:w="3660" w:space="240"/>
            <w:col w:w="3660" w:space="180"/>
            <w:col w:w="3340"/>
          </w:cols>
          <w:pgMar w:left="460" w:top="215" w:right="359" w:bottom="1440" w:gutter="0" w:footer="0" w:header="0"/>
          <w:type w:val="continuous"/>
        </w:sectPr>
      </w:pPr>
    </w:p>
    <w:p>
      <w:pPr>
        <w:spacing w:after="0" w:line="15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MINNEAPOLIS</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MN</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55450</w:t>
            </w:r>
          </w:p>
        </w:tc>
      </w:tr>
      <w:tr>
        <w:trPr>
          <w:trHeight w:val="144"/>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6" w:lineRule="auto"/>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1" w:lineRule="exact"/>
        <w:rPr>
          <w:sz w:val="24"/>
          <w:szCs w:val="24"/>
          <w:color w:val="auto"/>
        </w:rPr>
      </w:pPr>
    </w:p>
    <w:p>
      <w:pPr>
        <w:sectPr>
          <w:pgSz w:w="11900" w:h="16838" w:orient="portrait"/>
          <w:cols w:equalWidth="0" w:num="2">
            <w:col w:w="3760" w:space="14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3"/>
          </w:tcPr>
          <w:p>
            <w:pPr>
              <w:ind w:left="68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3"/>
                <w:szCs w:val="13"/>
                <w:color w:val="auto"/>
              </w:rPr>
            </w:pPr>
          </w:p>
        </w:tc>
        <w:tc>
          <w:tcPr>
            <w:tcW w:w="210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gridSpan w:val="2"/>
          </w:tcPr>
          <w:p>
            <w:pPr>
              <w:ind w:left="6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2100" w:type="dxa"/>
            <w:vAlign w:val="bottom"/>
            <w:gridSpan w:val="5"/>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80" w:type="dxa"/>
            <w:vAlign w:val="bottom"/>
            <w:gridSpan w:val="3"/>
          </w:tcPr>
          <w:p>
            <w:pPr>
              <w:ind w:left="680"/>
              <w:spacing w:after="0"/>
              <w:rPr>
                <w:sz w:val="20"/>
                <w:szCs w:val="20"/>
                <w:color w:val="auto"/>
              </w:rPr>
            </w:pPr>
            <w:r>
              <w:rPr>
                <w:rFonts w:ascii="Arial" w:cs="Arial" w:eastAsia="Arial" w:hAnsi="Arial"/>
                <w:sz w:val="11"/>
                <w:szCs w:val="11"/>
                <w:b w:val="1"/>
                <w:bCs w:val="1"/>
                <w:color w:val="auto"/>
              </w:rPr>
              <w:t>(Month/Day/Year)</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rPr>
              <w:t>V</w:t>
            </w:r>
          </w:p>
        </w:tc>
        <w:tc>
          <w:tcPr>
            <w:tcW w:w="8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4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4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 par value $0.01 per share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04/20/2022</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300" w:type="dxa"/>
            <w:vAlign w:val="bottom"/>
          </w:tcPr>
          <w:p>
            <w:pPr>
              <w:spacing w:after="0"/>
              <w:rPr>
                <w:sz w:val="22"/>
                <w:szCs w:val="22"/>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1,000</w:t>
            </w:r>
          </w:p>
        </w:tc>
        <w:tc>
          <w:tcPr>
            <w:tcW w:w="5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200" w:type="dxa"/>
            <w:vAlign w:val="bottom"/>
          </w:tcPr>
          <w:p>
            <w:pPr>
              <w:spacing w:after="0"/>
              <w:rPr>
                <w:sz w:val="22"/>
                <w:szCs w:val="22"/>
                <w:color w:val="auto"/>
              </w:rPr>
            </w:pPr>
          </w:p>
        </w:tc>
        <w:tc>
          <w:tcPr>
            <w:tcW w:w="520" w:type="dxa"/>
            <w:vAlign w:val="bottom"/>
          </w:tcPr>
          <w:p>
            <w:pPr>
              <w:ind w:lef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5.3</w:t>
            </w:r>
          </w:p>
        </w:tc>
        <w:tc>
          <w:tcPr>
            <w:tcW w:w="60" w:type="dxa"/>
            <w:vAlign w:val="bottom"/>
          </w:tcPr>
          <w:p>
            <w:pPr>
              <w:spacing w:after="0"/>
              <w:rPr>
                <w:sz w:val="22"/>
                <w:szCs w:val="22"/>
                <w:color w:val="auto"/>
              </w:rPr>
            </w:pPr>
          </w:p>
        </w:tc>
        <w:tc>
          <w:tcPr>
            <w:tcW w:w="124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0000FF"/>
              </w:rPr>
              <w:t>2,337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24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 par value $0.01 per share</w:t>
            </w:r>
          </w:p>
        </w:tc>
        <w:tc>
          <w:tcPr>
            <w:tcW w:w="92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6"/>
                <w:szCs w:val="16"/>
                <w:color w:val="0000FF"/>
              </w:rPr>
              <w:t>04/20/2022</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1,000</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gridSpan w:val="3"/>
          </w:tcPr>
          <w:p>
            <w:pPr>
              <w:ind w:left="20"/>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27.8892</w:t>
            </w:r>
            <w:r>
              <w:rPr>
                <w:rFonts w:ascii="Times New Roman" w:cs="Times New Roman" w:eastAsia="Times New Roman" w:hAnsi="Times New Roman"/>
                <w:sz w:val="20"/>
                <w:szCs w:val="20"/>
                <w:color w:val="008000"/>
                <w:w w:val="96"/>
                <w:vertAlign w:val="superscript"/>
              </w:rPr>
              <w:t>(2)</w:t>
            </w:r>
          </w:p>
        </w:tc>
        <w:tc>
          <w:tcPr>
            <w:tcW w:w="12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6"/>
                <w:szCs w:val="16"/>
                <w:color w:val="0000FF"/>
              </w:rPr>
              <w:t>1,337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6"/>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40" w:type="dxa"/>
            <w:vAlign w:val="bottom"/>
            <w:gridSpan w:val="13"/>
          </w:tcPr>
          <w:p>
            <w:pPr>
              <w:ind w:left="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3"/>
          </w:tcPr>
          <w:p>
            <w:pPr>
              <w:ind w:left="16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40" w:type="dxa"/>
            <w:vAlign w:val="bottom"/>
            <w:gridSpan w:val="3"/>
          </w:tcPr>
          <w:p>
            <w:pPr>
              <w:ind w:left="16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40" w:type="dxa"/>
            <w:vAlign w:val="bottom"/>
            <w:gridSpan w:val="3"/>
          </w:tcPr>
          <w:p>
            <w:pPr>
              <w:ind w:left="16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0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94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 (A) or</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8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0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8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0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4 and 5)</w:t>
            </w: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vMerge w:val="restart"/>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ind w:left="160"/>
              <w:spacing w:after="0"/>
              <w:rPr>
                <w:sz w:val="20"/>
                <w:szCs w:val="20"/>
                <w:color w:val="auto"/>
              </w:rPr>
            </w:pPr>
            <w:r>
              <w:rPr>
                <w:rFonts w:ascii="Arial" w:cs="Arial" w:eastAsia="Arial" w:hAnsi="Arial"/>
                <w:sz w:val="11"/>
                <w:szCs w:val="11"/>
                <w:b w:val="1"/>
                <w:bCs w:val="1"/>
                <w:color w:val="auto"/>
              </w:rPr>
              <w:t>Date</w:t>
            </w:r>
          </w:p>
        </w:tc>
        <w:tc>
          <w:tcPr>
            <w:tcW w:w="30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gridSpan w:val="2"/>
          </w:tcPr>
          <w:p>
            <w:pPr>
              <w:ind w:left="40"/>
              <w:spacing w:after="0"/>
              <w:rPr>
                <w:sz w:val="20"/>
                <w:szCs w:val="20"/>
                <w:color w:val="auto"/>
              </w:rPr>
            </w:pPr>
            <w:r>
              <w:rPr>
                <w:rFonts w:ascii="Arial" w:cs="Arial" w:eastAsia="Arial" w:hAnsi="Arial"/>
                <w:sz w:val="11"/>
                <w:szCs w:val="11"/>
                <w:b w:val="1"/>
                <w:bCs w:val="1"/>
                <w:color w:val="auto"/>
              </w:rPr>
              <w:t>(D)</w:t>
            </w:r>
          </w:p>
        </w:tc>
        <w:tc>
          <w:tcPr>
            <w:tcW w:w="1540" w:type="dxa"/>
            <w:vAlign w:val="bottom"/>
            <w:gridSpan w:val="3"/>
          </w:tcPr>
          <w:p>
            <w:pPr>
              <w:ind w:left="160"/>
              <w:spacing w:after="0"/>
              <w:rPr>
                <w:sz w:val="20"/>
                <w:szCs w:val="20"/>
                <w:color w:val="auto"/>
              </w:rPr>
            </w:pPr>
            <w:r>
              <w:rPr>
                <w:rFonts w:ascii="Arial" w:cs="Arial" w:eastAsia="Arial" w:hAnsi="Arial"/>
                <w:sz w:val="11"/>
                <w:szCs w:val="11"/>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49,571</w:t>
            </w:r>
            <w:r>
              <w:rPr>
                <w:rFonts w:ascii="Times New Roman" w:cs="Times New Roman" w:eastAsia="Times New Roman" w:hAnsi="Times New Roman"/>
                <w:sz w:val="20"/>
                <w:szCs w:val="20"/>
                <w:color w:val="008000"/>
                <w:vertAlign w:val="superscript"/>
              </w:rPr>
              <w:t>(3)</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vMerge w:val="restart"/>
          </w:tcPr>
          <w:p>
            <w:pPr>
              <w:jc w:val="center"/>
              <w:ind w:right="126"/>
              <w:spacing w:after="0"/>
              <w:rPr>
                <w:sz w:val="20"/>
                <w:szCs w:val="20"/>
                <w:color w:val="auto"/>
              </w:rPr>
            </w:pPr>
            <w:r>
              <w:rPr>
                <w:rFonts w:ascii="Times New Roman" w:cs="Times New Roman" w:eastAsia="Times New Roman" w:hAnsi="Times New Roman"/>
                <w:sz w:val="10"/>
                <w:szCs w:val="10"/>
                <w:color w:val="008000"/>
              </w:rPr>
              <w:t>(4)</w:t>
            </w:r>
          </w:p>
        </w:tc>
        <w:tc>
          <w:tcPr>
            <w:tcW w:w="820" w:type="dxa"/>
            <w:vAlign w:val="bottom"/>
          </w:tcPr>
          <w:p>
            <w:pPr>
              <w:spacing w:after="0"/>
              <w:rPr>
                <w:sz w:val="12"/>
                <w:szCs w:val="12"/>
                <w:color w:val="auto"/>
              </w:rPr>
            </w:pP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49,571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03/21/2022</w:t>
            </w: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ind w:left="18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820" w:type="dxa"/>
            <w:vAlign w:val="bottom"/>
          </w:tcPr>
          <w:p>
            <w:pPr>
              <w:ind w:left="220"/>
              <w:spacing w:after="0" w:line="139" w:lineRule="exact"/>
              <w:rPr>
                <w:sz w:val="20"/>
                <w:szCs w:val="20"/>
                <w:color w:val="auto"/>
              </w:rPr>
            </w:pPr>
            <w:r>
              <w:rPr>
                <w:rFonts w:ascii="Times New Roman" w:cs="Times New Roman" w:eastAsia="Times New Roman" w:hAnsi="Times New Roman"/>
                <w:sz w:val="13"/>
                <w:szCs w:val="13"/>
                <w:color w:val="0000FF"/>
                <w:w w:val="97"/>
              </w:rPr>
              <w:t>11/07/2028</w:t>
            </w:r>
          </w:p>
        </w:tc>
        <w:tc>
          <w:tcPr>
            <w:tcW w:w="70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200"/>
              <w:spacing w:after="0" w:line="139" w:lineRule="exact"/>
              <w:rPr>
                <w:sz w:val="20"/>
                <w:szCs w:val="20"/>
                <w:color w:val="auto"/>
              </w:rPr>
            </w:pPr>
            <w:r>
              <w:rPr>
                <w:rFonts w:ascii="Times New Roman" w:cs="Times New Roman" w:eastAsia="Times New Roman" w:hAnsi="Times New Roman"/>
                <w:sz w:val="13"/>
                <w:szCs w:val="13"/>
                <w:color w:val="0000FF"/>
              </w:rPr>
              <w:t>122,598</w:t>
            </w:r>
          </w:p>
        </w:tc>
        <w:tc>
          <w:tcPr>
            <w:tcW w:w="66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ind w:left="200"/>
              <w:spacing w:after="0" w:line="126" w:lineRule="exact"/>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vMerge w:val="restart"/>
          </w:tcPr>
          <w:p>
            <w:pPr>
              <w:jc w:val="center"/>
              <w:ind w:right="126"/>
              <w:spacing w:after="0"/>
              <w:rPr>
                <w:sz w:val="20"/>
                <w:szCs w:val="20"/>
                <w:color w:val="auto"/>
              </w:rPr>
            </w:pPr>
            <w:r>
              <w:rPr>
                <w:rFonts w:ascii="Times New Roman" w:cs="Times New Roman" w:eastAsia="Times New Roman" w:hAnsi="Times New Roman"/>
                <w:sz w:val="10"/>
                <w:szCs w:val="10"/>
                <w:color w:val="008000"/>
              </w:rPr>
              <w:t>(4)</w:t>
            </w:r>
          </w:p>
        </w:tc>
        <w:tc>
          <w:tcPr>
            <w:tcW w:w="820" w:type="dxa"/>
            <w:vAlign w:val="bottom"/>
          </w:tcPr>
          <w:p>
            <w:pPr>
              <w:spacing w:after="0"/>
              <w:rPr>
                <w:sz w:val="12"/>
                <w:szCs w:val="12"/>
                <w:color w:val="auto"/>
              </w:rPr>
            </w:pP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1,000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1060" w:type="dxa"/>
            <w:vAlign w:val="bottom"/>
            <w:vMerge w:val="restart"/>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04/20/2022</w:t>
            </w: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gridSpan w:val="3"/>
            <w:vMerge w:val="restart"/>
          </w:tcPr>
          <w:p>
            <w:pPr>
              <w:ind w:left="40"/>
              <w:spacing w:after="0" w:line="139" w:lineRule="exact"/>
              <w:rPr>
                <w:sz w:val="20"/>
                <w:szCs w:val="20"/>
                <w:color w:val="auto"/>
              </w:rPr>
            </w:pPr>
            <w:r>
              <w:rPr>
                <w:rFonts w:ascii="Times New Roman" w:cs="Times New Roman" w:eastAsia="Times New Roman" w:hAnsi="Times New Roman"/>
                <w:sz w:val="13"/>
                <w:szCs w:val="13"/>
                <w:color w:val="0000FF"/>
              </w:rPr>
              <w:t>1,000</w:t>
            </w:r>
          </w:p>
        </w:tc>
        <w:tc>
          <w:tcPr>
            <w:tcW w:w="300" w:type="dxa"/>
            <w:vAlign w:val="bottom"/>
            <w:vMerge w:val="continue"/>
          </w:tcPr>
          <w:p>
            <w:pPr>
              <w:spacing w:after="0"/>
              <w:rPr>
                <w:sz w:val="5"/>
                <w:szCs w:val="5"/>
                <w:color w:val="auto"/>
              </w:rPr>
            </w:pPr>
          </w:p>
        </w:tc>
        <w:tc>
          <w:tcPr>
            <w:tcW w:w="820" w:type="dxa"/>
            <w:vAlign w:val="bottom"/>
            <w:vMerge w:val="restart"/>
          </w:tcPr>
          <w:p>
            <w:pPr>
              <w:ind w:left="220"/>
              <w:spacing w:after="0" w:line="139" w:lineRule="exact"/>
              <w:rPr>
                <w:sz w:val="20"/>
                <w:szCs w:val="20"/>
                <w:color w:val="auto"/>
              </w:rPr>
            </w:pPr>
            <w:r>
              <w:rPr>
                <w:rFonts w:ascii="Times New Roman" w:cs="Times New Roman" w:eastAsia="Times New Roman" w:hAnsi="Times New Roman"/>
                <w:sz w:val="13"/>
                <w:szCs w:val="13"/>
                <w:color w:val="0000FF"/>
                <w:w w:val="97"/>
              </w:rPr>
              <w:t>11/07/2028</w:t>
            </w:r>
          </w:p>
        </w:tc>
        <w:tc>
          <w:tcPr>
            <w:tcW w:w="70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vMerge w:val="restart"/>
          </w:tcPr>
          <w:p>
            <w:pPr>
              <w:ind w:left="200"/>
              <w:spacing w:after="0" w:line="139" w:lineRule="exact"/>
              <w:rPr>
                <w:sz w:val="20"/>
                <w:szCs w:val="20"/>
                <w:color w:val="auto"/>
              </w:rPr>
            </w:pPr>
            <w:r>
              <w:rPr>
                <w:rFonts w:ascii="Times New Roman" w:cs="Times New Roman" w:eastAsia="Times New Roman" w:hAnsi="Times New Roman"/>
                <w:sz w:val="13"/>
                <w:szCs w:val="13"/>
                <w:color w:val="0000FF"/>
              </w:rPr>
              <w:t>117,598</w:t>
            </w:r>
          </w:p>
        </w:tc>
        <w:tc>
          <w:tcPr>
            <w:tcW w:w="66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w:t>
      </w:r>
    </w:p>
    <w:p>
      <w:pPr>
        <w:spacing w:after="0" w:line="39" w:lineRule="exact"/>
        <w:rPr>
          <w:rFonts w:ascii="Times New Roman" w:cs="Times New Roman" w:eastAsia="Times New Roman" w:hAnsi="Times New Roman"/>
          <w:sz w:val="13"/>
          <w:szCs w:val="13"/>
          <w:color w:val="008000"/>
        </w:rPr>
      </w:pPr>
    </w:p>
    <w:p>
      <w:pPr>
        <w:jc w:val="both"/>
        <w:ind w:left="40" w:right="320" w:hanging="1"/>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$27.44 tp $28.23,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25" w:lineRule="exact"/>
        <w:rPr>
          <w:rFonts w:ascii="Times New Roman" w:cs="Times New Roman" w:eastAsia="Times New Roman" w:hAnsi="Times New Roman"/>
          <w:sz w:val="13"/>
          <w:szCs w:val="13"/>
          <w:color w:val="008000"/>
        </w:rPr>
      </w:pPr>
    </w:p>
    <w:p>
      <w:pPr>
        <w:ind w:left="40" w:right="36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21, 2018, the reporting person was granted an option to purchase 198,281 shares of common stock. The option vests in six installments based on Sun Country's satisfaction of certain performance criteria. The performance criteria for the first installment were met resulting in vesting of the option as to 49,571 shares on March 21, 2022.</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Grants may have a graded vesting schedule. Date Exercisable will vary for each vesting tranche.</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1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Eric Levenhagen, as</w:t>
            </w:r>
          </w:p>
        </w:tc>
        <w:tc>
          <w:tcPr>
            <w:tcW w:w="60" w:type="dxa"/>
            <w:vAlign w:val="bottom"/>
          </w:tcPr>
          <w:p>
            <w:pPr>
              <w:spacing w:after="0"/>
              <w:rPr>
                <w:sz w:val="15"/>
                <w:szCs w:val="15"/>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04/21/2022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080" w:type="dxa"/>
            <w:vAlign w:val="bottom"/>
            <w:gridSpan w:val="2"/>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attorney-in-fact for Brian Davis</w:t>
            </w:r>
          </w:p>
        </w:tc>
        <w:tc>
          <w:tcPr>
            <w:tcW w:w="60" w:type="dxa"/>
            <w:vAlign w:val="bottom"/>
            <w:vMerge w:val="restart"/>
          </w:tcPr>
          <w:p>
            <w:pPr>
              <w:spacing w:after="0"/>
              <w:rPr>
                <w:sz w:val="7"/>
                <w:szCs w:val="7"/>
                <w:color w:val="auto"/>
              </w:rPr>
            </w:pPr>
          </w:p>
        </w:tc>
        <w:tc>
          <w:tcPr>
            <w:tcW w:w="60" w:type="dxa"/>
            <w:vAlign w:val="bottom"/>
            <w:vMerge w:val="continue"/>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80" w:type="dxa"/>
            <w:vAlign w:val="bottom"/>
            <w:tcBorders>
              <w:bottom w:val="single" w:sz="8" w:color="auto"/>
            </w:tcBorders>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3"/>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2022-04-21T15:54:37Z</dcterms:created>
  <dcterms:modified xsi:type="dcterms:W3CDTF">2022-04-21T15:54:37Z</dcterms:modified>
</cp:coreProperties>
</file>