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5012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0120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DAVIS DAVID M</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11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Sun Country Airlines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SNCY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09/21/2022</w:t>
      </w:r>
    </w:p>
    <w:p>
      <w:pPr>
        <w:spacing w:after="0" w:line="20" w:lineRule="exact"/>
        <w:rPr>
          <w:sz w:val="24"/>
          <w:szCs w:val="24"/>
          <w:color w:val="auto"/>
        </w:rPr>
      </w:pPr>
      <w:r>
        <w:rPr>
          <w:sz w:val="24"/>
          <w:szCs w:val="24"/>
          <w:color w:val="auto"/>
        </w:rPr>
        <w:br w:type="column"/>
      </w: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3"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87"/>
        <w:spacing w:after="0"/>
        <w:rPr>
          <w:sz w:val="20"/>
          <w:szCs w:val="20"/>
          <w:color w:val="auto"/>
        </w:rPr>
      </w:pPr>
      <w:r>
        <w:rPr>
          <w:rFonts w:ascii="Times New Roman" w:cs="Times New Roman" w:eastAsia="Times New Roman" w:hAnsi="Times New Roman"/>
          <w:sz w:val="17"/>
          <w:szCs w:val="17"/>
          <w:color w:val="0000FF"/>
        </w:rPr>
        <w:t>President &amp; CFO</w:t>
      </w:r>
    </w:p>
    <w:p>
      <w:pPr>
        <w:spacing w:after="0" w:line="267" w:lineRule="exact"/>
        <w:rPr>
          <w:sz w:val="24"/>
          <w:szCs w:val="24"/>
          <w:color w:val="auto"/>
        </w:rPr>
      </w:pPr>
    </w:p>
    <w:p>
      <w:pPr>
        <w:sectPr>
          <w:pgSz w:w="11900" w:h="16838" w:orient="portrait"/>
          <w:cols w:equalWidth="0" w:num="3">
            <w:col w:w="3700" w:space="200"/>
            <w:col w:w="3700" w:space="127"/>
            <w:col w:w="3353"/>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374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740" w:type="dxa"/>
            <w:vAlign w:val="bottom"/>
            <w:gridSpan w:val="7"/>
            <w:vMerge w:val="continue"/>
          </w:tcPr>
          <w:p>
            <w:pPr>
              <w:spacing w:after="0"/>
              <w:rPr>
                <w:sz w:val="9"/>
                <w:szCs w:val="9"/>
                <w:color w:val="auto"/>
              </w:rPr>
            </w:pPr>
          </w:p>
        </w:tc>
        <w:tc>
          <w:tcPr>
            <w:tcW w:w="36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55450</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0000FF"/>
                <w:w w:val="97"/>
              </w:rPr>
              <w:t>X</w:t>
            </w:r>
          </w:p>
        </w:tc>
        <w:tc>
          <w:tcPr>
            <w:tcW w:w="40" w:type="dxa"/>
            <w:vAlign w:val="bottom"/>
          </w:tcPr>
          <w:p>
            <w:pPr>
              <w:spacing w:after="0"/>
              <w:rPr>
                <w:sz w:val="20"/>
                <w:szCs w:val="20"/>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29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4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58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vMerge w:val="restart"/>
          </w:tcPr>
          <w:p>
            <w:pPr>
              <w:jc w:val="center"/>
              <w:ind w:right="42"/>
              <w:spacing w:after="0"/>
              <w:rPr>
                <w:sz w:val="20"/>
                <w:szCs w:val="20"/>
                <w:color w:val="auto"/>
              </w:rPr>
            </w:pPr>
            <w:r>
              <w:rPr>
                <w:rFonts w:ascii="Times New Roman" w:cs="Times New Roman" w:eastAsia="Times New Roman" w:hAnsi="Times New Roman"/>
                <w:sz w:val="13"/>
                <w:szCs w:val="13"/>
                <w:color w:val="0000FF"/>
              </w:rPr>
              <w:t>29,743</w:t>
            </w:r>
            <w:r>
              <w:rPr>
                <w:rFonts w:ascii="Times New Roman" w:cs="Times New Roman" w:eastAsia="Times New Roman" w:hAnsi="Times New Roman"/>
                <w:sz w:val="21"/>
                <w:szCs w:val="21"/>
                <w:color w:val="008000"/>
                <w:vertAlign w:val="superscript"/>
              </w:rPr>
              <w:t>(1)</w:t>
            </w:r>
          </w:p>
        </w:tc>
        <w:tc>
          <w:tcPr>
            <w:tcW w:w="28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29,743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ind w:right="182"/>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09/21/2022</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04/17/2029</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20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880" w:type="dxa"/>
            <w:vAlign w:val="bottom"/>
            <w:gridSpan w:val="2"/>
          </w:tcPr>
          <w:p>
            <w:pPr>
              <w:jc w:val="right"/>
              <w:ind w:right="203"/>
              <w:spacing w:after="0" w:line="141" w:lineRule="exact"/>
              <w:rPr>
                <w:sz w:val="20"/>
                <w:szCs w:val="20"/>
                <w:color w:val="auto"/>
              </w:rPr>
            </w:pPr>
            <w:r>
              <w:rPr>
                <w:rFonts w:ascii="Times New Roman" w:cs="Times New Roman" w:eastAsia="Times New Roman" w:hAnsi="Times New Roman"/>
                <w:sz w:val="13"/>
                <w:szCs w:val="13"/>
                <w:color w:val="0000FF"/>
              </w:rPr>
              <w:t>190,948</w:t>
            </w:r>
          </w:p>
        </w:tc>
        <w:tc>
          <w:tcPr>
            <w:tcW w:w="6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vMerge w:val="restart"/>
          </w:tcPr>
          <w:p>
            <w:pPr>
              <w:jc w:val="center"/>
              <w:ind w:right="82"/>
              <w:spacing w:after="0"/>
              <w:rPr>
                <w:sz w:val="20"/>
                <w:szCs w:val="20"/>
                <w:color w:val="auto"/>
              </w:rPr>
            </w:pPr>
            <w:r>
              <w:rPr>
                <w:rFonts w:ascii="Times New Roman" w:cs="Times New Roman" w:eastAsia="Times New Roman" w:hAnsi="Times New Roman"/>
                <w:sz w:val="13"/>
                <w:szCs w:val="13"/>
                <w:color w:val="0000FF"/>
              </w:rPr>
              <w:t>6,197</w:t>
            </w:r>
            <w:r>
              <w:rPr>
                <w:rFonts w:ascii="Times New Roman" w:cs="Times New Roman" w:eastAsia="Times New Roman" w:hAnsi="Times New Roman"/>
                <w:sz w:val="21"/>
                <w:szCs w:val="21"/>
                <w:color w:val="008000"/>
                <w:vertAlign w:val="superscript"/>
              </w:rPr>
              <w:t>(3)</w:t>
            </w:r>
          </w:p>
        </w:tc>
        <w:tc>
          <w:tcPr>
            <w:tcW w:w="28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6,197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ind w:right="122"/>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15.17</w:t>
            </w:r>
          </w:p>
        </w:tc>
        <w:tc>
          <w:tcPr>
            <w:tcW w:w="1060" w:type="dxa"/>
            <w:vAlign w:val="bottom"/>
            <w:vMerge w:val="restart"/>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09/21/2022</w:t>
            </w: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11/19/2029</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1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15.17</w:t>
            </w:r>
          </w:p>
        </w:tc>
        <w:tc>
          <w:tcPr>
            <w:tcW w:w="880" w:type="dxa"/>
            <w:vAlign w:val="bottom"/>
            <w:gridSpan w:val="2"/>
            <w:vMerge w:val="restart"/>
          </w:tcPr>
          <w:p>
            <w:pPr>
              <w:jc w:val="right"/>
              <w:ind w:right="223"/>
              <w:spacing w:after="0" w:line="141" w:lineRule="exact"/>
              <w:rPr>
                <w:sz w:val="20"/>
                <w:szCs w:val="20"/>
                <w:color w:val="auto"/>
              </w:rPr>
            </w:pPr>
            <w:r>
              <w:rPr>
                <w:rFonts w:ascii="Times New Roman" w:cs="Times New Roman" w:eastAsia="Times New Roman" w:hAnsi="Times New Roman"/>
                <w:sz w:val="13"/>
                <w:szCs w:val="13"/>
                <w:color w:val="0000FF"/>
              </w:rPr>
              <w:t>65,641</w:t>
            </w:r>
          </w:p>
        </w:tc>
        <w:tc>
          <w:tcPr>
            <w:tcW w:w="6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50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17, 2019, the reporting person was granted an option to purchase 396,563 shares of common stock. The option vests in six installments based on Sun Country's satisfaction of certain performance criteria. The performance criteria for the second installment were met resulting in partial vesting of the option as to 29,743 shares on September 19, 2022.</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 in four annual installments, subject to continued service, beginning April 11, 2019.</w:t>
      </w:r>
    </w:p>
    <w:p>
      <w:pPr>
        <w:spacing w:after="0" w:line="41" w:lineRule="exact"/>
        <w:rPr>
          <w:rFonts w:ascii="Times New Roman" w:cs="Times New Roman" w:eastAsia="Times New Roman" w:hAnsi="Times New Roman"/>
          <w:sz w:val="13"/>
          <w:szCs w:val="13"/>
          <w:color w:val="008000"/>
        </w:rPr>
      </w:pPr>
    </w:p>
    <w:p>
      <w:pPr>
        <w:ind w:left="40" w:right="30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19, 2019, the reporting person was granted an option to purchase 82,616 shares of common stock. The option vests in six installments based on Sun Country's satisfaction of certain performance criteria. The performance criteria for the second installment were met resulting in partial vesting of the option as to 6,197 shares on September 19, 2022.</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 in four annual installments, subject to continued service, beginning November 5, 2020.</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Rose Neale, as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09/23/2022</w:t>
            </w:r>
          </w:p>
        </w:tc>
        <w:tc>
          <w:tcPr>
            <w:tcW w:w="0" w:type="dxa"/>
            <w:vAlign w:val="bottom"/>
          </w:tcPr>
          <w:p>
            <w:pPr>
              <w:spacing w:after="0"/>
              <w:rPr>
                <w:sz w:val="1"/>
                <w:szCs w:val="1"/>
                <w:color w:val="auto"/>
              </w:rPr>
            </w:pPr>
          </w:p>
        </w:tc>
      </w:tr>
      <w:tr>
        <w:trPr>
          <w:trHeight w:val="87"/>
        </w:trPr>
        <w:tc>
          <w:tcPr>
            <w:tcW w:w="136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6"/>
              </w:rPr>
              <w:t>fact for David Davis</w:t>
            </w:r>
          </w:p>
        </w:tc>
        <w:tc>
          <w:tcPr>
            <w:tcW w:w="8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360" w:type="dxa"/>
            <w:vAlign w:val="bottom"/>
            <w:tcBorders>
              <w:bottom w:val="single" w:sz="8" w:color="auto"/>
            </w:tcBorders>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7174"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2022-09-23T16:42:21Z</dcterms:created>
  <dcterms:modified xsi:type="dcterms:W3CDTF">2022-09-23T16:42:21Z</dcterms:modified>
</cp:coreProperties>
</file>