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360" w:type="dxa"/>
            <w:vAlign w:val="bottom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5301615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4030980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-1596390</wp:posOffset>
            </wp:positionH>
            <wp:positionV relativeFrom="paragraph">
              <wp:posOffset>23495</wp:posOffset>
            </wp:positionV>
            <wp:extent cx="7045325" cy="5728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80"/>
            <w:col w:w="8580"/>
          </w:cols>
          <w:pgMar w:left="460" w:top="223" w:right="35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Gyurci John</w:t>
        </w:r>
      </w:hyperlink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SUN COUNTRY HOLDINGS, INC.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2005 CARGO RD.</w:t>
      </w:r>
    </w:p>
    <w:p>
      <w:pPr>
        <w:spacing w:after="0" w:line="29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6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 xml:space="preserve">Sun Country Airlines Holdings,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SNCY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Acct. Off. &amp; VP, Finance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06/05/2023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52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00"/>
            <w:col w:w="7220"/>
          </w:cols>
          <w:pgMar w:left="460" w:top="223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40" w:type="dxa"/>
            <w:vAlign w:val="bottom"/>
            <w:gridSpan w:val="8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06/05/2023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12,488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06/05/2023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10,488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2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4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06/05/2023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11/21/2028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90,557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Grants may have a graded vesting schedule. Date Exercisable will vary for each vesting tranche.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Rose Neale, as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06/06/2023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1400" w:type="dxa"/>
            <w:vAlign w:val="bottom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fact for John Gyurci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4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440" w:firstLine="5"/>
        <w:spacing w:after="0" w:line="315" w:lineRule="auto"/>
        <w:tabs>
          <w:tab w:leader="none" w:pos="17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50688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2023-06-07T13:58:10Z</dcterms:created>
  <dcterms:modified xsi:type="dcterms:W3CDTF">2023-06-07T13:58:10Z</dcterms:modified>
</cp:coreProperties>
</file>