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187"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QUARTERLY REPORT 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March 31, 2022</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60" w:lineRule="exact"/>
        <w:rPr>
          <w:sz w:val="24"/>
          <w:szCs w:val="24"/>
          <w:color w:val="auto"/>
        </w:rPr>
      </w:pPr>
    </w:p>
    <w:p>
      <w:pPr>
        <w:ind w:left="4300" w:right="2500" w:hanging="4274"/>
        <w:spacing w:after="0" w:line="559" w:lineRule="auto"/>
        <w:tabs>
          <w:tab w:leader="none" w:pos="4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Commission File Number 001-40217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-90170</wp:posOffset>
            </wp:positionV>
            <wp:extent cx="2828925"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Sun Country Airlines Holdings,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Delaware</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20" w:type="dxa"/>
            <w:vAlign w:val="bottom"/>
          </w:tcPr>
          <w:p>
            <w:pPr>
              <w:jc w:val="right"/>
              <w:ind w:right="2028"/>
              <w:spacing w:after="0"/>
              <w:rPr>
                <w:sz w:val="20"/>
                <w:szCs w:val="20"/>
                <w:color w:val="auto"/>
              </w:rPr>
            </w:pPr>
            <w:r>
              <w:rPr>
                <w:rFonts w:ascii="Arial" w:cs="Arial" w:eastAsia="Arial" w:hAnsi="Arial"/>
                <w:sz w:val="14"/>
                <w:szCs w:val="14"/>
                <w:color w:val="auto"/>
              </w:rPr>
              <w:t>82-4092570</w:t>
            </w: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(State or other jurisdiction of incorporation or organization)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148"/>
              <w:spacing w:after="0"/>
              <w:rPr>
                <w:sz w:val="20"/>
                <w:szCs w:val="20"/>
                <w:color w:val="auto"/>
              </w:rPr>
            </w:pPr>
            <w:r>
              <w:rPr>
                <w:rFonts w:ascii="Arial" w:cs="Arial" w:eastAsia="Arial" w:hAnsi="Arial"/>
                <w:sz w:val="14"/>
                <w:szCs w:val="14"/>
                <w:color w:val="auto"/>
              </w:rPr>
              <w:t>(I.R.S. Employer Identification No.)</w:t>
            </w:r>
          </w:p>
        </w:tc>
      </w:tr>
      <w:tr>
        <w:trPr>
          <w:trHeight w:val="378"/>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2005 Cargo Road</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Minneapolis, Minnesota</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right"/>
              <w:ind w:right="2208"/>
              <w:spacing w:after="0"/>
              <w:rPr>
                <w:sz w:val="20"/>
                <w:szCs w:val="20"/>
                <w:color w:val="auto"/>
              </w:rPr>
            </w:pPr>
            <w:r>
              <w:rPr>
                <w:rFonts w:ascii="Arial" w:cs="Arial" w:eastAsia="Arial" w:hAnsi="Arial"/>
                <w:sz w:val="14"/>
                <w:szCs w:val="14"/>
                <w:color w:val="auto"/>
              </w:rPr>
              <w:t>55450</w:t>
            </w: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(Address of principal executive offices)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168"/>
              <w:spacing w:after="0"/>
              <w:rPr>
                <w:sz w:val="20"/>
                <w:szCs w:val="20"/>
                <w:color w:val="auto"/>
              </w:rPr>
            </w:pPr>
            <w:r>
              <w:rPr>
                <w:rFonts w:ascii="Arial" w:cs="Arial" w:eastAsia="Arial" w:hAnsi="Arial"/>
                <w:sz w:val="14"/>
                <w:szCs w:val="14"/>
                <w:color w:val="auto"/>
              </w:rPr>
              <w:t>(Zip Code)</w:t>
            </w:r>
          </w:p>
        </w:tc>
      </w:tr>
      <w:tr>
        <w:trPr>
          <w:trHeight w:val="432"/>
        </w:trPr>
        <w:tc>
          <w:tcPr>
            <w:tcW w:w="11240" w:type="dxa"/>
            <w:vAlign w:val="bottom"/>
            <w:gridSpan w:val="7"/>
          </w:tcPr>
          <w:p>
            <w:pPr>
              <w:jc w:val="center"/>
              <w:spacing w:after="0"/>
              <w:rPr>
                <w:sz w:val="20"/>
                <w:szCs w:val="20"/>
                <w:color w:val="auto"/>
              </w:rPr>
            </w:pPr>
            <w:r>
              <w:rPr>
                <w:rFonts w:ascii="Arial" w:cs="Arial" w:eastAsia="Arial" w:hAnsi="Arial"/>
                <w:sz w:val="14"/>
                <w:szCs w:val="14"/>
                <w:color w:val="auto"/>
              </w:rPr>
              <w:t>Registrant’s telephone number, including area code: (651) 681-3900</w:t>
            </w:r>
          </w:p>
        </w:tc>
      </w:tr>
      <w:tr>
        <w:trPr>
          <w:trHeight w:val="526"/>
        </w:trPr>
        <w:tc>
          <w:tcPr>
            <w:tcW w:w="7520" w:type="dxa"/>
            <w:vAlign w:val="bottom"/>
            <w:gridSpan w:val="6"/>
          </w:tcPr>
          <w:p>
            <w:pPr>
              <w:jc w:val="center"/>
              <w:ind w:left="3668"/>
              <w:spacing w:after="0"/>
              <w:rPr>
                <w:sz w:val="20"/>
                <w:szCs w:val="20"/>
                <w:color w:val="auto"/>
              </w:rPr>
            </w:pPr>
            <w:r>
              <w:rPr>
                <w:rFonts w:ascii="Arial" w:cs="Arial" w:eastAsia="Arial" w:hAnsi="Arial"/>
                <w:sz w:val="14"/>
                <w:szCs w:val="14"/>
                <w:color w:val="auto"/>
              </w:rPr>
              <w:t>Securities registered pursuant to Section 12(b) of the Act:</w:t>
            </w:r>
          </w:p>
        </w:tc>
        <w:tc>
          <w:tcPr>
            <w:tcW w:w="3720" w:type="dxa"/>
            <w:vAlign w:val="bottom"/>
          </w:tcPr>
          <w:p>
            <w:pPr>
              <w:spacing w:after="0"/>
              <w:rPr>
                <w:sz w:val="24"/>
                <w:szCs w:val="24"/>
                <w:color w:val="auto"/>
              </w:rPr>
            </w:pPr>
          </w:p>
        </w:tc>
      </w:tr>
      <w:tr>
        <w:trPr>
          <w:trHeight w:val="330"/>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488"/>
              <w:spacing w:after="0"/>
              <w:rPr>
                <w:sz w:val="20"/>
                <w:szCs w:val="20"/>
                <w:color w:val="auto"/>
              </w:rPr>
            </w:pPr>
            <w:r>
              <w:rPr>
                <w:rFonts w:ascii="Arial" w:cs="Arial" w:eastAsia="Arial" w:hAnsi="Arial"/>
                <w:sz w:val="14"/>
                <w:szCs w:val="14"/>
                <w:color w:val="auto"/>
              </w:rPr>
              <w:t>Trading Symbol</w:t>
            </w: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center"/>
              <w:ind w:right="648"/>
              <w:spacing w:after="0"/>
              <w:rPr>
                <w:sz w:val="20"/>
                <w:szCs w:val="20"/>
                <w:color w:val="auto"/>
              </w:rPr>
            </w:pPr>
            <w:r>
              <w:rPr>
                <w:rFonts w:ascii="Arial" w:cs="Arial" w:eastAsia="Arial" w:hAnsi="Arial"/>
                <w:sz w:val="14"/>
                <w:szCs w:val="14"/>
                <w:color w:val="auto"/>
              </w:rPr>
              <w:t>Name of each exchange on which registered</w:t>
            </w:r>
          </w:p>
        </w:tc>
      </w:tr>
      <w:tr>
        <w:trPr>
          <w:trHeight w:val="204"/>
        </w:trPr>
        <w:tc>
          <w:tcPr>
            <w:tcW w:w="5040" w:type="dxa"/>
            <w:vAlign w:val="bottom"/>
            <w:gridSpan w:val="3"/>
          </w:tcPr>
          <w:p>
            <w:pPr>
              <w:jc w:val="center"/>
              <w:ind w:right="660"/>
              <w:spacing w:after="0"/>
              <w:rPr>
                <w:sz w:val="20"/>
                <w:szCs w:val="20"/>
                <w:color w:val="auto"/>
              </w:rPr>
            </w:pPr>
            <w:r>
              <w:rPr>
                <w:rFonts w:ascii="Arial" w:cs="Arial" w:eastAsia="Arial" w:hAnsi="Arial"/>
                <w:sz w:val="14"/>
                <w:szCs w:val="14"/>
                <w:color w:val="auto"/>
              </w:rPr>
              <w:t>Common Stock, par value $0.01 per share</w:t>
            </w:r>
          </w:p>
        </w:tc>
        <w:tc>
          <w:tcPr>
            <w:tcW w:w="2480" w:type="dxa"/>
            <w:vAlign w:val="bottom"/>
            <w:gridSpan w:val="3"/>
          </w:tcPr>
          <w:p>
            <w:pPr>
              <w:jc w:val="center"/>
              <w:ind w:right="1360"/>
              <w:spacing w:after="0"/>
              <w:rPr>
                <w:sz w:val="20"/>
                <w:szCs w:val="20"/>
                <w:color w:val="auto"/>
              </w:rPr>
            </w:pPr>
            <w:r>
              <w:rPr>
                <w:rFonts w:ascii="Arial" w:cs="Arial" w:eastAsia="Arial" w:hAnsi="Arial"/>
                <w:sz w:val="14"/>
                <w:szCs w:val="14"/>
                <w:color w:val="auto"/>
              </w:rPr>
              <w:t>SNCY</w:t>
            </w:r>
          </w:p>
        </w:tc>
        <w:tc>
          <w:tcPr>
            <w:tcW w:w="3720" w:type="dxa"/>
            <w:vAlign w:val="bottom"/>
          </w:tcPr>
          <w:p>
            <w:pPr>
              <w:jc w:val="center"/>
              <w:ind w:right="648"/>
              <w:spacing w:after="0"/>
              <w:rPr>
                <w:sz w:val="20"/>
                <w:szCs w:val="20"/>
                <w:color w:val="auto"/>
              </w:rPr>
            </w:pPr>
            <w:r>
              <w:rPr>
                <w:rFonts w:ascii="Arial" w:cs="Arial" w:eastAsia="Arial" w:hAnsi="Arial"/>
                <w:sz w:val="14"/>
                <w:szCs w:val="14"/>
                <w:color w:val="auto"/>
              </w:rPr>
              <w:t>The Nasdaq Stock Market LLC</w:t>
            </w:r>
          </w:p>
        </w:tc>
      </w:tr>
    </w:tbl>
    <w:p>
      <w:pPr>
        <w:spacing w:after="0" w:line="219" w:lineRule="exact"/>
        <w:rPr>
          <w:sz w:val="24"/>
          <w:szCs w:val="24"/>
          <w:color w:val="auto"/>
        </w:rPr>
      </w:pPr>
    </w:p>
    <w:p>
      <w:pPr>
        <w:ind w:right="180" w:firstLine="324"/>
        <w:spacing w:after="0" w:line="2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9"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6" w:lineRule="exact"/>
        <w:rPr>
          <w:sz w:val="24"/>
          <w:szCs w:val="24"/>
          <w:color w:val="auto"/>
        </w:rPr>
      </w:pPr>
    </w:p>
    <w:p>
      <w:pPr>
        <w:ind w:right="360" w:firstLine="324"/>
        <w:spacing w:after="0" w:line="258"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9"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6" w:lineRule="exact"/>
        <w:rPr>
          <w:sz w:val="24"/>
          <w:szCs w:val="24"/>
          <w:color w:val="auto"/>
        </w:rPr>
      </w:pPr>
    </w:p>
    <w:p>
      <w:pPr>
        <w:ind w:right="140" w:firstLine="324"/>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30" w:right="339" w:bottom="1440" w:gutter="0" w:footer="0" w:header="0"/>
        </w:sectPr>
      </w:pPr>
    </w:p>
    <w:p>
      <w:pPr>
        <w:spacing w:after="0" w:line="103" w:lineRule="exact"/>
        <w:rPr>
          <w:sz w:val="24"/>
          <w:szCs w:val="24"/>
          <w:color w:val="auto"/>
        </w:rPr>
      </w:pPr>
    </w:p>
    <w:p>
      <w:pPr>
        <w:jc w:val="center"/>
        <w:ind w:left="6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65" w:lineRule="exact"/>
        <w:rPr>
          <w:sz w:val="24"/>
          <w:szCs w:val="24"/>
          <w:color w:val="auto"/>
        </w:rPr>
      </w:pPr>
    </w:p>
    <w:p>
      <w:pPr>
        <w:sectPr>
          <w:pgSz w:w="11900" w:h="16838" w:orient="portrait"/>
          <w:cols w:equalWidth="0" w:num="3">
            <w:col w:w="5660" w:space="720"/>
            <w:col w:w="2580" w:space="720"/>
            <w:col w:w="1560"/>
          </w:cols>
          <w:pgMar w:left="320" w:top="530" w:right="339" w:bottom="1440" w:gutter="0" w:footer="0" w:header="0"/>
          <w:type w:val="continuous"/>
        </w:sectPr>
      </w:pPr>
    </w:p>
    <w:p>
      <w:pPr>
        <w:ind w:left="570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8620" w:space="720"/>
            <w:col w:w="1900"/>
          </w:cols>
          <w:pgMar w:left="320" w:top="530" w:right="339" w:bottom="1440" w:gutter="0" w:footer="0" w:header="0"/>
          <w:type w:val="continuous"/>
        </w:sectPr>
      </w:pPr>
    </w:p>
    <w:p>
      <w:pPr>
        <w:spacing w:after="0" w:line="112" w:lineRule="exact"/>
        <w:rPr>
          <w:sz w:val="24"/>
          <w:szCs w:val="24"/>
          <w:color w:val="auto"/>
        </w:rPr>
      </w:pPr>
    </w:p>
    <w:p>
      <w:pPr>
        <w:ind w:right="540" w:firstLine="324"/>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ind w:left="52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Number of shares outstanding by each class of common stock, as of March 31, 2022: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Common Stock, $0.01 par value – 57,964,320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20" w:type="dxa"/>
            <w:vAlign w:val="bottom"/>
            <w:gridSpan w:val="39"/>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020" w:type="dxa"/>
            <w:vAlign w:val="bottom"/>
          </w:tcPr>
          <w:p>
            <w:pPr>
              <w:spacing w:after="0"/>
              <w:rPr>
                <w:sz w:val="17"/>
                <w:szCs w:val="17"/>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20" w:type="dxa"/>
            <w:vAlign w:val="bottom"/>
            <w:gridSpan w:val="8"/>
          </w:tcPr>
          <w:p>
            <w:pPr>
              <w:jc w:val="center"/>
              <w:ind w:right="2860"/>
              <w:spacing w:after="0"/>
              <w:rPr>
                <w:sz w:val="20"/>
                <w:szCs w:val="20"/>
                <w:color w:val="auto"/>
              </w:rPr>
            </w:pPr>
            <w:r>
              <w:rPr>
                <w:rFonts w:ascii="Arial" w:cs="Arial" w:eastAsia="Arial" w:hAnsi="Arial"/>
                <w:sz w:val="18"/>
                <w:szCs w:val="18"/>
                <w:b w:val="1"/>
                <w:bCs w:val="1"/>
                <w:color w:val="auto"/>
                <w:w w:val="99"/>
              </w:rPr>
              <w:t>Sun Country Airlines Holdings, Inc.</w:t>
            </w:r>
          </w:p>
        </w:tc>
        <w:tc>
          <w:tcPr>
            <w:tcW w:w="10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0" w:type="dxa"/>
            <w:vAlign w:val="bottom"/>
            <w:gridSpan w:val="5"/>
          </w:tcPr>
          <w:p>
            <w:pPr>
              <w:jc w:val="center"/>
              <w:ind w:right="3980"/>
              <w:spacing w:after="0"/>
              <w:rPr>
                <w:sz w:val="20"/>
                <w:szCs w:val="20"/>
                <w:color w:val="auto"/>
              </w:rPr>
            </w:pPr>
            <w:r>
              <w:rPr>
                <w:rFonts w:ascii="Arial" w:cs="Arial" w:eastAsia="Arial" w:hAnsi="Arial"/>
                <w:sz w:val="18"/>
                <w:szCs w:val="18"/>
                <w:b w:val="1"/>
                <w:bCs w:val="1"/>
                <w:color w:val="auto"/>
                <w:w w:val="99"/>
              </w:rPr>
              <w:t>Form 10-Q</w:t>
            </w:r>
          </w:p>
        </w:tc>
        <w:tc>
          <w:tcPr>
            <w:tcW w:w="102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0" w:type="dxa"/>
            <w:vAlign w:val="bottom"/>
            <w:gridSpan w:val="6"/>
          </w:tcPr>
          <w:p>
            <w:pPr>
              <w:jc w:val="center"/>
              <w:ind w:right="338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Page</w:t>
            </w:r>
          </w:p>
        </w:tc>
      </w:tr>
      <w:tr>
        <w:trPr>
          <w:trHeight w:val="439"/>
        </w:trPr>
        <w:tc>
          <w:tcPr>
            <w:tcW w:w="20" w:type="dxa"/>
            <w:vAlign w:val="bottom"/>
          </w:tcPr>
          <w:p>
            <w:pPr>
              <w:spacing w:after="0"/>
              <w:rPr>
                <w:sz w:val="24"/>
                <w:szCs w:val="24"/>
                <w:color w:val="auto"/>
              </w:rPr>
            </w:pPr>
          </w:p>
        </w:tc>
        <w:tc>
          <w:tcPr>
            <w:tcW w:w="2380" w:type="dxa"/>
            <w:vAlign w:val="bottom"/>
            <w:tcBorders>
              <w:bottom w:val="single" w:sz="8" w:color="0000FF"/>
            </w:tcBorders>
            <w:gridSpan w:val="20"/>
          </w:tcPr>
          <w:p>
            <w:pPr>
              <w:spacing w:after="0"/>
              <w:rPr>
                <w:rFonts w:ascii="Arial" w:cs="Arial" w:eastAsia="Arial" w:hAnsi="Arial"/>
                <w:sz w:val="18"/>
                <w:szCs w:val="18"/>
                <w:b w:val="1"/>
                <w:bCs w:val="1"/>
                <w:color w:val="0000FF"/>
                <w:w w:val="99"/>
              </w:rPr>
            </w:pPr>
            <w:hyperlink w:anchor="page2">
              <w:r>
                <w:rPr>
                  <w:rFonts w:ascii="Arial" w:cs="Arial" w:eastAsia="Arial" w:hAnsi="Arial"/>
                  <w:sz w:val="18"/>
                  <w:szCs w:val="18"/>
                  <w:b w:val="1"/>
                  <w:bCs w:val="1"/>
                  <w:color w:val="0000FF"/>
                  <w:w w:val="99"/>
                </w:rPr>
                <w:t>Part I. Financial Information</w:t>
              </w:r>
            </w:hyperlink>
          </w:p>
        </w:tc>
        <w:tc>
          <w:tcPr>
            <w:tcW w:w="7820" w:type="dxa"/>
            <w:vAlign w:val="bottom"/>
            <w:gridSpan w:val="18"/>
          </w:tcPr>
          <w:p>
            <w:pPr>
              <w:spacing w:after="0"/>
              <w:rPr>
                <w:sz w:val="24"/>
                <w:szCs w:val="24"/>
                <w:color w:val="auto"/>
              </w:rPr>
            </w:pPr>
          </w:p>
        </w:tc>
        <w:tc>
          <w:tcPr>
            <w:tcW w:w="10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bottom w:val="single" w:sz="8" w:color="0000FF"/>
            </w:tcBorders>
            <w:gridSpan w:val="20"/>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Item 1. Financial Statements</w:t>
              </w:r>
            </w:hyperlink>
          </w:p>
        </w:tc>
        <w:tc>
          <w:tcPr>
            <w:tcW w:w="7800" w:type="dxa"/>
            <w:vAlign w:val="bottom"/>
            <w:gridSpan w:val="17"/>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Borders>
              <w:bottom w:val="single" w:sz="8" w:color="0000FF"/>
            </w:tcBorders>
            <w:gridSpan w:val="27"/>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Condensed Consolidated Balance Sheets</w:t>
              </w:r>
            </w:hyperlink>
          </w:p>
        </w:tc>
        <w:tc>
          <w:tcPr>
            <w:tcW w:w="6640" w:type="dxa"/>
            <w:vAlign w:val="bottom"/>
            <w:gridSpan w:val="9"/>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3</w:t>
              </w:r>
            </w:hyperlink>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tcBorders>
              <w:bottom w:val="single" w:sz="8" w:color="0000FF"/>
            </w:tcBorders>
            <w:gridSpan w:val="29"/>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Statements of Operations</w:t>
              </w:r>
            </w:hyperlink>
          </w:p>
        </w:tc>
        <w:tc>
          <w:tcPr>
            <w:tcW w:w="5860" w:type="dxa"/>
            <w:vAlign w:val="bottom"/>
            <w:gridSpan w:val="7"/>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5</w:t>
              </w:r>
            </w:hyperlink>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3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Changes in Stockholders’ Equity</w:t>
              </w:r>
            </w:hyperlink>
          </w:p>
        </w:tc>
        <w:tc>
          <w:tcPr>
            <w:tcW w:w="1020" w:type="dxa"/>
            <w:vAlign w:val="bottom"/>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6</w:t>
              </w:r>
            </w:hyperlink>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Borders>
              <w:top w:val="single" w:sz="8" w:color="0000FF"/>
              <w:bottom w:val="single" w:sz="8" w:color="0000FF"/>
            </w:tcBorders>
            <w:gridSpan w:val="30"/>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Cash Flows</w:t>
              </w:r>
            </w:hyperlink>
          </w:p>
        </w:tc>
        <w:tc>
          <w:tcPr>
            <w:tcW w:w="1640" w:type="dxa"/>
            <w:vAlign w:val="bottom"/>
            <w:tcBorders>
              <w:top w:val="single" w:sz="8" w:color="0000FF"/>
            </w:tcBorders>
            <w:gridSpan w:val="4"/>
          </w:tcPr>
          <w:p>
            <w:pPr>
              <w:spacing w:after="0"/>
              <w:rPr>
                <w:sz w:val="18"/>
                <w:szCs w:val="18"/>
                <w:color w:val="auto"/>
              </w:rPr>
            </w:pPr>
          </w:p>
        </w:tc>
        <w:tc>
          <w:tcPr>
            <w:tcW w:w="4160" w:type="dxa"/>
            <w:vAlign w:val="bottom"/>
            <w:gridSpan w:val="2"/>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7</w:t>
              </w:r>
            </w:hyperlink>
          </w:p>
        </w:tc>
      </w:tr>
      <w:tr>
        <w:trPr>
          <w:trHeight w:val="47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tcBorders>
              <w:bottom w:val="single" w:sz="8" w:color="0000FF"/>
            </w:tcBorders>
            <w:gridSpan w:val="31"/>
          </w:tcPr>
          <w:p>
            <w:pP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Notes to the Condensed Consolidated Financial Statements</w:t>
              </w:r>
            </w:hyperlink>
          </w:p>
        </w:tc>
        <w:tc>
          <w:tcPr>
            <w:tcW w:w="5200" w:type="dxa"/>
            <w:vAlign w:val="bottom"/>
            <w:gridSpan w:val="5"/>
          </w:tcPr>
          <w:p>
            <w:pPr>
              <w:spacing w:after="0"/>
              <w:rPr>
                <w:sz w:val="24"/>
                <w:szCs w:val="24"/>
                <w:color w:val="auto"/>
              </w:rPr>
            </w:pPr>
          </w:p>
        </w:tc>
        <w:tc>
          <w:tcPr>
            <w:tcW w:w="1020" w:type="dxa"/>
            <w:vAlign w:val="bottom"/>
          </w:tcPr>
          <w:p>
            <w:pPr>
              <w:spacing w:after="0"/>
              <w:rPr>
                <w:sz w:val="24"/>
                <w:szCs w:val="24"/>
                <w:color w:val="auto"/>
              </w:rPr>
            </w:pPr>
          </w:p>
        </w:tc>
      </w:tr>
      <w:tr>
        <w:trPr>
          <w:trHeight w:val="480"/>
        </w:trPr>
        <w:tc>
          <w:tcPr>
            <w:tcW w:w="660" w:type="dxa"/>
            <w:vAlign w:val="bottom"/>
            <w:gridSpan w:val="6"/>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1</w:t>
              </w:r>
            </w:hyperlink>
          </w:p>
        </w:tc>
        <w:tc>
          <w:tcPr>
            <w:tcW w:w="100" w:type="dxa"/>
            <w:vAlign w:val="bottom"/>
          </w:tcPr>
          <w:p>
            <w:pPr>
              <w:spacing w:after="0"/>
              <w:rPr>
                <w:sz w:val="24"/>
                <w:szCs w:val="24"/>
                <w:color w:val="auto"/>
              </w:rPr>
            </w:pPr>
          </w:p>
        </w:tc>
        <w:tc>
          <w:tcPr>
            <w:tcW w:w="178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9">
              <w:r>
                <w:rPr>
                  <w:rFonts w:ascii="Arial" w:cs="Arial" w:eastAsia="Arial" w:hAnsi="Arial"/>
                  <w:sz w:val="18"/>
                  <w:szCs w:val="18"/>
                  <w:color w:val="0000FF"/>
                  <w:w w:val="98"/>
                </w:rPr>
                <w:t>Company Background</w:t>
              </w:r>
            </w:hyperlink>
          </w:p>
        </w:tc>
        <w:tc>
          <w:tcPr>
            <w:tcW w:w="7680" w:type="dxa"/>
            <w:vAlign w:val="bottom"/>
            <w:gridSpan w:val="15"/>
          </w:tcPr>
          <w:p>
            <w:pPr>
              <w:spacing w:after="0"/>
              <w:rPr>
                <w:sz w:val="24"/>
                <w:szCs w:val="24"/>
                <w:color w:val="auto"/>
              </w:rPr>
            </w:pPr>
          </w:p>
        </w:tc>
        <w:tc>
          <w:tcPr>
            <w:tcW w:w="1020" w:type="dxa"/>
            <w:vAlign w:val="bottom"/>
          </w:tcPr>
          <w:p>
            <w:pPr>
              <w:jc w:val="center"/>
              <w:spacing w:after="0"/>
              <w:rPr>
                <w:rFonts w:ascii="Arial" w:cs="Arial" w:eastAsia="Arial" w:hAnsi="Arial"/>
                <w:sz w:val="18"/>
                <w:szCs w:val="18"/>
                <w:color w:val="auto"/>
                <w:w w:val="99"/>
              </w:rPr>
            </w:pPr>
            <w:hyperlink w:anchor="page9">
              <w:r>
                <w:rPr>
                  <w:rFonts w:ascii="Arial" w:cs="Arial" w:eastAsia="Arial" w:hAnsi="Arial"/>
                  <w:sz w:val="18"/>
                  <w:szCs w:val="18"/>
                  <w:color w:val="auto"/>
                  <w:w w:val="99"/>
                </w:rPr>
                <w:t>8</w:t>
              </w:r>
            </w:hyperlink>
          </w:p>
        </w:tc>
      </w:tr>
      <w:tr>
        <w:trPr>
          <w:trHeight w:val="223"/>
        </w:trPr>
        <w:tc>
          <w:tcPr>
            <w:tcW w:w="460" w:type="dxa"/>
            <w:vAlign w:val="bottom"/>
            <w:gridSpan w:val="4"/>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2</w:t>
              </w:r>
            </w:hyperlink>
          </w:p>
        </w:tc>
        <w:tc>
          <w:tcPr>
            <w:tcW w:w="100" w:type="dxa"/>
            <w:vAlign w:val="bottom"/>
          </w:tcPr>
          <w:p>
            <w:pPr>
              <w:spacing w:after="0"/>
              <w:rPr>
                <w:sz w:val="19"/>
                <w:szCs w:val="19"/>
                <w:color w:val="auto"/>
              </w:rPr>
            </w:pPr>
          </w:p>
        </w:tc>
        <w:tc>
          <w:tcPr>
            <w:tcW w:w="9460" w:type="dxa"/>
            <w:vAlign w:val="bottom"/>
            <w:gridSpan w:val="32"/>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Basis of Presentation</w:t>
              </w:r>
            </w:hyperlink>
          </w:p>
        </w:tc>
        <w:tc>
          <w:tcPr>
            <w:tcW w:w="1020" w:type="dxa"/>
            <w:vAlign w:val="bottom"/>
          </w:tcPr>
          <w:p>
            <w:pPr>
              <w:jc w:val="center"/>
              <w:spacing w:after="0"/>
              <w:rPr>
                <w:rFonts w:ascii="Arial" w:cs="Arial" w:eastAsia="Arial" w:hAnsi="Arial"/>
                <w:sz w:val="18"/>
                <w:szCs w:val="18"/>
                <w:color w:val="auto"/>
                <w:w w:val="99"/>
              </w:rPr>
            </w:pPr>
            <w:hyperlink w:anchor="page10">
              <w:r>
                <w:rPr>
                  <w:rFonts w:ascii="Arial" w:cs="Arial" w:eastAsia="Arial" w:hAnsi="Arial"/>
                  <w:sz w:val="18"/>
                  <w:szCs w:val="18"/>
                  <w:color w:val="auto"/>
                  <w:w w:val="99"/>
                </w:rPr>
                <w:t>9</w:t>
              </w:r>
            </w:hyperlink>
          </w:p>
        </w:tc>
      </w:tr>
      <w:tr>
        <w:trPr>
          <w:trHeight w:val="20"/>
        </w:trPr>
        <w:tc>
          <w:tcPr>
            <w:tcW w:w="4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7"/>
        </w:trPr>
        <w:tc>
          <w:tcPr>
            <w:tcW w:w="660" w:type="dxa"/>
            <w:vAlign w:val="bottom"/>
            <w:gridSpan w:val="6"/>
          </w:tcPr>
          <w:p>
            <w:pPr>
              <w:jc w:val="right"/>
              <w:spacing w:after="0" w:line="196" w:lineRule="exact"/>
              <w:rPr>
                <w:rFonts w:ascii="Arial" w:cs="Arial" w:eastAsia="Arial" w:hAnsi="Arial"/>
                <w:sz w:val="18"/>
                <w:szCs w:val="18"/>
                <w:color w:val="0000FF"/>
              </w:rPr>
            </w:pPr>
            <w:hyperlink w:anchor="page11">
              <w:r>
                <w:rPr>
                  <w:rFonts w:ascii="Arial" w:cs="Arial" w:eastAsia="Arial" w:hAnsi="Arial"/>
                  <w:sz w:val="18"/>
                  <w:szCs w:val="18"/>
                  <w:color w:val="0000FF"/>
                </w:rPr>
                <w:t>3</w:t>
              </w:r>
            </w:hyperlink>
          </w:p>
        </w:tc>
        <w:tc>
          <w:tcPr>
            <w:tcW w:w="100" w:type="dxa"/>
            <w:vAlign w:val="bottom"/>
          </w:tcPr>
          <w:p>
            <w:pPr>
              <w:spacing w:after="0"/>
              <w:rPr>
                <w:sz w:val="17"/>
                <w:szCs w:val="17"/>
                <w:color w:val="auto"/>
              </w:rPr>
            </w:pPr>
          </w:p>
        </w:tc>
        <w:tc>
          <w:tcPr>
            <w:tcW w:w="9460" w:type="dxa"/>
            <w:vAlign w:val="bottom"/>
            <w:gridSpan w:val="32"/>
          </w:tcPr>
          <w:p>
            <w:pPr>
              <w:spacing w:after="0" w:line="196" w:lineRule="exact"/>
              <w:rPr>
                <w:rFonts w:ascii="Arial" w:cs="Arial" w:eastAsia="Arial" w:hAnsi="Arial"/>
                <w:sz w:val="18"/>
                <w:szCs w:val="18"/>
                <w:color w:val="0000FF"/>
              </w:rPr>
            </w:pPr>
            <w:hyperlink w:anchor="page11">
              <w:r>
                <w:rPr>
                  <w:rFonts w:ascii="Arial" w:cs="Arial" w:eastAsia="Arial" w:hAnsi="Arial"/>
                  <w:sz w:val="18"/>
                  <w:szCs w:val="18"/>
                  <w:color w:val="0000FF"/>
                </w:rPr>
                <w:t>Impact of the COVID-19 Pandemic</w:t>
              </w:r>
            </w:hyperlink>
          </w:p>
        </w:tc>
        <w:tc>
          <w:tcPr>
            <w:tcW w:w="1020" w:type="dxa"/>
            <w:vAlign w:val="bottom"/>
          </w:tcPr>
          <w:p>
            <w:pPr>
              <w:jc w:val="center"/>
              <w:spacing w:after="0" w:line="196" w:lineRule="exact"/>
              <w:rPr>
                <w:rFonts w:ascii="Arial" w:cs="Arial" w:eastAsia="Arial" w:hAnsi="Arial"/>
                <w:sz w:val="18"/>
                <w:szCs w:val="18"/>
                <w:color w:val="auto"/>
                <w:w w:val="99"/>
              </w:rPr>
            </w:pPr>
            <w:hyperlink w:anchor="page11">
              <w:r>
                <w:rPr>
                  <w:rFonts w:ascii="Arial" w:cs="Arial" w:eastAsia="Arial" w:hAnsi="Arial"/>
                  <w:sz w:val="18"/>
                  <w:szCs w:val="18"/>
                  <w:color w:val="auto"/>
                  <w:w w:val="99"/>
                </w:rPr>
                <w:t>10</w:t>
              </w:r>
            </w:hyperlink>
          </w:p>
        </w:tc>
      </w:tr>
      <w:tr>
        <w:trPr>
          <w:trHeight w:val="209"/>
        </w:trPr>
        <w:tc>
          <w:tcPr>
            <w:tcW w:w="560" w:type="dxa"/>
            <w:vAlign w:val="bottom"/>
            <w:gridSpan w:val="5"/>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4</w:t>
              </w:r>
            </w:hyperlink>
          </w:p>
        </w:tc>
        <w:tc>
          <w:tcPr>
            <w:tcW w:w="100" w:type="dxa"/>
            <w:vAlign w:val="bottom"/>
          </w:tcPr>
          <w:p>
            <w:pPr>
              <w:spacing w:after="0"/>
              <w:rPr>
                <w:sz w:val="18"/>
                <w:szCs w:val="18"/>
                <w:color w:val="auto"/>
              </w:rPr>
            </w:pPr>
          </w:p>
        </w:tc>
        <w:tc>
          <w:tcPr>
            <w:tcW w:w="7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7"/>
              </w:rPr>
            </w:pPr>
            <w:hyperlink w:anchor="page11">
              <w:r>
                <w:rPr>
                  <w:rFonts w:ascii="Arial" w:cs="Arial" w:eastAsia="Arial" w:hAnsi="Arial"/>
                  <w:sz w:val="18"/>
                  <w:szCs w:val="18"/>
                  <w:color w:val="0000FF"/>
                  <w:w w:val="97"/>
                </w:rPr>
                <w:t>Revenue</w:t>
              </w:r>
            </w:hyperlink>
          </w:p>
        </w:tc>
        <w:tc>
          <w:tcPr>
            <w:tcW w:w="2040" w:type="dxa"/>
            <w:vAlign w:val="bottom"/>
            <w:tcBorders>
              <w:top w:val="single" w:sz="8" w:color="0000FF"/>
            </w:tcBorders>
            <w:gridSpan w:val="16"/>
          </w:tcPr>
          <w:p>
            <w:pPr>
              <w:spacing w:after="0"/>
              <w:rPr>
                <w:sz w:val="18"/>
                <w:szCs w:val="18"/>
                <w:color w:val="auto"/>
              </w:rPr>
            </w:pPr>
          </w:p>
        </w:tc>
        <w:tc>
          <w:tcPr>
            <w:tcW w:w="6700" w:type="dxa"/>
            <w:vAlign w:val="bottom"/>
            <w:gridSpan w:val="10"/>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auto"/>
                <w:w w:val="99"/>
              </w:rPr>
            </w:pPr>
            <w:hyperlink w:anchor="page11">
              <w:r>
                <w:rPr>
                  <w:rFonts w:ascii="Arial" w:cs="Arial" w:eastAsia="Arial" w:hAnsi="Arial"/>
                  <w:sz w:val="18"/>
                  <w:szCs w:val="18"/>
                  <w:color w:val="auto"/>
                  <w:w w:val="99"/>
                </w:rPr>
                <w:t>11</w:t>
              </w:r>
            </w:hyperlink>
          </w:p>
        </w:tc>
      </w:tr>
      <w:tr>
        <w:trPr>
          <w:trHeight w:val="209"/>
        </w:trPr>
        <w:tc>
          <w:tcPr>
            <w:tcW w:w="560" w:type="dxa"/>
            <w:vAlign w:val="bottom"/>
            <w:gridSpan w:val="5"/>
          </w:tcPr>
          <w:p>
            <w:pPr>
              <w:spacing w:after="0"/>
              <w:rPr>
                <w:sz w:val="18"/>
                <w:szCs w:val="18"/>
                <w:color w:val="auto"/>
              </w:rPr>
            </w:pPr>
          </w:p>
        </w:tc>
        <w:tc>
          <w:tcPr>
            <w:tcW w:w="100" w:type="dxa"/>
            <w:vAlign w:val="bottom"/>
          </w:tcPr>
          <w:p>
            <w:pPr>
              <w:jc w:val="right"/>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5</w:t>
              </w:r>
            </w:hyperlink>
          </w:p>
        </w:tc>
        <w:tc>
          <w:tcPr>
            <w:tcW w:w="100" w:type="dxa"/>
            <w:vAlign w:val="bottom"/>
          </w:tcPr>
          <w:p>
            <w:pPr>
              <w:spacing w:after="0"/>
              <w:rPr>
                <w:sz w:val="18"/>
                <w:szCs w:val="18"/>
                <w:color w:val="auto"/>
              </w:rPr>
            </w:pPr>
          </w:p>
        </w:tc>
        <w:tc>
          <w:tcPr>
            <w:tcW w:w="9460" w:type="dxa"/>
            <w:vAlign w:val="bottom"/>
            <w:gridSpan w:val="32"/>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Earnings per Share</w:t>
              </w:r>
            </w:hyperlink>
          </w:p>
        </w:tc>
        <w:tc>
          <w:tcPr>
            <w:tcW w:w="1020" w:type="dxa"/>
            <w:vAlign w:val="bottom"/>
          </w:tcPr>
          <w:p>
            <w:pPr>
              <w:jc w:val="center"/>
              <w:spacing w:after="0"/>
              <w:rPr>
                <w:rFonts w:ascii="Arial" w:cs="Arial" w:eastAsia="Arial" w:hAnsi="Arial"/>
                <w:sz w:val="18"/>
                <w:szCs w:val="18"/>
                <w:color w:val="auto"/>
                <w:w w:val="99"/>
              </w:rPr>
            </w:pPr>
            <w:hyperlink w:anchor="page14">
              <w:r>
                <w:rPr>
                  <w:rFonts w:ascii="Arial" w:cs="Arial" w:eastAsia="Arial" w:hAnsi="Arial"/>
                  <w:sz w:val="18"/>
                  <w:szCs w:val="18"/>
                  <w:color w:val="auto"/>
                  <w:w w:val="99"/>
                </w:rPr>
                <w:t>13</w:t>
              </w:r>
            </w:hyperlink>
          </w:p>
        </w:tc>
      </w:tr>
      <w:tr>
        <w:trPr>
          <w:trHeight w:val="210"/>
        </w:trPr>
        <w:tc>
          <w:tcPr>
            <w:tcW w:w="560" w:type="dxa"/>
            <w:vAlign w:val="bottom"/>
            <w:gridSpan w:val="5"/>
          </w:tcPr>
          <w:p>
            <w:pPr>
              <w:spacing w:after="0"/>
              <w:rPr>
                <w:sz w:val="18"/>
                <w:szCs w:val="18"/>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6</w:t>
              </w:r>
            </w:hyperlink>
          </w:p>
        </w:tc>
        <w:tc>
          <w:tcPr>
            <w:tcW w:w="100" w:type="dxa"/>
            <w:vAlign w:val="bottom"/>
          </w:tcPr>
          <w:p>
            <w:pPr>
              <w:spacing w:after="0"/>
              <w:rPr>
                <w:sz w:val="18"/>
                <w:szCs w:val="18"/>
                <w:color w:val="auto"/>
              </w:rPr>
            </w:pPr>
          </w:p>
        </w:tc>
        <w:tc>
          <w:tcPr>
            <w:tcW w:w="1540" w:type="dxa"/>
            <w:vAlign w:val="bottom"/>
            <w:tcBorders>
              <w:top w:val="single" w:sz="8" w:color="0000FF"/>
            </w:tcBorders>
            <w:gridSpan w:val="12"/>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Aircraft</w:t>
              </w:r>
            </w:hyperlink>
          </w:p>
        </w:tc>
        <w:tc>
          <w:tcPr>
            <w:tcW w:w="7920" w:type="dxa"/>
            <w:vAlign w:val="bottom"/>
            <w:gridSpan w:val="20"/>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auto"/>
                <w:w w:val="99"/>
              </w:rPr>
            </w:pPr>
            <w:hyperlink w:anchor="page14">
              <w:r>
                <w:rPr>
                  <w:rFonts w:ascii="Arial" w:cs="Arial" w:eastAsia="Arial" w:hAnsi="Arial"/>
                  <w:sz w:val="18"/>
                  <w:szCs w:val="18"/>
                  <w:color w:val="auto"/>
                  <w:w w:val="99"/>
                </w:rPr>
                <w:t>14</w:t>
              </w:r>
            </w:hyperlink>
          </w:p>
        </w:tc>
      </w:tr>
      <w:tr>
        <w:trPr>
          <w:trHeight w:val="210"/>
        </w:trPr>
        <w:tc>
          <w:tcPr>
            <w:tcW w:w="560" w:type="dxa"/>
            <w:vAlign w:val="bottom"/>
            <w:gridSpan w:val="5"/>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7</w:t>
              </w:r>
            </w:hyperlink>
          </w:p>
        </w:tc>
        <w:tc>
          <w:tcPr>
            <w:tcW w:w="100" w:type="dxa"/>
            <w:vAlign w:val="bottom"/>
          </w:tcPr>
          <w:p>
            <w:pPr>
              <w:spacing w:after="0"/>
              <w:rPr>
                <w:sz w:val="18"/>
                <w:szCs w:val="18"/>
                <w:color w:val="auto"/>
              </w:rPr>
            </w:pPr>
          </w:p>
        </w:tc>
        <w:tc>
          <w:tcPr>
            <w:tcW w:w="3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4"/>
              </w:rPr>
            </w:pPr>
            <w:hyperlink w:anchor="page16">
              <w:r>
                <w:rPr>
                  <w:rFonts w:ascii="Arial" w:cs="Arial" w:eastAsia="Arial" w:hAnsi="Arial"/>
                  <w:sz w:val="18"/>
                  <w:szCs w:val="18"/>
                  <w:color w:val="0000FF"/>
                  <w:w w:val="94"/>
                </w:rPr>
                <w:t>Debt</w:t>
              </w:r>
            </w:hyperlink>
          </w:p>
        </w:tc>
        <w:tc>
          <w:tcPr>
            <w:tcW w:w="180" w:type="dxa"/>
            <w:vAlign w:val="bottom"/>
            <w:tcBorders>
              <w:top w:val="single" w:sz="8" w:color="0000FF"/>
            </w:tcBorders>
          </w:tcPr>
          <w:p>
            <w:pPr>
              <w:spacing w:after="0"/>
              <w:rPr>
                <w:sz w:val="18"/>
                <w:szCs w:val="18"/>
                <w:color w:val="auto"/>
              </w:rPr>
            </w:pPr>
          </w:p>
        </w:tc>
        <w:tc>
          <w:tcPr>
            <w:tcW w:w="8900" w:type="dxa"/>
            <w:vAlign w:val="bottom"/>
            <w:gridSpan w:val="29"/>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auto"/>
                <w:w w:val="99"/>
              </w:rPr>
            </w:pPr>
            <w:hyperlink w:anchor="page16">
              <w:r>
                <w:rPr>
                  <w:rFonts w:ascii="Arial" w:cs="Arial" w:eastAsia="Arial" w:hAnsi="Arial"/>
                  <w:sz w:val="18"/>
                  <w:szCs w:val="18"/>
                  <w:color w:val="auto"/>
                  <w:w w:val="99"/>
                </w:rPr>
                <w:t>16</w:t>
              </w:r>
            </w:hyperlink>
          </w:p>
        </w:tc>
      </w:tr>
      <w:tr>
        <w:trPr>
          <w:trHeight w:val="209"/>
        </w:trPr>
        <w:tc>
          <w:tcPr>
            <w:tcW w:w="660" w:type="dxa"/>
            <w:vAlign w:val="bottom"/>
            <w:gridSpan w:val="6"/>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8</w:t>
              </w:r>
            </w:hyperlink>
          </w:p>
        </w:tc>
        <w:tc>
          <w:tcPr>
            <w:tcW w:w="100" w:type="dxa"/>
            <w:vAlign w:val="bottom"/>
          </w:tcPr>
          <w:p>
            <w:pPr>
              <w:spacing w:after="0"/>
              <w:rPr>
                <w:sz w:val="18"/>
                <w:szCs w:val="18"/>
                <w:color w:val="auto"/>
              </w:rPr>
            </w:pPr>
          </w:p>
        </w:tc>
        <w:tc>
          <w:tcPr>
            <w:tcW w:w="3140" w:type="dxa"/>
            <w:vAlign w:val="bottom"/>
            <w:tcBorders>
              <w:bottom w:val="single" w:sz="8" w:color="0000FF"/>
            </w:tcBorders>
            <w:gridSpan w:val="24"/>
          </w:tcPr>
          <w:p>
            <w:pPr>
              <w:spacing w:after="0"/>
              <w:rPr>
                <w:rFonts w:ascii="Arial" w:cs="Arial" w:eastAsia="Arial" w:hAnsi="Arial"/>
                <w:sz w:val="18"/>
                <w:szCs w:val="18"/>
                <w:color w:val="0000FF"/>
                <w:w w:val="99"/>
              </w:rPr>
            </w:pPr>
            <w:hyperlink w:anchor="page18">
              <w:r>
                <w:rPr>
                  <w:rFonts w:ascii="Arial" w:cs="Arial" w:eastAsia="Arial" w:hAnsi="Arial"/>
                  <w:sz w:val="18"/>
                  <w:szCs w:val="18"/>
                  <w:color w:val="0000FF"/>
                  <w:w w:val="99"/>
                </w:rPr>
                <w:t>Fuel Derivatives and Risk Management</w:t>
              </w:r>
            </w:hyperlink>
          </w:p>
        </w:tc>
        <w:tc>
          <w:tcPr>
            <w:tcW w:w="6320" w:type="dxa"/>
            <w:vAlign w:val="bottom"/>
            <w:gridSpan w:val="8"/>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auto"/>
                <w:w w:val="99"/>
              </w:rPr>
            </w:pPr>
            <w:hyperlink w:anchor="page18">
              <w:r>
                <w:rPr>
                  <w:rFonts w:ascii="Arial" w:cs="Arial" w:eastAsia="Arial" w:hAnsi="Arial"/>
                  <w:sz w:val="18"/>
                  <w:szCs w:val="18"/>
                  <w:color w:val="auto"/>
                  <w:w w:val="99"/>
                </w:rPr>
                <w:t>18</w:t>
              </w:r>
            </w:hyperlink>
          </w:p>
        </w:tc>
      </w:tr>
      <w:tr>
        <w:trPr>
          <w:trHeight w:val="210"/>
        </w:trPr>
        <w:tc>
          <w:tcPr>
            <w:tcW w:w="560" w:type="dxa"/>
            <w:vAlign w:val="bottom"/>
            <w:gridSpan w:val="5"/>
          </w:tcPr>
          <w:p>
            <w:pPr>
              <w:spacing w:after="0"/>
              <w:rPr>
                <w:sz w:val="18"/>
                <w:szCs w:val="18"/>
                <w:color w:val="auto"/>
              </w:rPr>
            </w:pPr>
          </w:p>
        </w:tc>
        <w:tc>
          <w:tcPr>
            <w:tcW w:w="100" w:type="dxa"/>
            <w:vAlign w:val="bottom"/>
          </w:tcPr>
          <w:p>
            <w:pPr>
              <w:jc w:val="right"/>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9</w:t>
              </w:r>
            </w:hyperlink>
          </w:p>
        </w:tc>
        <w:tc>
          <w:tcPr>
            <w:tcW w:w="100" w:type="dxa"/>
            <w:vAlign w:val="bottom"/>
          </w:tcPr>
          <w:p>
            <w:pPr>
              <w:spacing w:after="0"/>
              <w:rPr>
                <w:sz w:val="18"/>
                <w:szCs w:val="18"/>
                <w:color w:val="auto"/>
              </w:rPr>
            </w:pPr>
          </w:p>
        </w:tc>
        <w:tc>
          <w:tcPr>
            <w:tcW w:w="9460" w:type="dxa"/>
            <w:vAlign w:val="bottom"/>
            <w:gridSpan w:val="32"/>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Fair Value Measurements</w:t>
              </w:r>
            </w:hyperlink>
          </w:p>
        </w:tc>
        <w:tc>
          <w:tcPr>
            <w:tcW w:w="1020" w:type="dxa"/>
            <w:vAlign w:val="bottom"/>
          </w:tcPr>
          <w:p>
            <w:pPr>
              <w:jc w:val="center"/>
              <w:spacing w:after="0"/>
              <w:rPr>
                <w:rFonts w:ascii="Arial" w:cs="Arial" w:eastAsia="Arial" w:hAnsi="Arial"/>
                <w:sz w:val="18"/>
                <w:szCs w:val="18"/>
                <w:color w:val="auto"/>
                <w:w w:val="99"/>
              </w:rPr>
            </w:pPr>
            <w:hyperlink w:anchor="page19">
              <w:r>
                <w:rPr>
                  <w:rFonts w:ascii="Arial" w:cs="Arial" w:eastAsia="Arial" w:hAnsi="Arial"/>
                  <w:sz w:val="18"/>
                  <w:szCs w:val="18"/>
                  <w:color w:val="auto"/>
                  <w:w w:val="99"/>
                </w:rPr>
                <w:t>18</w:t>
              </w:r>
            </w:hyperlink>
          </w:p>
        </w:tc>
      </w:tr>
      <w:tr>
        <w:trPr>
          <w:trHeight w:val="20"/>
        </w:trPr>
        <w:tc>
          <w:tcPr>
            <w:tcW w:w="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460" w:type="dxa"/>
            <w:vAlign w:val="bottom"/>
            <w:gridSpan w:val="4"/>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10</w:t>
              </w:r>
            </w:hyperlink>
          </w:p>
        </w:tc>
        <w:tc>
          <w:tcPr>
            <w:tcW w:w="100" w:type="dxa"/>
            <w:vAlign w:val="bottom"/>
          </w:tcPr>
          <w:p>
            <w:pPr>
              <w:spacing w:after="0"/>
              <w:rPr>
                <w:sz w:val="18"/>
                <w:szCs w:val="18"/>
                <w:color w:val="auto"/>
              </w:rPr>
            </w:pPr>
          </w:p>
        </w:tc>
        <w:tc>
          <w:tcPr>
            <w:tcW w:w="1120" w:type="dxa"/>
            <w:vAlign w:val="bottom"/>
            <w:tcBorders>
              <w:bottom w:val="single" w:sz="8" w:color="0000FF"/>
            </w:tcBorders>
            <w:gridSpan w:val="8"/>
          </w:tcPr>
          <w:p>
            <w:pPr>
              <w:spacing w:after="0"/>
              <w:rPr>
                <w:rFonts w:ascii="Arial" w:cs="Arial" w:eastAsia="Arial" w:hAnsi="Arial"/>
                <w:sz w:val="18"/>
                <w:szCs w:val="18"/>
                <w:color w:val="0000FF"/>
                <w:w w:val="97"/>
              </w:rPr>
            </w:pPr>
            <w:hyperlink w:anchor="page20">
              <w:r>
                <w:rPr>
                  <w:rFonts w:ascii="Arial" w:cs="Arial" w:eastAsia="Arial" w:hAnsi="Arial"/>
                  <w:sz w:val="18"/>
                  <w:szCs w:val="18"/>
                  <w:color w:val="0000FF"/>
                  <w:w w:val="97"/>
                </w:rPr>
                <w:t>Income Taxes</w:t>
              </w:r>
            </w:hyperlink>
          </w:p>
        </w:tc>
        <w:tc>
          <w:tcPr>
            <w:tcW w:w="8340" w:type="dxa"/>
            <w:vAlign w:val="bottom"/>
            <w:gridSpan w:val="24"/>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auto"/>
                <w:w w:val="99"/>
              </w:rPr>
            </w:pPr>
            <w:hyperlink w:anchor="page20">
              <w:r>
                <w:rPr>
                  <w:rFonts w:ascii="Arial" w:cs="Arial" w:eastAsia="Arial" w:hAnsi="Arial"/>
                  <w:sz w:val="18"/>
                  <w:szCs w:val="18"/>
                  <w:color w:val="auto"/>
                  <w:w w:val="99"/>
                </w:rPr>
                <w:t>19</w:t>
              </w:r>
            </w:hyperlink>
          </w:p>
        </w:tc>
      </w:tr>
      <w:tr>
        <w:trPr>
          <w:trHeight w:val="209"/>
        </w:trPr>
        <w:tc>
          <w:tcPr>
            <w:tcW w:w="660" w:type="dxa"/>
            <w:vAlign w:val="bottom"/>
            <w:gridSpan w:val="6"/>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11</w:t>
              </w:r>
            </w:hyperlink>
          </w:p>
        </w:tc>
        <w:tc>
          <w:tcPr>
            <w:tcW w:w="100" w:type="dxa"/>
            <w:vAlign w:val="bottom"/>
          </w:tcPr>
          <w:p>
            <w:pPr>
              <w:spacing w:after="0"/>
              <w:rPr>
                <w:sz w:val="18"/>
                <w:szCs w:val="18"/>
                <w:color w:val="auto"/>
              </w:rPr>
            </w:pPr>
          </w:p>
        </w:tc>
        <w:tc>
          <w:tcPr>
            <w:tcW w:w="9460" w:type="dxa"/>
            <w:vAlign w:val="bottom"/>
            <w:gridSpan w:val="32"/>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Special Items, net</w:t>
              </w:r>
            </w:hyperlink>
          </w:p>
        </w:tc>
        <w:tc>
          <w:tcPr>
            <w:tcW w:w="1020" w:type="dxa"/>
            <w:vAlign w:val="bottom"/>
          </w:tcPr>
          <w:p>
            <w:pPr>
              <w:jc w:val="center"/>
              <w:spacing w:after="0"/>
              <w:rPr>
                <w:rFonts w:ascii="Arial" w:cs="Arial" w:eastAsia="Arial" w:hAnsi="Arial"/>
                <w:sz w:val="18"/>
                <w:szCs w:val="18"/>
                <w:color w:val="auto"/>
                <w:w w:val="99"/>
              </w:rPr>
            </w:pPr>
            <w:hyperlink w:anchor="page20">
              <w:r>
                <w:rPr>
                  <w:rFonts w:ascii="Arial" w:cs="Arial" w:eastAsia="Arial" w:hAnsi="Arial"/>
                  <w:sz w:val="18"/>
                  <w:szCs w:val="18"/>
                  <w:color w:val="auto"/>
                  <w:w w:val="99"/>
                </w:rPr>
                <w:t>20</w:t>
              </w:r>
            </w:hyperlink>
          </w:p>
        </w:tc>
      </w:tr>
      <w:tr>
        <w:trPr>
          <w:trHeight w:val="20"/>
        </w:trPr>
        <w:tc>
          <w:tcPr>
            <w:tcW w:w="6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460" w:type="dxa"/>
            <w:vAlign w:val="bottom"/>
            <w:gridSpan w:val="4"/>
          </w:tcPr>
          <w:p>
            <w:pPr>
              <w:spacing w:after="0"/>
              <w:rPr>
                <w:sz w:val="18"/>
                <w:szCs w:val="18"/>
                <w:color w:val="auto"/>
              </w:rPr>
            </w:pPr>
          </w:p>
        </w:tc>
        <w:tc>
          <w:tcPr>
            <w:tcW w:w="200" w:type="dxa"/>
            <w:vAlign w:val="bottom"/>
            <w:gridSpan w:val="2"/>
          </w:tcPr>
          <w:p>
            <w:pPr>
              <w:jc w:val="right"/>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12</w:t>
              </w:r>
            </w:hyperlink>
          </w:p>
        </w:tc>
        <w:tc>
          <w:tcPr>
            <w:tcW w:w="100" w:type="dxa"/>
            <w:vAlign w:val="bottom"/>
          </w:tcPr>
          <w:p>
            <w:pPr>
              <w:spacing w:after="0"/>
              <w:rPr>
                <w:sz w:val="18"/>
                <w:szCs w:val="18"/>
                <w:color w:val="auto"/>
              </w:rPr>
            </w:pPr>
          </w:p>
        </w:tc>
        <w:tc>
          <w:tcPr>
            <w:tcW w:w="9460" w:type="dxa"/>
            <w:vAlign w:val="bottom"/>
            <w:gridSpan w:val="32"/>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Commitments and Contingencies</w:t>
              </w:r>
            </w:hyperlink>
          </w:p>
        </w:tc>
        <w:tc>
          <w:tcPr>
            <w:tcW w:w="1020" w:type="dxa"/>
            <w:vAlign w:val="bottom"/>
          </w:tcPr>
          <w:p>
            <w:pPr>
              <w:jc w:val="center"/>
              <w:spacing w:after="0"/>
              <w:rPr>
                <w:rFonts w:ascii="Arial" w:cs="Arial" w:eastAsia="Arial" w:hAnsi="Arial"/>
                <w:sz w:val="18"/>
                <w:szCs w:val="18"/>
                <w:color w:val="auto"/>
                <w:w w:val="99"/>
              </w:rPr>
            </w:pPr>
            <w:hyperlink w:anchor="page21">
              <w:r>
                <w:rPr>
                  <w:rFonts w:ascii="Arial" w:cs="Arial" w:eastAsia="Arial" w:hAnsi="Arial"/>
                  <w:sz w:val="18"/>
                  <w:szCs w:val="18"/>
                  <w:color w:val="auto"/>
                  <w:w w:val="99"/>
                </w:rPr>
                <w:t>20</w:t>
              </w:r>
            </w:hyperlink>
          </w:p>
        </w:tc>
      </w:tr>
      <w:tr>
        <w:trPr>
          <w:trHeight w:val="210"/>
        </w:trPr>
        <w:tc>
          <w:tcPr>
            <w:tcW w:w="460" w:type="dxa"/>
            <w:vAlign w:val="bottom"/>
            <w:gridSpan w:val="4"/>
          </w:tcPr>
          <w:p>
            <w:pPr>
              <w:spacing w:after="0"/>
              <w:rPr>
                <w:sz w:val="18"/>
                <w:szCs w:val="18"/>
                <w:color w:val="auto"/>
              </w:rPr>
            </w:pPr>
          </w:p>
        </w:tc>
        <w:tc>
          <w:tcPr>
            <w:tcW w:w="200" w:type="dxa"/>
            <w:vAlign w:val="bottom"/>
            <w:tcBorders>
              <w:top w:val="single" w:sz="8" w:color="0000FF"/>
            </w:tcBorders>
            <w:gridSpan w:val="2"/>
          </w:tcPr>
          <w:p>
            <w:pPr>
              <w:jc w:val="right"/>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13</w:t>
              </w:r>
            </w:hyperlink>
          </w:p>
        </w:tc>
        <w:tc>
          <w:tcPr>
            <w:tcW w:w="100" w:type="dxa"/>
            <w:vAlign w:val="bottom"/>
          </w:tcPr>
          <w:p>
            <w:pPr>
              <w:spacing w:after="0"/>
              <w:rPr>
                <w:sz w:val="18"/>
                <w:szCs w:val="18"/>
                <w:color w:val="auto"/>
              </w:rPr>
            </w:pPr>
          </w:p>
        </w:tc>
        <w:tc>
          <w:tcPr>
            <w:tcW w:w="2640" w:type="dxa"/>
            <w:vAlign w:val="bottom"/>
            <w:tcBorders>
              <w:top w:val="single" w:sz="8" w:color="0000FF"/>
            </w:tcBorders>
            <w:gridSpan w:val="21"/>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Operating Segments</w:t>
              </w:r>
            </w:hyperlink>
          </w:p>
        </w:tc>
        <w:tc>
          <w:tcPr>
            <w:tcW w:w="6820" w:type="dxa"/>
            <w:vAlign w:val="bottom"/>
            <w:gridSpan w:val="11"/>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auto"/>
                <w:w w:val="99"/>
              </w:rPr>
            </w:pPr>
            <w:hyperlink w:anchor="page21">
              <w:r>
                <w:rPr>
                  <w:rFonts w:ascii="Arial" w:cs="Arial" w:eastAsia="Arial" w:hAnsi="Arial"/>
                  <w:sz w:val="18"/>
                  <w:szCs w:val="18"/>
                  <w:color w:val="auto"/>
                  <w:w w:val="99"/>
                </w:rPr>
                <w:t>21</w:t>
              </w:r>
            </w:hyperlink>
          </w:p>
        </w:tc>
      </w:tr>
      <w:tr>
        <w:trPr>
          <w:trHeight w:val="210"/>
        </w:trPr>
        <w:tc>
          <w:tcPr>
            <w:tcW w:w="460" w:type="dxa"/>
            <w:vAlign w:val="bottom"/>
            <w:gridSpan w:val="4"/>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14</w:t>
              </w:r>
            </w:hyperlink>
          </w:p>
        </w:tc>
        <w:tc>
          <w:tcPr>
            <w:tcW w:w="100" w:type="dxa"/>
            <w:vAlign w:val="bottom"/>
          </w:tcPr>
          <w:p>
            <w:pPr>
              <w:spacing w:after="0"/>
              <w:rPr>
                <w:sz w:val="18"/>
                <w:szCs w:val="18"/>
                <w:color w:val="auto"/>
              </w:rPr>
            </w:pPr>
          </w:p>
        </w:tc>
        <w:tc>
          <w:tcPr>
            <w:tcW w:w="156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Subsequent Events</w:t>
              </w:r>
            </w:hyperlink>
          </w:p>
        </w:tc>
        <w:tc>
          <w:tcPr>
            <w:tcW w:w="80" w:type="dxa"/>
            <w:vAlign w:val="bottom"/>
            <w:tcBorders>
              <w:top w:val="single" w:sz="8" w:color="0000FF"/>
            </w:tcBorders>
          </w:tcPr>
          <w:p>
            <w:pPr>
              <w:spacing w:after="0"/>
              <w:rPr>
                <w:sz w:val="18"/>
                <w:szCs w:val="18"/>
                <w:color w:val="auto"/>
              </w:rPr>
            </w:pPr>
          </w:p>
        </w:tc>
        <w:tc>
          <w:tcPr>
            <w:tcW w:w="7820" w:type="dxa"/>
            <w:vAlign w:val="bottom"/>
            <w:gridSpan w:val="18"/>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auto"/>
                <w:w w:val="99"/>
              </w:rPr>
            </w:pPr>
            <w:hyperlink w:anchor="page22">
              <w:r>
                <w:rPr>
                  <w:rFonts w:ascii="Arial" w:cs="Arial" w:eastAsia="Arial" w:hAnsi="Arial"/>
                  <w:sz w:val="18"/>
                  <w:szCs w:val="18"/>
                  <w:color w:val="auto"/>
                  <w:w w:val="99"/>
                </w:rPr>
                <w:t>21</w:t>
              </w:r>
            </w:hyperlink>
          </w:p>
        </w:tc>
      </w:tr>
      <w:tr>
        <w:trPr>
          <w:trHeight w:val="47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80" w:type="dxa"/>
            <w:vAlign w:val="bottom"/>
            <w:tcBorders>
              <w:bottom w:val="single" w:sz="8" w:color="0000FF"/>
            </w:tcBorders>
            <w:gridSpan w:val="36"/>
          </w:tcPr>
          <w:p>
            <w:pPr>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Item 2. Management’s Discussion and Analysis of Financial Condition and Results of Operations</w:t>
              </w:r>
            </w:hyperlink>
          </w:p>
        </w:tc>
        <w:tc>
          <w:tcPr>
            <w:tcW w:w="2400" w:type="dxa"/>
            <w:vAlign w:val="bottom"/>
          </w:tcPr>
          <w:p>
            <w:pPr>
              <w:spacing w:after="0"/>
              <w:rPr>
                <w:sz w:val="24"/>
                <w:szCs w:val="24"/>
                <w:color w:val="auto"/>
              </w:rPr>
            </w:pPr>
          </w:p>
        </w:tc>
        <w:tc>
          <w:tcPr>
            <w:tcW w:w="1020" w:type="dxa"/>
            <w:vAlign w:val="bottom"/>
          </w:tcPr>
          <w:p>
            <w:pPr>
              <w:jc w:val="center"/>
              <w:spacing w:after="0"/>
              <w:rPr>
                <w:rFonts w:ascii="Arial" w:cs="Arial" w:eastAsia="Arial" w:hAnsi="Arial"/>
                <w:sz w:val="18"/>
                <w:szCs w:val="18"/>
                <w:color w:val="auto"/>
                <w:w w:val="99"/>
              </w:rPr>
            </w:pPr>
            <w:hyperlink w:anchor="page22">
              <w:r>
                <w:rPr>
                  <w:rFonts w:ascii="Arial" w:cs="Arial" w:eastAsia="Arial" w:hAnsi="Arial"/>
                  <w:sz w:val="18"/>
                  <w:szCs w:val="18"/>
                  <w:color w:val="auto"/>
                  <w:w w:val="99"/>
                </w:rPr>
                <w:t>22</w:t>
              </w:r>
            </w:hyperlink>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7"/>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3. Quantitative and Qualitative Disclosures About Market Risk</w:t>
              </w:r>
            </w:hyperlink>
          </w:p>
        </w:tc>
        <w:tc>
          <w:tcPr>
            <w:tcW w:w="1020" w:type="dxa"/>
            <w:vAlign w:val="bottom"/>
          </w:tcPr>
          <w:p>
            <w:pPr>
              <w:jc w:val="center"/>
              <w:spacing w:after="0"/>
              <w:rPr>
                <w:rFonts w:ascii="Arial" w:cs="Arial" w:eastAsia="Arial" w:hAnsi="Arial"/>
                <w:sz w:val="18"/>
                <w:szCs w:val="18"/>
                <w:color w:val="auto"/>
                <w:w w:val="99"/>
              </w:rPr>
            </w:pPr>
            <w:hyperlink w:anchor="page41">
              <w:r>
                <w:rPr>
                  <w:rFonts w:ascii="Arial" w:cs="Arial" w:eastAsia="Arial" w:hAnsi="Arial"/>
                  <w:sz w:val="18"/>
                  <w:szCs w:val="18"/>
                  <w:color w:val="auto"/>
                  <w:w w:val="99"/>
                </w:rPr>
                <w:t>41</w:t>
              </w:r>
            </w:hyperlink>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Borders>
              <w:top w:val="single" w:sz="8" w:color="0000FF"/>
            </w:tcBorders>
            <w:gridSpan w:val="33"/>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4. Controls and Procedures</w:t>
              </w:r>
            </w:hyperlink>
          </w:p>
        </w:tc>
        <w:tc>
          <w:tcPr>
            <w:tcW w:w="4780" w:type="dxa"/>
            <w:vAlign w:val="bottom"/>
            <w:gridSpan w:val="4"/>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auto"/>
                <w:w w:val="99"/>
              </w:rPr>
            </w:pPr>
            <w:hyperlink w:anchor="page42">
              <w:r>
                <w:rPr>
                  <w:rFonts w:ascii="Arial" w:cs="Arial" w:eastAsia="Arial" w:hAnsi="Arial"/>
                  <w:sz w:val="18"/>
                  <w:szCs w:val="18"/>
                  <w:color w:val="auto"/>
                  <w:w w:val="99"/>
                </w:rPr>
                <w:t>41</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6"/>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7"/>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2160" w:type="dxa"/>
            <w:vAlign w:val="bottom"/>
            <w:tcBorders>
              <w:bottom w:val="single" w:sz="8" w:color="0000FF"/>
            </w:tcBorders>
            <w:gridSpan w:val="16"/>
          </w:tcPr>
          <w:p>
            <w:pPr>
              <w:spacing w:after="0"/>
              <w:rPr>
                <w:rFonts w:ascii="Arial" w:cs="Arial" w:eastAsia="Arial" w:hAnsi="Arial"/>
                <w:sz w:val="18"/>
                <w:szCs w:val="18"/>
                <w:b w:val="1"/>
                <w:bCs w:val="1"/>
                <w:color w:val="0000FF"/>
                <w:w w:val="99"/>
              </w:rPr>
            </w:pPr>
            <w:hyperlink w:anchor="page42">
              <w:r>
                <w:rPr>
                  <w:rFonts w:ascii="Arial" w:cs="Arial" w:eastAsia="Arial" w:hAnsi="Arial"/>
                  <w:sz w:val="18"/>
                  <w:szCs w:val="18"/>
                  <w:b w:val="1"/>
                  <w:bCs w:val="1"/>
                  <w:color w:val="0000FF"/>
                  <w:w w:val="99"/>
                </w:rPr>
                <w:t>Part II. Other Information</w:t>
              </w:r>
            </w:hyperlink>
          </w:p>
        </w:tc>
        <w:tc>
          <w:tcPr>
            <w:tcW w:w="8040" w:type="dxa"/>
            <w:vAlign w:val="bottom"/>
            <w:gridSpan w:val="22"/>
          </w:tcPr>
          <w:p>
            <w:pPr>
              <w:spacing w:after="0"/>
              <w:rPr>
                <w:sz w:val="24"/>
                <w:szCs w:val="24"/>
                <w:color w:val="auto"/>
              </w:rPr>
            </w:pPr>
          </w:p>
        </w:tc>
        <w:tc>
          <w:tcPr>
            <w:tcW w:w="10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7"/>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1. Legal Proceedings</w:t>
              </w:r>
            </w:hyperlink>
          </w:p>
        </w:tc>
        <w:tc>
          <w:tcPr>
            <w:tcW w:w="1020" w:type="dxa"/>
            <w:vAlign w:val="bottom"/>
          </w:tcPr>
          <w:p>
            <w:pPr>
              <w:jc w:val="center"/>
              <w:spacing w:after="0"/>
              <w:rPr>
                <w:rFonts w:ascii="Arial" w:cs="Arial" w:eastAsia="Arial" w:hAnsi="Arial"/>
                <w:sz w:val="18"/>
                <w:szCs w:val="18"/>
                <w:color w:val="auto"/>
                <w:w w:val="99"/>
              </w:rPr>
            </w:pPr>
            <w:hyperlink w:anchor="page43">
              <w:r>
                <w:rPr>
                  <w:rFonts w:ascii="Arial" w:cs="Arial" w:eastAsia="Arial" w:hAnsi="Arial"/>
                  <w:sz w:val="18"/>
                  <w:szCs w:val="18"/>
                  <w:color w:val="auto"/>
                  <w:w w:val="99"/>
                </w:rPr>
                <w:t>42</w:t>
              </w:r>
            </w:hyperlink>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8"/>
              </w:rPr>
            </w:pPr>
            <w:hyperlink w:anchor="page43">
              <w:r>
                <w:rPr>
                  <w:rFonts w:ascii="Arial" w:cs="Arial" w:eastAsia="Arial" w:hAnsi="Arial"/>
                  <w:sz w:val="18"/>
                  <w:szCs w:val="18"/>
                  <w:color w:val="0000FF"/>
                  <w:w w:val="98"/>
                </w:rPr>
                <w:t>Item 1A. Risk Factors</w:t>
              </w:r>
            </w:hyperlink>
          </w:p>
        </w:tc>
        <w:tc>
          <w:tcPr>
            <w:tcW w:w="360" w:type="dxa"/>
            <w:vAlign w:val="bottom"/>
            <w:tcBorders>
              <w:top w:val="single" w:sz="8" w:color="0000FF"/>
            </w:tcBorders>
            <w:gridSpan w:val="4"/>
          </w:tcPr>
          <w:p>
            <w:pPr>
              <w:spacing w:after="0"/>
              <w:rPr>
                <w:sz w:val="18"/>
                <w:szCs w:val="18"/>
                <w:color w:val="auto"/>
              </w:rPr>
            </w:pPr>
          </w:p>
        </w:tc>
        <w:tc>
          <w:tcPr>
            <w:tcW w:w="8000" w:type="dxa"/>
            <w:vAlign w:val="bottom"/>
            <w:gridSpan w:val="21"/>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auto"/>
                <w:w w:val="99"/>
              </w:rPr>
            </w:pPr>
            <w:hyperlink w:anchor="page43">
              <w:r>
                <w:rPr>
                  <w:rFonts w:ascii="Arial" w:cs="Arial" w:eastAsia="Arial" w:hAnsi="Arial"/>
                  <w:sz w:val="18"/>
                  <w:szCs w:val="18"/>
                  <w:color w:val="auto"/>
                  <w:w w:val="99"/>
                </w:rPr>
                <w:t>42</w:t>
              </w:r>
            </w:hyperlink>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7"/>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2. Unregistered Sales of Equity Securities and Use of Proceeds</w:t>
              </w:r>
            </w:hyperlink>
          </w:p>
        </w:tc>
        <w:tc>
          <w:tcPr>
            <w:tcW w:w="1020" w:type="dxa"/>
            <w:vAlign w:val="bottom"/>
          </w:tcPr>
          <w:p>
            <w:pPr>
              <w:jc w:val="center"/>
              <w:spacing w:after="0"/>
              <w:rPr>
                <w:rFonts w:ascii="Arial" w:cs="Arial" w:eastAsia="Arial" w:hAnsi="Arial"/>
                <w:sz w:val="18"/>
                <w:szCs w:val="18"/>
                <w:color w:val="auto"/>
                <w:w w:val="99"/>
              </w:rPr>
            </w:pPr>
            <w:hyperlink w:anchor="page43">
              <w:r>
                <w:rPr>
                  <w:rFonts w:ascii="Arial" w:cs="Arial" w:eastAsia="Arial" w:hAnsi="Arial"/>
                  <w:sz w:val="18"/>
                  <w:szCs w:val="18"/>
                  <w:color w:val="auto"/>
                  <w:w w:val="99"/>
                </w:rPr>
                <w:t>42</w:t>
              </w:r>
            </w:hyperlink>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Borders>
              <w:top w:val="single" w:sz="8" w:color="0000FF"/>
            </w:tcBorders>
            <w:gridSpan w:val="3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3. Defaults Upon Senior Securities</w:t>
              </w:r>
            </w:hyperlink>
          </w:p>
        </w:tc>
        <w:tc>
          <w:tcPr>
            <w:tcW w:w="4640" w:type="dxa"/>
            <w:vAlign w:val="bottom"/>
            <w:gridSpan w:val="3"/>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auto"/>
                <w:w w:val="99"/>
              </w:rPr>
            </w:pPr>
            <w:hyperlink w:anchor="page43">
              <w:r>
                <w:rPr>
                  <w:rFonts w:ascii="Arial" w:cs="Arial" w:eastAsia="Arial" w:hAnsi="Arial"/>
                  <w:sz w:val="18"/>
                  <w:szCs w:val="18"/>
                  <w:color w:val="auto"/>
                  <w:w w:val="99"/>
                </w:rPr>
                <w:t>42</w:t>
              </w:r>
            </w:hyperlink>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Borders>
              <w:top w:val="single" w:sz="8" w:color="0000FF"/>
            </w:tcBorders>
            <w:gridSpan w:val="25"/>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4. Mine Safety Disclosures</w:t>
              </w:r>
            </w:hyperlink>
          </w:p>
        </w:tc>
        <w:tc>
          <w:tcPr>
            <w:tcW w:w="6940" w:type="dxa"/>
            <w:vAlign w:val="bottom"/>
            <w:gridSpan w:val="12"/>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auto"/>
                <w:w w:val="99"/>
              </w:rPr>
            </w:pPr>
            <w:hyperlink w:anchor="page43">
              <w:r>
                <w:rPr>
                  <w:rFonts w:ascii="Arial" w:cs="Arial" w:eastAsia="Arial" w:hAnsi="Arial"/>
                  <w:sz w:val="18"/>
                  <w:szCs w:val="18"/>
                  <w:color w:val="auto"/>
                  <w:w w:val="99"/>
                </w:rPr>
                <w:t>42</w:t>
              </w:r>
            </w:hyperlink>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8"/>
              </w:rPr>
            </w:pPr>
            <w:hyperlink w:anchor="page43">
              <w:r>
                <w:rPr>
                  <w:rFonts w:ascii="Arial" w:cs="Arial" w:eastAsia="Arial" w:hAnsi="Arial"/>
                  <w:sz w:val="18"/>
                  <w:szCs w:val="18"/>
                  <w:color w:val="0000FF"/>
                  <w:w w:val="98"/>
                </w:rPr>
                <w:t>Item 5. Other Information</w:t>
              </w:r>
            </w:hyperlink>
          </w:p>
        </w:tc>
        <w:tc>
          <w:tcPr>
            <w:tcW w:w="580" w:type="dxa"/>
            <w:vAlign w:val="bottom"/>
            <w:tcBorders>
              <w:top w:val="single" w:sz="8" w:color="0000FF"/>
            </w:tcBorders>
            <w:gridSpan w:val="9"/>
          </w:tcPr>
          <w:p>
            <w:pPr>
              <w:spacing w:after="0"/>
              <w:rPr>
                <w:sz w:val="18"/>
                <w:szCs w:val="18"/>
                <w:color w:val="auto"/>
              </w:rPr>
            </w:pPr>
          </w:p>
        </w:tc>
        <w:tc>
          <w:tcPr>
            <w:tcW w:w="7500" w:type="dxa"/>
            <w:vAlign w:val="bottom"/>
            <w:gridSpan w:val="14"/>
          </w:tcPr>
          <w:p>
            <w:pPr>
              <w:spacing w:after="0"/>
              <w:rPr>
                <w:sz w:val="18"/>
                <w:szCs w:val="18"/>
                <w:color w:val="auto"/>
              </w:rPr>
            </w:pPr>
          </w:p>
        </w:tc>
        <w:tc>
          <w:tcPr>
            <w:tcW w:w="1020" w:type="dxa"/>
            <w:vAlign w:val="bottom"/>
          </w:tcPr>
          <w:p>
            <w:pPr>
              <w:jc w:val="center"/>
              <w:spacing w:after="0"/>
              <w:rPr>
                <w:rFonts w:ascii="Arial" w:cs="Arial" w:eastAsia="Arial" w:hAnsi="Arial"/>
                <w:sz w:val="18"/>
                <w:szCs w:val="18"/>
                <w:color w:val="auto"/>
                <w:w w:val="99"/>
              </w:rPr>
            </w:pPr>
            <w:hyperlink w:anchor="page43">
              <w:r>
                <w:rPr>
                  <w:rFonts w:ascii="Arial" w:cs="Arial" w:eastAsia="Arial" w:hAnsi="Arial"/>
                  <w:sz w:val="18"/>
                  <w:szCs w:val="18"/>
                  <w:color w:val="auto"/>
                  <w:w w:val="99"/>
                </w:rPr>
                <w:t>42</w:t>
              </w:r>
            </w:hyperlink>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7"/>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6. Exhibits</w:t>
              </w:r>
            </w:hyperlink>
          </w:p>
        </w:tc>
        <w:tc>
          <w:tcPr>
            <w:tcW w:w="1020" w:type="dxa"/>
            <w:vAlign w:val="bottom"/>
          </w:tcPr>
          <w:p>
            <w:pPr>
              <w:jc w:val="center"/>
              <w:spacing w:after="0"/>
              <w:rPr>
                <w:rFonts w:ascii="Arial" w:cs="Arial" w:eastAsia="Arial" w:hAnsi="Arial"/>
                <w:sz w:val="18"/>
                <w:szCs w:val="18"/>
                <w:color w:val="auto"/>
                <w:w w:val="99"/>
              </w:rPr>
            </w:pPr>
            <w:hyperlink w:anchor="page43">
              <w:r>
                <w:rPr>
                  <w:rFonts w:ascii="Arial" w:cs="Arial" w:eastAsia="Arial" w:hAnsi="Arial"/>
                  <w:sz w:val="18"/>
                  <w:szCs w:val="18"/>
                  <w:color w:val="auto"/>
                  <w:w w:val="99"/>
                </w:rPr>
                <w:t>42</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6"/>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860" w:type="dxa"/>
            <w:vAlign w:val="bottom"/>
            <w:gridSpan w:val="2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200" w:type="dxa"/>
            <w:vAlign w:val="bottom"/>
            <w:gridSpan w:val="3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Signatures</w:t>
              </w:r>
            </w:hyperlink>
          </w:p>
        </w:tc>
        <w:tc>
          <w:tcPr>
            <w:tcW w:w="1020" w:type="dxa"/>
            <w:vAlign w:val="bottom"/>
          </w:tcPr>
          <w:p>
            <w:pPr>
              <w:jc w:val="center"/>
              <w:spacing w:after="0"/>
              <w:rPr>
                <w:rFonts w:ascii="Arial" w:cs="Arial" w:eastAsia="Arial" w:hAnsi="Arial"/>
                <w:sz w:val="18"/>
                <w:szCs w:val="18"/>
                <w:color w:val="auto"/>
                <w:w w:val="99"/>
              </w:rPr>
            </w:pPr>
            <w:hyperlink w:anchor="page44">
              <w:r>
                <w:rPr>
                  <w:rFonts w:ascii="Arial" w:cs="Arial" w:eastAsia="Arial" w:hAnsi="Arial"/>
                  <w:sz w:val="18"/>
                  <w:szCs w:val="18"/>
                  <w:color w:val="auto"/>
                  <w:w w:val="99"/>
                </w:rPr>
                <w:t>44</w:t>
              </w:r>
            </w:hyperlink>
          </w:p>
        </w:tc>
      </w:tr>
      <w:tr>
        <w:trPr>
          <w:trHeight w:val="925"/>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gridSpan w:val="2"/>
          </w:tcPr>
          <w:p>
            <w:pPr>
              <w:spacing w:after="0"/>
              <w:rPr>
                <w:sz w:val="24"/>
                <w:szCs w:val="24"/>
                <w:color w:val="auto"/>
              </w:rPr>
            </w:pPr>
          </w:p>
        </w:tc>
        <w:tc>
          <w:tcPr>
            <w:tcW w:w="5180" w:type="dxa"/>
            <w:vAlign w:val="bottom"/>
            <w:gridSpan w:val="29"/>
          </w:tcPr>
          <w:p>
            <w:pPr>
              <w:jc w:val="center"/>
              <w:ind w:left="4210"/>
              <w:spacing w:after="0"/>
              <w:rPr>
                <w:sz w:val="20"/>
                <w:szCs w:val="20"/>
                <w:color w:val="auto"/>
              </w:rPr>
            </w:pPr>
            <w:r>
              <w:rPr>
                <w:rFonts w:ascii="Arial" w:cs="Arial" w:eastAsia="Arial" w:hAnsi="Arial"/>
                <w:sz w:val="18"/>
                <w:szCs w:val="18"/>
                <w:color w:val="auto"/>
                <w:w w:val="99"/>
              </w:rPr>
              <w:t>- 2 -</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tcPr>
          <w:p>
            <w:pPr>
              <w:spacing w:after="0"/>
              <w:rPr>
                <w:sz w:val="16"/>
                <w:szCs w:val="16"/>
                <w:color w:val="auto"/>
              </w:rPr>
            </w:pPr>
          </w:p>
        </w:tc>
        <w:tc>
          <w:tcPr>
            <w:tcW w:w="166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31, 2021</w:t>
            </w:r>
          </w:p>
        </w:tc>
      </w:tr>
      <w:tr>
        <w:trPr>
          <w:trHeight w:val="210"/>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54"/>
        </w:trPr>
        <w:tc>
          <w:tcPr>
            <w:tcW w:w="7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34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272,402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309,338</w:t>
            </w:r>
          </w:p>
        </w:tc>
      </w:tr>
      <w:tr>
        <w:trPr>
          <w:trHeight w:val="230"/>
        </w:trPr>
        <w:tc>
          <w:tcPr>
            <w:tcW w:w="7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w:t>
            </w:r>
          </w:p>
        </w:tc>
      </w:tr>
      <w:tr>
        <w:trPr>
          <w:trHeight w:val="229"/>
        </w:trPr>
        <w:tc>
          <w:tcPr>
            <w:tcW w:w="734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6,233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6,283</w:t>
            </w:r>
          </w:p>
        </w:tc>
      </w:tr>
      <w:tr>
        <w:trPr>
          <w:trHeight w:val="230"/>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 of an allowance for credit losses of $376 and $250, respectively</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30,156</w:t>
            </w:r>
          </w:p>
        </w:tc>
      </w:tr>
      <w:tr>
        <w:trPr>
          <w:trHeight w:val="229"/>
        </w:trPr>
        <w:tc>
          <w:tcPr>
            <w:tcW w:w="7340" w:type="dxa"/>
            <w:vAlign w:val="bottom"/>
          </w:tcPr>
          <w:p>
            <w:pPr>
              <w:ind w:left="100"/>
              <w:spacing w:after="0"/>
              <w:rPr>
                <w:sz w:val="20"/>
                <w:szCs w:val="20"/>
                <w:color w:val="auto"/>
              </w:rPr>
            </w:pPr>
            <w:r>
              <w:rPr>
                <w:rFonts w:ascii="Arial" w:cs="Arial" w:eastAsia="Arial" w:hAnsi="Arial"/>
                <w:sz w:val="18"/>
                <w:szCs w:val="18"/>
                <w:color w:val="auto"/>
              </w:rPr>
              <w:t>Short-term Lessor Maintenance Deposits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6,698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5,505</w:t>
            </w:r>
          </w:p>
        </w:tc>
      </w:tr>
      <w:tr>
        <w:trPr>
          <w:trHeight w:val="229"/>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 net of a reserve for obsolescence of $1,366 and $1,275, respectively</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w:t>
            </w:r>
          </w:p>
        </w:tc>
      </w:tr>
      <w:tr>
        <w:trPr>
          <w:trHeight w:val="230"/>
        </w:trPr>
        <w:tc>
          <w:tcPr>
            <w:tcW w:w="7340" w:type="dxa"/>
            <w:vAlign w:val="bottom"/>
          </w:tcPr>
          <w:p>
            <w:pPr>
              <w:ind w:left="10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10,166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8,511</w:t>
            </w:r>
          </w:p>
        </w:tc>
      </w:tr>
      <w:tr>
        <w:trPr>
          <w:trHeight w:val="229"/>
        </w:trPr>
        <w:tc>
          <w:tcPr>
            <w:tcW w:w="7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r>
      <w:tr>
        <w:trPr>
          <w:trHeight w:val="262"/>
        </w:trPr>
        <w:tc>
          <w:tcPr>
            <w:tcW w:w="7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349,243</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375,443</w:t>
            </w:r>
          </w:p>
        </w:tc>
      </w:tr>
      <w:tr>
        <w:trPr>
          <w:trHeight w:val="230"/>
        </w:trPr>
        <w:tc>
          <w:tcPr>
            <w:tcW w:w="734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Property &amp; Equipment, net:</w:t>
            </w:r>
          </w:p>
        </w:tc>
        <w:tc>
          <w:tcPr>
            <w:tcW w:w="28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r>
      <w:tr>
        <w:trPr>
          <w:trHeight w:val="229"/>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Aircraft and Flight Equipment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440,356</w:t>
            </w:r>
          </w:p>
        </w:tc>
      </w:tr>
      <w:tr>
        <w:trPr>
          <w:trHeight w:val="230"/>
        </w:trPr>
        <w:tc>
          <w:tcPr>
            <w:tcW w:w="7340" w:type="dxa"/>
            <w:vAlign w:val="bottom"/>
          </w:tcPr>
          <w:p>
            <w:pPr>
              <w:ind w:left="140"/>
              <w:spacing w:after="0"/>
              <w:rPr>
                <w:sz w:val="20"/>
                <w:szCs w:val="20"/>
                <w:color w:val="auto"/>
              </w:rPr>
            </w:pPr>
            <w:r>
              <w:rPr>
                <w:rFonts w:ascii="Arial" w:cs="Arial" w:eastAsia="Arial" w:hAnsi="Arial"/>
                <w:sz w:val="18"/>
                <w:szCs w:val="18"/>
                <w:color w:val="auto"/>
              </w:rPr>
              <w:t>Ground Equipment and Leasehold Improvements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24,451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20,876</w:t>
            </w:r>
          </w:p>
        </w:tc>
      </w:tr>
      <w:tr>
        <w:trPr>
          <w:trHeight w:val="230"/>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Computer Hardware and Software</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w:t>
            </w:r>
          </w:p>
        </w:tc>
      </w:tr>
      <w:tr>
        <w:trPr>
          <w:trHeight w:val="230"/>
        </w:trPr>
        <w:tc>
          <w:tcPr>
            <w:tcW w:w="7340" w:type="dxa"/>
            <w:vAlign w:val="bottom"/>
          </w:tcPr>
          <w:p>
            <w:pPr>
              <w:ind w:left="140"/>
              <w:spacing w:after="0"/>
              <w:rPr>
                <w:sz w:val="20"/>
                <w:szCs w:val="20"/>
                <w:color w:val="auto"/>
              </w:rPr>
            </w:pPr>
            <w:r>
              <w:rPr>
                <w:rFonts w:ascii="Arial" w:cs="Arial" w:eastAsia="Arial" w:hAnsi="Arial"/>
                <w:sz w:val="18"/>
                <w:szCs w:val="18"/>
                <w:color w:val="auto"/>
              </w:rPr>
              <w:t>Finance Lease Assets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275,547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209,457</w:t>
            </w:r>
          </w:p>
        </w:tc>
      </w:tr>
      <w:tr>
        <w:trPr>
          <w:trHeight w:val="229"/>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Rotable Parts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9,150</w:t>
            </w:r>
          </w:p>
        </w:tc>
      </w:tr>
      <w:tr>
        <w:trPr>
          <w:trHeight w:val="223"/>
        </w:trPr>
        <w:tc>
          <w:tcPr>
            <w:tcW w:w="7340" w:type="dxa"/>
            <w:vAlign w:val="bottom"/>
          </w:tcPr>
          <w:p>
            <w:pPr>
              <w:ind w:left="240"/>
              <w:spacing w:after="0"/>
              <w:rPr>
                <w:sz w:val="20"/>
                <w:szCs w:val="20"/>
                <w:color w:val="auto"/>
              </w:rPr>
            </w:pPr>
            <w:r>
              <w:rPr>
                <w:rFonts w:ascii="Arial" w:cs="Arial" w:eastAsia="Arial" w:hAnsi="Arial"/>
                <w:sz w:val="18"/>
                <w:szCs w:val="18"/>
                <w:color w:val="auto"/>
              </w:rPr>
              <w:t>Property &amp; Equipment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804,768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688,624</w:t>
            </w:r>
          </w:p>
        </w:tc>
      </w:tr>
      <w:tr>
        <w:trPr>
          <w:trHeight w:val="229"/>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 &amp;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(129,119)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(115,013)</w:t>
            </w:r>
          </w:p>
        </w:tc>
      </w:tr>
      <w:tr>
        <w:trPr>
          <w:trHeight w:val="262"/>
        </w:trPr>
        <w:tc>
          <w:tcPr>
            <w:tcW w:w="7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Property &amp; Equipment, net</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675,649</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573,611</w:t>
            </w:r>
          </w:p>
        </w:tc>
      </w:tr>
      <w:tr>
        <w:trPr>
          <w:trHeight w:val="230"/>
        </w:trPr>
        <w:tc>
          <w:tcPr>
            <w:tcW w:w="734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r>
      <w:tr>
        <w:trPr>
          <w:trHeight w:val="230"/>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r>
      <w:tr>
        <w:trPr>
          <w:trHeight w:val="229"/>
        </w:trPr>
        <w:tc>
          <w:tcPr>
            <w:tcW w:w="7340" w:type="dxa"/>
            <w:vAlign w:val="bottom"/>
          </w:tcPr>
          <w:p>
            <w:pPr>
              <w:ind w:left="140"/>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88,110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89,110</w:t>
            </w:r>
          </w:p>
        </w:tc>
      </w:tr>
      <w:tr>
        <w:trPr>
          <w:trHeight w:val="230"/>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61,658</w:t>
            </w:r>
          </w:p>
        </w:tc>
      </w:tr>
      <w:tr>
        <w:trPr>
          <w:trHeight w:val="230"/>
        </w:trPr>
        <w:tc>
          <w:tcPr>
            <w:tcW w:w="7340" w:type="dxa"/>
            <w:vAlign w:val="bottom"/>
          </w:tcPr>
          <w:p>
            <w:pPr>
              <w:ind w:left="140"/>
              <w:spacing w:after="0"/>
              <w:rPr>
                <w:sz w:val="20"/>
                <w:szCs w:val="20"/>
                <w:color w:val="auto"/>
              </w:rPr>
            </w:pPr>
            <w:r>
              <w:rPr>
                <w:rFonts w:ascii="Arial" w:cs="Arial" w:eastAsia="Arial" w:hAnsi="Arial"/>
                <w:sz w:val="18"/>
                <w:szCs w:val="18"/>
                <w:color w:val="auto"/>
              </w:rPr>
              <w:t>Aircraft Deposits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10,021</w:t>
            </w:r>
          </w:p>
        </w:tc>
      </w:tr>
      <w:tr>
        <w:trPr>
          <w:trHeight w:val="230"/>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Lessor Maintenance Deposits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20,346</w:t>
            </w:r>
          </w:p>
        </w:tc>
      </w:tr>
      <w:tr>
        <w:trPr>
          <w:trHeight w:val="229"/>
        </w:trPr>
        <w:tc>
          <w:tcPr>
            <w:tcW w:w="7340" w:type="dxa"/>
            <w:vAlign w:val="bottom"/>
          </w:tcPr>
          <w:p>
            <w:pPr>
              <w:ind w:left="14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15,955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18,737</w:t>
            </w:r>
          </w:p>
        </w:tc>
      </w:tr>
      <w:tr>
        <w:trPr>
          <w:trHeight w:val="230"/>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5,495</w:t>
            </w:r>
          </w:p>
        </w:tc>
      </w:tr>
      <w:tr>
        <w:trPr>
          <w:trHeight w:val="223"/>
        </w:trPr>
        <w:tc>
          <w:tcPr>
            <w:tcW w:w="7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Other Assets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394,700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427,590</w:t>
            </w:r>
          </w:p>
        </w:tc>
      </w:tr>
      <w:tr>
        <w:trPr>
          <w:trHeight w:val="248"/>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1,419,592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1,376,644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0" w:right="39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6"/>
                <w:szCs w:val="16"/>
                <w:color w:val="auto"/>
              </w:rPr>
            </w:pPr>
          </w:p>
        </w:tc>
        <w:tc>
          <w:tcPr>
            <w:tcW w:w="158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2021</w:t>
            </w:r>
          </w:p>
        </w:tc>
      </w:tr>
      <w:tr>
        <w:trPr>
          <w:trHeight w:val="209"/>
        </w:trPr>
        <w:tc>
          <w:tcPr>
            <w:tcW w:w="73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54"/>
        </w:trPr>
        <w:tc>
          <w:tcPr>
            <w:tcW w:w="3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29"/>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49,890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39,805</w:t>
            </w:r>
          </w:p>
        </w:tc>
      </w:tr>
      <w:tr>
        <w:trPr>
          <w:trHeight w:val="229"/>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Accrued Salaries, Wages, and Benefits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28,527</w:t>
            </w:r>
          </w:p>
        </w:tc>
      </w:tr>
      <w:tr>
        <w:trPr>
          <w:trHeight w:val="230"/>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Accrued Transportation Taxes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14,098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12,736</w:t>
            </w:r>
          </w:p>
        </w:tc>
      </w:tr>
      <w:tr>
        <w:trPr>
          <w:trHeight w:val="229"/>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Air Traffic Liabilities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118,562</w:t>
            </w:r>
          </w:p>
        </w:tc>
      </w:tr>
      <w:tr>
        <w:trPr>
          <w:trHeight w:val="229"/>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Over-market Liabilities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4,309</w:t>
            </w:r>
          </w:p>
        </w:tc>
      </w:tr>
      <w:tr>
        <w:trPr>
          <w:trHeight w:val="230"/>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Finance Lease Obligations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11,705</w:t>
            </w:r>
          </w:p>
        </w:tc>
      </w:tr>
      <w:tr>
        <w:trPr>
          <w:trHeight w:val="229"/>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Loyalty Program Liabilities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11,490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11,451</w:t>
            </w:r>
          </w:p>
        </w:tc>
      </w:tr>
      <w:tr>
        <w:trPr>
          <w:trHeight w:val="229"/>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Operating Lease Obligations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17,231</w:t>
            </w:r>
          </w:p>
        </w:tc>
      </w:tr>
      <w:tr>
        <w:trPr>
          <w:trHeight w:val="230"/>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34,741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29,412</w:t>
            </w:r>
          </w:p>
        </w:tc>
      </w:tr>
      <w:tr>
        <w:trPr>
          <w:trHeight w:val="229"/>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7,913</w:t>
            </w:r>
          </w:p>
        </w:tc>
      </w:tr>
      <w:tr>
        <w:trPr>
          <w:trHeight w:val="262"/>
        </w:trPr>
        <w:tc>
          <w:tcPr>
            <w:tcW w:w="732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301,476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281,651</w:t>
            </w:r>
          </w:p>
        </w:tc>
      </w:tr>
      <w:tr>
        <w:trPr>
          <w:trHeight w:val="229"/>
        </w:trPr>
        <w:tc>
          <w:tcPr>
            <w:tcW w:w="7320" w:type="dxa"/>
            <w:vAlign w:val="bottom"/>
            <w:tcBorders>
              <w:top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28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r>
      <w:tr>
        <w:trPr>
          <w:trHeight w:val="230"/>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Over-market Liabilities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10,428</w:t>
            </w:r>
          </w:p>
        </w:tc>
      </w:tr>
      <w:tr>
        <w:trPr>
          <w:trHeight w:val="229"/>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Finance Lease Obligations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239,035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180,450</w:t>
            </w:r>
          </w:p>
        </w:tc>
      </w:tr>
      <w:tr>
        <w:trPr>
          <w:trHeight w:val="230"/>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Loyalty Program Liabilities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8,267</w:t>
            </w:r>
          </w:p>
        </w:tc>
      </w:tr>
      <w:tr>
        <w:trPr>
          <w:trHeight w:val="230"/>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23,864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58,810</w:t>
            </w:r>
          </w:p>
        </w:tc>
      </w:tr>
      <w:tr>
        <w:trPr>
          <w:trHeight w:val="230"/>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248,014</w:t>
            </w:r>
          </w:p>
        </w:tc>
      </w:tr>
      <w:tr>
        <w:trPr>
          <w:trHeight w:val="229"/>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Income Tax Receivable Agreement Liability</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105,600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98,800</w:t>
            </w:r>
          </w:p>
        </w:tc>
      </w:tr>
      <w:tr>
        <w:trPr>
          <w:trHeight w:val="230"/>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w:t>
            </w:r>
          </w:p>
        </w:tc>
      </w:tr>
      <w:tr>
        <w:trPr>
          <w:trHeight w:val="223"/>
        </w:trPr>
        <w:tc>
          <w:tcPr>
            <w:tcW w:w="732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Total Long-term Liabilities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624,825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608,182</w:t>
            </w:r>
          </w:p>
        </w:tc>
      </w:tr>
      <w:tr>
        <w:trPr>
          <w:trHeight w:val="223"/>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926,301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889,833</w:t>
            </w:r>
          </w:p>
        </w:tc>
      </w:tr>
      <w:tr>
        <w:trPr>
          <w:trHeight w:val="34"/>
        </w:trPr>
        <w:tc>
          <w:tcPr>
            <w:tcW w:w="3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0"/>
        </w:trPr>
        <w:tc>
          <w:tcPr>
            <w:tcW w:w="7320" w:type="dxa"/>
            <w:vAlign w:val="bottom"/>
            <w:gridSpan w:val="3"/>
            <w:shd w:val="clear" w:color="auto" w:fill="CCEEFF"/>
          </w:tcPr>
          <w:p>
            <w:pPr>
              <w:ind w:left="20"/>
              <w:spacing w:after="0" w:line="189" w:lineRule="exact"/>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(see </w:t>
            </w:r>
            <w:hyperlink w:anchor="page21">
              <w:r>
                <w:rPr>
                  <w:rFonts w:ascii="Arial" w:cs="Arial" w:eastAsia="Arial" w:hAnsi="Arial"/>
                  <w:sz w:val="18"/>
                  <w:szCs w:val="18"/>
                  <w:b w:val="1"/>
                  <w:bCs w:val="1"/>
                  <w:color w:val="0000FF"/>
                </w:rPr>
                <w:t>Note 12</w:t>
              </w:r>
            </w:hyperlink>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54"/>
        </w:trPr>
        <w:tc>
          <w:tcPr>
            <w:tcW w:w="3340" w:type="dxa"/>
            <w:vAlign w:val="bottom"/>
            <w:tcBorders>
              <w:top w:val="single" w:sz="8" w:color="CCEE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33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16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580" w:type="dxa"/>
            <w:vAlign w:val="bottom"/>
            <w:tcBorders>
              <w:top w:val="single" w:sz="8" w:color="CCEEFF"/>
            </w:tcBorders>
          </w:tcPr>
          <w:p>
            <w:pPr>
              <w:spacing w:after="0"/>
              <w:rPr>
                <w:sz w:val="4"/>
                <w:szCs w:val="4"/>
                <w:color w:val="auto"/>
              </w:rPr>
            </w:pPr>
          </w:p>
        </w:tc>
      </w:tr>
      <w:tr>
        <w:trPr>
          <w:trHeight w:val="229"/>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42"/>
        </w:trPr>
        <w:tc>
          <w:tcPr>
            <w:tcW w:w="73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Common stock with $0.01 par value, 995,000,000 shares authorized, 57,964,320 and</w:t>
            </w:r>
          </w:p>
        </w:tc>
        <w:tc>
          <w:tcPr>
            <w:tcW w:w="2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16"/>
        </w:trPr>
        <w:tc>
          <w:tcPr>
            <w:tcW w:w="73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57,872,452 issued and outstanding at March 31, 2022 and December 31, 2021,</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44"/>
        </w:trPr>
        <w:tc>
          <w:tcPr>
            <w:tcW w:w="73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29"/>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42"/>
        </w:trPr>
        <w:tc>
          <w:tcPr>
            <w:tcW w:w="73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Preferred stock with $0.01 par value, 5,000,000 shares authorized, no shares issued</w:t>
            </w:r>
          </w:p>
        </w:tc>
        <w:tc>
          <w:tcPr>
            <w:tcW w:w="2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44"/>
        </w:trPr>
        <w:tc>
          <w:tcPr>
            <w:tcW w:w="73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and outstanding at March 31, 2022 and December 31, 2021.</w:t>
            </w:r>
          </w:p>
        </w:tc>
        <w:tc>
          <w:tcPr>
            <w:tcW w:w="28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488,480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485,638</w:t>
            </w:r>
          </w:p>
        </w:tc>
      </w:tr>
      <w:tr>
        <w:trPr>
          <w:trHeight w:val="229"/>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23"/>
        </w:trPr>
        <w:tc>
          <w:tcPr>
            <w:tcW w:w="732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486,811</w:t>
            </w:r>
          </w:p>
        </w:tc>
      </w:tr>
      <w:tr>
        <w:trPr>
          <w:trHeight w:val="248"/>
        </w:trPr>
        <w:tc>
          <w:tcPr>
            <w:tcW w:w="7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1,376,644</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30" w:right="4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79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Passenger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202,033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104,195</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Cargo</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21,585</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Revenue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127,611</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Aircraft Fuel</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64,544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24,274</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Wages, and Benefits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44,075</w:t>
            </w:r>
          </w:p>
        </w:tc>
        <w:tc>
          <w:tcPr>
            <w:tcW w:w="0" w:type="dxa"/>
            <w:vAlign w:val="bottom"/>
          </w:tcPr>
          <w:p>
            <w:pPr>
              <w:spacing w:after="0"/>
              <w:rPr>
                <w:sz w:val="1"/>
                <w:szCs w:val="1"/>
                <w:color w:val="auto"/>
              </w:rPr>
            </w:pP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Aircraft Rent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5,599</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Maintenance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0" w:type="dxa"/>
            <w:vAlign w:val="bottom"/>
          </w:tcPr>
          <w:p>
            <w:pPr>
              <w:spacing w:after="0"/>
              <w:rPr>
                <w:sz w:val="1"/>
                <w:szCs w:val="1"/>
                <w:color w:val="auto"/>
              </w:rPr>
            </w:pPr>
          </w:p>
        </w:tc>
      </w:tr>
      <w:tr>
        <w:trPr>
          <w:trHeight w:val="229"/>
        </w:trPr>
        <w:tc>
          <w:tcPr>
            <w:tcW w:w="790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229"/>
        </w:trPr>
        <w:tc>
          <w:tcPr>
            <w:tcW w:w="7900" w:type="dxa"/>
            <w:vAlign w:val="bottom"/>
          </w:tcPr>
          <w:p>
            <w:pPr>
              <w:ind w:left="140"/>
              <w:spacing w:after="0"/>
              <w:rPr>
                <w:sz w:val="20"/>
                <w:szCs w:val="20"/>
                <w:color w:val="auto"/>
              </w:rPr>
            </w:pPr>
            <w:r>
              <w:rPr>
                <w:rFonts w:ascii="Arial" w:cs="Arial" w:eastAsia="Arial" w:hAnsi="Arial"/>
                <w:sz w:val="18"/>
                <w:szCs w:val="18"/>
                <w:color w:val="auto"/>
              </w:rPr>
              <w:t>Ground Handling</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Landing Fees and Airport Rent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w:t>
            </w:r>
          </w:p>
        </w:tc>
        <w:tc>
          <w:tcPr>
            <w:tcW w:w="0" w:type="dxa"/>
            <w:vAlign w:val="bottom"/>
          </w:tcPr>
          <w:p>
            <w:pPr>
              <w:spacing w:after="0"/>
              <w:rPr>
                <w:sz w:val="1"/>
                <w:szCs w:val="1"/>
                <w:color w:val="auto"/>
              </w:rPr>
            </w:pP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Special Items, net</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(26,871)</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net</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14,651</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204,692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102,678</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24,933</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Non-operating Income (Expense), net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Before Income Tax</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17,822</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5,406</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to common stockholders: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for computation: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57,907,655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48,496,077</w:t>
            </w:r>
          </w:p>
        </w:tc>
        <w:tc>
          <w:tcPr>
            <w:tcW w:w="0" w:type="dxa"/>
            <w:vAlign w:val="bottom"/>
          </w:tcPr>
          <w:p>
            <w:pPr>
              <w:spacing w:after="0"/>
              <w:rPr>
                <w:sz w:val="1"/>
                <w:szCs w:val="1"/>
                <w:color w:val="auto"/>
              </w:rPr>
            </w:pPr>
          </w:p>
        </w:tc>
      </w:tr>
      <w:tr>
        <w:trPr>
          <w:trHeight w:val="229"/>
        </w:trPr>
        <w:tc>
          <w:tcPr>
            <w:tcW w:w="7900" w:type="dxa"/>
            <w:vAlign w:val="bottom"/>
          </w:tcPr>
          <w:p>
            <w:pPr>
              <w:ind w:left="1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61,731,942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52,508,186</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4"/>
                <w:szCs w:val="14"/>
                <w:b w:val="1"/>
                <w:bCs w:val="1"/>
                <w:color w:val="auto"/>
              </w:rPr>
              <w:t>Three Months Ended March 31, 2021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20" w:type="dxa"/>
            <w:vAlign w:val="bottom"/>
          </w:tcPr>
          <w:p>
            <w:pPr>
              <w:spacing w:after="0"/>
              <w:rPr>
                <w:sz w:val="16"/>
                <w:szCs w:val="16"/>
                <w:color w:val="auto"/>
              </w:rPr>
            </w:pPr>
          </w:p>
        </w:tc>
        <w:tc>
          <w:tcPr>
            <w:tcW w:w="2480" w:type="dxa"/>
            <w:vAlign w:val="bottom"/>
            <w:gridSpan w:val="7"/>
          </w:tcPr>
          <w:p>
            <w:pPr>
              <w:ind w:left="6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restart"/>
          </w:tcPr>
          <w:p>
            <w:pPr>
              <w:ind w:left="200"/>
              <w:spacing w:after="0" w:line="149" w:lineRule="exact"/>
              <w:rPr>
                <w:sz w:val="20"/>
                <w:szCs w:val="20"/>
                <w:color w:val="auto"/>
              </w:rPr>
            </w:pPr>
            <w:r>
              <w:rPr>
                <w:rFonts w:ascii="Arial" w:cs="Arial" w:eastAsia="Arial" w:hAnsi="Arial"/>
                <w:sz w:val="14"/>
                <w:szCs w:val="14"/>
                <w:b w:val="1"/>
                <w:bCs w:val="1"/>
                <w:color w:val="auto"/>
              </w:rPr>
              <w:t>Loans to</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3"/>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6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gridSpan w:val="2"/>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Stockholders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Paid-in Capital</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(Deficit)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46,839,659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248,525</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38,324</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283,817</w:t>
            </w:r>
          </w:p>
        </w:tc>
        <w:tc>
          <w:tcPr>
            <w:tcW w:w="0" w:type="dxa"/>
            <w:vAlign w:val="bottom"/>
          </w:tcPr>
          <w:p>
            <w:pPr>
              <w:spacing w:after="0"/>
              <w:rPr>
                <w:sz w:val="1"/>
                <w:szCs w:val="1"/>
                <w:color w:val="auto"/>
              </w:rPr>
            </w:pPr>
          </w:p>
        </w:tc>
      </w:tr>
      <w:tr>
        <w:trPr>
          <w:trHeight w:val="209"/>
        </w:trPr>
        <w:tc>
          <w:tcPr>
            <w:tcW w:w="3620" w:type="dxa"/>
            <w:vAlign w:val="bottom"/>
          </w:tcPr>
          <w:p>
            <w:pPr>
              <w:ind w:left="20"/>
              <w:spacing w:after="0"/>
              <w:rPr>
                <w:sz w:val="20"/>
                <w:szCs w:val="20"/>
                <w:color w:val="auto"/>
              </w:rPr>
            </w:pPr>
            <w:r>
              <w:rPr>
                <w:rFonts w:ascii="Arial" w:cs="Arial" w:eastAsia="Arial" w:hAnsi="Arial"/>
                <w:sz w:val="14"/>
                <w:szCs w:val="14"/>
                <w:color w:val="auto"/>
              </w:rPr>
              <w:t>Shares Surrendered by Stockholders</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(140,737)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3,500</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(3,499)</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Initial Public Offering, net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10,454,545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224,552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224,657</w:t>
            </w:r>
          </w:p>
        </w:tc>
        <w:tc>
          <w:tcPr>
            <w:tcW w:w="0" w:type="dxa"/>
            <w:vAlign w:val="bottom"/>
          </w:tcPr>
          <w:p>
            <w:pPr>
              <w:spacing w:after="0"/>
              <w:rPr>
                <w:sz w:val="1"/>
                <w:szCs w:val="1"/>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12,416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12,416</w:t>
            </w:r>
          </w:p>
        </w:tc>
        <w:tc>
          <w:tcPr>
            <w:tcW w:w="0" w:type="dxa"/>
            <w:vAlign w:val="bottom"/>
          </w:tcPr>
          <w:p>
            <w:pPr>
              <w:spacing w:after="0"/>
              <w:rPr>
                <w:sz w:val="1"/>
                <w:szCs w:val="1"/>
                <w:color w:val="auto"/>
              </w:rPr>
            </w:pPr>
          </w:p>
        </w:tc>
      </w:tr>
      <w:tr>
        <w:trPr>
          <w:trHeight w:val="22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Receivable Agreement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(115,200)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(115,200)</w:t>
            </w:r>
          </w:p>
        </w:tc>
        <w:tc>
          <w:tcPr>
            <w:tcW w:w="0" w:type="dxa"/>
            <w:vAlign w:val="bottom"/>
          </w:tcPr>
          <w:p>
            <w:pPr>
              <w:spacing w:after="0"/>
              <w:rPr>
                <w:sz w:val="1"/>
                <w:szCs w:val="1"/>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4"/>
                <w:szCs w:val="14"/>
                <w:color w:val="auto"/>
              </w:rPr>
              <w:t>Amazon Warrants</w:t>
            </w: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1,400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2,870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2,870</w:t>
            </w:r>
          </w:p>
        </w:tc>
        <w:tc>
          <w:tcPr>
            <w:tcW w:w="0" w:type="dxa"/>
            <w:vAlign w:val="bottom"/>
          </w:tcPr>
          <w:p>
            <w:pPr>
              <w:spacing w:after="0"/>
              <w:rPr>
                <w:sz w:val="1"/>
                <w:szCs w:val="1"/>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4"/>
                <w:szCs w:val="14"/>
                <w:color w:val="auto"/>
              </w:rPr>
              <w:t>March 31, 2021</w:t>
            </w:r>
          </w:p>
        </w:tc>
        <w:tc>
          <w:tcPr>
            <w:tcW w:w="1160" w:type="dxa"/>
            <w:vAlign w:val="bottom"/>
          </w:tcPr>
          <w:p>
            <w:pPr>
              <w:jc w:val="right"/>
              <w:spacing w:after="0"/>
              <w:rPr>
                <w:sz w:val="20"/>
                <w:szCs w:val="20"/>
                <w:color w:val="auto"/>
              </w:rPr>
            </w:pPr>
            <w:r>
              <w:rPr>
                <w:rFonts w:ascii="Arial" w:cs="Arial" w:eastAsia="Arial" w:hAnsi="Arial"/>
                <w:sz w:val="14"/>
                <w:szCs w:val="14"/>
                <w:color w:val="auto"/>
              </w:rPr>
              <w:t>57,153,467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473,848</w:t>
            </w:r>
          </w:p>
        </w:tc>
        <w:tc>
          <w:tcPr>
            <w:tcW w:w="2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(64,460)</w:t>
            </w:r>
          </w:p>
        </w:tc>
        <w:tc>
          <w:tcPr>
            <w:tcW w:w="3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409,960</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3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13"/>
          </w:tcPr>
          <w:p>
            <w:pPr>
              <w:jc w:val="right"/>
              <w:ind w:right="740"/>
              <w:spacing w:after="0"/>
              <w:rPr>
                <w:sz w:val="20"/>
                <w:szCs w:val="20"/>
                <w:color w:val="auto"/>
              </w:rPr>
            </w:pPr>
            <w:r>
              <w:rPr>
                <w:rFonts w:ascii="Arial" w:cs="Arial" w:eastAsia="Arial" w:hAnsi="Arial"/>
                <w:sz w:val="14"/>
                <w:szCs w:val="14"/>
                <w:b w:val="1"/>
                <w:bCs w:val="1"/>
                <w:color w:val="auto"/>
              </w:rPr>
              <w:t>Three Months Ended March 31, 2022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Paid-in Capital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Earnings</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2021</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57,872,452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579</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485,638</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486,811</w:t>
            </w:r>
          </w:p>
        </w:tc>
        <w:tc>
          <w:tcPr>
            <w:tcW w:w="0" w:type="dxa"/>
            <w:vAlign w:val="bottom"/>
          </w:tcPr>
          <w:p>
            <w:pPr>
              <w:spacing w:after="0"/>
              <w:rPr>
                <w:sz w:val="1"/>
                <w:szCs w:val="1"/>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4"/>
                <w:szCs w:val="14"/>
                <w:color w:val="auto"/>
              </w:rPr>
              <w:t>Stock Option Exercises</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91,868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22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3,637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3,637</w:t>
            </w:r>
          </w:p>
        </w:tc>
        <w:tc>
          <w:tcPr>
            <w:tcW w:w="0" w:type="dxa"/>
            <w:vAlign w:val="bottom"/>
          </w:tcPr>
          <w:p>
            <w:pPr>
              <w:spacing w:after="0"/>
              <w:rPr>
                <w:sz w:val="1"/>
                <w:szCs w:val="1"/>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4"/>
                <w:szCs w:val="14"/>
                <w:color w:val="auto"/>
              </w:rPr>
              <w:t>Amazon Warrants</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4"/>
                <w:szCs w:val="14"/>
                <w:color w:val="auto"/>
              </w:rPr>
              <w:t>March 31, 2022</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57,964,320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580</w:t>
            </w:r>
          </w:p>
        </w:tc>
        <w:tc>
          <w:tcPr>
            <w:tcW w:w="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488,480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4,231</w:t>
            </w:r>
          </w:p>
        </w:tc>
        <w:tc>
          <w:tcPr>
            <w:tcW w:w="60" w:type="dxa"/>
            <w:vAlign w:val="bottom"/>
          </w:tcPr>
          <w:p>
            <w:pPr>
              <w:spacing w:after="0"/>
              <w:rPr>
                <w:sz w:val="18"/>
                <w:szCs w:val="18"/>
                <w:color w:val="auto"/>
              </w:rPr>
            </w:pPr>
          </w:p>
        </w:tc>
        <w:tc>
          <w:tcPr>
            <w:tcW w:w="3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493,291</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160" w:type="dxa"/>
            <w:vAlign w:val="bottom"/>
          </w:tcPr>
          <w:p>
            <w:pPr>
              <w:spacing w:after="0"/>
              <w:rPr>
                <w:sz w:val="15"/>
                <w:szCs w:val="15"/>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r>
      <w:tr>
        <w:trPr>
          <w:trHeight w:val="172"/>
        </w:trPr>
        <w:tc>
          <w:tcPr>
            <w:tcW w:w="81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4"/>
                <w:szCs w:val="14"/>
                <w:color w:val="auto"/>
              </w:rPr>
            </w:pPr>
          </w:p>
        </w:tc>
      </w:tr>
      <w:tr>
        <w:trPr>
          <w:trHeight w:val="173"/>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3,637</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12,416</w:t>
            </w:r>
          </w:p>
        </w:tc>
      </w:tr>
      <w:tr>
        <w:trPr>
          <w:trHeight w:val="172"/>
        </w:trPr>
        <w:tc>
          <w:tcPr>
            <w:tcW w:w="8160" w:type="dxa"/>
            <w:vAlign w:val="bottom"/>
          </w:tcPr>
          <w:p>
            <w:pPr>
              <w:ind w:left="140"/>
              <w:spacing w:after="0"/>
              <w:rPr>
                <w:sz w:val="20"/>
                <w:szCs w:val="20"/>
                <w:color w:val="auto"/>
              </w:rPr>
            </w:pPr>
            <w:r>
              <w:rPr>
                <w:rFonts w:ascii="Arial" w:cs="Arial" w:eastAsia="Arial" w:hAnsi="Arial"/>
                <w:sz w:val="13"/>
                <w:szCs w:val="13"/>
                <w:b w:val="1"/>
                <w:bCs w:val="1"/>
                <w:color w:val="auto"/>
              </w:rPr>
              <w:t>Adjustments to reconcile Net Income to Cash from Operating Activities:</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9"/>
        </w:trPr>
        <w:tc>
          <w:tcPr>
            <w:tcW w:w="8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15,328</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12,615</w:t>
            </w:r>
          </w:p>
        </w:tc>
      </w:tr>
      <w:tr>
        <w:trPr>
          <w:trHeight w:val="167"/>
        </w:trPr>
        <w:tc>
          <w:tcPr>
            <w:tcW w:w="8160" w:type="dxa"/>
            <w:vAlign w:val="bottom"/>
          </w:tcPr>
          <w:p>
            <w:pPr>
              <w:ind w:left="240"/>
              <w:spacing w:after="0"/>
              <w:rPr>
                <w:sz w:val="20"/>
                <w:szCs w:val="20"/>
                <w:color w:val="auto"/>
              </w:rPr>
            </w:pPr>
            <w:r>
              <w:rPr>
                <w:rFonts w:ascii="Arial" w:cs="Arial" w:eastAsia="Arial" w:hAnsi="Arial"/>
                <w:sz w:val="13"/>
                <w:szCs w:val="13"/>
                <w:color w:val="auto"/>
              </w:rPr>
              <w:t>Tax Receivable Agreement</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6,800</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8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Lease Right-of-use Assets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2,989</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5,401</w:t>
            </w:r>
          </w:p>
        </w:tc>
      </w:tr>
      <w:tr>
        <w:trPr>
          <w:trHeight w:val="168"/>
        </w:trPr>
        <w:tc>
          <w:tcPr>
            <w:tcW w:w="8160" w:type="dxa"/>
            <w:vAlign w:val="bottom"/>
          </w:tcPr>
          <w:p>
            <w:pPr>
              <w:ind w:left="240"/>
              <w:spacing w:after="0"/>
              <w:rPr>
                <w:sz w:val="20"/>
                <w:szCs w:val="20"/>
                <w:color w:val="auto"/>
              </w:rPr>
            </w:pPr>
            <w:r>
              <w:rPr>
                <w:rFonts w:ascii="Arial" w:cs="Arial" w:eastAsia="Arial" w:hAnsi="Arial"/>
                <w:sz w:val="13"/>
                <w:szCs w:val="13"/>
                <w:color w:val="auto"/>
              </w:rPr>
              <w:t>Non-Cash Gain on Asset Transactions, net</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(8,729)</w:t>
            </w:r>
          </w:p>
        </w:tc>
      </w:tr>
      <w:tr>
        <w:trPr>
          <w:trHeight w:val="183"/>
        </w:trPr>
        <w:tc>
          <w:tcPr>
            <w:tcW w:w="8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Unrealized Gain on Fuel Derivatives</w:t>
            </w:r>
          </w:p>
        </w:tc>
        <w:tc>
          <w:tcPr>
            <w:tcW w:w="9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(2,386)</w:t>
            </w:r>
          </w:p>
        </w:tc>
      </w:tr>
      <w:tr>
        <w:trPr>
          <w:trHeight w:val="168"/>
        </w:trPr>
        <w:tc>
          <w:tcPr>
            <w:tcW w:w="8160" w:type="dxa"/>
            <w:vAlign w:val="bottom"/>
          </w:tcPr>
          <w:p>
            <w:pPr>
              <w:ind w:left="240"/>
              <w:spacing w:after="0"/>
              <w:rPr>
                <w:sz w:val="20"/>
                <w:szCs w:val="20"/>
                <w:color w:val="auto"/>
              </w:rPr>
            </w:pPr>
            <w:r>
              <w:rPr>
                <w:rFonts w:ascii="Arial" w:cs="Arial" w:eastAsia="Arial" w:hAnsi="Arial"/>
                <w:sz w:val="13"/>
                <w:szCs w:val="13"/>
                <w:color w:val="auto"/>
              </w:rPr>
              <w:t>Amortization of Over-market Liabilities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(921)</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(2,004)</w:t>
            </w:r>
          </w:p>
        </w:tc>
      </w:tr>
      <w:tr>
        <w:trPr>
          <w:trHeight w:val="183"/>
        </w:trPr>
        <w:tc>
          <w:tcPr>
            <w:tcW w:w="8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Deferred Income Taxes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2,782</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5,406</w:t>
            </w:r>
          </w:p>
        </w:tc>
      </w:tr>
      <w:tr>
        <w:trPr>
          <w:trHeight w:val="168"/>
        </w:trPr>
        <w:tc>
          <w:tcPr>
            <w:tcW w:w="8160" w:type="dxa"/>
            <w:vAlign w:val="bottom"/>
          </w:tcPr>
          <w:p>
            <w:pPr>
              <w:ind w:left="240"/>
              <w:spacing w:after="0"/>
              <w:rPr>
                <w:sz w:val="20"/>
                <w:szCs w:val="20"/>
                <w:color w:val="auto"/>
              </w:rPr>
            </w:pPr>
            <w:r>
              <w:rPr>
                <w:rFonts w:ascii="Arial" w:cs="Arial" w:eastAsia="Arial" w:hAnsi="Arial"/>
                <w:sz w:val="13"/>
                <w:szCs w:val="13"/>
                <w:color w:val="auto"/>
              </w:rPr>
              <w:t>Amazon Warrants Vested</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1,400</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1,400</w:t>
            </w:r>
          </w:p>
        </w:tc>
      </w:tr>
      <w:tr>
        <w:trPr>
          <w:trHeight w:val="183"/>
        </w:trPr>
        <w:tc>
          <w:tcPr>
            <w:tcW w:w="8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Stock-based Compensation Expense</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2,870</w:t>
            </w:r>
          </w:p>
        </w:tc>
      </w:tr>
      <w:tr>
        <w:trPr>
          <w:trHeight w:val="168"/>
        </w:trPr>
        <w:tc>
          <w:tcPr>
            <w:tcW w:w="8160" w:type="dxa"/>
            <w:vAlign w:val="bottom"/>
          </w:tcPr>
          <w:p>
            <w:pPr>
              <w:ind w:left="240"/>
              <w:spacing w:after="0"/>
              <w:rPr>
                <w:sz w:val="20"/>
                <w:szCs w:val="20"/>
                <w:color w:val="auto"/>
              </w:rPr>
            </w:pPr>
            <w:r>
              <w:rPr>
                <w:rFonts w:ascii="Arial" w:cs="Arial" w:eastAsia="Arial" w:hAnsi="Arial"/>
                <w:sz w:val="13"/>
                <w:szCs w:val="13"/>
                <w:color w:val="auto"/>
              </w:rPr>
              <w:t>Amortization of Debt Issuance Costs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270</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272</w:t>
            </w:r>
          </w:p>
        </w:tc>
      </w:tr>
      <w:tr>
        <w:trPr>
          <w:trHeight w:val="183"/>
        </w:trPr>
        <w:tc>
          <w:tcPr>
            <w:tcW w:w="8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Extinguishment of Debt</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1,557</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1,224</w:t>
            </w:r>
          </w:p>
        </w:tc>
      </w:tr>
      <w:tr>
        <w:trPr>
          <w:trHeight w:val="108"/>
        </w:trPr>
        <w:tc>
          <w:tcPr>
            <w:tcW w:w="8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76"/>
        </w:trPr>
        <w:tc>
          <w:tcPr>
            <w:tcW w:w="81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Changes in Operating Assets and Liabilities: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68"/>
        </w:trPr>
        <w:tc>
          <w:tcPr>
            <w:tcW w:w="8160" w:type="dxa"/>
            <w:vAlign w:val="bottom"/>
          </w:tcPr>
          <w:p>
            <w:pPr>
              <w:ind w:left="240"/>
              <w:spacing w:after="0"/>
              <w:rPr>
                <w:sz w:val="20"/>
                <w:szCs w:val="20"/>
                <w:color w:val="auto"/>
              </w:rPr>
            </w:pPr>
            <w:r>
              <w:rPr>
                <w:rFonts w:ascii="Arial" w:cs="Arial" w:eastAsia="Arial" w:hAnsi="Arial"/>
                <w:sz w:val="13"/>
                <w:szCs w:val="13"/>
                <w:color w:val="auto"/>
              </w:rPr>
              <w:t>Accounts Receivable</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(1,577)</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2,358</w:t>
            </w:r>
          </w:p>
        </w:tc>
      </w:tr>
      <w:tr>
        <w:trPr>
          <w:trHeight w:val="183"/>
        </w:trPr>
        <w:tc>
          <w:tcPr>
            <w:tcW w:w="8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Inventory</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r>
      <w:tr>
        <w:trPr>
          <w:trHeight w:val="168"/>
        </w:trPr>
        <w:tc>
          <w:tcPr>
            <w:tcW w:w="8160" w:type="dxa"/>
            <w:vAlign w:val="bottom"/>
          </w:tcPr>
          <w:p>
            <w:pPr>
              <w:ind w:left="240"/>
              <w:spacing w:after="0"/>
              <w:rPr>
                <w:sz w:val="20"/>
                <w:szCs w:val="20"/>
                <w:color w:val="auto"/>
              </w:rPr>
            </w:pPr>
            <w:r>
              <w:rPr>
                <w:rFonts w:ascii="Arial" w:cs="Arial" w:eastAsia="Arial" w:hAnsi="Arial"/>
                <w:sz w:val="13"/>
                <w:szCs w:val="13"/>
                <w:color w:val="auto"/>
              </w:rPr>
              <w:t>Prepaid Expenses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(1,655)</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(3,676)</w:t>
            </w:r>
          </w:p>
        </w:tc>
      </w:tr>
      <w:tr>
        <w:trPr>
          <w:trHeight w:val="183"/>
        </w:trPr>
        <w:tc>
          <w:tcPr>
            <w:tcW w:w="8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Lessor Maintenance Deposits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(3,919)</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(2,219)</w:t>
            </w:r>
          </w:p>
        </w:tc>
      </w:tr>
      <w:tr>
        <w:trPr>
          <w:trHeight w:val="168"/>
        </w:trPr>
        <w:tc>
          <w:tcPr>
            <w:tcW w:w="8160" w:type="dxa"/>
            <w:vAlign w:val="bottom"/>
          </w:tcPr>
          <w:p>
            <w:pPr>
              <w:ind w:left="240"/>
              <w:spacing w:after="0"/>
              <w:rPr>
                <w:sz w:val="20"/>
                <w:szCs w:val="20"/>
                <w:color w:val="auto"/>
              </w:rPr>
            </w:pPr>
            <w:r>
              <w:rPr>
                <w:rFonts w:ascii="Arial" w:cs="Arial" w:eastAsia="Arial" w:hAnsi="Arial"/>
                <w:sz w:val="13"/>
                <w:szCs w:val="13"/>
                <w:color w:val="auto"/>
              </w:rPr>
              <w:t>Aircraft Deposits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(1,044)</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2,226</w:t>
            </w:r>
          </w:p>
        </w:tc>
      </w:tr>
      <w:tr>
        <w:trPr>
          <w:trHeight w:val="183"/>
        </w:trPr>
        <w:tc>
          <w:tcPr>
            <w:tcW w:w="8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Assets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(6,262)</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r>
      <w:tr>
        <w:trPr>
          <w:trHeight w:val="168"/>
        </w:trPr>
        <w:tc>
          <w:tcPr>
            <w:tcW w:w="816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9,500</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626</w:t>
            </w:r>
          </w:p>
        </w:tc>
      </w:tr>
      <w:tr>
        <w:trPr>
          <w:trHeight w:val="183"/>
        </w:trPr>
        <w:tc>
          <w:tcPr>
            <w:tcW w:w="8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Transportation Taxes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1,362</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4,519</w:t>
            </w:r>
          </w:p>
        </w:tc>
      </w:tr>
      <w:tr>
        <w:trPr>
          <w:trHeight w:val="168"/>
        </w:trPr>
        <w:tc>
          <w:tcPr>
            <w:tcW w:w="8160" w:type="dxa"/>
            <w:vAlign w:val="bottom"/>
          </w:tcPr>
          <w:p>
            <w:pPr>
              <w:ind w:left="240"/>
              <w:spacing w:after="0"/>
              <w:rPr>
                <w:sz w:val="20"/>
                <w:szCs w:val="20"/>
                <w:color w:val="auto"/>
              </w:rPr>
            </w:pPr>
            <w:r>
              <w:rPr>
                <w:rFonts w:ascii="Arial" w:cs="Arial" w:eastAsia="Arial" w:hAnsi="Arial"/>
                <w:sz w:val="13"/>
                <w:szCs w:val="13"/>
                <w:color w:val="auto"/>
              </w:rPr>
              <w:t>Air Traffic Liabilities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(7,616)</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(6,343)</w:t>
            </w:r>
          </w:p>
        </w:tc>
      </w:tr>
      <w:tr>
        <w:trPr>
          <w:trHeight w:val="184"/>
        </w:trPr>
        <w:tc>
          <w:tcPr>
            <w:tcW w:w="8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Loyalty Program Liabilities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(2,344)</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(1,295)</w:t>
            </w:r>
          </w:p>
        </w:tc>
      </w:tr>
      <w:tr>
        <w:trPr>
          <w:trHeight w:val="167"/>
        </w:trPr>
        <w:tc>
          <w:tcPr>
            <w:tcW w:w="8160" w:type="dxa"/>
            <w:vAlign w:val="bottom"/>
          </w:tcPr>
          <w:p>
            <w:pPr>
              <w:ind w:left="240"/>
              <w:spacing w:after="0"/>
              <w:rPr>
                <w:sz w:val="20"/>
                <w:szCs w:val="20"/>
                <w:color w:val="auto"/>
              </w:rPr>
            </w:pPr>
            <w:r>
              <w:rPr>
                <w:rFonts w:ascii="Arial" w:cs="Arial" w:eastAsia="Arial" w:hAnsi="Arial"/>
                <w:sz w:val="13"/>
                <w:szCs w:val="13"/>
                <w:color w:val="auto"/>
              </w:rPr>
              <w:t>Operating Lease Obligations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(3,240)</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(10,722)</w:t>
            </w:r>
          </w:p>
        </w:tc>
      </w:tr>
      <w:tr>
        <w:trPr>
          <w:trHeight w:val="184"/>
        </w:trPr>
        <w:tc>
          <w:tcPr>
            <w:tcW w:w="8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Liabilities</w:t>
            </w: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594</w:t>
            </w:r>
          </w:p>
        </w:tc>
        <w:tc>
          <w:tcPr>
            <w:tcW w:w="1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1,820</w:t>
            </w:r>
          </w:p>
        </w:tc>
      </w:tr>
      <w:tr>
        <w:trPr>
          <w:trHeight w:val="163"/>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3"/>
                <w:szCs w:val="13"/>
                <w:b w:val="1"/>
                <w:bCs w:val="1"/>
                <w:color w:val="auto"/>
              </w:rPr>
              <w:t>Net Cash Provided by Operating Activities</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18,213</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15,839</w:t>
            </w:r>
          </w:p>
        </w:tc>
      </w:tr>
      <w:tr>
        <w:trPr>
          <w:trHeight w:val="81"/>
        </w:trPr>
        <w:tc>
          <w:tcPr>
            <w:tcW w:w="81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r>
      <w:tr>
        <w:trPr>
          <w:trHeight w:val="172"/>
        </w:trPr>
        <w:tc>
          <w:tcPr>
            <w:tcW w:w="8160" w:type="dxa"/>
            <w:vAlign w:val="bottom"/>
          </w:tcPr>
          <w:p>
            <w:pPr>
              <w:ind w:left="140"/>
              <w:spacing w:after="0"/>
              <w:rPr>
                <w:sz w:val="20"/>
                <w:szCs w:val="20"/>
                <w:color w:val="auto"/>
              </w:rPr>
            </w:pPr>
            <w:r>
              <w:rPr>
                <w:rFonts w:ascii="Arial" w:cs="Arial" w:eastAsia="Arial" w:hAnsi="Arial"/>
                <w:sz w:val="13"/>
                <w:szCs w:val="13"/>
                <w:b w:val="1"/>
                <w:bCs w:val="1"/>
                <w:color w:val="auto"/>
              </w:rPr>
              <w:t>Cash Flows from Investing Activities:</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9"/>
        </w:trPr>
        <w:tc>
          <w:tcPr>
            <w:tcW w:w="8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Property &amp; Equipment</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(49,683)</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(54,399)</w:t>
            </w:r>
          </w:p>
        </w:tc>
      </w:tr>
      <w:tr>
        <w:trPr>
          <w:trHeight w:val="168"/>
        </w:trPr>
        <w:tc>
          <w:tcPr>
            <w:tcW w:w="8160" w:type="dxa"/>
            <w:vAlign w:val="bottom"/>
          </w:tcPr>
          <w:p>
            <w:pPr>
              <w:ind w:left="240"/>
              <w:spacing w:after="0"/>
              <w:rPr>
                <w:sz w:val="20"/>
                <w:szCs w:val="20"/>
                <w:color w:val="auto"/>
              </w:rPr>
            </w:pPr>
            <w:r>
              <w:rPr>
                <w:rFonts w:ascii="Arial" w:cs="Arial" w:eastAsia="Arial" w:hAnsi="Arial"/>
                <w:sz w:val="13"/>
                <w:szCs w:val="13"/>
                <w:color w:val="auto"/>
              </w:rPr>
              <w:t>Proceeds from the Sale of Property &amp; Equipment</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 of Investments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w:t>
            </w:r>
          </w:p>
        </w:tc>
      </w:tr>
      <w:tr>
        <w:trPr>
          <w:trHeight w:val="169"/>
        </w:trPr>
        <w:tc>
          <w:tcPr>
            <w:tcW w:w="81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Proceeds from the Sale of Investments</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w:t>
            </w:r>
          </w:p>
        </w:tc>
      </w:tr>
      <w:tr>
        <w:trPr>
          <w:trHeight w:val="169"/>
        </w:trPr>
        <w:tc>
          <w:tcPr>
            <w:tcW w:w="816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Net Cash Used in Investing Activities</w:t>
            </w: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(49,628)</w:t>
            </w:r>
          </w:p>
        </w:tc>
        <w:tc>
          <w:tcPr>
            <w:tcW w:w="12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(54,552)</w:t>
            </w:r>
          </w:p>
        </w:tc>
      </w:tr>
      <w:tr>
        <w:trPr>
          <w:trHeight w:val="81"/>
        </w:trPr>
        <w:tc>
          <w:tcPr>
            <w:tcW w:w="8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r>
      <w:tr>
        <w:trPr>
          <w:trHeight w:val="175"/>
        </w:trPr>
        <w:tc>
          <w:tcPr>
            <w:tcW w:w="81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Cash Flows from Financing Activities: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67"/>
        </w:trPr>
        <w:tc>
          <w:tcPr>
            <w:tcW w:w="8160" w:type="dxa"/>
            <w:vAlign w:val="bottom"/>
          </w:tcPr>
          <w:p>
            <w:pPr>
              <w:ind w:left="240"/>
              <w:spacing w:after="0"/>
              <w:rPr>
                <w:sz w:val="20"/>
                <w:szCs w:val="20"/>
                <w:color w:val="auto"/>
              </w:rPr>
            </w:pPr>
            <w:r>
              <w:rPr>
                <w:rFonts w:ascii="Arial" w:cs="Arial" w:eastAsia="Arial" w:hAnsi="Arial"/>
                <w:sz w:val="13"/>
                <w:szCs w:val="13"/>
                <w:color w:val="auto"/>
              </w:rPr>
              <w:t>Cash Received from Stock Offering</w:t>
            </w:r>
          </w:p>
        </w:tc>
        <w:tc>
          <w:tcPr>
            <w:tcW w:w="92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235,894</w:t>
            </w:r>
          </w:p>
        </w:tc>
      </w:tr>
      <w:tr>
        <w:trPr>
          <w:trHeight w:val="184"/>
        </w:trPr>
        <w:tc>
          <w:tcPr>
            <w:tcW w:w="8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Costs of Stock Offering</w:t>
            </w:r>
          </w:p>
        </w:tc>
        <w:tc>
          <w:tcPr>
            <w:tcW w:w="9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(7,226)</w:t>
            </w:r>
          </w:p>
        </w:tc>
      </w:tr>
      <w:tr>
        <w:trPr>
          <w:trHeight w:val="168"/>
        </w:trPr>
        <w:tc>
          <w:tcPr>
            <w:tcW w:w="8160" w:type="dxa"/>
            <w:vAlign w:val="bottom"/>
          </w:tcPr>
          <w:p>
            <w:pPr>
              <w:ind w:left="240"/>
              <w:spacing w:after="0"/>
              <w:rPr>
                <w:sz w:val="20"/>
                <w:szCs w:val="20"/>
                <w:color w:val="auto"/>
              </w:rPr>
            </w:pPr>
            <w:r>
              <w:rPr>
                <w:rFonts w:ascii="Arial" w:cs="Arial" w:eastAsia="Arial" w:hAnsi="Arial"/>
                <w:sz w:val="13"/>
                <w:szCs w:val="13"/>
                <w:color w:val="auto"/>
              </w:rPr>
              <w:t>Proceeds from Stock Option and Warrant Exercises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523</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8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Borrowings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77,986</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68,000</w:t>
            </w:r>
          </w:p>
        </w:tc>
      </w:tr>
      <w:tr>
        <w:trPr>
          <w:trHeight w:val="168"/>
        </w:trPr>
        <w:tc>
          <w:tcPr>
            <w:tcW w:w="8160" w:type="dxa"/>
            <w:vAlign w:val="bottom"/>
          </w:tcPr>
          <w:p>
            <w:pPr>
              <w:ind w:left="240"/>
              <w:spacing w:after="0"/>
              <w:rPr>
                <w:sz w:val="20"/>
                <w:szCs w:val="20"/>
                <w:color w:val="auto"/>
              </w:rPr>
            </w:pPr>
            <w:r>
              <w:rPr>
                <w:rFonts w:ascii="Arial" w:cs="Arial" w:eastAsia="Arial" w:hAnsi="Arial"/>
                <w:sz w:val="13"/>
                <w:szCs w:val="13"/>
                <w:color w:val="auto"/>
              </w:rPr>
              <w:t>Repayment of Finance Lease Obligations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(4,466)</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(3,911)</w:t>
            </w:r>
          </w:p>
        </w:tc>
      </w:tr>
      <w:tr>
        <w:trPr>
          <w:trHeight w:val="183"/>
        </w:trPr>
        <w:tc>
          <w:tcPr>
            <w:tcW w:w="81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Repayment of Borrowings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(77,947)</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(46,068)</w:t>
            </w:r>
          </w:p>
        </w:tc>
      </w:tr>
      <w:tr>
        <w:trPr>
          <w:trHeight w:val="169"/>
        </w:trPr>
        <w:tc>
          <w:tcPr>
            <w:tcW w:w="81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Debt Issuance Costs</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(1,979)</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(2,721)</w:t>
            </w:r>
          </w:p>
        </w:tc>
      </w:tr>
      <w:tr>
        <w:trPr>
          <w:trHeight w:val="169"/>
        </w:trPr>
        <w:tc>
          <w:tcPr>
            <w:tcW w:w="816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Net Cash (Used In) Provided by Financing Activities</w:t>
            </w: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(5,883)</w:t>
            </w:r>
          </w:p>
        </w:tc>
        <w:tc>
          <w:tcPr>
            <w:tcW w:w="12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243,968</w:t>
            </w:r>
          </w:p>
        </w:tc>
      </w:tr>
      <w:tr>
        <w:trPr>
          <w:trHeight w:val="81"/>
        </w:trPr>
        <w:tc>
          <w:tcPr>
            <w:tcW w:w="8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r>
      <w:tr>
        <w:trPr>
          <w:trHeight w:val="176"/>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(Decrease) Increase in Cash, Cash Equivalents and Restricted Cash</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(37,298)</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205,255</w:t>
            </w:r>
          </w:p>
        </w:tc>
      </w:tr>
      <w:tr>
        <w:trPr>
          <w:trHeight w:val="94"/>
        </w:trPr>
        <w:tc>
          <w:tcPr>
            <w:tcW w:w="8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75"/>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Cash Equivalents and Restricted Cash--Beginning of the Period</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317,785</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70,363</w:t>
            </w:r>
          </w:p>
        </w:tc>
      </w:tr>
      <w:tr>
        <w:trPr>
          <w:trHeight w:val="108"/>
        </w:trPr>
        <w:tc>
          <w:tcPr>
            <w:tcW w:w="816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r>
        <w:trPr>
          <w:trHeight w:val="19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Cash Equivalents and Restricted Cash--End of the Period</w:t>
            </w:r>
          </w:p>
        </w:tc>
        <w:tc>
          <w:tcPr>
            <w:tcW w:w="92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280,487</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275,618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3"/>
                <w:szCs w:val="13"/>
                <w:b w:val="1"/>
                <w:bCs w:val="1"/>
                <w:color w:val="auto"/>
              </w:rPr>
              <w:t>Three Months Ended March 31,</w:t>
            </w:r>
          </w:p>
        </w:tc>
      </w:tr>
      <w:tr>
        <w:trPr>
          <w:trHeight w:val="172"/>
        </w:trPr>
        <w:tc>
          <w:tcPr>
            <w:tcW w:w="8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2021</w:t>
            </w:r>
          </w:p>
        </w:tc>
      </w:tr>
      <w:tr>
        <w:trPr>
          <w:trHeight w:val="38"/>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76"/>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Non-cash transactions:</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8"/>
        </w:trPr>
        <w:tc>
          <w:tcPr>
            <w:tcW w:w="8160" w:type="dxa"/>
            <w:vAlign w:val="bottom"/>
          </w:tcPr>
          <w:p>
            <w:pPr>
              <w:ind w:left="140"/>
              <w:spacing w:after="0"/>
              <w:rPr>
                <w:sz w:val="20"/>
                <w:szCs w:val="20"/>
                <w:color w:val="auto"/>
              </w:rPr>
            </w:pPr>
            <w:r>
              <w:rPr>
                <w:rFonts w:ascii="Arial" w:cs="Arial" w:eastAsia="Arial" w:hAnsi="Arial"/>
                <w:sz w:val="13"/>
                <w:szCs w:val="13"/>
                <w:color w:val="auto"/>
              </w:rPr>
              <w:t>Lease Deposits Applied Against the Purchase of Aircraft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2,766</w:t>
            </w:r>
          </w:p>
        </w:tc>
      </w:tr>
      <w:tr>
        <w:trPr>
          <w:trHeight w:val="183"/>
        </w:trPr>
        <w:tc>
          <w:tcPr>
            <w:tcW w:w="8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Aircraft and Flight Equipment Acquired through Finance Leases</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19,928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8160" w:type="dxa"/>
            <w:vAlign w:val="bottom"/>
          </w:tcPr>
          <w:p>
            <w:pPr>
              <w:ind w:left="140"/>
              <w:spacing w:after="0"/>
              <w:rPr>
                <w:sz w:val="20"/>
                <w:szCs w:val="20"/>
                <w:color w:val="auto"/>
              </w:rPr>
            </w:pPr>
            <w:r>
              <w:rPr>
                <w:rFonts w:ascii="Arial" w:cs="Arial" w:eastAsia="Arial" w:hAnsi="Arial"/>
                <w:sz w:val="13"/>
                <w:szCs w:val="13"/>
                <w:color w:val="auto"/>
              </w:rPr>
              <w:t>Finance Lease Asset Modifications</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46,311</w:t>
            </w:r>
          </w:p>
        </w:tc>
        <w:tc>
          <w:tcPr>
            <w:tcW w:w="1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03"/>
        </w:trPr>
        <w:tc>
          <w:tcPr>
            <w:tcW w:w="9640" w:type="dxa"/>
            <w:vAlign w:val="bottom"/>
            <w:gridSpan w:val="3"/>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r>
      <w:tr>
        <w:trPr>
          <w:trHeight w:val="168"/>
        </w:trPr>
        <w:tc>
          <w:tcPr>
            <w:tcW w:w="9760" w:type="dxa"/>
            <w:vAlign w:val="bottom"/>
            <w:gridSpan w:val="4"/>
          </w:tcPr>
          <w:p>
            <w:pPr>
              <w:ind w:left="20"/>
              <w:spacing w:after="0"/>
              <w:rPr>
                <w:sz w:val="20"/>
                <w:szCs w:val="20"/>
                <w:color w:val="auto"/>
              </w:rPr>
            </w:pPr>
            <w:r>
              <w:rPr>
                <w:rFonts w:ascii="Arial" w:cs="Arial" w:eastAsia="Arial" w:hAnsi="Arial"/>
                <w:sz w:val="13"/>
                <w:szCs w:val="13"/>
                <w:color w:val="auto"/>
              </w:rPr>
              <w:t>The following provides a reconciliation of Cash, Cash Equivalents and Restricted Cash to the amounts reported on the Condensed Consolidated Balance Sheets:</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4"/>
        </w:trPr>
        <w:tc>
          <w:tcPr>
            <w:tcW w:w="8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March 31, 2022</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March 31, 2021</w:t>
            </w:r>
          </w:p>
        </w:tc>
      </w:tr>
      <w:tr>
        <w:trPr>
          <w:trHeight w:val="161"/>
        </w:trPr>
        <w:tc>
          <w:tcPr>
            <w:tcW w:w="816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272,402</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269,599</w:t>
            </w:r>
          </w:p>
        </w:tc>
      </w:tr>
      <w:tr>
        <w:trPr>
          <w:trHeight w:val="177"/>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w:t>
            </w:r>
          </w:p>
        </w:tc>
        <w:tc>
          <w:tcPr>
            <w:tcW w:w="2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8,085</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6,019</w:t>
            </w:r>
          </w:p>
        </w:tc>
      </w:tr>
      <w:tr>
        <w:trPr>
          <w:trHeight w:val="176"/>
        </w:trPr>
        <w:tc>
          <w:tcPr>
            <w:tcW w:w="8160" w:type="dxa"/>
            <w:vAlign w:val="bottom"/>
          </w:tcPr>
          <w:p>
            <w:pPr>
              <w:ind w:left="140"/>
              <w:spacing w:after="0"/>
              <w:rPr>
                <w:sz w:val="20"/>
                <w:szCs w:val="20"/>
                <w:color w:val="auto"/>
              </w:rPr>
            </w:pPr>
            <w:r>
              <w:rPr>
                <w:rFonts w:ascii="Arial" w:cs="Arial" w:eastAsia="Arial" w:hAnsi="Arial"/>
                <w:sz w:val="13"/>
                <w:szCs w:val="13"/>
                <w:color w:val="auto"/>
              </w:rPr>
              <w:t>Total Cash, Cash Equivalents and Restricted Cash</w:t>
            </w: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280,487</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275,618</w:t>
            </w: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30" w:right="339" w:bottom="160" w:gutter="0" w:footer="0" w:header="0"/>
        </w:sectPr>
      </w:pP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40"/>
          </w:cols>
          <w:pgMar w:left="320" w:top="530" w:right="339" w:bottom="16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60325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COMPANY BACKGROUND</w:t>
      </w:r>
    </w:p>
    <w:p>
      <w:pPr>
        <w:spacing w:after="0" w:line="24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Sun Country Airlines Holdings, Inc. is the parent company of Sun Country, Inc., which is a certificated air carrier providing scheduled passenger service, air cargo service, charter air transportation and related services. Services are provided to the general public, cargo customers, military branches, wholesale tour operators, individual entities, schools and companies for air transportation to various U.S. and international destinations. Except as otherwise stated, the financial information, accounting policies, and activities of Sun Country Airlines Holdings, Inc. are referred to as those of the Company (the “Company” or “Sun Country”).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 Transactions</w:t>
      </w:r>
    </w:p>
    <w:p>
      <w:pPr>
        <w:spacing w:after="0" w:line="234" w:lineRule="exact"/>
        <w:rPr>
          <w:sz w:val="20"/>
          <w:szCs w:val="20"/>
          <w:color w:val="auto"/>
        </w:rPr>
      </w:pPr>
    </w:p>
    <w:p>
      <w:pPr>
        <w:jc w:val="both"/>
        <w:ind w:left="34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On April 11, 2018 (the "Acquisition Date"), certain investment funds (the “Apollo Funds”) managed by affiliates of Apollo Global Management, Inc. (“Apollo”) acquired Sun Country, Inc. For more information on the Company’s equity transactions, see </w:t>
      </w:r>
      <w:hyperlink r:id="rId28">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Notes to the Consolidated Financial Statements included in Part II, Item 8 “Financial Statements” in the Company’s Annual Report on Form 10-K for the year ended December 31, 2021 as filed with the U.S. Securities and Exchange Commission (“2021 10-K”).</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Initial Public Offering of Common Stock</w:t>
      </w:r>
    </w:p>
    <w:p>
      <w:pPr>
        <w:spacing w:after="0" w:line="24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On March 16, 2021, the Company priced its initial public offering of 9,090,909 shares of common stock to the public at $24.00 per share. The stock began trading on the NASDAQ on March 17, 2021 under the symbol "SNCY". The underwriters had an option to purchase an additional 1,363,636 shares from the Company at the public offering price, which they exercised. In total, all 10,454,545 shares were issued on March 19, 2021 and the net proceeds to the Company were $225,329 after deducting underwriting discounts and commissions, and other offering expenses.</w:t>
      </w:r>
    </w:p>
    <w:p>
      <w:pPr>
        <w:spacing w:after="0" w:line="205"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Concurrently with the closing of the initial public offering, SCA Horus Holdings, LLC, an affiliate of investment funds managed by affiliates of Apollo (the “Apollo Stockholder”), also completed a private placement in which the Apollo Stockholder sold 2,216,312 and 2,216,308 shares of common stock to PAR Investment Partners, L.P. and certain funds or accounts managed by an investment adviser subsidiary of Blackrock, Inc., respectively. Each of the two sales was based on an aggregate purchase price of $50,000 and a price per share equal to 94% of the initial public offering price of $24.00 per share.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Secondary Offerings</w:t>
      </w:r>
    </w:p>
    <w:p>
      <w:pPr>
        <w:spacing w:after="0" w:line="24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During May 2021 and October 2021, the Apollo Stockholder and other selling stockholders sold 7,250,000 and 8,500,000 shares of the Company's common stock at the public offering prices of $34.50 and $32.50, respectively. Under both transactions, the underwriters were given options to purchase additional shares of the Company's common stock at the public offering price. During the May 2021 and October 2021 offerings, the underwriters elected to purchase 1,087,500 and 435,291 of the option shares, respectively. The Company incurred offering expenses of $1,763 in conjunction with the two secondary offerings, and did not receive any of the proceeds from these offerings.</w:t>
      </w:r>
    </w:p>
    <w:p>
      <w:pPr>
        <w:spacing w:after="0" w:line="208" w:lineRule="exact"/>
        <w:rPr>
          <w:sz w:val="20"/>
          <w:szCs w:val="20"/>
          <w:color w:val="auto"/>
        </w:rPr>
      </w:pPr>
    </w:p>
    <w:p>
      <w:pPr>
        <w:jc w:val="both"/>
        <w:ind w:left="34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For more information on the 2021 secondary offerings, see </w:t>
      </w:r>
      <w:hyperlink r:id="rId28">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Notes to the Consolidated Financial Statements included in Part II, Item 8 “Financial Statements” in the 2021 10-K.</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Amazon Agreement</w:t>
      </w:r>
    </w:p>
    <w:p>
      <w:pPr>
        <w:spacing w:after="0" w:line="247"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On December 13, 2019, the Company signed a six-year contract (with two, two-year extension options, for a maximum term of 10 years) with Amazon.com Services, Inc. (together with its affiliates, “Amazon”) to provide cargo services under an Air Transportation Services Agreement (the “ATSA”).</w:t>
      </w:r>
    </w:p>
    <w:p>
      <w:pPr>
        <w:spacing w:after="0" w:line="202"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In connection with the ATSA, the Company issued warrants to Amazon to purchase an aggregate of up to 9,482,606 shares of common stock at an exercise price of approximately $15.17 per share. There were 632,183 warrants that vested upon execution of the ATSA and 63,217 warrants will vest for each milestone of $8,000 in qualifying payments made by Amazon to the Company. During the three months ended March 31, 2022 and 2021, 189,652 warrants vested in each respective period. As of March 31, 2022 and March 31, 2021, the cumulative vested warrants held by Amazon were 1,833,311 and 1,074,704, respectively. The exercise period of these warrants is through the eighth anniversary of the issue date.</w:t>
      </w:r>
    </w:p>
    <w:p>
      <w:pPr>
        <w:spacing w:after="0" w:line="186"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4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The Company has prepared the Condensed Consolidated Financial Statements according to U.S. Generally Accepted Accounting Principles (“GAAP”) and has included the accounts of Sun Country Airlines Holdings, Inc. and its subsidiaries. The accompanying unaudited Condensed Consolidated Financial Statements of Sun Country Airlines Holdings, Inc. should be read in conjunction with the Consolidated Financial Statements contained in the 2021 10-K. Management believes that all adjustments necessary for the fair presentation of results, consisting of normally recurring items, have been included in the unaudited Condensed Consolidated Financial Statements for the interim periods presented. The Company reclassified certain prior period amounts to conform to the current period presentation. All material intercompany balances and transactions have been eliminated in consolidation.</w:t>
      </w:r>
    </w:p>
    <w:p>
      <w:pPr>
        <w:spacing w:after="0" w:line="20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Significant areas of judgment relate to passenger revenue recognition, maintenance under the built-in overhaul method, equity-based compensation, tax receivable agreement, lease accounting, impairment of goodwill, impairment of long-lived and intangible assets, air traffic liabilities, the loyalty program, as well as the valuation of Amazon warrants. During the three months ended March 31, 2022, there were no significant changes to the Company’s critical accounting policies.</w:t>
      </w:r>
    </w:p>
    <w:p>
      <w:pPr>
        <w:spacing w:after="0" w:line="20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Due to impacts from the global coronavirus (“COVID-19”) pandemic, seasonal variations in the demand for air travel, the volatility of aircraft fuel prices, uncertainties in pilot staffing and other factors, operating results for the three months ended March 31, 2022 are not necessarily indicative of operating results for future quarters or for the year ending December 31, 2022. Air travel is also significantly impacted by general economic conditions, the amount of disposable income available to consumers, unemployment levels, corporate travel budgets, extreme or severe weather and natural disasters, disease outbreaks, fears of terrorism or war, and other factors beyond the Company's control.</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ind w:left="340"/>
        <w:spacing w:after="0" w:line="258" w:lineRule="auto"/>
        <w:rPr>
          <w:sz w:val="20"/>
          <w:szCs w:val="20"/>
          <w:color w:val="auto"/>
        </w:rPr>
      </w:pPr>
      <w:r>
        <w:rPr>
          <w:rFonts w:ascii="Arial" w:cs="Arial" w:eastAsia="Arial" w:hAnsi="Arial"/>
          <w:sz w:val="18"/>
          <w:szCs w:val="18"/>
          <w:color w:val="auto"/>
        </w:rPr>
        <w:t xml:space="preserve">On May 3, 2021, the FASB issued ASU 2021-04, Earnings Per Share (Topic 260), </w:t>
      </w:r>
      <w:r>
        <w:rPr>
          <w:rFonts w:ascii="Arial" w:cs="Arial" w:eastAsia="Arial" w:hAnsi="Arial"/>
          <w:sz w:val="18"/>
          <w:szCs w:val="18"/>
          <w:i w:val="1"/>
          <w:iCs w:val="1"/>
          <w:color w:val="auto"/>
        </w:rPr>
        <w:t>Debt—Modifications and Extinguishments (Subtopic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470-50), Compensation—Stock Compensation (Topic 718), and Derivatives and Hedging—Contracts in Entity’s Own Equity (Subtopic 815-40): Issuer’s Accounting for Certain Modifications or Exchanges of Freestanding Equity-Classified Written Call Options. </w:t>
      </w:r>
      <w:r>
        <w:rPr>
          <w:rFonts w:ascii="Arial" w:cs="Arial" w:eastAsia="Arial" w:hAnsi="Arial"/>
          <w:sz w:val="18"/>
          <w:szCs w:val="18"/>
          <w:color w:val="auto"/>
        </w:rPr>
        <w:t>This new</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provides clarification and reduces diversity in an issuer’s accounting for modifications or exchanges of freestanding equity-classified written call options (such as warrants) that remain equity classified after modification or</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exchange. On January 1, 2022, the Company adopted ASU 2021-04 on a prospective basis, as required by the Standard. There was no financial statement impact upon adoption.</w:t>
      </w:r>
    </w:p>
    <w:p>
      <w:pPr>
        <w:spacing w:after="0" w:line="180" w:lineRule="exact"/>
        <w:rPr>
          <w:sz w:val="20"/>
          <w:szCs w:val="20"/>
          <w:color w:val="auto"/>
        </w:rPr>
      </w:pPr>
    </w:p>
    <w:p>
      <w:pPr>
        <w:jc w:val="both"/>
        <w:ind w:left="34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In November 2021, the FASB issued ASU 2021-10, Government Assistance (Topic 832), </w:t>
      </w:r>
      <w:r>
        <w:rPr>
          <w:rFonts w:ascii="Arial" w:cs="Arial" w:eastAsia="Arial" w:hAnsi="Arial"/>
          <w:sz w:val="18"/>
          <w:szCs w:val="18"/>
          <w:i w:val="1"/>
          <w:iCs w:val="1"/>
          <w:color w:val="auto"/>
        </w:rPr>
        <w:t>Disclosures by Business Entities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Assistance</w:t>
      </w:r>
      <w:r>
        <w:rPr>
          <w:rFonts w:ascii="Arial" w:cs="Arial" w:eastAsia="Arial" w:hAnsi="Arial"/>
          <w:sz w:val="18"/>
          <w:szCs w:val="18"/>
          <w:color w:val="auto"/>
        </w:rPr>
        <w:t>. The new standard requires additional disclosures regarding government grants and money contributions.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standard requires disclosures on the nature of the transactions and related accounting policies, including significant terms and conditions, as well as the amounts and specific financial statement line items affected by the transactions. The Company adopted this standard as of January 1, 2022, see </w:t>
      </w:r>
      <w:hyperlink w:anchor="page11">
        <w:r>
          <w:rPr>
            <w:rFonts w:ascii="Arial" w:cs="Arial" w:eastAsia="Arial" w:hAnsi="Arial"/>
            <w:sz w:val="18"/>
            <w:szCs w:val="18"/>
            <w:u w:val="single" w:color="auto"/>
            <w:color w:val="0000FF"/>
          </w:rPr>
          <w:t>Note 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on COVID-19 related government assistance the Company has received.</w:t>
      </w:r>
    </w:p>
    <w:p>
      <w:pPr>
        <w:spacing w:after="0" w:line="183"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IMPACT OF THE COVID-19 PANDEMIC</w:t>
      </w:r>
    </w:p>
    <w:p>
      <w:pPr>
        <w:spacing w:after="0" w:line="247"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The COVID-19 pandemic resulted in a dramatic decline in passenger demand across the U.S. airline industry. Sun Country experienced a significant decline in demand related to the COVID-19 pandemic, which caused a material decline in first quarter 2021 revenues as compared to pre-pandemic levels, and negatively impacted the Company’s financial condition and operating results.</w:t>
      </w:r>
    </w:p>
    <w:p>
      <w:pPr>
        <w:spacing w:after="0" w:line="202"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During the first quarter of 2022, Sun Country continued to see recovery in demand from the COVID-19 pandemic relative to demand in 2021, which may impact the comparability of results to prior periods. However, the ongoing impact of the COVID-19 pandemic on overall demand for air travel remains uncertain and cannot be predicted at this time.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Coronavirus Aid, Relief, and Economic Security Act (“CARES Act”)</w:t>
      </w:r>
    </w:p>
    <w:p>
      <w:pPr>
        <w:spacing w:after="0" w:line="247"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During 2021 and 2020, the Company received certain funds from the CARES Act. The cash awarded to the Company through the CARES Act was accounted for as grants, debt, and tax credits based on the terms and nature of the funds awarded.</w:t>
      </w:r>
    </w:p>
    <w:p>
      <w:pPr>
        <w:spacing w:after="0" w:line="198" w:lineRule="exact"/>
        <w:rPr>
          <w:sz w:val="20"/>
          <w:szCs w:val="20"/>
          <w:color w:val="auto"/>
        </w:rPr>
      </w:pPr>
    </w:p>
    <w:p>
      <w:pPr>
        <w:jc w:val="both"/>
        <w:ind w:left="34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During the first quarter of 2021, the Company received and recognized as income within Special Items, net $32,208 from the Treasury under the Payroll Support Program Extension (“PSP2”). The CARES Act provides an employee retention credit (“CARES Employee Retention Credit”) which is a refundable tax credit against certain employment taxes. During March 31, 2021, the Company recorded $334 related to the CARES Employee Retention Credit within Special Items, net. Under the CARES Act Loan Program, the Company received a $45,000 loan (the “CARES Act Loan”) from the Treasury, which was repaid in full on March 24, 2021 using proceeds from the IPO. For more information on funds awarded through the CARES act, see </w:t>
      </w:r>
      <w:hyperlink r:id="rId33">
        <w:r>
          <w:rPr>
            <w:rFonts w:ascii="Arial" w:cs="Arial" w:eastAsia="Arial" w:hAnsi="Arial"/>
            <w:sz w:val="18"/>
            <w:szCs w:val="18"/>
            <w:u w:val="single" w:color="auto"/>
            <w:color w:val="0000FF"/>
          </w:rPr>
          <w:t>Note 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Notes to the Consolidated Financial Statements included in Part II, Item 8 “Financial Statements” in the 2021 10-K.</w:t>
      </w:r>
    </w:p>
    <w:p>
      <w:pPr>
        <w:spacing w:after="0" w:line="20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In accordance with any grants and/or loans received under the CARES Act, the Company is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2022, if ordered by the Department of Transportation ("DOT"); the prohibitions on share repurchases of listed securities and the payment of common stock (or equivalent) dividends until September 30, 2022; and restrictions on the payment of certain executive compensation until April 1, 2023. As of March 31, 2022, the Company was in compliance with these provisions.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4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Sun Country is a certificated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and on-board sales. Cargo consists of revenue earned from flying cargo aircraft under the ATSA. Other revenue consists primarily of revenue from services in connection with Sun Country Vacations products.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categories comprising Operating Revenues are as follows:</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7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4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r>
      <w:tr>
        <w:trPr>
          <w:trHeight w:val="223"/>
        </w:trPr>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Scheduled Service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124,068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54,620</w:t>
            </w:r>
          </w:p>
        </w:tc>
      </w:tr>
      <w:tr>
        <w:trPr>
          <w:trHeight w:val="229"/>
        </w:trPr>
        <w:tc>
          <w:tcPr>
            <w:tcW w:w="7460" w:type="dxa"/>
            <w:vAlign w:val="bottom"/>
          </w:tcPr>
          <w:p>
            <w:pPr>
              <w:ind w:left="120"/>
              <w:spacing w:after="0"/>
              <w:rPr>
                <w:sz w:val="20"/>
                <w:szCs w:val="20"/>
                <w:color w:val="auto"/>
              </w:rPr>
            </w:pPr>
            <w:r>
              <w:rPr>
                <w:rFonts w:ascii="Arial" w:cs="Arial" w:eastAsia="Arial" w:hAnsi="Arial"/>
                <w:sz w:val="18"/>
                <w:szCs w:val="18"/>
                <w:color w:val="auto"/>
              </w:rPr>
              <w:t>Charter Service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25,805</w:t>
            </w:r>
          </w:p>
        </w:tc>
      </w:tr>
      <w:tr>
        <w:trPr>
          <w:trHeight w:val="230"/>
        </w:trPr>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Ancillary</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23,770</w:t>
            </w:r>
          </w:p>
        </w:tc>
      </w:tr>
      <w:tr>
        <w:trPr>
          <w:trHeight w:val="223"/>
        </w:trPr>
        <w:tc>
          <w:tcPr>
            <w:tcW w:w="7460" w:type="dxa"/>
            <w:vAlign w:val="bottom"/>
          </w:tcPr>
          <w:p>
            <w:pPr>
              <w:ind w:left="260"/>
              <w:spacing w:after="0"/>
              <w:rPr>
                <w:sz w:val="20"/>
                <w:szCs w:val="20"/>
                <w:color w:val="auto"/>
              </w:rPr>
            </w:pPr>
            <w:r>
              <w:rPr>
                <w:rFonts w:ascii="Arial" w:cs="Arial" w:eastAsia="Arial" w:hAnsi="Arial"/>
                <w:sz w:val="18"/>
                <w:szCs w:val="18"/>
                <w:color w:val="auto"/>
              </w:rPr>
              <w:t>Passenger</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202,033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104,195</w:t>
            </w:r>
          </w:p>
        </w:tc>
      </w:tr>
      <w:tr>
        <w:trPr>
          <w:trHeight w:val="230"/>
        </w:trPr>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Cargo</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21,585</w:t>
            </w:r>
          </w:p>
        </w:tc>
      </w:tr>
      <w:tr>
        <w:trPr>
          <w:trHeight w:val="230"/>
        </w:trPr>
        <w:tc>
          <w:tcPr>
            <w:tcW w:w="7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r>
      <w:tr>
        <w:trPr>
          <w:trHeight w:val="248"/>
        </w:trPr>
        <w:tc>
          <w:tcPr>
            <w:tcW w:w="7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226,525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127,611</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The Company attributes and measures its Operating Revenue by geographic region as defined by the DOT for airline reporting based upon the origin of each passenger and cargo flight segment.</w:t>
      </w:r>
    </w:p>
    <w:p>
      <w:pPr>
        <w:spacing w:after="0" w:line="198" w:lineRule="exact"/>
        <w:rPr>
          <w:sz w:val="20"/>
          <w:szCs w:val="20"/>
          <w:color w:val="auto"/>
        </w:rPr>
      </w:pPr>
    </w:p>
    <w:p>
      <w:pPr>
        <w:jc w:val="both"/>
        <w:ind w:left="340" w:right="20"/>
        <w:spacing w:after="0" w:line="261" w:lineRule="auto"/>
        <w:rPr>
          <w:sz w:val="20"/>
          <w:szCs w:val="20"/>
          <w:color w:val="auto"/>
        </w:rPr>
      </w:pPr>
      <w:r>
        <w:rPr>
          <w:rFonts w:ascii="Arial" w:cs="Arial" w:eastAsia="Arial" w:hAnsi="Arial"/>
          <w:sz w:val="18"/>
          <w:szCs w:val="18"/>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Operating Revenues by geographic region are as follows:</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7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4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119,312</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17,869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7,877</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23"/>
        </w:trPr>
        <w:tc>
          <w:tcPr>
            <w:tcW w:w="7460" w:type="dxa"/>
            <w:vAlign w:val="bottom"/>
          </w:tcPr>
          <w:p>
            <w:pPr>
              <w:ind w:left="120"/>
              <w:spacing w:after="0"/>
              <w:rPr>
                <w:sz w:val="20"/>
                <w:szCs w:val="20"/>
                <w:color w:val="auto"/>
              </w:rPr>
            </w:pPr>
            <w:r>
              <w:rPr>
                <w:rFonts w:ascii="Arial" w:cs="Arial" w:eastAsia="Arial" w:hAnsi="Arial"/>
                <w:sz w:val="18"/>
                <w:szCs w:val="18"/>
                <w:color w:val="auto"/>
              </w:rPr>
              <w:t>Total Operating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226,525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127,611</w:t>
            </w: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 Balances</w:t>
      </w:r>
    </w:p>
    <w:p>
      <w:pPr>
        <w:spacing w:after="0" w:line="24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Company’s contract assets primarily relate to costs incurred to get Amazon cargo aircraft ready for service. The balances are included in Other Current Assets and Other Assets on the Condensed Consolidated Balance Sheets. These deferred up-front costs are being amortized into expense on a pro-rata basis over the initial six years of the ATSA. The amount expensed during the three months ended March 31, 2022 and 2021 was $161 and $138, respectively, and is included in Maintenance expense.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Company’s significant contract liabilities are comprised of, 1) ticket sales for transportation that has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and, 3) the Amazon Deferred Up-front Payment received (reported within Other Liabilities on the Condensed Consolidated Balance Sheets).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 Assets and Liabilities are as follows:</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6"/>
                <w:szCs w:val="16"/>
                <w:color w:val="auto"/>
              </w:rPr>
            </w:pPr>
          </w:p>
        </w:tc>
        <w:tc>
          <w:tcPr>
            <w:tcW w:w="1600" w:type="dxa"/>
            <w:vAlign w:val="bottom"/>
          </w:tcPr>
          <w:p>
            <w:pPr>
              <w:jc w:val="right"/>
              <w:ind w:right="153"/>
              <w:spacing w:after="0"/>
              <w:rPr>
                <w:sz w:val="20"/>
                <w:szCs w:val="20"/>
                <w:color w:val="auto"/>
              </w:rPr>
            </w:pPr>
            <w:r>
              <w:rPr>
                <w:rFonts w:ascii="Arial" w:cs="Arial" w:eastAsia="Arial" w:hAnsi="Arial"/>
                <w:sz w:val="14"/>
                <w:szCs w:val="14"/>
                <w:b w:val="1"/>
                <w:bCs w:val="1"/>
                <w:color w:val="auto"/>
              </w:rPr>
              <w:t>December 31, 2021</w:t>
            </w:r>
          </w:p>
        </w:tc>
      </w:tr>
      <w:tr>
        <w:trPr>
          <w:trHeight w:val="209"/>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Costs to fulfill contract with Amazon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6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Air Traffic Liabilities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110,946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118,562</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Liabilities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19,718</w:t>
            </w:r>
          </w:p>
        </w:tc>
      </w:tr>
      <w:tr>
        <w:trPr>
          <w:trHeight w:val="22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Amazon Deferred Up-front Payment</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w:t>
            </w:r>
          </w:p>
        </w:tc>
      </w:tr>
      <w:tr>
        <w:trPr>
          <w:trHeight w:val="248"/>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Contract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142,480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three months ended March 31, 2022, $87,982 of revenue was recognized in Passenger revenue that was included in the Air Traffic Liabilities as of December 31, 2021.</w:t>
      </w:r>
    </w:p>
    <w:p>
      <w:pPr>
        <w:spacing w:after="0" w:line="204"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As part of the ATSA executed in December 2019, Amazon paid the Company $10,300 toward start-up costs. Upon signing the ATSA, Amazon received 632,183 fully vested warrants to purchase the Company’s common stock, with a fair value of $4,667. This fair value was assigned to a portion of the $10,300 cash received from Amazon and the remaining $5,633 was recorded in Other Liabilities on the Company’s Condensed Consolidated Balance Sheets. This deferred up-front payment is being amortized into revenue on a pro-rata basis over the initial six years of the ATSA. For the three months ended March 31, 2022 and 2021, $240 and $231 was amortized into Cargo revenue, respectively.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Loyalty Program</w:t>
      </w:r>
    </w:p>
    <w:p>
      <w:pPr>
        <w:spacing w:after="0" w:line="24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Loyalty points are earned as a result of travel and purchases using the Company’s co- branded credit card. The balance of the Loyalty Program Liabilities fluctuates based on seasonal patterns, which impacts the volume of loyalty points awarded through travel or issued to co-branded credit card and other partners (deferral of revenue) and loyalty points redeemed (recognition of revenue). Due to these reasons, the timing of loyalty point redemptions can vary significantly.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74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22,069</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Loyalty Points Earned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857</w:t>
            </w:r>
          </w:p>
        </w:tc>
      </w:tr>
      <w:tr>
        <w:trPr>
          <w:trHeight w:val="229"/>
        </w:trPr>
        <w:tc>
          <w:tcPr>
            <w:tcW w:w="7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Loyalty Points Redeemed </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Balance – March 31</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20,774</w:t>
            </w:r>
          </w:p>
        </w:tc>
      </w:tr>
      <w:tr>
        <w:trPr>
          <w:trHeight w:val="20"/>
        </w:trPr>
        <w:tc>
          <w:tcPr>
            <w:tcW w:w="7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______________________</w:t>
      </w:r>
    </w:p>
    <w:p>
      <w:pPr>
        <w:spacing w:after="0" w:line="55" w:lineRule="exact"/>
        <w:rPr>
          <w:sz w:val="20"/>
          <w:szCs w:val="20"/>
          <w:color w:val="auto"/>
        </w:rPr>
      </w:pPr>
    </w:p>
    <w:p>
      <w:pPr>
        <w:ind w:left="900" w:right="500" w:hanging="550"/>
        <w:spacing w:after="0" w:line="258" w:lineRule="auto"/>
        <w:tabs>
          <w:tab w:leader="none" w:pos="900" w:val="left"/>
        </w:tabs>
        <w:numPr>
          <w:ilvl w:val="1"/>
          <w:numId w:val="7"/>
        </w:numPr>
        <w:rPr>
          <w:rFonts w:ascii="Arial" w:cs="Arial" w:eastAsia="Arial" w:hAnsi="Arial"/>
          <w:sz w:val="14"/>
          <w:szCs w:val="14"/>
          <w:color w:val="auto"/>
        </w:rPr>
      </w:pPr>
      <w:r>
        <w:rPr>
          <w:rFonts w:ascii="Arial" w:cs="Arial" w:eastAsia="Arial" w:hAnsi="Arial"/>
          <w:sz w:val="14"/>
          <w:szCs w:val="14"/>
          <w:color w:val="auto"/>
        </w:rPr>
        <w:t>Loyalty points are combined in one homogenous pool and are not separately identifiable. As such, the revenue recognized is comprised of points that were part of the Loyalty Program Liabilities balance at the beginning of the period, as well as points that were earned during the period.</w:t>
      </w:r>
    </w:p>
    <w:p>
      <w:pPr>
        <w:spacing w:after="0" w:line="274" w:lineRule="exact"/>
        <w:rPr>
          <w:rFonts w:ascii="Arial" w:cs="Arial" w:eastAsia="Arial" w:hAnsi="Arial"/>
          <w:sz w:val="14"/>
          <w:szCs w:val="14"/>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computation of basic and diluted earnings per share:</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5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20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75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3,637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12,416</w:t>
            </w:r>
          </w:p>
        </w:tc>
      </w:tr>
      <w:tr>
        <w:trPr>
          <w:trHeight w:val="257"/>
        </w:trPr>
        <w:tc>
          <w:tcPr>
            <w:tcW w:w="75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57,907,655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48,496,077</w:t>
            </w:r>
          </w:p>
        </w:tc>
      </w:tr>
      <w:tr>
        <w:trPr>
          <w:trHeight w:val="230"/>
        </w:trPr>
        <w:tc>
          <w:tcPr>
            <w:tcW w:w="7520" w:type="dxa"/>
            <w:vAlign w:val="bottom"/>
            <w:tcBorders>
              <w:bottom w:val="single" w:sz="8" w:color="CCEEFF"/>
            </w:tcBorders>
          </w:tcPr>
          <w:p>
            <w:pPr>
              <w:ind w:left="120"/>
              <w:spacing w:after="0" w:line="230" w:lineRule="exact"/>
              <w:rPr>
                <w:sz w:val="20"/>
                <w:szCs w:val="20"/>
                <w:color w:val="auto"/>
              </w:rPr>
            </w:pPr>
            <w:r>
              <w:rPr>
                <w:rFonts w:ascii="Arial" w:cs="Arial" w:eastAsia="Arial" w:hAnsi="Arial"/>
                <w:sz w:val="18"/>
                <w:szCs w:val="18"/>
                <w:color w:val="auto"/>
              </w:rPr>
              <w:t xml:space="preserve">Dilutive effect of Stock Options, RSUs and Warrants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3,824,287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4,012,109</w:t>
            </w:r>
          </w:p>
        </w:tc>
      </w:tr>
      <w:tr>
        <w:trPr>
          <w:trHeight w:val="248"/>
        </w:trPr>
        <w:tc>
          <w:tcPr>
            <w:tcW w:w="7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61,731,942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52,508,186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0.24</w:t>
            </w:r>
          </w:p>
        </w:tc>
      </w:tr>
    </w:tbl>
    <w:p>
      <w:pPr>
        <w:spacing w:after="0" w:line="1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______________________</w:t>
      </w:r>
    </w:p>
    <w:p>
      <w:pPr>
        <w:spacing w:after="0" w:line="42" w:lineRule="exact"/>
        <w:rPr>
          <w:sz w:val="20"/>
          <w:szCs w:val="20"/>
          <w:color w:val="auto"/>
        </w:rPr>
      </w:pPr>
    </w:p>
    <w:p>
      <w:pPr>
        <w:jc w:val="both"/>
        <w:ind w:left="900" w:right="500" w:hanging="550"/>
        <w:spacing w:after="0" w:line="230" w:lineRule="auto"/>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There were 3,550,810 and 3,557,432 performance-based stock options outstanding at March 31, 2022 and 2021, respectively. As a result of the Company’s initial public offering, 75% of these options are expected to meet the performance conditions and are included in the measure above to the extent they are dilutive at March 31, 2022 and 2021. In March 2022, 25% of the eligible outstanding performance-based stock options vested and were considered exercisable. The vested performance-based stock options are included in the measure above to the extent they are dilutive.</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anti-dilutive shares for the periods presented were not material to the Condensed Consolidated Financial Statements.</w:t>
      </w:r>
    </w:p>
    <w:p>
      <w:pPr>
        <w:spacing w:after="0" w:line="225"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Warrants held by Amazon are included in dilutive weighted average shares outstanding as of the date the warrants vest. The unvested warrants held by Amazon have not been included in dilutive shares as their performance condition had not been satisfied.</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AIRCRAFT</w:t>
      </w:r>
    </w:p>
    <w:p>
      <w:pPr>
        <w:spacing w:after="0" w:line="247" w:lineRule="exact"/>
        <w:rPr>
          <w:rFonts w:ascii="Arial" w:cs="Arial" w:eastAsia="Arial" w:hAnsi="Arial"/>
          <w:sz w:val="18"/>
          <w:szCs w:val="18"/>
          <w:b w:val="1"/>
          <w:bCs w:val="1"/>
          <w:color w:val="auto"/>
        </w:rPr>
      </w:pPr>
    </w:p>
    <w:p>
      <w:pPr>
        <w:ind w:left="3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As of March 31, 2022, Sun Country operated a fleet of 50 Boeing 737-NG aircraft, consisting of 49 Boeing 737-800s and one Boeing 737-700.</w:t>
      </w:r>
    </w:p>
    <w:p>
      <w:pPr>
        <w:spacing w:after="0" w:line="19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Company’s aircraft fleet activity for the three months ended March 31, 2022 and 2021, respectively:</w:t>
      </w:r>
    </w:p>
    <w:p>
      <w:pPr>
        <w:spacing w:after="0" w:line="267"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18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2021</w:t>
            </w: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Additions</w:t>
            </w: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Removals</w:t>
            </w:r>
          </w:p>
        </w:tc>
        <w:tc>
          <w:tcPr>
            <w:tcW w:w="1780" w:type="dxa"/>
            <w:vAlign w:val="bottom"/>
          </w:tcPr>
          <w:p>
            <w:pPr>
              <w:jc w:val="right"/>
              <w:ind w:right="293"/>
              <w:spacing w:after="0"/>
              <w:rPr>
                <w:sz w:val="20"/>
                <w:szCs w:val="20"/>
                <w:color w:val="auto"/>
              </w:rPr>
            </w:pPr>
            <w:r>
              <w:rPr>
                <w:rFonts w:ascii="Arial" w:cs="Arial" w:eastAsia="Arial" w:hAnsi="Arial"/>
                <w:sz w:val="14"/>
                <w:szCs w:val="14"/>
                <w:b w:val="1"/>
                <w:bCs w:val="1"/>
                <w:color w:val="auto"/>
              </w:rPr>
              <w:t>March 31, 2022</w:t>
            </w:r>
          </w:p>
        </w:tc>
      </w:tr>
      <w:tr>
        <w:trPr>
          <w:trHeight w:val="24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7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780" w:type="dxa"/>
            <w:vAlign w:val="bottom"/>
            <w:tcBorders>
              <w:top w:val="single" w:sz="8" w:color="auto"/>
            </w:tcBorders>
            <w:shd w:val="clear" w:color="auto" w:fill="CCEEFF"/>
          </w:tcPr>
          <w:p>
            <w:pPr>
              <w:spacing w:after="0"/>
              <w:rPr>
                <w:sz w:val="21"/>
                <w:szCs w:val="21"/>
                <w:color w:val="auto"/>
              </w:rPr>
            </w:pPr>
          </w:p>
        </w:tc>
      </w:tr>
      <w:tr>
        <w:trPr>
          <w:trHeight w:val="250"/>
        </w:trPr>
        <w:tc>
          <w:tcPr>
            <w:tcW w:w="4020" w:type="dxa"/>
            <w:vAlign w:val="bottom"/>
          </w:tcPr>
          <w:p>
            <w:pPr>
              <w:ind w:left="80"/>
              <w:spacing w:after="0"/>
              <w:rPr>
                <w:sz w:val="20"/>
                <w:szCs w:val="20"/>
                <w:color w:val="auto"/>
              </w:rPr>
            </w:pPr>
            <w:r>
              <w:rPr>
                <w:rFonts w:ascii="Arial" w:cs="Arial" w:eastAsia="Arial" w:hAnsi="Arial"/>
                <w:sz w:val="18"/>
                <w:szCs w:val="18"/>
                <w:color w:val="auto"/>
              </w:rPr>
              <w:t>Owned</w:t>
            </w:r>
          </w:p>
        </w:tc>
        <w:tc>
          <w:tcPr>
            <w:tcW w:w="17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80" w:type="dxa"/>
            <w:vAlign w:val="bottom"/>
          </w:tcPr>
          <w:p>
            <w:pPr>
              <w:jc w:val="center"/>
              <w:ind w:left="1453"/>
              <w:spacing w:after="0"/>
              <w:rPr>
                <w:sz w:val="20"/>
                <w:szCs w:val="20"/>
                <w:color w:val="auto"/>
              </w:rPr>
            </w:pPr>
            <w:r>
              <w:rPr>
                <w:rFonts w:ascii="Arial" w:cs="Arial" w:eastAsia="Arial" w:hAnsi="Arial"/>
                <w:sz w:val="18"/>
                <w:szCs w:val="18"/>
                <w:color w:val="auto"/>
                <w:w w:val="99"/>
              </w:rPr>
              <w:t>22</w:t>
            </w:r>
          </w:p>
        </w:tc>
      </w:tr>
      <w:tr>
        <w:trPr>
          <w:trHeight w:val="263"/>
        </w:trPr>
        <w:tc>
          <w:tcPr>
            <w:tcW w:w="4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center"/>
              <w:ind w:left="1453"/>
              <w:spacing w:after="0"/>
              <w:rPr>
                <w:sz w:val="20"/>
                <w:szCs w:val="20"/>
                <w:color w:val="auto"/>
              </w:rPr>
            </w:pPr>
            <w:r>
              <w:rPr>
                <w:rFonts w:ascii="Arial" w:cs="Arial" w:eastAsia="Arial" w:hAnsi="Arial"/>
                <w:sz w:val="18"/>
                <w:szCs w:val="18"/>
                <w:color w:val="auto"/>
                <w:w w:val="99"/>
              </w:rPr>
              <w:t>12</w:t>
            </w:r>
          </w:p>
        </w:tc>
      </w:tr>
      <w:tr>
        <w:trPr>
          <w:trHeight w:val="250"/>
        </w:trPr>
        <w:tc>
          <w:tcPr>
            <w:tcW w:w="4020" w:type="dxa"/>
            <w:vAlign w:val="bottom"/>
          </w:tcPr>
          <w:p>
            <w:pPr>
              <w:ind w:left="80"/>
              <w:spacing w:after="0"/>
              <w:rPr>
                <w:sz w:val="20"/>
                <w:szCs w:val="20"/>
                <w:color w:val="auto"/>
              </w:rPr>
            </w:pPr>
            <w:r>
              <w:rPr>
                <w:rFonts w:ascii="Arial" w:cs="Arial" w:eastAsia="Arial" w:hAnsi="Arial"/>
                <w:sz w:val="18"/>
                <w:szCs w:val="18"/>
                <w:color w:val="auto"/>
              </w:rPr>
              <w:t>Operating leases</w:t>
            </w:r>
          </w:p>
        </w:tc>
        <w:tc>
          <w:tcPr>
            <w:tcW w:w="17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4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Sun Country Airlines’ Fleet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1780" w:type="dxa"/>
            <w:vAlign w:val="bottom"/>
            <w:tcBorders>
              <w:top w:val="single" w:sz="8" w:color="auto"/>
            </w:tcBorders>
            <w:shd w:val="clear" w:color="auto" w:fill="CCEEFF"/>
          </w:tcPr>
          <w:p>
            <w:pPr>
              <w:jc w:val="center"/>
              <w:ind w:left="1453"/>
              <w:spacing w:after="0"/>
              <w:rPr>
                <w:sz w:val="20"/>
                <w:szCs w:val="20"/>
                <w:color w:val="auto"/>
              </w:rPr>
            </w:pPr>
            <w:r>
              <w:rPr>
                <w:rFonts w:ascii="Arial" w:cs="Arial" w:eastAsia="Arial" w:hAnsi="Arial"/>
                <w:sz w:val="18"/>
                <w:szCs w:val="18"/>
                <w:color w:val="auto"/>
                <w:w w:val="99"/>
              </w:rPr>
              <w:t>38</w:t>
            </w:r>
          </w:p>
        </w:tc>
      </w:tr>
      <w:tr>
        <w:trPr>
          <w:trHeight w:val="250"/>
        </w:trPr>
        <w:tc>
          <w:tcPr>
            <w:tcW w:w="4020" w:type="dxa"/>
            <w:vAlign w:val="bottom"/>
          </w:tcPr>
          <w:p>
            <w:pPr>
              <w:ind w:left="20"/>
              <w:spacing w:after="0"/>
              <w:rPr>
                <w:sz w:val="20"/>
                <w:szCs w:val="20"/>
                <w:color w:val="auto"/>
              </w:rPr>
            </w:pPr>
            <w:r>
              <w:rPr>
                <w:rFonts w:ascii="Arial" w:cs="Arial" w:eastAsia="Arial" w:hAnsi="Arial"/>
                <w:sz w:val="18"/>
                <w:szCs w:val="18"/>
                <w:color w:val="auto"/>
              </w:rPr>
              <w:t>Cargo:</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57"/>
        </w:trPr>
        <w:tc>
          <w:tcPr>
            <w:tcW w:w="4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 Operated for Amazon</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center"/>
              <w:ind w:left="1453"/>
              <w:spacing w:after="0"/>
              <w:rPr>
                <w:sz w:val="20"/>
                <w:szCs w:val="20"/>
                <w:color w:val="auto"/>
              </w:rPr>
            </w:pPr>
            <w:r>
              <w:rPr>
                <w:rFonts w:ascii="Arial" w:cs="Arial" w:eastAsia="Arial" w:hAnsi="Arial"/>
                <w:sz w:val="18"/>
                <w:szCs w:val="18"/>
                <w:color w:val="auto"/>
                <w:w w:val="99"/>
              </w:rPr>
              <w:t>12</w:t>
            </w:r>
          </w:p>
        </w:tc>
      </w:tr>
      <w:tr>
        <w:trPr>
          <w:trHeight w:val="257"/>
        </w:trPr>
        <w:tc>
          <w:tcPr>
            <w:tcW w:w="4020" w:type="dxa"/>
            <w:vAlign w:val="bottom"/>
          </w:tcPr>
          <w:p>
            <w:pPr>
              <w:ind w:left="180"/>
              <w:spacing w:after="0"/>
              <w:rPr>
                <w:sz w:val="20"/>
                <w:szCs w:val="20"/>
                <w:color w:val="auto"/>
              </w:rPr>
            </w:pPr>
            <w:r>
              <w:rPr>
                <w:rFonts w:ascii="Arial" w:cs="Arial" w:eastAsia="Arial" w:hAnsi="Arial"/>
                <w:sz w:val="18"/>
                <w:szCs w:val="18"/>
                <w:color w:val="auto"/>
              </w:rPr>
              <w:t>Total Aircraft Operated</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780" w:type="dxa"/>
            <w:vAlign w:val="bottom"/>
            <w:tcBorders>
              <w:top w:val="single" w:sz="8" w:color="auto"/>
              <w:bottom w:val="single" w:sz="8" w:color="auto"/>
            </w:tcBorders>
          </w:tcPr>
          <w:p>
            <w:pPr>
              <w:jc w:val="center"/>
              <w:ind w:left="1453"/>
              <w:spacing w:after="0"/>
              <w:rPr>
                <w:sz w:val="20"/>
                <w:szCs w:val="20"/>
                <w:color w:val="auto"/>
              </w:rPr>
            </w:pPr>
            <w:r>
              <w:rPr>
                <w:rFonts w:ascii="Arial" w:cs="Arial" w:eastAsia="Arial" w:hAnsi="Arial"/>
                <w:sz w:val="18"/>
                <w:szCs w:val="18"/>
                <w:color w:val="auto"/>
                <w:w w:val="99"/>
              </w:rPr>
              <w:t>50</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189"/>
        </w:trPr>
        <w:tc>
          <w:tcPr>
            <w:tcW w:w="4020" w:type="dxa"/>
            <w:vAlign w:val="bottom"/>
          </w:tcPr>
          <w:p>
            <w:pPr>
              <w:spacing w:after="0"/>
              <w:rPr>
                <w:sz w:val="16"/>
                <w:szCs w:val="16"/>
                <w:color w:val="auto"/>
              </w:rPr>
            </w:pPr>
          </w:p>
        </w:tc>
        <w:tc>
          <w:tcPr>
            <w:tcW w:w="18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2020</w:t>
            </w: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Additions</w:t>
            </w: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Removals</w:t>
            </w:r>
          </w:p>
        </w:tc>
        <w:tc>
          <w:tcPr>
            <w:tcW w:w="1780" w:type="dxa"/>
            <w:vAlign w:val="bottom"/>
          </w:tcPr>
          <w:p>
            <w:pPr>
              <w:jc w:val="right"/>
              <w:ind w:right="293"/>
              <w:spacing w:after="0"/>
              <w:rPr>
                <w:sz w:val="20"/>
                <w:szCs w:val="20"/>
                <w:color w:val="auto"/>
              </w:rPr>
            </w:pPr>
            <w:r>
              <w:rPr>
                <w:rFonts w:ascii="Arial" w:cs="Arial" w:eastAsia="Arial" w:hAnsi="Arial"/>
                <w:sz w:val="14"/>
                <w:szCs w:val="14"/>
                <w:b w:val="1"/>
                <w:bCs w:val="1"/>
                <w:color w:val="auto"/>
              </w:rPr>
              <w:t>March 31, 2021</w:t>
            </w:r>
          </w:p>
        </w:tc>
      </w:tr>
      <w:tr>
        <w:trPr>
          <w:trHeight w:val="209"/>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30"/>
        </w:trPr>
        <w:tc>
          <w:tcPr>
            <w:tcW w:w="4020" w:type="dxa"/>
            <w:vAlign w:val="bottom"/>
          </w:tcPr>
          <w:p>
            <w:pPr>
              <w:ind w:left="120"/>
              <w:spacing w:after="0"/>
              <w:rPr>
                <w:sz w:val="20"/>
                <w:szCs w:val="20"/>
                <w:color w:val="auto"/>
              </w:rPr>
            </w:pPr>
            <w:r>
              <w:rPr>
                <w:rFonts w:ascii="Arial" w:cs="Arial" w:eastAsia="Arial" w:hAnsi="Arial"/>
                <w:sz w:val="18"/>
                <w:szCs w:val="18"/>
                <w:color w:val="auto"/>
              </w:rPr>
              <w:t>Owned</w:t>
            </w:r>
          </w:p>
        </w:tc>
        <w:tc>
          <w:tcPr>
            <w:tcW w:w="17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center"/>
              <w:ind w:left="1433"/>
              <w:spacing w:after="0"/>
              <w:rPr>
                <w:sz w:val="20"/>
                <w:szCs w:val="20"/>
                <w:color w:val="auto"/>
              </w:rPr>
            </w:pPr>
            <w:r>
              <w:rPr>
                <w:rFonts w:ascii="Arial" w:cs="Arial" w:eastAsia="Arial" w:hAnsi="Arial"/>
                <w:sz w:val="18"/>
                <w:szCs w:val="18"/>
                <w:color w:val="auto"/>
                <w:w w:val="99"/>
              </w:rPr>
              <w:t>5</w:t>
            </w:r>
          </w:p>
        </w:tc>
      </w:tr>
      <w:tr>
        <w:trPr>
          <w:trHeight w:val="230"/>
        </w:trPr>
        <w:tc>
          <w:tcPr>
            <w:tcW w:w="402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780" w:type="dxa"/>
            <w:vAlign w:val="bottom"/>
          </w:tcPr>
          <w:p>
            <w:pPr>
              <w:jc w:val="center"/>
              <w:ind w:left="1433"/>
              <w:spacing w:after="0"/>
              <w:rPr>
                <w:sz w:val="20"/>
                <w:szCs w:val="20"/>
                <w:color w:val="auto"/>
              </w:rPr>
            </w:pPr>
            <w:r>
              <w:rPr>
                <w:rFonts w:ascii="Arial" w:cs="Arial" w:eastAsia="Arial" w:hAnsi="Arial"/>
                <w:sz w:val="18"/>
                <w:szCs w:val="18"/>
                <w:color w:val="auto"/>
                <w:w w:val="99"/>
              </w:rPr>
              <w:t>7</w:t>
            </w:r>
          </w:p>
        </w:tc>
      </w:tr>
      <w:tr>
        <w:trPr>
          <w:trHeight w:val="223"/>
        </w:trPr>
        <w:tc>
          <w:tcPr>
            <w:tcW w:w="40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Sun Country Airlines’ Fleet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Cargo:</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Aircraft Operated for Amazon</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4020" w:type="dxa"/>
            <w:vAlign w:val="bottom"/>
          </w:tcPr>
          <w:p>
            <w:pPr>
              <w:ind w:left="220"/>
              <w:spacing w:after="0"/>
              <w:rPr>
                <w:sz w:val="20"/>
                <w:szCs w:val="20"/>
                <w:color w:val="auto"/>
              </w:rPr>
            </w:pPr>
            <w:r>
              <w:rPr>
                <w:rFonts w:ascii="Arial" w:cs="Arial" w:eastAsia="Arial" w:hAnsi="Arial"/>
                <w:sz w:val="18"/>
                <w:szCs w:val="18"/>
                <w:color w:val="auto"/>
              </w:rPr>
              <w:t>Total Aircraft Operated</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40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During the three months ended March 31, 2022, the Company executed lease amendments to purchase two aircraft at the end of the lease term, which modified the lease classification from operating leases to finance leases with expiration dates in fiscal year 2026. The Company also acquired two additional 737-800 aircraft, one of which was financed using proceeds from the issuance of Class A and Class B pass-through trust certificates (the "2022-1 EETC") and another through a finance lease arrangement that is set to expire in fiscal year 2030.</w:t>
      </w:r>
    </w:p>
    <w:p>
      <w:pPr>
        <w:spacing w:after="0" w:line="205"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Subsequent to March 31, 2022, the Company committed to lease an aircraft for a period of six years at approximately $2,220 per year. The Company expects to take delivery of the aircraft during fiscal year 2022. The Company also purchased an aircraft that was previously under a finance lease before the end of the lease term for a purchase price of $ 16,784 and took delivery of four incremental aircraft for a total purchase price of approximately $ 75,000. The Company financed these purchases using incremental 2022-1 EETC funds that were drawn upon subsequent to March 31, 2022.</w:t>
      </w:r>
    </w:p>
    <w:p>
      <w:pPr>
        <w:spacing w:after="0" w:line="205" w:lineRule="exact"/>
        <w:rPr>
          <w:sz w:val="20"/>
          <w:szCs w:val="20"/>
          <w:color w:val="auto"/>
        </w:rPr>
      </w:pPr>
    </w:p>
    <w:p>
      <w:pPr>
        <w:jc w:val="both"/>
        <w:ind w:left="34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The five aircraft purchased during the three months ended March 31, 2021 were financed through the Delayed Draw Term Loan Facility (see </w:t>
      </w:r>
      <w:hyperlink w:anchor="page16">
        <w:r>
          <w:rPr>
            <w:rFonts w:ascii="Arial" w:cs="Arial" w:eastAsia="Arial" w:hAnsi="Arial"/>
            <w:sz w:val="18"/>
            <w:szCs w:val="18"/>
            <w:u w:val="single" w:color="auto"/>
            <w:color w:val="0000FF"/>
          </w:rPr>
          <w:t>Note 7</w:t>
        </w:r>
      </w:hyperlink>
      <w:r>
        <w:rPr>
          <w:rFonts w:ascii="Arial" w:cs="Arial" w:eastAsia="Arial" w:hAnsi="Arial"/>
          <w:sz w:val="18"/>
          <w:szCs w:val="18"/>
          <w:color w:val="auto"/>
        </w:rPr>
        <w:t>). All five additions were previously accounted for as operating leases.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amortization, and rent expense on aircraft are as follows:</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4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Aircraft Status</w:t>
            </w:r>
          </w:p>
        </w:tc>
        <w:tc>
          <w:tcPr>
            <w:tcW w:w="80" w:type="dxa"/>
            <w:vAlign w:val="bottom"/>
            <w:tcBorders>
              <w:bottom w:val="single" w:sz="8" w:color="CCEEFF"/>
            </w:tcBorders>
          </w:tcPr>
          <w:p>
            <w:pPr>
              <w:spacing w:after="0"/>
              <w:rPr>
                <w:sz w:val="15"/>
                <w:szCs w:val="15"/>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 Type</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3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Depreciation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r>
      <w:tr>
        <w:trPr>
          <w:trHeight w:val="230"/>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Finance Leased</w:t>
            </w:r>
          </w:p>
        </w:tc>
        <w:tc>
          <w:tcPr>
            <w:tcW w:w="31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Amortization</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2,435</w:t>
            </w:r>
          </w:p>
        </w:tc>
      </w:tr>
      <w:tr>
        <w:trPr>
          <w:trHeight w:val="22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Leased</w:t>
            </w:r>
          </w:p>
        </w:tc>
        <w:tc>
          <w:tcPr>
            <w:tcW w:w="3120" w:type="dxa"/>
            <w:vAlign w:val="bottom"/>
            <w:gridSpan w:val="2"/>
            <w:shd w:val="clear" w:color="auto" w:fill="CCEEFF"/>
          </w:tcPr>
          <w:p>
            <w:pPr>
              <w:jc w:val="center"/>
              <w:ind w:right="80"/>
              <w:spacing w:after="0" w:line="230" w:lineRule="exact"/>
              <w:rPr>
                <w:sz w:val="20"/>
                <w:szCs w:val="20"/>
                <w:color w:val="auto"/>
              </w:rPr>
            </w:pPr>
            <w:r>
              <w:rPr>
                <w:rFonts w:ascii="Arial" w:cs="Arial" w:eastAsia="Arial" w:hAnsi="Arial"/>
                <w:sz w:val="18"/>
                <w:szCs w:val="18"/>
                <w:color w:val="auto"/>
                <w:w w:val="96"/>
              </w:rPr>
              <w:t xml:space="preserve">Aircraft Rent </w:t>
            </w:r>
            <w:r>
              <w:rPr>
                <w:rFonts w:ascii="Arial" w:cs="Arial" w:eastAsia="Arial" w:hAnsi="Arial"/>
                <w:sz w:val="23"/>
                <w:szCs w:val="23"/>
                <w:color w:val="auto"/>
                <w:w w:val="96"/>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w:t>
            </w:r>
          </w:p>
        </w:tc>
      </w:tr>
      <w:tr>
        <w:trPr>
          <w:trHeight w:val="223"/>
        </w:trPr>
        <w:tc>
          <w:tcPr>
            <w:tcW w:w="4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15,864</w:t>
            </w:r>
          </w:p>
        </w:tc>
      </w:tr>
      <w:tr>
        <w:trPr>
          <w:trHeight w:val="20"/>
        </w:trPr>
        <w:tc>
          <w:tcPr>
            <w:tcW w:w="4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900" w:hanging="550"/>
        <w:spacing w:after="0"/>
        <w:tabs>
          <w:tab w:leader="none" w:pos="9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Aircraft Rent expense includes credits for the amortization of over-market liabilities established at the Acquisition Date.</w:t>
      </w:r>
    </w:p>
    <w:p>
      <w:pPr>
        <w:spacing w:after="0" w:line="319" w:lineRule="exact"/>
        <w:rPr>
          <w:sz w:val="20"/>
          <w:szCs w:val="20"/>
          <w:color w:val="auto"/>
        </w:rPr>
      </w:pPr>
    </w:p>
    <w:p>
      <w:pPr>
        <w:ind w:left="340" w:right="460"/>
        <w:spacing w:after="0" w:line="261" w:lineRule="auto"/>
        <w:rPr>
          <w:sz w:val="20"/>
          <w:szCs w:val="20"/>
          <w:color w:val="auto"/>
        </w:rPr>
      </w:pPr>
      <w:r>
        <w:rPr>
          <w:rFonts w:ascii="Arial" w:cs="Arial" w:eastAsia="Arial" w:hAnsi="Arial"/>
          <w:sz w:val="18"/>
          <w:szCs w:val="18"/>
          <w:color w:val="auto"/>
        </w:rPr>
        <w:t>Depreciation expense on owned aircraft and amortization expense on finance leased aircraft are both classified in Depreciation and Amortization on the Condensed Consolidated Statements of Operations.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Aircraft Maintenance Deposits Contra-Assets</w:t>
      </w:r>
    </w:p>
    <w:p>
      <w:pPr>
        <w:spacing w:after="0" w:line="24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As of the Acquisition Date, the Company established a maintenance deposit contra-asset to offset the acquired maintenance deposits assets included in Short-term Lessor Maintenance Deposits on the Condensed Consolidated Balance Sheets. The assets represent funds paid by the previous owners of the Company to the lessor that were kept as funds on deposit for maintenance events and the contra-assets represent the Company’s obligation to perform planned maintenance events on leased aircraft held as of the Acquisition date. As reimbursable maintenance events are performed and Maintenance Expense is incurred, a portion of the contra-asset is recognized as a reduction to Maintenance Expense on the Condensed Consolidated Statements of Operations due to the fact that the previously acquired maintenance deposit is partially funding the maintenance event. As of March 31, 2022 and December 31, 2021, the remaining balance of the contra-asset was $22,348.</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Over-market Liabilities</w:t>
      </w:r>
    </w:p>
    <w:p>
      <w:pPr>
        <w:spacing w:after="0" w:line="247"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At the Acquisition Date, the Company acquired liabilities related to its over-market lease rates and over-market maintenance reserve payments.</w:t>
      </w:r>
    </w:p>
    <w:p>
      <w:pPr>
        <w:spacing w:after="0" w:line="198"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As of the Acquisition Date, the Company recognized a liability representing lease terms which are unfavorable compared with market terms of similar leases. The over-market lease liability is recorded as a contra-asset offsetting the corresponding lease asset. The remaining unamortized balance of this contra-asset as of March 31, 2022 and December 31, 2021 was $383 and $10,363, respectively and is recorded within the Operating Lease Right-of-Use Assets. During the three months ended March 31, 2022, the Company executed lease amendments which modified two aircraft from operating leases to finance leases. As a result of the modifications, the Company reclassified $9,687 of the over-market lease liability from Operating Lease Right-of-Use Assets to Finance Lease Assets. The resulting reclassification reduces the Depreciation and Amortization for the related Finance Lease Assets.</w:t>
      </w:r>
    </w:p>
    <w:p>
      <w:pPr>
        <w:spacing w:after="0" w:line="207"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As of the Acquisition Date, Sun Country’s existing leases included payments for maintenance reserves in addition to the stated aircraft lease payments. For a substantial portion of these maintenance reserve payments, the Company does not expect to be reimbursed by the lessor. Therefore, a liability was established representing over-market maintenance reserve lease terms compared to market terms of similar leases. The remaining balance of this liability at March 31, 2022 and December 31, 2021 was $7,793 and $14,737, respectively. Of the $6,944 reduction in the over-market maintenance reserve liabilities during the three months ended March 31, 2022, $6,023 was incorporated into the Finance Lease Assets in accordance with the terms of the executed lease amendments, as described above.</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sz w:val="20"/>
          <w:szCs w:val="20"/>
          <w:color w:val="auto"/>
        </w:rPr>
      </w:pPr>
    </w:p>
    <w:p>
      <w:pPr>
        <w:jc w:val="both"/>
        <w:ind w:left="260"/>
        <w:spacing w:after="0" w:line="254"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On February 10, 2021, the Company executed a five-year credit agreement (the “Credit Agreement”) with a group of</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that replaced the Company’s prior $25,000 asset-based revolving credit facility. The Credit Agreement includes a $25,000 Revolving Credit Facility (the "Revolving Credit Facility") and a $90,000 Delayed Draw Term Loan Facility (“DDTL”), which are collectively referred to as the “Credit Facilities.” The interest rate in effect as of March 31, 2022 was 6%, which is the minimum interest rate allowed under the Credit Agreement. Borrowings are subject to a possible interest rate adjustment in June 2022. In addition, there is a commitment fee on the unused Revolving Credit Facility of 0.5%. The proceeds from the Revolving Credit Facility can be used for general corporate purposes, whereas the proceeds from the DDTL are to be used solely to finance the acquisition of aircraft or engines to be registered in the United States. The Credit Agreement includes financial covenants that require a minimum trailing 12 -month EBITDAR ($87,700 as of March 31, 2022 and beyond) and minimum liquidity of $30,000 at the close of any business day. The Company was in compliance with these covenants as of March 31, 2022.</w:t>
      </w:r>
    </w:p>
    <w:p>
      <w:pPr>
        <w:spacing w:after="0" w:line="207" w:lineRule="exact"/>
        <w:rPr>
          <w:sz w:val="20"/>
          <w:szCs w:val="20"/>
          <w:color w:val="auto"/>
        </w:rPr>
      </w:pPr>
    </w:p>
    <w:p>
      <w:pPr>
        <w:jc w:val="both"/>
        <w:ind w:left="260"/>
        <w:spacing w:after="0" w:line="252" w:lineRule="auto"/>
        <w:rPr>
          <w:sz w:val="20"/>
          <w:szCs w:val="20"/>
          <w:color w:val="auto"/>
        </w:rPr>
      </w:pPr>
      <w:r>
        <w:rPr>
          <w:rFonts w:ascii="Arial" w:cs="Arial" w:eastAsia="Arial" w:hAnsi="Arial"/>
          <w:sz w:val="18"/>
          <w:szCs w:val="18"/>
          <w:color w:val="auto"/>
        </w:rPr>
        <w:t>During 2021, the Company drew $80,500 on the DDTL to purchase six aircraft, which were previously under operating leases. The Company repaid the outstanding balance of the DDTL in full as of March 31, 2022 using proceeds it received from the 2022-1 EETC, which terminated the DDTL. As a result, no amounts under the DDTL were available to the Company as of March 31, 2022. The Company recorded a $1,557 loss on extinguishment of debt related to the refinancing of the DDTL, which represents the write-off of the unamortized deferred financing costs. As of March 31, 2022, the Revolving Credit Facility remained undrawn and available to the Company.</w:t>
      </w:r>
    </w:p>
    <w:p>
      <w:pPr>
        <w:spacing w:after="0" w:line="186"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 In December 2019, the Company arranged for the issuance of Class A, Class B and Class C pass-through trust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Series 2019-1 (the “2019-1 EETC”), in an aggregate face amount of $248,587 for the purpose of financing or refinancing 13 used aircraft, which was completed in 2020.</w:t>
      </w:r>
    </w:p>
    <w:p>
      <w:pPr>
        <w:spacing w:after="0" w:line="193" w:lineRule="exact"/>
        <w:rPr>
          <w:sz w:val="20"/>
          <w:szCs w:val="20"/>
          <w:color w:val="auto"/>
        </w:rPr>
      </w:pPr>
    </w:p>
    <w:p>
      <w:pPr>
        <w:jc w:val="both"/>
        <w:ind w:left="260"/>
        <w:spacing w:after="0" w:line="251" w:lineRule="auto"/>
        <w:rPr>
          <w:sz w:val="20"/>
          <w:szCs w:val="20"/>
          <w:color w:val="auto"/>
        </w:rPr>
      </w:pPr>
      <w:r>
        <w:rPr>
          <w:rFonts w:ascii="Arial" w:cs="Arial" w:eastAsia="Arial" w:hAnsi="Arial"/>
          <w:sz w:val="18"/>
          <w:szCs w:val="18"/>
          <w:color w:val="auto"/>
        </w:rPr>
        <w:t>In March 2022, the Company arranged for the issuance of the 2022-1 EETC in an aggregate face amount of $ 188,277 for the purpose of financing or refinancing 13 aircraft. The Company recorded $1,979 in debt issuance costs associated with the 2022-1 EETC. Five of the 13 aircraft were owned fleet assets previously financed by the DDTL, two of the aircraft were owned outright, five of the aircraft were acquired during the beginning of the second quarter of 2022, and the remaining aircraft is currently under lease and is expected to be purchased from the lessor later in 2022. The Company received gross proceeds of $77,986 with respect to seven of the aircraft on March 31, 2022, and an incremental $94,521 subsequent to March 31, 2022 with respect to five of the aircraft. The remaining $ 15,770 of gross proceeds is expected to be received on or before September 15, 2022 in connection with purchasing the thirteenth aircraft from the lessor. The Company is required to make semi-annual principal and interest payments each March and September beginning with the first payment on September 15, 2022. The 2022-1 EETC will be secured by a lien on the financed or refinanced aircraft and will be cross-collateralized by the other aircraft financed through the issuance. Total appraised value of the 12 aircraft was approximately $237,936 as of the original date of the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includes the following:</w:t>
      </w:r>
    </w:p>
    <w:p>
      <w:pPr>
        <w:spacing w:after="0" w:line="348"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6"/>
                <w:szCs w:val="16"/>
                <w:color w:val="auto"/>
              </w:rPr>
            </w:pPr>
          </w:p>
        </w:tc>
        <w:tc>
          <w:tcPr>
            <w:tcW w:w="1580" w:type="dxa"/>
            <w:vAlign w:val="bottom"/>
          </w:tcPr>
          <w:p>
            <w:pPr>
              <w:jc w:val="right"/>
              <w:ind w:right="152"/>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68"/>
        </w:trPr>
        <w:tc>
          <w:tcPr>
            <w:tcW w:w="7020" w:type="dxa"/>
            <w:vAlign w:val="bottom"/>
            <w:tcBorders>
              <w:top w:val="single" w:sz="8" w:color="CCEEFF"/>
            </w:tcBorders>
            <w:gridSpan w:val="5"/>
            <w:shd w:val="clear" w:color="auto" w:fill="CCEEFF"/>
          </w:tcPr>
          <w:p>
            <w:pPr>
              <w:spacing w:after="0" w:line="168" w:lineRule="exact"/>
              <w:rPr>
                <w:sz w:val="20"/>
                <w:szCs w:val="20"/>
                <w:color w:val="auto"/>
              </w:rPr>
            </w:pPr>
            <w:r>
              <w:rPr>
                <w:rFonts w:ascii="Arial" w:cs="Arial" w:eastAsia="Arial" w:hAnsi="Arial"/>
                <w:sz w:val="18"/>
                <w:szCs w:val="18"/>
                <w:color w:val="auto"/>
              </w:rPr>
              <w:t>Notes payable under the Company's 2019-1 EETC agreement dated December 2019,</w:t>
            </w:r>
          </w:p>
        </w:tc>
        <w:tc>
          <w:tcPr>
            <w:tcW w:w="14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with original loan amounts of $248,587 payable in bi-annual installments, in June and</w:t>
            </w: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December, through December 2027. These notes bear interest at an annual rate</w:t>
            </w: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between 4.13% and 6.95% and the weighted average interest rate is 4.76% as of</w:t>
            </w: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March 31, 2022.</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202,984</w:t>
            </w:r>
          </w:p>
        </w:tc>
        <w:tc>
          <w:tcPr>
            <w:tcW w:w="0" w:type="dxa"/>
            <w:vAlign w:val="bottom"/>
          </w:tcPr>
          <w:p>
            <w:pPr>
              <w:spacing w:after="0"/>
              <w:rPr>
                <w:sz w:val="1"/>
                <w:szCs w:val="1"/>
                <w:color w:val="auto"/>
              </w:rPr>
            </w:pPr>
          </w:p>
        </w:tc>
      </w:tr>
      <w:tr>
        <w:trPr>
          <w:trHeight w:val="270"/>
        </w:trPr>
        <w:tc>
          <w:tcPr>
            <w:tcW w:w="690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702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auto"/>
              </w:rPr>
              <w:t>Notes payable under the Company's 2022-1 EETC agreement dated March 2022, with</w:t>
            </w: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0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a face amount of $188,277 payable in bi-annual installments, in March and September,</w:t>
            </w: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through March 2031. These notes bear interest at an annual rate between 4.84% and</w:t>
            </w: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5.75% and the weighted average interest rate is 5.06% as of March 31, 2022.</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440" w:type="dxa"/>
            <w:vAlign w:val="bottom"/>
            <w:gridSpan w:val="2"/>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Delayed Draw Term Loan Facility (see terms and conditions above)</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77,481</w:t>
            </w:r>
          </w:p>
        </w:tc>
        <w:tc>
          <w:tcPr>
            <w:tcW w:w="0" w:type="dxa"/>
            <w:vAlign w:val="bottom"/>
          </w:tcPr>
          <w:p>
            <w:pPr>
              <w:spacing w:after="0"/>
              <w:rPr>
                <w:sz w:val="1"/>
                <w:szCs w:val="1"/>
                <w:color w:val="auto"/>
              </w:rPr>
            </w:pPr>
          </w:p>
        </w:tc>
      </w:tr>
      <w:tr>
        <w:trPr>
          <w:trHeight w:val="270"/>
        </w:trPr>
        <w:tc>
          <w:tcPr>
            <w:tcW w:w="690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702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auto"/>
              </w:rPr>
              <w:t>Other Notes payable. These notes bear interest at an annual rate of approximately</w:t>
            </w: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5.00% and were repaid in full in February 2022.</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129"/>
        </w:trPr>
        <w:tc>
          <w:tcPr>
            <w:tcW w:w="5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Debt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280,931</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issuance costs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 of Long-term Debt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(29,412)</w:t>
            </w:r>
          </w:p>
        </w:tc>
        <w:tc>
          <w:tcPr>
            <w:tcW w:w="0" w:type="dxa"/>
            <w:vAlign w:val="bottom"/>
          </w:tcPr>
          <w:p>
            <w:pPr>
              <w:spacing w:after="0"/>
              <w:rPr>
                <w:sz w:val="1"/>
                <w:szCs w:val="1"/>
                <w:color w:val="auto"/>
              </w:rPr>
            </w:pPr>
          </w:p>
        </w:tc>
      </w:tr>
      <w:tr>
        <w:trPr>
          <w:trHeight w:val="223"/>
        </w:trPr>
        <w:tc>
          <w:tcPr>
            <w:tcW w:w="5140" w:type="dxa"/>
            <w:vAlign w:val="bottom"/>
          </w:tcPr>
          <w:p>
            <w:pPr>
              <w:ind w:left="120"/>
              <w:spacing w:after="0"/>
              <w:rPr>
                <w:sz w:val="20"/>
                <w:szCs w:val="20"/>
                <w:color w:val="auto"/>
              </w:rPr>
            </w:pPr>
            <w:r>
              <w:rPr>
                <w:rFonts w:ascii="Arial" w:cs="Arial" w:eastAsia="Arial" w:hAnsi="Arial"/>
                <w:sz w:val="18"/>
                <w:szCs w:val="18"/>
                <w:color w:val="auto"/>
              </w:rPr>
              <w:t>Total Long-term Debt</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248,014</w:t>
            </w:r>
          </w:p>
        </w:tc>
        <w:tc>
          <w:tcPr>
            <w:tcW w:w="0" w:type="dxa"/>
            <w:vAlign w:val="bottom"/>
          </w:tcPr>
          <w:p>
            <w:pPr>
              <w:spacing w:after="0"/>
              <w:rPr>
                <w:sz w:val="1"/>
                <w:szCs w:val="1"/>
                <w:color w:val="auto"/>
              </w:rPr>
            </w:pPr>
          </w:p>
        </w:tc>
      </w:tr>
      <w:tr>
        <w:trPr>
          <w:trHeight w:val="21"/>
        </w:trPr>
        <w:tc>
          <w:tcPr>
            <w:tcW w:w="5140" w:type="dxa"/>
            <w:vAlign w:val="bottom"/>
            <w:vMerge w:val="restart"/>
          </w:tcPr>
          <w:p>
            <w:pPr>
              <w:spacing w:after="0"/>
              <w:rPr>
                <w:sz w:val="20"/>
                <w:szCs w:val="20"/>
                <w:color w:val="auto"/>
              </w:rPr>
            </w:pPr>
            <w:r>
              <w:rPr>
                <w:rFonts w:ascii="Arial" w:cs="Arial" w:eastAsia="Arial" w:hAnsi="Arial"/>
                <w:sz w:val="18"/>
                <w:szCs w:val="18"/>
                <w:color w:val="auto"/>
              </w:rPr>
              <w:t>Future maturities of the outstanding Debt are as follows:</w:t>
            </w: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Debt Principal</w:t>
            </w:r>
          </w:p>
        </w:tc>
        <w:tc>
          <w:tcPr>
            <w:tcW w:w="140" w:type="dxa"/>
            <w:vAlign w:val="bottom"/>
          </w:tcPr>
          <w:p>
            <w:pPr>
              <w:spacing w:after="0"/>
              <w:rPr>
                <w:sz w:val="24"/>
                <w:szCs w:val="2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 of Debt</w:t>
            </w:r>
          </w:p>
        </w:tc>
        <w:tc>
          <w:tcPr>
            <w:tcW w:w="180" w:type="dxa"/>
            <w:vAlign w:val="bottom"/>
          </w:tcPr>
          <w:p>
            <w:pPr>
              <w:spacing w:after="0"/>
              <w:rPr>
                <w:sz w:val="24"/>
                <w:szCs w:val="24"/>
                <w:color w:val="auto"/>
              </w:rPr>
            </w:pPr>
          </w:p>
        </w:tc>
        <w:tc>
          <w:tcPr>
            <w:tcW w:w="15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 Debt</w:t>
            </w: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5"/>
                <w:szCs w:val="15"/>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Issuance Costs</w:t>
            </w:r>
          </w:p>
        </w:tc>
        <w:tc>
          <w:tcPr>
            <w:tcW w:w="18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30,304</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47,534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46,777</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48,540</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54,257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53,739</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34,336</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63,589</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 of March 31, 2022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277,285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260"/>
        <w:spacing w:after="0" w:line="256" w:lineRule="auto"/>
        <w:rPr>
          <w:sz w:val="20"/>
          <w:szCs w:val="20"/>
          <w:color w:val="auto"/>
        </w:rPr>
      </w:pPr>
      <w:r>
        <w:rPr>
          <w:rFonts w:ascii="Arial" w:cs="Arial" w:eastAsia="Arial" w:hAnsi="Arial"/>
          <w:sz w:val="18"/>
          <w:szCs w:val="18"/>
          <w:color w:val="auto"/>
        </w:rPr>
        <w:t>The fair value of debt was $271,837 as of March 31, 2022 and $272,004 as of December 31, 2021. The fair value of the Company’s debt was based on the discounted amount of future cash flows using the Company’s end-of-period incremental borrowing rate for similar obligations. The estimates were primarily based on Level 3 inputs.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FUEL DERIVATIVES AND RISK MANAGEMENT</w:t>
      </w:r>
    </w:p>
    <w:p>
      <w:pPr>
        <w:spacing w:after="0" w:line="24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 As of March 31, 2022 and December 31, 2021, the Company had no outstanding fuel derivative contracts.</w:t>
      </w:r>
    </w:p>
    <w:p>
      <w:pPr>
        <w:spacing w:after="0" w:line="204"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Fuel derivative contracts are recognized at fair value on the Condensed Consolidated Balance Sheets as Derivative Assets, if the fair value is in an asset position, or as Derivative Liabilities, if the fair value is in a liability position. Derivatives where the payment due date is greater than one year from the balance sheet date are classified as long-term. Fuel derivative gains and losses are classified in Aircraft Fuel on the Condensed Consolidated Statements of Operations.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Derivative Assets (Liabilities) are as follows:</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7880" w:type="dxa"/>
            <w:vAlign w:val="bottom"/>
          </w:tcPr>
          <w:p>
            <w:pPr>
              <w:spacing w:after="0"/>
              <w:rPr>
                <w:sz w:val="16"/>
                <w:szCs w:val="16"/>
                <w:color w:val="auto"/>
              </w:rPr>
            </w:pPr>
          </w:p>
        </w:tc>
        <w:tc>
          <w:tcPr>
            <w:tcW w:w="302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78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Non-cash Gains</w:t>
            </w:r>
          </w:p>
        </w:tc>
        <w:tc>
          <w:tcPr>
            <w:tcW w:w="106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Settlements</w:t>
            </w:r>
          </w:p>
        </w:tc>
        <w:tc>
          <w:tcPr>
            <w:tcW w:w="10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Arial" w:cs="Arial" w:eastAsia="Arial" w:hAnsi="Arial"/>
                <w:sz w:val="18"/>
                <w:szCs w:val="18"/>
                <w:color w:val="auto"/>
              </w:rPr>
              <w:t>Balance - March 31</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color w:val="auto"/>
              </w:rPr>
              <w:t>Fuel Derivative Gains consist of the following:</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8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80" w:type="dxa"/>
            <w:vAlign w:val="bottom"/>
          </w:tcPr>
          <w:p>
            <w:pPr>
              <w:spacing w:after="0"/>
              <w:rPr>
                <w:sz w:val="24"/>
                <w:szCs w:val="24"/>
                <w:color w:val="auto"/>
              </w:rPr>
            </w:pPr>
          </w:p>
        </w:tc>
        <w:tc>
          <w:tcPr>
            <w:tcW w:w="302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78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Gains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Premiums Paid</w:t>
            </w: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Fuel Derivative Gains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jc w:val="both"/>
        <w:ind w:left="34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For a description of the methods and assumptions that are used to estimate the fair value and determine the fair value hierarchy classification of each class of financial instrument, see </w:t>
      </w:r>
      <w:hyperlink r:id="rId50">
        <w:r>
          <w:rPr>
            <w:rFonts w:ascii="Arial" w:cs="Arial" w:eastAsia="Arial" w:hAnsi="Arial"/>
            <w:sz w:val="18"/>
            <w:szCs w:val="18"/>
            <w:u w:val="single" w:color="auto"/>
            <w:color w:val="0000FF"/>
          </w:rPr>
          <w:t>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Part II, Item 8, “Financial Statements” in the 2021 10-K.</w:t>
      </w:r>
    </w:p>
    <w:p>
      <w:pPr>
        <w:spacing w:after="0" w:line="202"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Excluding the items discussed below, there were no additional assets or liabilities measured at fair value on a recurring basis as of March 31, 2022 or December 31, 2021.</w:t>
      </w:r>
    </w:p>
    <w:p>
      <w:pPr>
        <w:spacing w:after="0" w:line="176"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 Financial instruments including Cash and Cash Equivalents, Restricted Cash, Investments,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 Accounts Payable and all other Current Liabilities have carrying values that approximate fair value.</w:t>
      </w:r>
    </w:p>
    <w:p>
      <w:pPr>
        <w:spacing w:after="0" w:line="15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color w:val="auto"/>
        </w:rPr>
        <w:t xml:space="preserve">Derivative Instruments </w:t>
      </w:r>
      <w:r>
        <w:rPr>
          <w:rFonts w:ascii="Arial" w:cs="Arial" w:eastAsia="Arial" w:hAnsi="Arial"/>
          <w:sz w:val="18"/>
          <w:szCs w:val="18"/>
          <w:color w:val="auto"/>
        </w:rPr>
        <w:t>– Derivative instruments are accounted for as either assets or liabilities and are carried at fair value.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for fuel derivative options and swaps is determined utilizing an option pricing model that uses inputs that are readily available in active markets or can be derived from information available in active markets and are classified within Level 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color w:val="auto"/>
        </w:rPr>
        <w:t xml:space="preserve">Non-Financial Assets </w:t>
      </w:r>
      <w:r>
        <w:rPr>
          <w:rFonts w:ascii="Arial" w:cs="Arial" w:eastAsia="Arial" w:hAnsi="Arial"/>
          <w:sz w:val="18"/>
          <w:szCs w:val="18"/>
          <w:color w:val="auto"/>
        </w:rPr>
        <w:t>– Certain assets are measured at fair value on a nonrecurring basis. The Company’s non-financial assets, which</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consist of Property &amp; Equipment, Goodwill and Other Intangible Assets are not required to be measured at fair value on a recurring basis and are reported at carrying value. However, on a periodic basis whenever events or changes in circumstances indicate that their carrying value may not be recoverable, non-financial assets are assessed for impairment and, if applicable, written down to fair value using significant unobservable inputs, classified as Level 3.</w:t>
      </w:r>
    </w:p>
    <w:p>
      <w:pPr>
        <w:spacing w:after="0" w:line="179" w:lineRule="exact"/>
        <w:rPr>
          <w:sz w:val="20"/>
          <w:szCs w:val="20"/>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 See</w:t>
      </w:r>
      <w:r>
        <w:rPr>
          <w:rFonts w:ascii="Arial" w:cs="Arial" w:eastAsia="Arial" w:hAnsi="Arial"/>
          <w:sz w:val="18"/>
          <w:szCs w:val="18"/>
          <w:b w:val="1"/>
          <w:bCs w:val="1"/>
          <w:color w:val="auto"/>
        </w:rPr>
        <w:t xml:space="preserve"> </w:t>
      </w:r>
      <w:hyperlink w:anchor="page16">
        <w:r>
          <w:rPr>
            <w:rFonts w:ascii="Arial" w:cs="Arial" w:eastAsia="Arial" w:hAnsi="Arial"/>
            <w:sz w:val="18"/>
            <w:szCs w:val="18"/>
            <w:u w:val="single" w:color="auto"/>
            <w:color w:val="0000FF"/>
          </w:rPr>
          <w:t>Note 7</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for</w:t>
      </w:r>
      <w:r>
        <w:rPr>
          <w:rFonts w:ascii="Arial" w:cs="Arial" w:eastAsia="Arial" w:hAnsi="Arial"/>
          <w:sz w:val="18"/>
          <w:szCs w:val="18"/>
          <w:b w:val="1"/>
          <w:bCs w:val="1"/>
          <w:color w:val="auto"/>
        </w:rPr>
        <w:t xml:space="preserve"> </w:t>
      </w:r>
      <w:r>
        <w:rPr>
          <w:rFonts w:ascii="Arial" w:cs="Arial" w:eastAsia="Arial" w:hAnsi="Arial"/>
          <w:sz w:val="18"/>
          <w:szCs w:val="18"/>
          <w:color w:val="auto"/>
        </w:rPr>
        <w:t>more information on the Company's debt financings and related fair values.</w:t>
      </w:r>
    </w:p>
    <w:p>
      <w:pPr>
        <w:spacing w:after="0" w:line="22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Company's effective tax rate for the three months ended March 31, 2022 and 2021 was 43.3% and 30.3%, respectively. The effective tax rate represents a blend of federal and state taxes and includes the impact of certain nondeductible or nontaxable items. The increase in the effective tax rate is primarily due to a non-deductible expense related to the Tax Receivable Agreement (the "Tax Receivable Agreement" or "TRA") liability, partially offset by stock compensation benefits.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Tax Receivable Agreement</w:t>
      </w:r>
    </w:p>
    <w:p>
      <w:pPr>
        <w:spacing w:after="0" w:line="24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In connection with the Company’s IPO, the Company entered into the TRA with our pre-IPO stockholders (the “TRA holders”). The TRA provides for the payment by the Company to the TRA holders of 85% of the amount of cash savings, if any, in U.S. federal, state, local, and foreign income tax that the Company actually realizes (or are deemed to realize in certain circumstances) as a result of certain tax attributes that existed at the time of the IPO (the “Pre-IPO Tax Attributes”). The Company will retain the benefit of the remaining 15% of these cash savings.</w:t>
      </w:r>
    </w:p>
    <w:p>
      <w:pPr>
        <w:spacing w:after="0" w:line="205"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Upon the closing of the IPO in the first quarter of 2021, the Company recognized a non-current liability of $115,200, which represented undiscounted aggregate payments that were expected to be paid to the TRA holders under the TRA, with an offset to Stockholders’ Equity. The TRA balance as of March 31, 2022 and December 31, 2021 was $105,600 and $98,800, respectively. The TRA liability is an estimate and actual amounts payable under the Tax Receivable Agreement could differ from this estimate. During the three months ended March 31, 2022, the Company recorded an adjustment to the estimated TRA liability of $6,800. Adjustments to the TRA are recorded in Other, net Non-Operating Income (Expense) on the Company’s Condensed Consolidated Statements of Operations.</w:t>
      </w:r>
    </w:p>
    <w:p>
      <w:pPr>
        <w:spacing w:after="0" w:line="208" w:lineRule="exact"/>
        <w:rPr>
          <w:sz w:val="20"/>
          <w:szCs w:val="20"/>
          <w:color w:val="auto"/>
        </w:rPr>
      </w:pPr>
    </w:p>
    <w:p>
      <w:pPr>
        <w:jc w:val="both"/>
        <w:ind w:left="34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For more information on the TRA, see </w:t>
      </w:r>
      <w:hyperlink r:id="rId53">
        <w:r>
          <w:rPr>
            <w:rFonts w:ascii="Arial" w:cs="Arial" w:eastAsia="Arial" w:hAnsi="Arial"/>
            <w:sz w:val="18"/>
            <w:szCs w:val="18"/>
            <w:u w:val="single" w:color="auto"/>
            <w:color w:val="0000FF"/>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Part II, Item 8, “Financial Statements” in the 2021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234" w:lineRule="exact"/>
        <w:rPr>
          <w:sz w:val="20"/>
          <w:szCs w:val="20"/>
          <w:color w:val="auto"/>
        </w:rPr>
      </w:pPr>
    </w:p>
    <w:p>
      <w:pPr>
        <w:ind w:left="340" w:right="80"/>
        <w:spacing w:after="0" w:line="235" w:lineRule="auto"/>
        <w:rPr>
          <w:sz w:val="20"/>
          <w:szCs w:val="20"/>
          <w:color w:val="auto"/>
        </w:rPr>
      </w:pPr>
      <w:r>
        <w:rPr>
          <w:rFonts w:ascii="Arial" w:cs="Arial" w:eastAsia="Arial" w:hAnsi="Arial"/>
          <w:sz w:val="18"/>
          <w:szCs w:val="18"/>
          <w:color w:val="auto"/>
        </w:rPr>
        <w:t>Special Items, net reflects expenses, or credits to expense, that are not representative of our ongoing costs for the period presented and may vary from period to period in nature, frequency, and amount.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Special Items, net on the Condensed Consolidated Statements of Operations consist of the following:</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2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27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183"/>
        </w:trPr>
        <w:tc>
          <w:tcPr>
            <w:tcW w:w="7600" w:type="dxa"/>
            <w:vAlign w:val="bottom"/>
            <w:gridSpan w:val="5"/>
            <w:shd w:val="clear" w:color="auto" w:fill="CCEEFF"/>
          </w:tcPr>
          <w:p>
            <w:pPr>
              <w:ind w:left="20"/>
              <w:spacing w:after="0" w:line="182" w:lineRule="exact"/>
              <w:rPr>
                <w:rFonts w:ascii="Arial" w:cs="Arial" w:eastAsia="Arial" w:hAnsi="Arial"/>
                <w:sz w:val="18"/>
                <w:szCs w:val="18"/>
                <w:color w:val="auto"/>
              </w:rPr>
            </w:pPr>
            <w:r>
              <w:rPr>
                <w:rFonts w:ascii="Arial" w:cs="Arial" w:eastAsia="Arial" w:hAnsi="Arial"/>
                <w:sz w:val="18"/>
                <w:szCs w:val="18"/>
                <w:color w:val="auto"/>
              </w:rPr>
              <w:t xml:space="preserve">CARES Act grant recognition (see </w:t>
            </w:r>
            <w:hyperlink w:anchor="page11">
              <w:r>
                <w:rPr>
                  <w:rFonts w:ascii="Arial" w:cs="Arial" w:eastAsia="Arial" w:hAnsi="Arial"/>
                  <w:sz w:val="18"/>
                  <w:szCs w:val="18"/>
                  <w:color w:val="0000FF"/>
                </w:rPr>
                <w:t>Note 3</w:t>
              </w:r>
            </w:hyperlink>
            <w:r>
              <w:rPr>
                <w:rFonts w:ascii="Arial" w:cs="Arial" w:eastAsia="Arial" w:hAnsi="Arial"/>
                <w:sz w:val="18"/>
                <w:szCs w:val="18"/>
                <w:color w:val="auto"/>
              </w:rPr>
              <w:t>)</w:t>
            </w:r>
          </w:p>
        </w:tc>
        <w:tc>
          <w:tcPr>
            <w:tcW w:w="1060" w:type="dxa"/>
            <w:vAlign w:val="bottom"/>
            <w:shd w:val="clear" w:color="auto" w:fill="CCEEFF"/>
          </w:tcPr>
          <w:p>
            <w:pPr>
              <w:jc w:val="right"/>
              <w:ind w:right="859"/>
              <w:spacing w:after="0" w:line="182" w:lineRule="exact"/>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line="18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(32,208)</w:t>
            </w:r>
          </w:p>
        </w:tc>
      </w:tr>
      <w:tr>
        <w:trPr>
          <w:trHeight w:val="21"/>
        </w:trPr>
        <w:tc>
          <w:tcPr>
            <w:tcW w:w="27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600" w:type="dxa"/>
            <w:vAlign w:val="bottom"/>
            <w:gridSpan w:val="5"/>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CARES Act employee retention credit (See </w:t>
            </w:r>
            <w:hyperlink w:anchor="page11">
              <w:r>
                <w:rPr>
                  <w:rFonts w:ascii="Arial" w:cs="Arial" w:eastAsia="Arial" w:hAnsi="Arial"/>
                  <w:sz w:val="18"/>
                  <w:szCs w:val="18"/>
                  <w:color w:val="0000FF"/>
                </w:rPr>
                <w:t>Note 3</w:t>
              </w:r>
            </w:hyperlink>
            <w:r>
              <w:rPr>
                <w:rFonts w:ascii="Arial" w:cs="Arial" w:eastAsia="Arial" w:hAnsi="Arial"/>
                <w:sz w:val="18"/>
                <w:szCs w:val="18"/>
                <w:color w:val="auto"/>
              </w:rPr>
              <w:t>)</w:t>
            </w:r>
          </w:p>
        </w:tc>
        <w:tc>
          <w:tcPr>
            <w:tcW w:w="1060" w:type="dxa"/>
            <w:vAlign w:val="bottom"/>
          </w:tcPr>
          <w:p>
            <w:pPr>
              <w:spacing w:after="0"/>
              <w:rPr>
                <w:sz w:val="16"/>
                <w:szCs w:val="16"/>
                <w:color w:val="auto"/>
              </w:rPr>
            </w:pPr>
          </w:p>
        </w:tc>
        <w:tc>
          <w:tcPr>
            <w:tcW w:w="50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(334)</w:t>
            </w:r>
          </w:p>
        </w:tc>
      </w:tr>
      <w:tr>
        <w:trPr>
          <w:trHeight w:val="21"/>
        </w:trPr>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9"/>
        </w:trPr>
        <w:tc>
          <w:tcPr>
            <w:tcW w:w="7600" w:type="dxa"/>
            <w:vAlign w:val="bottom"/>
            <w:gridSpan w:val="5"/>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Aircraft lease buy-out expense </w:t>
            </w:r>
            <w:r>
              <w:rPr>
                <w:rFonts w:ascii="Arial" w:cs="Arial" w:eastAsia="Arial" w:hAnsi="Arial"/>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r>
      <w:tr>
        <w:trPr>
          <w:trHeight w:val="230"/>
        </w:trPr>
        <w:tc>
          <w:tcPr>
            <w:tcW w:w="760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6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Total Special Items, net</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(26,871)</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left="740" w:right="500" w:hanging="390"/>
        <w:spacing w:after="0" w:line="233" w:lineRule="auto"/>
        <w:tabs>
          <w:tab w:leader="none" w:pos="740" w:val="left"/>
        </w:tabs>
        <w:numPr>
          <w:ilvl w:val="1"/>
          <w:numId w:val="17"/>
        </w:numPr>
        <w:rPr>
          <w:rFonts w:ascii="Arial" w:cs="Arial" w:eastAsia="Arial" w:hAnsi="Arial"/>
          <w:sz w:val="14"/>
          <w:szCs w:val="14"/>
          <w:color w:val="auto"/>
        </w:rPr>
      </w:pPr>
      <w:r>
        <w:rPr>
          <w:rFonts w:ascii="Arial" w:cs="Arial" w:eastAsia="Arial" w:hAnsi="Arial"/>
          <w:sz w:val="14"/>
          <w:szCs w:val="14"/>
          <w:color w:val="auto"/>
        </w:rPr>
        <w:t>Five aircraft were purchased in March 2021 that were previously under operating leases. Aircraft lease buy-out expense represents the net costs incurred to terminate the leases on those five aircraft. This includes the associated lease termination costs, write-off of previously capitalized maintenance deposits, and the write-off of over-market liabilities.</w:t>
      </w:r>
    </w:p>
    <w:p>
      <w:pPr>
        <w:spacing w:after="0" w:line="286" w:lineRule="exact"/>
        <w:rPr>
          <w:rFonts w:ascii="Arial" w:cs="Arial" w:eastAsia="Arial" w:hAnsi="Arial"/>
          <w:sz w:val="14"/>
          <w:szCs w:val="14"/>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47" w:lineRule="exact"/>
        <w:rPr>
          <w:sz w:val="20"/>
          <w:szCs w:val="20"/>
          <w:color w:val="auto"/>
        </w:rPr>
      </w:pPr>
    </w:p>
    <w:p>
      <w:pPr>
        <w:jc w:val="both"/>
        <w:ind w:left="340"/>
        <w:spacing w:after="0" w:line="261" w:lineRule="auto"/>
        <w:rPr>
          <w:rFonts w:ascii="Arial" w:cs="Arial" w:eastAsia="Arial" w:hAnsi="Arial"/>
          <w:sz w:val="18"/>
          <w:szCs w:val="18"/>
          <w:color w:val="0000FF"/>
        </w:rPr>
      </w:pPr>
      <w:hyperlink w:anchor="page16">
        <w:r>
          <w:rPr>
            <w:rFonts w:ascii="Arial" w:cs="Arial" w:eastAsia="Arial" w:hAnsi="Arial"/>
            <w:sz w:val="18"/>
            <w:szCs w:val="18"/>
            <w:color w:val="auto"/>
          </w:rPr>
          <w:t xml:space="preserve">The Company has contractual obligations and commitments primarily with regard to lease arrangements, repayment of debt (see </w:t>
        </w:r>
        <w:r>
          <w:rPr>
            <w:rFonts w:ascii="Arial" w:cs="Arial" w:eastAsia="Arial" w:hAnsi="Arial"/>
            <w:sz w:val="18"/>
            <w:szCs w:val="18"/>
            <w:u w:val="single" w:color="auto"/>
            <w:color w:val="0000FF"/>
          </w:rPr>
          <w:t>Note</w:t>
        </w:r>
      </w:hyperlink>
      <w:r>
        <w:rPr>
          <w:rFonts w:ascii="Arial" w:cs="Arial" w:eastAsia="Arial" w:hAnsi="Arial"/>
          <w:sz w:val="18"/>
          <w:szCs w:val="18"/>
          <w:color w:val="auto"/>
        </w:rPr>
        <w:t xml:space="preserve"> </w:t>
      </w:r>
      <w:hyperlink w:anchor="page16">
        <w:r>
          <w:rPr>
            <w:rFonts w:ascii="Arial" w:cs="Arial" w:eastAsia="Arial" w:hAnsi="Arial"/>
            <w:sz w:val="18"/>
            <w:szCs w:val="18"/>
            <w:u w:val="single" w:color="auto"/>
            <w:color w:val="0000FF"/>
          </w:rPr>
          <w:t>7</w:t>
        </w:r>
        <w:r>
          <w:rPr>
            <w:rFonts w:ascii="Arial" w:cs="Arial" w:eastAsia="Arial" w:hAnsi="Arial"/>
            <w:sz w:val="18"/>
            <w:szCs w:val="18"/>
            <w:color w:val="000000"/>
          </w:rPr>
          <w:t>), payments under the TRA (see</w:t>
        </w:r>
        <w:r>
          <w:rPr>
            <w:rFonts w:ascii="Arial" w:cs="Arial" w:eastAsia="Arial" w:hAnsi="Arial"/>
            <w:sz w:val="18"/>
            <w:szCs w:val="18"/>
            <w:color w:val="0000FF"/>
          </w:rPr>
          <w:t xml:space="preserve"> </w:t>
        </w:r>
      </w:hyperlink>
      <w:hyperlink w:anchor="page20">
        <w:r>
          <w:rPr>
            <w:rFonts w:ascii="Arial" w:cs="Arial" w:eastAsia="Arial" w:hAnsi="Arial"/>
            <w:sz w:val="18"/>
            <w:szCs w:val="18"/>
            <w:u w:val="single" w:color="auto"/>
            <w:color w:val="0000FF"/>
          </w:rPr>
          <w:t>Note 10</w:t>
        </w:r>
      </w:hyperlink>
      <w:hyperlink w:anchor="page16">
        <w:r>
          <w:rPr>
            <w:rFonts w:ascii="Arial" w:cs="Arial" w:eastAsia="Arial" w:hAnsi="Arial"/>
            <w:sz w:val="18"/>
            <w:szCs w:val="18"/>
            <w:color w:val="000000"/>
          </w:rPr>
          <w:t>), and probable future purchases of aircraft.</w:t>
        </w:r>
      </w:hyperlink>
    </w:p>
    <w:p>
      <w:pPr>
        <w:spacing w:after="0" w:line="198" w:lineRule="exact"/>
        <w:rPr>
          <w:rFonts w:ascii="Arial" w:cs="Arial" w:eastAsia="Arial" w:hAnsi="Arial"/>
          <w:sz w:val="18"/>
          <w:szCs w:val="18"/>
          <w:color w:val="0000FF"/>
        </w:rPr>
      </w:pPr>
    </w:p>
    <w:p>
      <w:pPr>
        <w:jc w:val="both"/>
        <w:ind w:left="340"/>
        <w:spacing w:after="0" w:line="253" w:lineRule="auto"/>
        <w:rPr>
          <w:sz w:val="20"/>
          <w:szCs w:val="20"/>
          <w:color w:val="auto"/>
        </w:rPr>
      </w:pPr>
      <w:r>
        <w:rPr>
          <w:rFonts w:ascii="Arial" w:cs="Arial" w:eastAsia="Arial" w:hAnsi="Arial"/>
          <w:sz w:val="18"/>
          <w:szCs w:val="18"/>
          <w:color w:val="auto"/>
        </w:rPr>
        <w:t>As of March 31, 2022, the Company had a commitment of approximately $75,000 to purchase four aircraft using proceeds from the 2022-1 EETC, which were delivered in the second quarter of 2022. A deposit totaling $7,500 was remitted to the seller during the first quarter of 2022 and has been accounted for within Other Current Assets on the Condensed Consolidated Balance Sheets as of March 31, 2022. The remaining purchase amount was financed using incremental proceeds from the 2022-1 EETC and were remitted to the seller upon delivery of the aircraft.</w:t>
      </w:r>
    </w:p>
    <w:p>
      <w:pPr>
        <w:spacing w:after="0" w:line="205" w:lineRule="exact"/>
        <w:rPr>
          <w:rFonts w:ascii="Arial" w:cs="Arial" w:eastAsia="Arial" w:hAnsi="Arial"/>
          <w:sz w:val="18"/>
          <w:szCs w:val="18"/>
          <w:color w:val="0000FF"/>
        </w:rPr>
      </w:pPr>
    </w:p>
    <w:p>
      <w:pPr>
        <w:jc w:val="both"/>
        <w:ind w:left="340"/>
        <w:spacing w:after="0" w:line="254" w:lineRule="auto"/>
        <w:rPr>
          <w:sz w:val="20"/>
          <w:szCs w:val="20"/>
          <w:color w:val="auto"/>
        </w:rPr>
      </w:pPr>
      <w:r>
        <w:rPr>
          <w:rFonts w:ascii="Arial" w:cs="Arial" w:eastAsia="Arial" w:hAnsi="Arial"/>
          <w:sz w:val="18"/>
          <w:szCs w:val="18"/>
          <w:color w:val="auto"/>
        </w:rPr>
        <w:t>During the first quarter of 2022, the Company executed an agreement to purchase a flight simulator at a total purchase price of $9,745. An initial installment of $2,934 was remitted to the seller during the first quarter of 2022 and is accounted for within Property &amp; Equipment on the Condensed Consolidated Balance Sheets as of March 31, 2022. The remaining purchase price is to be remitted upon shipment of the simulator.</w:t>
      </w:r>
    </w:p>
    <w:p>
      <w:pPr>
        <w:spacing w:after="0" w:line="204" w:lineRule="exact"/>
        <w:rPr>
          <w:rFonts w:ascii="Arial" w:cs="Arial" w:eastAsia="Arial" w:hAnsi="Arial"/>
          <w:sz w:val="18"/>
          <w:szCs w:val="18"/>
          <w:color w:val="0000FF"/>
        </w:rPr>
      </w:pPr>
    </w:p>
    <w:p>
      <w:pPr>
        <w:ind w:left="340"/>
        <w:spacing w:after="0"/>
        <w:rPr>
          <w:sz w:val="20"/>
          <w:szCs w:val="20"/>
          <w:color w:val="auto"/>
        </w:rPr>
      </w:pPr>
      <w:r>
        <w:rPr>
          <w:rFonts w:ascii="Arial" w:cs="Arial" w:eastAsia="Arial" w:hAnsi="Arial"/>
          <w:sz w:val="18"/>
          <w:szCs w:val="18"/>
          <w:color w:val="auto"/>
        </w:rPr>
        <w:t>The Company is subject to various legal proceedings in the normal course of business and expenses legal costs as incurred.</w:t>
      </w:r>
    </w:p>
    <w:p>
      <w:pPr>
        <w:spacing w:after="0" w:line="9" w:lineRule="exact"/>
        <w:rPr>
          <w:rFonts w:ascii="Arial" w:cs="Arial" w:eastAsia="Arial" w:hAnsi="Arial"/>
          <w:sz w:val="18"/>
          <w:szCs w:val="18"/>
          <w:color w:val="0000FF"/>
        </w:rPr>
      </w:pPr>
    </w:p>
    <w:p>
      <w:pPr>
        <w:ind w:left="340"/>
        <w:spacing w:after="0"/>
        <w:rPr>
          <w:sz w:val="20"/>
          <w:szCs w:val="20"/>
          <w:color w:val="auto"/>
        </w:rPr>
      </w:pPr>
      <w:r>
        <w:rPr>
          <w:rFonts w:ascii="Arial" w:cs="Arial" w:eastAsia="Arial" w:hAnsi="Arial"/>
          <w:sz w:val="18"/>
          <w:szCs w:val="18"/>
          <w:color w:val="auto"/>
        </w:rPr>
        <w:t>Management does not believe these proceedings will have a materially adverse effect on the Company.</w:t>
      </w: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17" w:lineRule="exact"/>
        <w:rPr>
          <w:rFonts w:ascii="Arial" w:cs="Arial" w:eastAsia="Arial" w:hAnsi="Arial"/>
          <w:sz w:val="18"/>
          <w:szCs w:val="18"/>
          <w:color w:val="0000FF"/>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247" w:lineRule="exact"/>
        <w:rPr>
          <w:sz w:val="20"/>
          <w:szCs w:val="20"/>
          <w:color w:val="auto"/>
        </w:rPr>
      </w:pPr>
    </w:p>
    <w:p>
      <w:pPr>
        <w:jc w:val="both"/>
        <w:ind w:left="34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The following tables present financial information for the Company’s two operating segments: Passenger and Cargo. For more information on the Company’s segments, see </w:t>
      </w:r>
      <w:hyperlink r:id="rId58">
        <w:r>
          <w:rPr>
            <w:rFonts w:ascii="Arial" w:cs="Arial" w:eastAsia="Arial" w:hAnsi="Arial"/>
            <w:sz w:val="18"/>
            <w:szCs w:val="18"/>
            <w:u w:val="single" w:color="auto"/>
            <w:color w:val="0000FF"/>
          </w:rPr>
          <w:t>Note 17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Part II, Item 8, “Financial Statements” in the 2021 10-K.</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7"/>
          </w:tcPr>
          <w:p>
            <w:pPr>
              <w:jc w:val="right"/>
              <w:ind w:right="692"/>
              <w:spacing w:after="0"/>
              <w:rPr>
                <w:sz w:val="20"/>
                <w:szCs w:val="20"/>
                <w:color w:val="auto"/>
              </w:rPr>
            </w:pPr>
            <w:r>
              <w:rPr>
                <w:rFonts w:ascii="Arial" w:cs="Arial" w:eastAsia="Arial" w:hAnsi="Arial"/>
                <w:sz w:val="14"/>
                <w:szCs w:val="14"/>
                <w:b w:val="1"/>
                <w:bCs w:val="1"/>
                <w:color w:val="auto"/>
              </w:rPr>
              <w:t>Three Months Ended March 31, 2022</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7"/>
          </w:tcPr>
          <w:p>
            <w:pPr>
              <w:jc w:val="right"/>
              <w:ind w:right="692"/>
              <w:spacing w:after="0"/>
              <w:rPr>
                <w:sz w:val="20"/>
                <w:szCs w:val="20"/>
                <w:color w:val="auto"/>
              </w:rPr>
            </w:pPr>
            <w:r>
              <w:rPr>
                <w:rFonts w:ascii="Arial" w:cs="Arial" w:eastAsia="Arial" w:hAnsi="Arial"/>
                <w:sz w:val="14"/>
                <w:szCs w:val="14"/>
                <w:b w:val="1"/>
                <w:bCs w:val="1"/>
                <w:color w:val="auto"/>
              </w:rPr>
              <w:t>Three Months Ended March 31, 2021</w:t>
            </w:r>
          </w:p>
        </w:tc>
      </w:tr>
      <w:tr>
        <w:trPr>
          <w:trHeight w:val="183"/>
        </w:trPr>
        <w:tc>
          <w:tcPr>
            <w:tcW w:w="27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Passenger</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Cargo</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Consolidated</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Passenger</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Cargo</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Consolidated</w:t>
            </w: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226,525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127,611</w:t>
            </w:r>
          </w:p>
        </w:tc>
      </w:tr>
      <w:tr>
        <w:trPr>
          <w:trHeight w:val="223"/>
        </w:trPr>
        <w:tc>
          <w:tcPr>
            <w:tcW w:w="2700" w:type="dxa"/>
            <w:vAlign w:val="bottom"/>
          </w:tcPr>
          <w:p>
            <w:pPr>
              <w:ind w:left="100"/>
              <w:spacing w:after="0"/>
              <w:rPr>
                <w:sz w:val="20"/>
                <w:szCs w:val="20"/>
                <w:color w:val="auto"/>
              </w:rPr>
            </w:pPr>
            <w:r>
              <w:rPr>
                <w:rFonts w:ascii="Arial" w:cs="Arial" w:eastAsia="Arial" w:hAnsi="Arial"/>
                <w:sz w:val="18"/>
                <w:szCs w:val="18"/>
                <w:color w:val="auto"/>
              </w:rPr>
              <w:t>Non-Fuel Operating Expenses</w:t>
            </w: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120,810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19,338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140,148</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87,205</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18,070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105,275</w:t>
            </w:r>
          </w:p>
        </w:tc>
      </w:tr>
      <w:tr>
        <w:trPr>
          <w:trHeight w:val="229"/>
        </w:trPr>
        <w:tc>
          <w:tcPr>
            <w:tcW w:w="2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Aircraft Fuel</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24,274</w:t>
            </w:r>
          </w:p>
        </w:tc>
      </w:tr>
      <w:tr>
        <w:trPr>
          <w:trHeight w:val="230"/>
        </w:trPr>
        <w:tc>
          <w:tcPr>
            <w:tcW w:w="2700" w:type="dxa"/>
            <w:vAlign w:val="bottom"/>
          </w:tcPr>
          <w:p>
            <w:pPr>
              <w:ind w:left="120"/>
              <w:spacing w:after="0"/>
              <w:rPr>
                <w:sz w:val="20"/>
                <w:szCs w:val="20"/>
                <w:color w:val="auto"/>
              </w:rPr>
            </w:pPr>
            <w:r>
              <w:rPr>
                <w:rFonts w:ascii="Arial" w:cs="Arial" w:eastAsia="Arial" w:hAnsi="Arial"/>
                <w:sz w:val="18"/>
                <w:szCs w:val="18"/>
                <w:color w:val="auto"/>
              </w:rPr>
              <w:t>Special Items, net</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(26,871)</w:t>
            </w: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185,354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204,692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102,678</w:t>
            </w:r>
          </w:p>
        </w:tc>
      </w:tr>
      <w:tr>
        <w:trPr>
          <w:trHeight w:val="223"/>
        </w:trPr>
        <w:tc>
          <w:tcPr>
            <w:tcW w:w="2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20,118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21,833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12,774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24,933</w:t>
            </w:r>
          </w:p>
        </w:tc>
      </w:tr>
      <w:tr>
        <w:trPr>
          <w:trHeight w:val="45"/>
        </w:trPr>
        <w:tc>
          <w:tcPr>
            <w:tcW w:w="2700" w:type="dxa"/>
            <w:vAlign w:val="bottom"/>
            <w:tcBorders>
              <w:bottom w:val="single" w:sz="8" w:color="CCEEFF"/>
            </w:tcBorders>
          </w:tcPr>
          <w:p>
            <w:pPr>
              <w:spacing w:after="0"/>
              <w:rPr>
                <w:sz w:val="3"/>
                <w:szCs w:val="3"/>
                <w:color w:val="auto"/>
              </w:rPr>
            </w:pPr>
          </w:p>
        </w:tc>
        <w:tc>
          <w:tcPr>
            <w:tcW w:w="200" w:type="dxa"/>
            <w:vAlign w:val="bottom"/>
            <w:tcBorders>
              <w:top w:val="single" w:sz="8" w:color="auto"/>
              <w:bottom w:val="single" w:sz="8" w:color="CCEEFF"/>
            </w:tcBorders>
          </w:tcPr>
          <w:p>
            <w:pPr>
              <w:spacing w:after="0"/>
              <w:rPr>
                <w:sz w:val="3"/>
                <w:szCs w:val="3"/>
                <w:color w:val="auto"/>
              </w:rPr>
            </w:pPr>
          </w:p>
        </w:tc>
        <w:tc>
          <w:tcPr>
            <w:tcW w:w="108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top w:val="single" w:sz="8" w:color="auto"/>
              <w:bottom w:val="single" w:sz="8" w:color="CCEEFF"/>
            </w:tcBorders>
          </w:tcPr>
          <w:p>
            <w:pPr>
              <w:spacing w:after="0"/>
              <w:rPr>
                <w:sz w:val="3"/>
                <w:szCs w:val="3"/>
                <w:color w:val="auto"/>
              </w:rPr>
            </w:pPr>
          </w:p>
        </w:tc>
        <w:tc>
          <w:tcPr>
            <w:tcW w:w="100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top w:val="single" w:sz="8" w:color="auto"/>
              <w:bottom w:val="single" w:sz="8" w:color="CCEEFF"/>
            </w:tcBorders>
          </w:tcPr>
          <w:p>
            <w:pPr>
              <w:spacing w:after="0"/>
              <w:rPr>
                <w:sz w:val="3"/>
                <w:szCs w:val="3"/>
                <w:color w:val="auto"/>
              </w:rPr>
            </w:pPr>
          </w:p>
        </w:tc>
        <w:tc>
          <w:tcPr>
            <w:tcW w:w="110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top w:val="single" w:sz="8" w:color="auto"/>
              <w:bottom w:val="single" w:sz="8" w:color="CCEEFF"/>
            </w:tcBorders>
          </w:tcPr>
          <w:p>
            <w:pPr>
              <w:spacing w:after="0"/>
              <w:rPr>
                <w:sz w:val="3"/>
                <w:szCs w:val="3"/>
                <w:color w:val="auto"/>
              </w:rPr>
            </w:pPr>
          </w:p>
        </w:tc>
        <w:tc>
          <w:tcPr>
            <w:tcW w:w="100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0"/>
        </w:trPr>
        <w:tc>
          <w:tcPr>
            <w:tcW w:w="2700" w:type="dxa"/>
            <w:vAlign w:val="bottom"/>
            <w:tcBorders>
              <w:top w:val="single" w:sz="8" w:color="CCEEFF"/>
            </w:tcBorders>
            <w:shd w:val="clear" w:color="auto" w:fill="CCEEFF"/>
          </w:tcPr>
          <w:p>
            <w:pPr>
              <w:ind w:left="120"/>
              <w:spacing w:after="0" w:line="190" w:lineRule="exact"/>
              <w:rPr>
                <w:sz w:val="20"/>
                <w:szCs w:val="20"/>
                <w:color w:val="auto"/>
              </w:rPr>
            </w:pPr>
            <w:r>
              <w:rPr>
                <w:rFonts w:ascii="Arial" w:cs="Arial" w:eastAsia="Arial" w:hAnsi="Arial"/>
                <w:sz w:val="18"/>
                <w:szCs w:val="18"/>
                <w:color w:val="auto"/>
              </w:rPr>
              <w:t>Interest Income</w:t>
            </w:r>
          </w:p>
        </w:tc>
        <w:tc>
          <w:tcPr>
            <w:tcW w:w="2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24</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15</w:t>
            </w:r>
          </w:p>
        </w:tc>
      </w:tr>
      <w:tr>
        <w:trPr>
          <w:trHeight w:val="229"/>
        </w:trPr>
        <w:tc>
          <w:tcPr>
            <w:tcW w:w="27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(7,121)</w:t>
            </w:r>
          </w:p>
        </w:tc>
      </w:tr>
      <w:tr>
        <w:trPr>
          <w:trHeight w:val="230"/>
        </w:trPr>
        <w:tc>
          <w:tcPr>
            <w:tcW w:w="2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700" w:type="dxa"/>
            <w:vAlign w:val="bottom"/>
          </w:tcPr>
          <w:p>
            <w:pPr>
              <w:ind w:left="20"/>
              <w:spacing w:after="0"/>
              <w:rPr>
                <w:sz w:val="20"/>
                <w:szCs w:val="20"/>
                <w:color w:val="auto"/>
              </w:rPr>
            </w:pPr>
            <w:r>
              <w:rPr>
                <w:rFonts w:ascii="Arial" w:cs="Arial" w:eastAsia="Arial" w:hAnsi="Arial"/>
                <w:sz w:val="18"/>
                <w:szCs w:val="18"/>
                <w:color w:val="auto"/>
              </w:rPr>
              <w:t>Income Before Income Tax</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17,822</w:t>
            </w:r>
          </w:p>
        </w:tc>
      </w:tr>
      <w:tr>
        <w:trPr>
          <w:trHeight w:val="20"/>
        </w:trPr>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7"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The Company evaluated subsequent events for the period from the Balance Sheet date through May 6, 2022, the date that the Condensed Consolidated Financial Statements were available to be issued.</w:t>
      </w:r>
    </w:p>
    <w:p>
      <w:pPr>
        <w:spacing w:after="0" w:line="198" w:lineRule="exact"/>
        <w:rPr>
          <w:sz w:val="20"/>
          <w:szCs w:val="20"/>
          <w:color w:val="auto"/>
        </w:rPr>
      </w:pPr>
    </w:p>
    <w:p>
      <w:pPr>
        <w:ind w:left="34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For more information on the subsequent events, see </w:t>
      </w:r>
      <w:hyperlink w:anchor="page14">
        <w:r>
          <w:rPr>
            <w:rFonts w:ascii="Arial" w:cs="Arial" w:eastAsia="Arial" w:hAnsi="Arial"/>
            <w:sz w:val="18"/>
            <w:szCs w:val="18"/>
            <w:u w:val="single" w:color="auto"/>
            <w:color w:val="0000FF"/>
          </w:rPr>
          <w:t>Note 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"Aircraft" and </w:t>
      </w:r>
      <w:hyperlink w:anchor="page16">
        <w:r>
          <w:rPr>
            <w:rFonts w:ascii="Arial" w:cs="Arial" w:eastAsia="Arial" w:hAnsi="Arial"/>
            <w:sz w:val="18"/>
            <w:szCs w:val="18"/>
            <w:u w:val="single" w:color="auto"/>
            <w:color w:val="0000FF"/>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"Debt" of the Notes to the Condensed Consolidated Financial Statements included elsewhere in this report.</w:t>
      </w:r>
    </w:p>
    <w:p>
      <w:pPr>
        <w:spacing w:after="0" w:line="1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 * * * * *</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the terms “Sun Country,” “we,” “us” and “our” refer to Sun Country Airlines Holdings, Inc., and its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unaudited Condensed Consolidated Financial Statements and the accompanying notes thereto included elsewhere is this Quarterly Report on Form 10-Q are prepared in accordance with GAAP. The preparation of the Condensed Consolidated Financial Statements requires us to make estimates and assumptions that affect the reported amounts of assets, liabilities, revenue, expenses, and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and estimates as compared to the 2021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47"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10">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Condensed Consolidated Financial Statements included elsewhere in this Quarterly Report on Form 10-Q for more information regarding recently adopted accounting pronouncements.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4"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following discussion and analysis presents factors that had a material effect on our results of operations during the three months ended March 31, 2022 and 2021. Also discussed is our financial position as of March 31, 2022 and December 31, 2021. This section should be read in conjunction with our unaudited Condensed Consolidated Financial Statements and related notes appearing elsewhere in this Quarterly Report on Form 10-Q and our audited Consolidated Financial Statements and related notes and discussion under the heading “Management’s Discussion and Analysis of Financial Condition and Results of Operations” in our 2021 10-K.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report titled “Risk Factors” and elsewhere in this report. You should carefully read the “</w:t>
      </w:r>
      <w:hyperlink r:id="rId61">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 included in our 2021 10-K to gain an understanding of the important factors that could cause actual results to differ materially from our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Sun Country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("VFR") passengers and charter customers as well as providing crew, maintenance and insurance (“CMI”) services to Amazon, with flights throughout the United States and to destinations in Canada, Mexico, Central America and the Caribbean. Based in Minnesota, we operate an agile network that includes our scheduled service business, our synergistic charter, and cargo businesses. We share resources, such as flight crews, across our scheduled service, charter, and cargo business lines with the objective of generating higher returns and margins and mitigating the seasonality of our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scheduled service business combines low costs with a high-quality product to generate higher Total Revenue per Available Seat Mile (“TRASM”) than Ultra Low-Cost Carriers (“ULCCs”) while maintaining lower Adjusted Cost per Available Seat Mile (“CASM”) than Low Cost Carriers (“LCCs”), resulting in best-in-class unit profitability. Our business includes many cost characteristics of ULCCs (which includes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high-quality product that we believe is superior to ULCCs and consistent with that of LCCs (which includes Southwest Airlines and JetBlue Airways). For example, our product includes more legroom than ULCCs, complimentary beverages, in-flight entertainment, and in-seat power, none of which are offered by ULCCs.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charter business, which is one of the largest narrow body charter operations in the United States, is a key component of our strategy because it provides both inherent diversification and downside protection because it is synergistic with our other businesses.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and professional sports teams. Our charter business includes ad hoc, repeat, short-term and long-term service contracts with pass through fuel arrangements and annual rate escalations. Most of our business is non-cyclical because the U.S. Department of Defense and sports teams continue to fly during normal economic downturns and our casino contracts are long-term in nature.</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13, 2019, we signed the ATSA with Amazon to provide air cargo services. We are currently flying 12 Boeing 737-800 cargo aircraft for Amazon.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Our cargo business also enables us to leverage certain assets, capabilities, and fixed costs to enhance profitability and promote growth across our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in Review</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a key component of our success is establishing Sun Country as a high growth, low-cost carrier in the United States by attracting customers with low fares and garnering repeat business by delivering a high-quality passenger experience, offering state-of-the-art interiors, free streaming of in-flight entertainment to passenger devices, seat reclining and seat-back power in all of our aircraft.</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COVID-19 pandemic resulted in a dramatic decline in passenger demand across the U.S. airline industry. We experienced a significant decline in demand related to the COVID-19 pandemic, which caused a material decline in our first quarter 2021 as compared to pre-pandemic levels, and negatively impacted our financial condition and operating results.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quarter of 2022, we have continued to see recovery in demand from the COVID-19 pandemic relative to demand in 2021, which may impact the comparability of results presented. However, the ongoing impact of the COVID-19 pandemic on overall demand for air travel remains uncertain and cannot be predicted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this time. In addition, the impact of COVID-19 vaccine mandates and uncertainties in pilot staffing, as well as higher fuel prices, could impact our business and results of operations in the near term. While the COVID-19 pandemic-induced industry downturn has delayed our growth in 2020 and 2021, we believe that our investments have positioned us to profitably grow our business in the long term following a rebound in the U.S. airline industry.</w:t>
      </w:r>
    </w:p>
    <w:p>
      <w:pPr>
        <w:spacing w:after="0" w:line="204"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For more information on our business and strategic advantages, see the "Business" and “Management’s Discussion and Analysis of Operations” sections within Part I, </w:t>
      </w:r>
      <w:hyperlink r:id="rId66">
        <w:r>
          <w:rPr>
            <w:rFonts w:ascii="Arial" w:cs="Arial" w:eastAsia="Arial" w:hAnsi="Arial"/>
            <w:sz w:val="18"/>
            <w:szCs w:val="18"/>
            <w:u w:val="single" w:color="auto"/>
            <w:color w:val="0000FF"/>
          </w:rPr>
          <w:t>Item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Part II, </w:t>
      </w:r>
      <w:hyperlink r:id="rId67">
        <w:r>
          <w:rPr>
            <w:rFonts w:ascii="Arial" w:cs="Arial" w:eastAsia="Arial" w:hAnsi="Arial"/>
            <w:sz w:val="18"/>
            <w:szCs w:val="18"/>
            <w:u w:val="single" w:color="auto"/>
            <w:color w:val="0000FF"/>
          </w:rPr>
          <w:t>Item 7</w:t>
        </w:r>
      </w:hyperlink>
      <w:r>
        <w:rPr>
          <w:rFonts w:ascii="Arial" w:cs="Arial" w:eastAsia="Arial" w:hAnsi="Arial"/>
          <w:sz w:val="18"/>
          <w:szCs w:val="18"/>
          <w:color w:val="auto"/>
        </w:rPr>
        <w:t>, respectively, in our 2021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Operations</w:t>
      </w:r>
    </w:p>
    <w:p>
      <w:pPr>
        <w:spacing w:after="0" w:line="247"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For a more detailed discussion on the nature of transactions included in the separate line items of our Condensed Consolidated Statement of Operations, see “Management’s Discussion and Analysis of Operations” in Part II, </w:t>
      </w:r>
      <w:hyperlink r:id="rId67">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2021 10-K.</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60"/>
              <w:spacing w:after="0"/>
              <w:rPr>
                <w:sz w:val="20"/>
                <w:szCs w:val="20"/>
                <w:color w:val="auto"/>
              </w:rPr>
            </w:pPr>
            <w:r>
              <w:rPr>
                <w:rFonts w:ascii="Arial" w:cs="Arial" w:eastAsia="Arial" w:hAnsi="Arial"/>
                <w:sz w:val="11"/>
                <w:szCs w:val="11"/>
                <w:b w:val="1"/>
                <w:bCs w:val="1"/>
                <w:color w:val="auto"/>
                <w:w w:val="98"/>
              </w:rPr>
              <w:t xml:space="preserve">Three Months Ended March 31, 2022 </w:t>
            </w:r>
            <w:r>
              <w:rPr>
                <w:rFonts w:ascii="Arial" w:cs="Arial" w:eastAsia="Arial" w:hAnsi="Arial"/>
                <w:sz w:val="14"/>
                <w:szCs w:val="14"/>
                <w:b w:val="1"/>
                <w:bCs w:val="1"/>
                <w:color w:val="auto"/>
                <w:w w:val="98"/>
                <w:vertAlign w:val="superscript"/>
              </w:rPr>
              <w:t>(1)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1"/>
                <w:szCs w:val="11"/>
                <w:b w:val="1"/>
                <w:bCs w:val="1"/>
                <w:color w:val="auto"/>
                <w:w w:val="98"/>
              </w:rPr>
              <w:t xml:space="preserve">Three Months Ended March 31, 2021 </w:t>
            </w:r>
            <w:r>
              <w:rPr>
                <w:rFonts w:ascii="Arial" w:cs="Arial" w:eastAsia="Arial" w:hAnsi="Arial"/>
                <w:sz w:val="14"/>
                <w:szCs w:val="14"/>
                <w:b w:val="1"/>
                <w:bCs w:val="1"/>
                <w:color w:val="auto"/>
                <w:w w:val="98"/>
                <w:vertAlign w:val="superscript"/>
              </w:rPr>
              <w:t>(1)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tcPr>
          <w:p>
            <w:pPr>
              <w:jc w:val="center"/>
              <w:ind w:right="346"/>
              <w:spacing w:after="0" w:line="102" w:lineRule="exact"/>
              <w:rPr>
                <w:sz w:val="20"/>
                <w:szCs w:val="20"/>
                <w:color w:val="auto"/>
              </w:rPr>
            </w:pPr>
            <w:r>
              <w:rPr>
                <w:rFonts w:ascii="Arial" w:cs="Arial" w:eastAsia="Arial" w:hAnsi="Arial"/>
                <w:sz w:val="11"/>
                <w:szCs w:val="11"/>
                <w:b w:val="1"/>
                <w:bCs w:val="1"/>
                <w:color w:val="auto"/>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06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Cargo</w:t>
            </w:r>
          </w:p>
        </w:tc>
        <w:tc>
          <w:tcPr>
            <w:tcW w:w="240" w:type="dxa"/>
            <w:vAlign w:val="bottom"/>
          </w:tcPr>
          <w:p>
            <w:pPr>
              <w:spacing w:after="0"/>
              <w:rPr>
                <w:sz w:val="8"/>
                <w:szCs w:val="8"/>
                <w:color w:val="auto"/>
              </w:rPr>
            </w:pPr>
          </w:p>
        </w:tc>
        <w:tc>
          <w:tcPr>
            <w:tcW w:w="1040" w:type="dxa"/>
            <w:vAlign w:val="bottom"/>
            <w:gridSpan w:val="3"/>
            <w:vMerge w:val="restart"/>
          </w:tcPr>
          <w:p>
            <w:pPr>
              <w:jc w:val="right"/>
              <w:ind w:right="640"/>
              <w:spacing w:after="0"/>
              <w:rPr>
                <w:sz w:val="20"/>
                <w:szCs w:val="20"/>
                <w:color w:val="auto"/>
              </w:rPr>
            </w:pPr>
            <w:r>
              <w:rPr>
                <w:rFonts w:ascii="Arial" w:cs="Arial" w:eastAsia="Arial" w:hAnsi="Arial"/>
                <w:sz w:val="11"/>
                <w:szCs w:val="11"/>
                <w:b w:val="1"/>
                <w:bCs w:val="1"/>
                <w:color w:val="auto"/>
              </w:rPr>
              <w:t>Total</w:t>
            </w:r>
          </w:p>
        </w:tc>
        <w:tc>
          <w:tcPr>
            <w:tcW w:w="1140" w:type="dxa"/>
            <w:vAlign w:val="bottom"/>
            <w:gridSpan w:val="3"/>
          </w:tcPr>
          <w:p>
            <w:pPr>
              <w:jc w:val="center"/>
              <w:ind w:right="440"/>
              <w:spacing w:after="0" w:line="102" w:lineRule="exact"/>
              <w:rPr>
                <w:sz w:val="20"/>
                <w:szCs w:val="20"/>
                <w:color w:val="auto"/>
              </w:rPr>
            </w:pPr>
            <w:r>
              <w:rPr>
                <w:rFonts w:ascii="Arial" w:cs="Arial" w:eastAsia="Arial" w:hAnsi="Arial"/>
                <w:sz w:val="11"/>
                <w:szCs w:val="11"/>
                <w:b w:val="1"/>
                <w:bCs w:val="1"/>
                <w:color w:val="auto"/>
                <w:w w:val="96"/>
              </w:rPr>
              <w:t>Scheduled</w:t>
            </w:r>
          </w:p>
        </w:tc>
        <w:tc>
          <w:tcPr>
            <w:tcW w:w="8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240" w:type="dxa"/>
            <w:vAlign w:val="bottom"/>
            <w:gridSpan w:val="3"/>
            <w:vMerge w:val="restart"/>
          </w:tcPr>
          <w:p>
            <w:pPr>
              <w:jc w:val="right"/>
              <w:ind w:right="600"/>
              <w:spacing w:after="0"/>
              <w:rPr>
                <w:sz w:val="20"/>
                <w:szCs w:val="20"/>
                <w:color w:val="auto"/>
              </w:rPr>
            </w:pPr>
            <w:r>
              <w:rPr>
                <w:rFonts w:ascii="Arial" w:cs="Arial" w:eastAsia="Arial" w:hAnsi="Arial"/>
                <w:sz w:val="11"/>
                <w:szCs w:val="11"/>
                <w:b w:val="1"/>
                <w:bCs w:val="1"/>
                <w:color w:val="auto"/>
              </w:rPr>
              <w:t>Cargo</w:t>
            </w:r>
          </w:p>
        </w:tc>
        <w:tc>
          <w:tcPr>
            <w:tcW w:w="74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326"/>
              <w:spacing w:after="0"/>
              <w:rPr>
                <w:sz w:val="20"/>
                <w:szCs w:val="20"/>
                <w:color w:val="auto"/>
              </w:rPr>
            </w:pPr>
            <w:r>
              <w:rPr>
                <w:rFonts w:ascii="Arial" w:cs="Arial" w:eastAsia="Arial" w:hAnsi="Arial"/>
                <w:sz w:val="11"/>
                <w:szCs w:val="11"/>
                <w:b w:val="1"/>
                <w:bCs w:val="1"/>
                <w:color w:val="auto"/>
                <w:w w:val="96"/>
              </w:rPr>
              <w:t>Service</w:t>
            </w:r>
          </w:p>
        </w:tc>
        <w:tc>
          <w:tcPr>
            <w:tcW w:w="8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140" w:type="dxa"/>
            <w:vAlign w:val="bottom"/>
            <w:gridSpan w:val="3"/>
          </w:tcPr>
          <w:p>
            <w:pPr>
              <w:jc w:val="center"/>
              <w:ind w:right="440"/>
              <w:spacing w:after="0"/>
              <w:rPr>
                <w:sz w:val="20"/>
                <w:szCs w:val="20"/>
                <w:color w:val="auto"/>
              </w:rPr>
            </w:pPr>
            <w:r>
              <w:rPr>
                <w:rFonts w:ascii="Arial" w:cs="Arial" w:eastAsia="Arial" w:hAnsi="Arial"/>
                <w:sz w:val="11"/>
                <w:szCs w:val="11"/>
                <w:b w:val="1"/>
                <w:bCs w:val="1"/>
                <w:color w:val="auto"/>
                <w:w w:val="96"/>
              </w:rPr>
              <w:t>Service</w:t>
            </w:r>
          </w:p>
        </w:tc>
        <w:tc>
          <w:tcPr>
            <w:tcW w:w="84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CEEFF"/>
          </w:tcPr>
          <w:p>
            <w:pPr>
              <w:ind w:left="20"/>
              <w:spacing w:after="0" w:line="155" w:lineRule="exact"/>
              <w:rPr>
                <w:sz w:val="20"/>
                <w:szCs w:val="20"/>
                <w:color w:val="auto"/>
              </w:rPr>
            </w:pPr>
            <w:r>
              <w:rPr>
                <w:rFonts w:ascii="Arial" w:cs="Arial" w:eastAsia="Arial" w:hAnsi="Arial"/>
                <w:sz w:val="11"/>
                <w:szCs w:val="11"/>
                <w:color w:val="auto"/>
              </w:rPr>
              <w:t xml:space="preserve">Departures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6,227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1,620</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2,574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10,487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4,323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1,511</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2,565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8,452</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Block hours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22,433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3,804</w:t>
            </w:r>
          </w:p>
        </w:tc>
        <w:tc>
          <w:tcPr>
            <w:tcW w:w="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7,390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33,805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15,207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3,331</w:t>
            </w:r>
          </w:p>
        </w:tc>
        <w:tc>
          <w:tcPr>
            <w:tcW w:w="8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8,242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26,932</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Aircraft miles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9,100,714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1,379,448</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2,809,782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13,334,873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6,233,184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1,222,451</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3,285,525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10,784,543</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Available seat miles (ASMs) (thousands)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1,684,532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235,705</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1,928,149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1,158,012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211,721</w:t>
            </w:r>
          </w:p>
        </w:tc>
        <w:tc>
          <w:tcPr>
            <w:tcW w:w="80" w:type="dxa"/>
            <w:vAlign w:val="bottom"/>
          </w:tcPr>
          <w:p>
            <w:pPr>
              <w:spacing w:after="0"/>
              <w:rPr>
                <w:sz w:val="14"/>
                <w:szCs w:val="1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1,376,796</w:t>
            </w:r>
          </w:p>
        </w:tc>
        <w:tc>
          <w:tcPr>
            <w:tcW w:w="0" w:type="dxa"/>
            <w:vAlign w:val="bottom"/>
          </w:tcPr>
          <w:p>
            <w:pPr>
              <w:spacing w:after="0"/>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revenue per ASM (TRASM) (cents)</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10.25</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13.95</w:t>
            </w:r>
          </w:p>
        </w:tc>
        <w:tc>
          <w:tcPr>
            <w:tcW w:w="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10.66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6.93</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12.19</w:t>
            </w: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7.70</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passenger aircraft during the period </w:t>
            </w:r>
            <w:r>
              <w:rPr>
                <w:rFonts w:ascii="Arial" w:cs="Arial" w:eastAsia="Arial" w:hAnsi="Arial"/>
                <w:sz w:val="14"/>
                <w:szCs w:val="14"/>
                <w:color w:val="auto"/>
                <w:vertAlign w:val="superscript"/>
              </w:rPr>
              <w:t>(3)</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31.0</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Passenger aircraft at end of period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1"/>
                <w:szCs w:val="11"/>
                <w:color w:val="auto"/>
              </w:rPr>
              <w:t>Cargo aircraft at end of period</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Average daily aircraft utilization (hours)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1"/>
                <w:szCs w:val="11"/>
                <w:color w:val="auto"/>
              </w:rPr>
              <w:t>Average stage length (miles)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1,336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1,278</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Revenue passengers carried </w:t>
            </w:r>
            <w:r>
              <w:rPr>
                <w:rFonts w:ascii="Arial" w:cs="Arial" w:eastAsia="Arial" w:hAnsi="Arial"/>
                <w:sz w:val="14"/>
                <w:szCs w:val="14"/>
                <w:color w:val="auto"/>
                <w:vertAlign w:val="superscript"/>
              </w:rPr>
              <w:t>(4)</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922,652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553,032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Revenue passenger miles (RPMs) (thousands)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1,338,459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774,999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Load factor </w:t>
            </w:r>
            <w:r>
              <w:rPr>
                <w:rFonts w:ascii="Arial" w:cs="Arial" w:eastAsia="Arial" w:hAnsi="Arial"/>
                <w:sz w:val="14"/>
                <w:szCs w:val="14"/>
                <w:color w:val="auto"/>
                <w:vertAlign w:val="superscript"/>
              </w:rPr>
              <w:t>(4)</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79.5 %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66.9 %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base fare per passenger </w:t>
            </w:r>
            <w:r>
              <w:rPr>
                <w:rFonts w:ascii="Arial" w:cs="Arial" w:eastAsia="Arial" w:hAnsi="Arial"/>
                <w:sz w:val="14"/>
                <w:szCs w:val="14"/>
                <w:color w:val="auto"/>
                <w:vertAlign w:val="superscript"/>
              </w:rPr>
              <w:t>(4)</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106"/>
              <w:spacing w:after="0"/>
              <w:rPr>
                <w:sz w:val="20"/>
                <w:szCs w:val="20"/>
                <w:color w:val="auto"/>
              </w:rPr>
            </w:pPr>
            <w:r>
              <w:rPr>
                <w:rFonts w:ascii="Arial" w:cs="Arial" w:eastAsia="Arial" w:hAnsi="Arial"/>
                <w:sz w:val="11"/>
                <w:szCs w:val="11"/>
                <w:color w:val="auto"/>
              </w:rPr>
              <w:t>134.47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98.77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Ancillary revenue per passenger </w:t>
            </w:r>
            <w:r>
              <w:rPr>
                <w:rFonts w:ascii="Arial" w:cs="Arial" w:eastAsia="Arial" w:hAnsi="Arial"/>
                <w:sz w:val="14"/>
                <w:szCs w:val="14"/>
                <w:color w:val="auto"/>
                <w:vertAlign w:val="superscript"/>
              </w:rPr>
              <w:t>(4)</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48.87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42.98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Charter revenue per block hour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1080" w:type="dxa"/>
            <w:vAlign w:val="bottom"/>
            <w:gridSpan w:val="3"/>
          </w:tcPr>
          <w:p>
            <w:pPr>
              <w:jc w:val="right"/>
              <w:ind w:right="4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8,643</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7,747</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Fuel gallons consumed (thousands)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17,401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2,758</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20,245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11,557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2,357</w:t>
            </w:r>
          </w:p>
        </w:tc>
        <w:tc>
          <w:tcPr>
            <w:tcW w:w="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13,993</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1"/>
                <w:szCs w:val="11"/>
                <w:color w:val="auto"/>
              </w:rPr>
              <w:t>Fuel cost per gallon, excluding derivatives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1.91</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Employees at end of period</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2,316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1,768</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Cost per available seat mile (CASM) (cents) </w:t>
            </w:r>
            <w:r>
              <w:rPr>
                <w:rFonts w:ascii="Arial" w:cs="Arial" w:eastAsia="Arial" w:hAnsi="Arial"/>
                <w:sz w:val="14"/>
                <w:szCs w:val="14"/>
                <w:color w:val="auto"/>
                <w:vertAlign w:val="superscript"/>
              </w:rPr>
              <w:t>(5)</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10.62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7.46</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Adjusted CASM (cents) </w:t>
            </w:r>
            <w:r>
              <w:rPr>
                <w:rFonts w:ascii="Arial" w:cs="Arial" w:eastAsia="Arial" w:hAnsi="Arial"/>
                <w:sz w:val="14"/>
                <w:szCs w:val="14"/>
                <w:color w:val="auto"/>
                <w:vertAlign w:val="superscript"/>
              </w:rPr>
              <w:t>(6)</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6.21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6.15</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1"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ASMs and Fuel gallons consumed include amounts related to flights operated for maintenance; therefore the Total System amounts are higher than the sum of Scheduled Service, Charter Service and Cargo amounts.</w:t>
      </w: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Scheduled service and charter service utilize the same fleet of aircraft. Aircraft counts and utilization metrics are shown on a system basis only.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service revenue is driven by flight statistics.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1" w:lineRule="exact"/>
        <w:rPr>
          <w:rFonts w:ascii="Arial" w:cs="Arial" w:eastAsia="Arial" w:hAnsi="Arial"/>
          <w:sz w:val="14"/>
          <w:szCs w:val="14"/>
          <w:color w:val="auto"/>
        </w:rPr>
      </w:pPr>
    </w:p>
    <w:p>
      <w:pPr>
        <w:ind w:left="340" w:hanging="332"/>
        <w:spacing w:after="0" w:line="258" w:lineRule="auto"/>
        <w:tabs>
          <w:tab w:leader="none" w:pos="3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Adjusted CASM is a non-GAAP measure derived from CASM by excluding fuel costs, costs related to our cargo operations, special items, and certain other costs that are unrelated to our airline operations.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97" w:lineRule="exact"/>
        <w:rPr>
          <w:rFonts w:ascii="Arial" w:cs="Arial" w:eastAsia="Arial" w:hAnsi="Arial"/>
          <w:sz w:val="14"/>
          <w:szCs w:val="14"/>
          <w:color w:val="auto"/>
        </w:rPr>
      </w:pPr>
    </w:p>
    <w:p>
      <w:pPr>
        <w:ind w:left="5520" w:hanging="106"/>
        <w:spacing w:after="0"/>
        <w:tabs>
          <w:tab w:leader="none" w:pos="5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118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600" w:type="dxa"/>
            <w:vAlign w:val="bottom"/>
            <w:vMerge w:val="restart"/>
          </w:tcPr>
          <w:p>
            <w:pPr>
              <w:jc w:val="right"/>
              <w:ind w:right="6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4"/>
        </w:trPr>
        <w:tc>
          <w:tcPr>
            <w:tcW w:w="49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vMerge w:val="restart"/>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600" w:type="dxa"/>
            <w:vAlign w:val="bottom"/>
          </w:tcPr>
          <w:p>
            <w:pPr>
              <w:jc w:val="right"/>
              <w:ind w:right="45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0"/>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Scheduled Service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124,068</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54,620</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69,448</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Charter Service</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25,805</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Ancillary</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23,770</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21,316</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Passenger</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104,195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97,838</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Cargo</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21,585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Revenues</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226,525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127,611</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98,914</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24,274</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40,270</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Salaries, Wages, and Benefits</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59,617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44,075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15,542</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Rent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11,995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9,210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15,328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12,615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Ground Handling</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Landing Fees and Airport Rent</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10,286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8,785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Special Items, net</w:t>
            </w:r>
          </w:p>
        </w:tc>
        <w:tc>
          <w:tcPr>
            <w:tcW w:w="2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(26,871)</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26,871</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Operating, net</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14,651</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8,499</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204,692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102,678</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102,014</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24,933</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(8,562)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(7,121)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10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4940" w:type="dxa"/>
            <w:vAlign w:val="bottom"/>
          </w:tcPr>
          <w:p>
            <w:pPr>
              <w:ind w:left="360"/>
              <w:spacing w:after="0"/>
              <w:rPr>
                <w:sz w:val="20"/>
                <w:szCs w:val="20"/>
                <w:color w:val="auto"/>
              </w:rPr>
            </w:pPr>
            <w:r>
              <w:rPr>
                <w:rFonts w:ascii="Arial" w:cs="Arial" w:eastAsia="Arial" w:hAnsi="Arial"/>
                <w:sz w:val="18"/>
                <w:szCs w:val="18"/>
                <w:color w:val="auto"/>
              </w:rPr>
              <w:t>Total Non-operating Income (Expense), net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(7,111)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(8,303)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Before Income Tax</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17,822</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(11,403)</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12,416</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(8,779)</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80" w:hanging="554"/>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"NM" stands for not meaningful</w:t>
      </w:r>
    </w:p>
    <w:p>
      <w:pPr>
        <w:spacing w:after="0" w:line="33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Total Operating Revenues increased $98,914, or 78%, to $226,525 for the three months ended March 31, 2022 from $127,611 for the three months ended March 31, 2021. The increase was largely driven by an increase in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demand for passenger service during 2022 as compared to 2021, which was significantly impacted by a decline in passenger demand due to the COVID-19 pandemic.</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Scheduled Service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Scheduled service revenue increased by $69,448, or 127%, to $124,068 for the three months ended March 31,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$54,620 for the three months ended March 31, 2021. The table below presents select operating data for scheduled service, expressed as quarter-over-quarter changes: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4"/>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15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560" w:type="dxa"/>
            <w:vAlign w:val="bottom"/>
          </w:tcPr>
          <w:p>
            <w:pPr>
              <w:jc w:val="right"/>
              <w:ind w:right="4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Departures</w:t>
            </w:r>
          </w:p>
        </w:tc>
        <w:tc>
          <w:tcPr>
            <w:tcW w:w="3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6,227</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4,323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1,904</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Passengers</w:t>
            </w:r>
          </w:p>
        </w:tc>
        <w:tc>
          <w:tcPr>
            <w:tcW w:w="34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922,652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553,032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369,620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base fare per passenger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134.47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98.77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35.70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RPMs (thousands)</w:t>
            </w:r>
          </w:p>
        </w:tc>
        <w:tc>
          <w:tcPr>
            <w:tcW w:w="34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1,338,459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774,999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563,460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ASMs (thousands)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1,684,532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1,158,012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526,520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TRASM (cents)</w:t>
            </w:r>
          </w:p>
        </w:tc>
        <w:tc>
          <w:tcPr>
            <w:tcW w:w="34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10.25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load factor</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12.6 pts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significant quarter-over-quarter increases in all scheduled service operating data was the result of the continued recovery in demand from the COVID-19 pandemic in the first quarter of 2022 relative to the same period in 2021. The quarter-over-quarter increase in demand is demonstrated by a 44% increase in departures, a 67% increase in passengers, and a 36% increase in the average base fare per passenger.</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Charter Service. </w:t>
      </w:r>
      <w:r>
        <w:rPr>
          <w:rFonts w:ascii="Arial" w:cs="Arial" w:eastAsia="Arial" w:hAnsi="Arial"/>
          <w:sz w:val="18"/>
          <w:szCs w:val="18"/>
          <w:color w:val="auto"/>
        </w:rPr>
        <w:t>Charter service revenue increased $7,074, or 27%, to $32,879 for the three months ended March 31, 2022, from $25,805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three months ended March 31, 2021. Charter revenue per block hour was $8,643 for the three months ended March 31, 2022, as compared to $7,747 for the three months ended March 31, 2021, for an increase of 12%. The increase in Charter service revenue was driven by the increase in rates and a 14% increase in Charter block hours due to the continued recovery from the COVID-19 pandemic and a new charter agreement with Caesars Entertainment, Inc. that began operations in the first quarter of 2022. Rates in 2021 suffered from significant competitive pressure because other carriers had excess aircraft, crew, and resources to operate charter capacity.</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Ancillary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Ancillary revenue increased by $21,316, or 90%, to $45,086 for the three months ended March 31, 2022, from $23,770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2021. The 67% increase in scheduled passengers during the period resulted in greater sales of air travel-related services, such as; baggage fees, seat selection and upgrade fees, and on-board sales. Ancillary revenue was $ 48.87 per passenger in the three months ended March 31, 2022, up $5.89, or 14%, from the three months ended March 31, 2021. The increase in ancillary revenue per passenger was due to increased demand for air-travel related services.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slightly decreased by $532, or 2%, to $21,053 for the three months ended March 31, 2022,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$21,585 for the three months ended March 31, 2021. The number of departures were materially consistent quarter-over-quarter; however, block hours declined 10% over the same period due to the timing of planned heavy maintenance events.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was $3,439 for the three months ended March 31, 2022, as compared to $1,831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The increase was primarily driven by an increase in revenue from Sun Country Vacations as a result of higher quarter-over-quarter bookings due to more scheduled service passengers.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We believe Aircraft Fuel expenses, excluding derivatives and other items, is the best measure of the effect of fuel prices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business as it consists solely of items associated with fuel for our operations and is consistent with how management analyzes our operating performance. This measure is defined as GAAP Aircraft Fuel expense, excluding gains related to fuel hedge derivative contracts and other items not individually significant.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Aircraft Fuel expense are shown in the following table: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20" w:type="dxa"/>
            <w:vAlign w:val="bottom"/>
            <w:gridSpan w:val="2"/>
            <w:vMerge w:val="restart"/>
          </w:tcPr>
          <w:p>
            <w:pPr>
              <w:jc w:val="right"/>
              <w:ind w:right="6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4"/>
        </w:trPr>
        <w:tc>
          <w:tcPr>
            <w:tcW w:w="49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Change</w:t>
            </w:r>
          </w:p>
        </w:tc>
        <w:tc>
          <w:tcPr>
            <w:tcW w:w="17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9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Aircraft Fuel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Exclude: Fuel Derivative Gains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Excluded Items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382 %</w:t>
            </w:r>
          </w:p>
        </w:tc>
        <w:tc>
          <w:tcPr>
            <w:tcW w:w="0" w:type="dxa"/>
            <w:vAlign w:val="bottom"/>
          </w:tcPr>
          <w:p>
            <w:pPr>
              <w:spacing w:after="0"/>
              <w:rPr>
                <w:sz w:val="1"/>
                <w:szCs w:val="1"/>
                <w:color w:val="auto"/>
              </w:rPr>
            </w:pPr>
          </w:p>
        </w:tc>
      </w:tr>
      <w:tr>
        <w:trPr>
          <w:trHeight w:val="168"/>
        </w:trPr>
        <w:tc>
          <w:tcPr>
            <w:tcW w:w="4920" w:type="dxa"/>
            <w:vAlign w:val="bottom"/>
          </w:tcPr>
          <w:p>
            <w:pPr>
              <w:ind w:left="20"/>
              <w:spacing w:after="0" w:line="168" w:lineRule="exact"/>
              <w:rPr>
                <w:sz w:val="20"/>
                <w:szCs w:val="20"/>
                <w:color w:val="auto"/>
              </w:rPr>
            </w:pPr>
            <w:r>
              <w:rPr>
                <w:rFonts w:ascii="Arial" w:cs="Arial" w:eastAsia="Arial" w:hAnsi="Arial"/>
                <w:sz w:val="18"/>
                <w:szCs w:val="18"/>
                <w:color w:val="auto"/>
              </w:rPr>
              <w:t>Aircraft Fuel Expenses, Excluding Derivatives and Other</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Items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64,862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38,136</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Fuel Gallons Consumed (thousands)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Fuel Cost per Gallon, Excluding Derivatives and Other Items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was mainly driven by the 68% increase in the average price per gallon of fuel, and a 45% increase in fuel gallons consumed resulting from a recovery in demand as demonstrated by a 42% increase in passenger service block hours.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Salaries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Wages, and Benefits</w:t>
      </w:r>
      <w:r>
        <w:rPr>
          <w:rFonts w:ascii="Arial" w:cs="Arial" w:eastAsia="Arial" w:hAnsi="Arial"/>
          <w:sz w:val="18"/>
          <w:szCs w:val="18"/>
          <w:color w:val="auto"/>
        </w:rPr>
        <w:t>. Salaries, wages, and benefits expense increased $15,542, or 35%, to $ 59,617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2022, as compared to $44,075 for the three months ended March 31, 2021. The increase was driven by the new Collective Bargaining Agreement ("CBA") for our pilots, which went into effect in the beginning of 2022, and an increase in passenger service related block hours. The employee headcount as of March 31, 2022 was 2,316, as compared to 1,768 as of March 31, 2021, for an increase of 548, or 31%. The increase in employee headcount was to support all lines of business during the ongoing recovery from the impacts of the COVID-19 pandemic.</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Aircraft Rent</w:t>
      </w:r>
      <w:r>
        <w:rPr>
          <w:rFonts w:ascii="Arial" w:cs="Arial" w:eastAsia="Arial" w:hAnsi="Arial"/>
          <w:sz w:val="18"/>
          <w:szCs w:val="18"/>
          <w:color w:val="auto"/>
        </w:rPr>
        <w:t>. Aircraft Rent expense decreased $2,413, or 43%, to $3,186 for the three months ended March 31, 2022,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$5,599 for the three months ended March 31, 2021. Aircraft Rent expense decreased primarily due to the composition of our aircraft fleet shifting from aircraft under operating leases (the expense is recorded within Aircraft Rent) to owned aircraft or finance leases (expense is recorded through Depreciation and Amortization and Interest Expense). Specifically, in the first three months of 2022, we executed lease amendments which modified two aircraft from operating leases to finance leases. For the three months ended March 31, 2022 and 2021, there were four and seven aircraft under operating leases, respectively</w:t>
      </w:r>
      <w:r>
        <w:rPr>
          <w:rFonts w:ascii="Arial" w:cs="Arial" w:eastAsia="Arial" w:hAnsi="Arial"/>
          <w:sz w:val="19"/>
          <w:szCs w:val="19"/>
          <w:color w:val="auto"/>
        </w:rPr>
        <w:t>.</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materials and repair expense increased $2,785, or 30%, to $11,995 for the three months ended March 31,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$9,210 for the three months ended March 31, 2021. The increase in maintenance expense was primarily driven by increased departures and block hours across the Passenger segment. Additionally, the cost of heavy checks increased quarter-over-quarter due to the timing of required maintenance events.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increased $3,518, or 69%, to $8,628 for the three months ended March 31,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$5,110 for the three months ended March 31, 2021. Passenger revenue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increased 94% between these two periods leading to a $2,808 increase in credit card processing and global distribution system fees.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$2,713, or 22%, to $15,328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2022, as compared to $12,615 for the three months ended March 31, 2021. The increase was primarily due to the impact of a change in the composition of our aircraft fleet to an increased number of owned aircraft and aircraft under finance leases (the expense is recorded as Depreciation and Amortization and Interest Expense). For the three months ended March 31, 2022 and 2021, there were 22 and 19 owned aircraft and 12 and five finance leases, respectively.</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increased $2,728, or 52%, to $7,958 for the three months ended March 31,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$5,230 for the three months ended March 31, 2021. The increase was primarily due to the 44% increase in scheduled departures during the same time periods.</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$1,501, or 17%, to $10,286 for the three months ended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2022, as compared to $8,785 for the three months ended March 31, 2021. The increase was primarily driven by the 44% increase in scheduled departures for the three months ended March 31, 2022.</w:t>
      </w:r>
    </w:p>
    <w:p>
      <w:pPr>
        <w:spacing w:after="0" w:line="171"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b w:val="1"/>
          <w:bCs w:val="1"/>
          <w:i w:val="1"/>
          <w:iCs w:val="1"/>
          <w:color w:val="auto"/>
        </w:rPr>
        <w:t>Special Items, net</w:t>
      </w:r>
      <w:r>
        <w:rPr>
          <w:rFonts w:ascii="Arial" w:cs="Arial" w:eastAsia="Arial" w:hAnsi="Arial"/>
          <w:sz w:val="18"/>
          <w:szCs w:val="18"/>
          <w:color w:val="auto"/>
        </w:rPr>
        <w:t>. There were no Special Items recorded for the three months ended March 31, 2022. Special Items had a net benefit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$26,871 for the three months ended March 31, 2021. The net benefit was primarily driven by the payroll support received under the CARES Act, of which the Cargo segment was allocated $8,665. These credits within the Cargo segment results were based on the respective segment salaries, wages, and benefits. For more information on Special Items, see </w:t>
      </w:r>
      <w:hyperlink w:anchor="page20">
        <w:r>
          <w:rPr>
            <w:rFonts w:ascii="Arial" w:cs="Arial" w:eastAsia="Arial" w:hAnsi="Arial"/>
            <w:sz w:val="18"/>
            <w:szCs w:val="18"/>
            <w:u w:val="single" w:color="auto"/>
            <w:color w:val="0000FF"/>
          </w:rPr>
          <w:t>Note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Consolidated Financial Statements included in Part I, Item I of this report.</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expense increased $8,499, or 58%, to $23,150 for the three months ended March 31,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$14,651 for the three months ended March 31, 2021, mainly due to increased departures within the Passenger segment, which resulted in higher crew and other employee travel costs, catering expenses, and other operational overhead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$1,441, or 20%, to $8,562 for the three months ended March 31, 2022,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$7,121 for the three months ended March 31, 2021. The increase was primarily due to a larger mix of owned aircraft and aircraft accounted for as finance leases during the three months ended March 31, 2022.</w:t>
      </w:r>
    </w:p>
    <w:p>
      <w:pPr>
        <w:spacing w:after="0" w:line="171" w:lineRule="exact"/>
        <w:rPr>
          <w:sz w:val="20"/>
          <w:szCs w:val="20"/>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for the three months ended March 31, 2022 was a net expense of $6,876 primarily due to the $ 6,800 adjustment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increase the estimated TRA liability, see </w:t>
      </w:r>
      <w:hyperlink w:anchor="page20">
        <w:r>
          <w:rPr>
            <w:rFonts w:ascii="Arial" w:cs="Arial" w:eastAsia="Arial" w:hAnsi="Arial"/>
            <w:sz w:val="18"/>
            <w:szCs w:val="18"/>
            <w:u w:val="single" w:color="auto"/>
            <w:color w:val="0000FF"/>
          </w:rPr>
          <w:t>Note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Consolidated Financial Statements included in Part I, Item I of this report. Other, net for the three months ended March 31, 2021, was not significant.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The Company's effective tax rate for the three months ended March 31, 2022 was 43.3% compared to 30.3%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2021. The increase in the effective tax rate was primarily due to the non-deductible expense related to the adjustment of the TRA liability, partially offset by stock compensation benefits.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2022</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2021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Cargo</w:t>
            </w:r>
          </w:p>
        </w:tc>
        <w:tc>
          <w:tcPr>
            <w:tcW w:w="48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Cargo</w:t>
            </w:r>
          </w:p>
        </w:tc>
        <w:tc>
          <w:tcPr>
            <w:tcW w:w="500" w:type="dxa"/>
            <w:vAlign w:val="bottom"/>
          </w:tcPr>
          <w:p>
            <w:pPr>
              <w:spacing w:after="0"/>
              <w:rPr>
                <w:sz w:val="18"/>
                <w:szCs w:val="18"/>
                <w:color w:val="auto"/>
              </w:rPr>
            </w:pPr>
          </w:p>
        </w:tc>
        <w:tc>
          <w:tcPr>
            <w:tcW w:w="860" w:type="dxa"/>
            <w:vAlign w:val="bottom"/>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205,472</w:t>
            </w: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226,525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106,026</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21,585</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127,611</w:t>
            </w:r>
          </w:p>
        </w:tc>
        <w:tc>
          <w:tcPr>
            <w:tcW w:w="0" w:type="dxa"/>
            <w:vAlign w:val="bottom"/>
          </w:tcPr>
          <w:p>
            <w:pPr>
              <w:spacing w:after="0"/>
              <w:rPr>
                <w:sz w:val="1"/>
                <w:szCs w:val="1"/>
                <w:color w:val="auto"/>
              </w:rPr>
            </w:pPr>
          </w:p>
        </w:tc>
      </w:tr>
      <w:tr>
        <w:trPr>
          <w:trHeight w:val="250"/>
        </w:trPr>
        <w:tc>
          <w:tcPr>
            <w:tcW w:w="26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64,544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64,544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24,253</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24,274</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47,531</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32,839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44,075</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Aircraft Rent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3,186</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5,599</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5,599</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9,103</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8,628</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5,110</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15,302</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12,589</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7,954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5,230</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Landing Fees and Airport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Rent</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8,785</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Special Items, net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(18,206)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center"/>
              <w:ind w:left="331"/>
              <w:spacing w:after="0"/>
              <w:rPr>
                <w:sz w:val="20"/>
                <w:szCs w:val="20"/>
                <w:color w:val="auto"/>
              </w:rPr>
            </w:pPr>
            <w:r>
              <w:rPr>
                <w:rFonts w:ascii="Arial" w:cs="Arial" w:eastAsia="Arial" w:hAnsi="Arial"/>
                <w:sz w:val="18"/>
                <w:szCs w:val="18"/>
                <w:color w:val="auto"/>
                <w:w w:val="98"/>
              </w:rPr>
              <w:t>(8,665)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(26,871)</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net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18,935</w:t>
            </w: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10,580</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14,651</w:t>
            </w:r>
          </w:p>
        </w:tc>
        <w:tc>
          <w:tcPr>
            <w:tcW w:w="0" w:type="dxa"/>
            <w:vAlign w:val="bottom"/>
          </w:tcPr>
          <w:p>
            <w:pPr>
              <w:spacing w:after="0"/>
              <w:rPr>
                <w:sz w:val="1"/>
                <w:szCs w:val="1"/>
                <w:color w:val="auto"/>
              </w:rPr>
            </w:pPr>
          </w:p>
        </w:tc>
      </w:tr>
      <w:tr>
        <w:trPr>
          <w:trHeight w:val="237"/>
        </w:trPr>
        <w:tc>
          <w:tcPr>
            <w:tcW w:w="26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185,354</w:t>
            </w:r>
          </w:p>
        </w:tc>
        <w:tc>
          <w:tcPr>
            <w:tcW w:w="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19,338</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204,692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93,252</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9,426</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102,678</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20,118</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12,774</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12,159</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24,933</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for Special Items,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331"/>
              <w:spacing w:after="0"/>
              <w:rPr>
                <w:sz w:val="20"/>
                <w:szCs w:val="20"/>
                <w:color w:val="auto"/>
              </w:rPr>
            </w:pPr>
            <w:r>
              <w:rPr>
                <w:rFonts w:ascii="Arial" w:cs="Arial" w:eastAsia="Arial" w:hAnsi="Arial"/>
                <w:sz w:val="18"/>
                <w:szCs w:val="18"/>
                <w:color w:val="auto"/>
                <w:w w:val="98"/>
              </w:rPr>
              <w:t>(8,665)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(26,871)</w:t>
            </w:r>
          </w:p>
        </w:tc>
        <w:tc>
          <w:tcPr>
            <w:tcW w:w="0" w:type="dxa"/>
            <w:vAlign w:val="bottom"/>
          </w:tcPr>
          <w:p>
            <w:pPr>
              <w:spacing w:after="0"/>
              <w:rPr>
                <w:sz w:val="1"/>
                <w:szCs w:val="1"/>
                <w:color w:val="auto"/>
              </w:rPr>
            </w:pPr>
          </w:p>
        </w:tc>
      </w:tr>
      <w:tr>
        <w:trPr>
          <w:trHeight w:val="250"/>
        </w:trPr>
        <w:tc>
          <w:tcPr>
            <w:tcW w:w="26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Excluding</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20,118</w:t>
            </w:r>
          </w:p>
        </w:tc>
        <w:tc>
          <w:tcPr>
            <w:tcW w:w="160" w:type="dxa"/>
            <w:vAlign w:val="bottom"/>
            <w:shd w:val="clear" w:color="auto" w:fill="CCEEFF"/>
          </w:tcPr>
          <w:p>
            <w:pPr>
              <w:spacing w:after="0"/>
              <w:rPr>
                <w:sz w:val="21"/>
                <w:szCs w:val="21"/>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80" w:type="dxa"/>
            <w:vAlign w:val="bottom"/>
            <w:shd w:val="clear" w:color="auto" w:fill="CCEEFF"/>
          </w:tcPr>
          <w:p>
            <w:pPr>
              <w:spacing w:after="0"/>
              <w:rPr>
                <w:sz w:val="21"/>
                <w:szCs w:val="21"/>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21,833</w:t>
            </w:r>
          </w:p>
        </w:tc>
        <w:tc>
          <w:tcPr>
            <w:tcW w:w="100" w:type="dxa"/>
            <w:vAlign w:val="bottom"/>
            <w:shd w:val="clear" w:color="auto" w:fill="CCEEFF"/>
          </w:tcPr>
          <w:p>
            <w:pPr>
              <w:spacing w:after="0"/>
              <w:rPr>
                <w:sz w:val="21"/>
                <w:szCs w:val="21"/>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140" w:type="dxa"/>
            <w:vAlign w:val="bottom"/>
            <w:shd w:val="clear" w:color="auto" w:fill="CCEEFF"/>
          </w:tcPr>
          <w:p>
            <w:pPr>
              <w:spacing w:after="0"/>
              <w:rPr>
                <w:sz w:val="21"/>
                <w:szCs w:val="21"/>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80" w:type="dxa"/>
            <w:vAlign w:val="bottom"/>
            <w:shd w:val="clear" w:color="auto" w:fill="CCEEFF"/>
          </w:tcPr>
          <w:p>
            <w:pPr>
              <w:spacing w:after="0"/>
              <w:rPr>
                <w:sz w:val="21"/>
                <w:szCs w:val="21"/>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Items, net</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 %, Excluding</w:t>
            </w:r>
          </w:p>
        </w:tc>
        <w:tc>
          <w:tcPr>
            <w:tcW w:w="200" w:type="dxa"/>
            <w:vAlign w:val="bottom"/>
            <w:shd w:val="clear" w:color="auto" w:fill="CCEEFF"/>
          </w:tcPr>
          <w:p>
            <w:pPr>
              <w:spacing w:after="0"/>
              <w:rPr>
                <w:sz w:val="21"/>
                <w:szCs w:val="21"/>
                <w:color w:val="auto"/>
              </w:rPr>
            </w:pPr>
          </w:p>
        </w:tc>
        <w:tc>
          <w:tcPr>
            <w:tcW w:w="11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vMerge w:val="restart"/>
            <w:shd w:val="clear" w:color="auto" w:fill="CCEEFF"/>
          </w:tcPr>
          <w:p>
            <w:pPr>
              <w:jc w:val="center"/>
              <w:ind w:left="331"/>
              <w:spacing w:after="0"/>
              <w:rPr>
                <w:sz w:val="20"/>
                <w:szCs w:val="20"/>
                <w:color w:val="auto"/>
              </w:rPr>
            </w:pPr>
            <w:r>
              <w:rPr>
                <w:rFonts w:ascii="Arial" w:cs="Arial" w:eastAsia="Arial" w:hAnsi="Arial"/>
                <w:sz w:val="18"/>
                <w:szCs w:val="18"/>
                <w:color w:val="auto"/>
                <w:w w:val="99"/>
              </w:rPr>
              <w:t>16%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Items, net</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operating income increased by $7,344 to $20,118 for the three months ended March 31, 2022 from $12,774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2021. For more information on the changes in the components of operating income for the Passenger segment, refer to the Condensed Consolidated Results of Operations discussion above</w:t>
      </w:r>
      <w:r>
        <w:rPr>
          <w:rFonts w:ascii="Arial" w:cs="Arial" w:eastAsia="Arial" w:hAnsi="Arial"/>
          <w:sz w:val="19"/>
          <w:szCs w:val="19"/>
          <w:color w:val="auto"/>
        </w:rPr>
        <w:t>.</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Cargo. </w:t>
      </w:r>
      <w:r>
        <w:rPr>
          <w:rFonts w:ascii="Arial" w:cs="Arial" w:eastAsia="Arial" w:hAnsi="Arial"/>
          <w:sz w:val="18"/>
          <w:szCs w:val="18"/>
          <w:color w:val="auto"/>
        </w:rPr>
        <w:t>Cargo operating income decreased by $10,444 to $1,715 for the three months ended March 31, 2022, as compared to $12,159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2021. The decrease was primarily driven by the allocated payroll support received under the CARES Act during the first quarter of 2021, recognized within Special Items, net, and quarter-over-quarter increase in Salaries, Wages, and Benefits driven by the new CBA</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our pilots that went into effect in the beginning of 2022. For more information on the components of operating income for the Cargo segment, refer to the Condensed Consolidated Results of Operations discussion above, where we describe the cargo expenses embedded within each financial statement line item.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report to the most directly comparable GAAP financial measures.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Operating Income, Adjusted Operating Income Margin and Adjusted Net Income</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Adjusted Operating Income, Adjusted Operating Income Margin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Adjusted Operating Income, Adjusted Operating Income Margin and Adjusted Net Income have limitations as analytical tools. Some of the limitations applicable to these measures include: Adjusted Operating Income, Adjusted Operating Income Margin and Adjusted Net Income do not reflect the impact of certain cash charges resulting from matters we consider not to be indicative of our ongoing operations; and other companies in our industry may calculate Adjusted Operating Income, Adjusted Operating Income Margin and Adjusted Net Income differently than we do, limiting each measure’s usefulness as a comparative measure. Because of these limitations, Adjusted Operating Income, Adjusted Operating Income Margin and Adjusted Net Income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foregoing reasons, Adjusted Operating Income, Adjusted Operating Income Margin and Adjusted Net Income have significant limitations which affect their use as indicators of our profitability and valuation. Accordingly, readers are cautioned not to place undue reliance</w:t>
      </w:r>
    </w:p>
    <w:p>
      <w:pPr>
        <w:spacing w:after="0"/>
        <w:rPr>
          <w:sz w:val="20"/>
          <w:szCs w:val="20"/>
          <w:color w:val="auto"/>
        </w:rPr>
      </w:pPr>
      <w:r>
        <w:rPr>
          <w:rFonts w:ascii="Arial" w:cs="Arial" w:eastAsia="Arial" w:hAnsi="Arial"/>
          <w:sz w:val="18"/>
          <w:szCs w:val="18"/>
          <w:color w:val="auto"/>
        </w:rPr>
        <w:t>on this information</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the reconciliation of Operating Income to Adjusted Operating Income, and Adjusted Operating Income Margin for the periods presented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8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r>
      <w:tr>
        <w:trPr>
          <w:trHeight w:val="20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 Reconciliation:</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226,525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127,611</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21,833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24,933</w:t>
            </w:r>
          </w:p>
        </w:tc>
      </w:tr>
      <w:tr>
        <w:trPr>
          <w:trHeight w:val="162"/>
        </w:trPr>
        <w:tc>
          <w:tcPr>
            <w:tcW w:w="7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70"/>
        </w:trPr>
        <w:tc>
          <w:tcPr>
            <w:tcW w:w="7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(a)</w:t>
            </w:r>
          </w:p>
        </w:tc>
        <w:tc>
          <w:tcPr>
            <w:tcW w:w="3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(26,871)</w:t>
            </w:r>
          </w:p>
        </w:tc>
      </w:tr>
      <w:tr>
        <w:trPr>
          <w:trHeight w:val="229"/>
        </w:trPr>
        <w:tc>
          <w:tcPr>
            <w:tcW w:w="7880" w:type="dxa"/>
            <w:vAlign w:val="bottom"/>
          </w:tcPr>
          <w:p>
            <w:pPr>
              <w:ind w:left="140"/>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19"/>
                <w:szCs w:val="19"/>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2,870</w:t>
            </w:r>
          </w:p>
        </w:tc>
      </w:tr>
      <w:tr>
        <w:trPr>
          <w:trHeight w:val="230"/>
        </w:trPr>
        <w:tc>
          <w:tcPr>
            <w:tcW w:w="78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TRA expenses </w:t>
            </w:r>
            <w:r>
              <w:rPr>
                <w:rFonts w:ascii="Arial" w:cs="Arial" w:eastAsia="Arial" w:hAnsi="Arial"/>
                <w:sz w:val="23"/>
                <w:szCs w:val="23"/>
                <w:color w:val="auto"/>
                <w:vertAlign w:val="superscript"/>
              </w:rPr>
              <w:t>(b)</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264</w:t>
            </w:r>
          </w:p>
        </w:tc>
      </w:tr>
      <w:tr>
        <w:trPr>
          <w:trHeight w:val="223"/>
        </w:trPr>
        <w:tc>
          <w:tcPr>
            <w:tcW w:w="788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22,753</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1,196</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9"/>
        </w:trPr>
        <w:tc>
          <w:tcPr>
            <w:tcW w:w="78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19.5 %</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55" w:lineRule="exact"/>
        <w:rPr>
          <w:sz w:val="20"/>
          <w:szCs w:val="20"/>
          <w:color w:val="auto"/>
        </w:rPr>
      </w:pPr>
    </w:p>
    <w:p>
      <w:pPr>
        <w:ind w:left="580" w:hanging="554"/>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presented in </w:t>
      </w:r>
      <w:hyperlink w:anchor="page20">
        <w:r>
          <w:rPr>
            <w:rFonts w:ascii="Arial" w:cs="Arial" w:eastAsia="Arial" w:hAnsi="Arial"/>
            <w:sz w:val="14"/>
            <w:szCs w:val="14"/>
            <w:u w:val="single" w:color="auto"/>
            <w:color w:val="0000FF"/>
          </w:rPr>
          <w:t>Note 11</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Company's Condensed Consolidated Financial Statements.</w:t>
      </w:r>
    </w:p>
    <w:p>
      <w:pPr>
        <w:spacing w:after="0" w:line="55" w:lineRule="exact"/>
        <w:rPr>
          <w:rFonts w:ascii="Arial" w:cs="Arial" w:eastAsia="Arial" w:hAnsi="Arial"/>
          <w:sz w:val="14"/>
          <w:szCs w:val="14"/>
          <w:color w:val="auto"/>
        </w:rPr>
      </w:pPr>
    </w:p>
    <w:p>
      <w:pPr>
        <w:ind w:left="580" w:hanging="554"/>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This represents the one-time costs to establish the TRA liability with our TRA holders. See </w:t>
      </w:r>
      <w:hyperlink w:anchor="page20">
        <w:r>
          <w:rPr>
            <w:rFonts w:ascii="Arial" w:cs="Arial" w:eastAsia="Arial" w:hAnsi="Arial"/>
            <w:sz w:val="14"/>
            <w:szCs w:val="14"/>
            <w:u w:val="single" w:color="auto"/>
            <w:color w:val="0000FF"/>
          </w:rPr>
          <w:t>Note 10</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Company’s Condensed Consolidated Financial Statements.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53" w:lineRule="exact"/>
        <w:rPr>
          <w:rFonts w:ascii="Arial" w:cs="Arial" w:eastAsia="Arial" w:hAnsi="Arial"/>
          <w:sz w:val="14"/>
          <w:szCs w:val="14"/>
          <w:color w:val="auto"/>
        </w:rPr>
      </w:pPr>
    </w:p>
    <w:p>
      <w:pPr>
        <w:ind w:left="5520" w:hanging="106"/>
        <w:spacing w:after="0"/>
        <w:tabs>
          <w:tab w:leader="none" w:pos="55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Net Income (Loss) for the periods presented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8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(Loss) Reconciliation:</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12,416</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(a)</w:t>
            </w:r>
          </w:p>
        </w:tc>
        <w:tc>
          <w:tcPr>
            <w:tcW w:w="30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(26,871)</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Gain on Asset Transactions, net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Early pay-off of US Treasury loan</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Loss on refinancing credit facility</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TRA expenses </w:t>
            </w:r>
            <w:r>
              <w:rPr>
                <w:rFonts w:ascii="Arial" w:cs="Arial" w:eastAsia="Arial" w:hAnsi="Arial"/>
                <w:sz w:val="23"/>
                <w:szCs w:val="23"/>
                <w:color w:val="auto"/>
                <w:vertAlign w:val="superscript"/>
              </w:rPr>
              <w:t>(b)</w:t>
            </w:r>
          </w:p>
        </w:tc>
        <w:tc>
          <w:tcPr>
            <w:tcW w:w="3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 xml:space="preserve">TRA adjustment </w:t>
            </w:r>
            <w:r>
              <w:rPr>
                <w:rFonts w:ascii="Arial" w:cs="Arial" w:eastAsia="Arial" w:hAnsi="Arial"/>
                <w:sz w:val="23"/>
                <w:szCs w:val="23"/>
                <w:color w:val="auto"/>
                <w:vertAlign w:val="superscript"/>
              </w:rPr>
              <w:t>(c)</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(d)</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w:t>
            </w:r>
          </w:p>
        </w:tc>
        <w:tc>
          <w:tcPr>
            <w:tcW w:w="0" w:type="dxa"/>
            <w:vAlign w:val="bottom"/>
          </w:tcPr>
          <w:p>
            <w:pPr>
              <w:spacing w:after="0"/>
              <w:rPr>
                <w:sz w:val="1"/>
                <w:szCs w:val="1"/>
                <w:color w:val="auto"/>
              </w:rPr>
            </w:pPr>
          </w:p>
        </w:tc>
      </w:tr>
      <w:tr>
        <w:trPr>
          <w:trHeight w:val="264"/>
        </w:trPr>
        <w:tc>
          <w:tcPr>
            <w:tcW w:w="8140" w:type="dxa"/>
            <w:vAlign w:val="bottom"/>
          </w:tcPr>
          <w:p>
            <w:pPr>
              <w:ind w:left="20"/>
              <w:spacing w:after="0"/>
              <w:rPr>
                <w:sz w:val="20"/>
                <w:szCs w:val="20"/>
                <w:color w:val="auto"/>
              </w:rPr>
            </w:pPr>
            <w:r>
              <w:rPr>
                <w:rFonts w:ascii="Arial" w:cs="Arial" w:eastAsia="Arial" w:hAnsi="Arial"/>
                <w:sz w:val="18"/>
                <w:szCs w:val="18"/>
                <w:color w:val="auto"/>
              </w:rPr>
              <w:t>Adjusted Net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12,344</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8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580" w:hanging="554"/>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presented in </w:t>
      </w:r>
      <w:hyperlink w:anchor="page20">
        <w:r>
          <w:rPr>
            <w:rFonts w:ascii="Arial" w:cs="Arial" w:eastAsia="Arial" w:hAnsi="Arial"/>
            <w:sz w:val="14"/>
            <w:szCs w:val="14"/>
            <w:u w:val="single" w:color="auto"/>
            <w:color w:val="0000FF"/>
          </w:rPr>
          <w:t>Note 11</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Company's Condensed Consolidated Financial Statements.</w:t>
      </w:r>
    </w:p>
    <w:p>
      <w:pPr>
        <w:spacing w:after="0" w:line="55" w:lineRule="exact"/>
        <w:rPr>
          <w:rFonts w:ascii="Arial" w:cs="Arial" w:eastAsia="Arial" w:hAnsi="Arial"/>
          <w:sz w:val="14"/>
          <w:szCs w:val="14"/>
          <w:color w:val="auto"/>
        </w:rPr>
      </w:pPr>
    </w:p>
    <w:p>
      <w:pPr>
        <w:ind w:left="580" w:hanging="554"/>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This represents the one-time costs to establish the TRA liability with our TRA holders. See </w:t>
      </w:r>
      <w:hyperlink w:anchor="page20">
        <w:r>
          <w:rPr>
            <w:rFonts w:ascii="Arial" w:cs="Arial" w:eastAsia="Arial" w:hAnsi="Arial"/>
            <w:sz w:val="14"/>
            <w:szCs w:val="14"/>
            <w:u w:val="single" w:color="auto"/>
            <w:color w:val="0000FF"/>
          </w:rPr>
          <w:t>Note 10</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Company’s Condensed Consolidated Financial Statements.</w:t>
      </w:r>
    </w:p>
    <w:p>
      <w:pPr>
        <w:spacing w:after="0" w:line="55" w:lineRule="exact"/>
        <w:rPr>
          <w:rFonts w:ascii="Arial" w:cs="Arial" w:eastAsia="Arial" w:hAnsi="Arial"/>
          <w:sz w:val="14"/>
          <w:szCs w:val="14"/>
          <w:color w:val="auto"/>
        </w:rPr>
      </w:pPr>
    </w:p>
    <w:p>
      <w:pPr>
        <w:ind w:left="580" w:hanging="554"/>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represents the adjustment to the TRA for the period, which is recorded in Non-Operating Income (Expense).</w:t>
      </w:r>
    </w:p>
    <w:p>
      <w:pPr>
        <w:spacing w:after="0" w:line="41" w:lineRule="exact"/>
        <w:rPr>
          <w:rFonts w:ascii="Arial" w:cs="Arial" w:eastAsia="Arial" w:hAnsi="Arial"/>
          <w:sz w:val="14"/>
          <w:szCs w:val="14"/>
          <w:color w:val="auto"/>
        </w:rPr>
      </w:pPr>
    </w:p>
    <w:p>
      <w:pPr>
        <w:ind w:left="580" w:right="120" w:hanging="554"/>
        <w:spacing w:after="0" w:line="239" w:lineRule="auto"/>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tax effect of adjusting items, net is calculated at the Company's statutory rate for the applicable period. The TRA adjustment is not included within the income tax effect calculation.</w:t>
      </w:r>
    </w:p>
    <w:p>
      <w:pPr>
        <w:spacing w:after="0" w:line="286"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8"/>
          <w:szCs w:val="18"/>
          <w:b w:val="1"/>
          <w:bCs w:val="1"/>
          <w:color w:val="auto"/>
        </w:rPr>
        <w:t>Adjusted EBITDAR</w:t>
      </w:r>
    </w:p>
    <w:p>
      <w:pPr>
        <w:spacing w:after="0" w:line="247" w:lineRule="exact"/>
        <w:rPr>
          <w:rFonts w:ascii="Arial" w:cs="Arial" w:eastAsia="Arial" w:hAnsi="Arial"/>
          <w:sz w:val="14"/>
          <w:szCs w:val="14"/>
          <w:color w:val="auto"/>
        </w:rPr>
      </w:pPr>
    </w:p>
    <w:p>
      <w:pPr>
        <w:jc w:val="both"/>
        <w:spacing w:after="0" w:line="251" w:lineRule="auto"/>
        <w:rPr>
          <w:sz w:val="20"/>
          <w:szCs w:val="20"/>
          <w:color w:val="auto"/>
        </w:rPr>
      </w:pPr>
      <w:r>
        <w:rPr>
          <w:rFonts w:ascii="Arial" w:cs="Arial" w:eastAsia="Arial" w:hAnsi="Arial"/>
          <w:sz w:val="18"/>
          <w:szCs w:val="18"/>
          <w:color w:val="auto"/>
        </w:rPr>
        <w:t>Adjusted Earnings Before Interest, Taxes, Depreciation, Amortization and Rent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aircraft.</w:t>
      </w:r>
    </w:p>
    <w:p>
      <w:pPr>
        <w:spacing w:after="0" w:line="197" w:lineRule="exact"/>
        <w:rPr>
          <w:rFonts w:ascii="Arial" w:cs="Arial" w:eastAsia="Arial" w:hAnsi="Arial"/>
          <w:sz w:val="14"/>
          <w:szCs w:val="14"/>
          <w:color w:val="auto"/>
        </w:rPr>
      </w:pPr>
    </w:p>
    <w:p>
      <w:pPr>
        <w:jc w:val="both"/>
        <w:ind w:right="20"/>
        <w:spacing w:after="0" w:line="235" w:lineRule="auto"/>
        <w:rPr>
          <w:sz w:val="20"/>
          <w:szCs w:val="20"/>
          <w:color w:val="auto"/>
        </w:rPr>
      </w:pPr>
      <w:r>
        <w:rPr>
          <w:rFonts w:ascii="Arial" w:cs="Arial" w:eastAsia="Arial" w:hAnsi="Arial"/>
          <w:sz w:val="18"/>
          <w:szCs w:val="18"/>
          <w:color w:val="auto"/>
        </w:rPr>
        <w:t>Adjusted EBITDAR has limitations as an analytical tool. Some of the limitations of Adjusted EBITDAR include: it does not reflect the impact of certain cash charges resulting from matters we consider not to be indicative of our</w:t>
      </w:r>
    </w:p>
    <w:p>
      <w:pPr>
        <w:spacing w:after="0" w:line="200" w:lineRule="exact"/>
        <w:rPr>
          <w:rFonts w:ascii="Arial" w:cs="Arial" w:eastAsia="Arial" w:hAnsi="Arial"/>
          <w:sz w:val="14"/>
          <w:szCs w:val="14"/>
          <w:color w:val="auto"/>
        </w:rPr>
      </w:pPr>
    </w:p>
    <w:p>
      <w:pPr>
        <w:spacing w:after="0" w:line="394"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ongoing operations; does not reflect our cash expenditures, or future requirements, for capital expenditures or contractual commitments; does not reflect changes in, or cash requirements for, our working capital needs; it does not reflect the interest expense, or the cash requirements necessary to service interest or principal payments on our debt; although depreciation and amortization are non-cash charges, the assets being depreciated and amortized will often have to be replaced in the future, and it does not reflect any cash requirements for such replacements; and other companies in our industry may calculate Adjusted EBITDAR differently than we do, limiting each measure’s usefulness as a comparative measure. Because of these limitations, Adjusted EBITDAR should not be considered in isolation or as a substitute for performance measures calculated in accordance with GAAP.</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EBITDAR for the periods presented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9"/>
        </w:trPr>
        <w:tc>
          <w:tcPr>
            <w:tcW w:w="8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EBITDAR Reconciliation:</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12,416</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(a)</w:t>
            </w:r>
          </w:p>
        </w:tc>
        <w:tc>
          <w:tcPr>
            <w:tcW w:w="3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(26,871)</w:t>
            </w:r>
          </w:p>
        </w:tc>
        <w:tc>
          <w:tcPr>
            <w:tcW w:w="0" w:type="dxa"/>
            <w:vAlign w:val="bottom"/>
          </w:tcPr>
          <w:p>
            <w:pPr>
              <w:spacing w:after="0"/>
              <w:rPr>
                <w:sz w:val="1"/>
                <w:szCs w:val="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Asset Transactions,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 xml:space="preserve">TRA expenses </w:t>
            </w:r>
            <w:r>
              <w:rPr>
                <w:rFonts w:ascii="Arial" w:cs="Arial" w:eastAsia="Arial" w:hAnsi="Arial"/>
                <w:sz w:val="23"/>
                <w:szCs w:val="23"/>
                <w:color w:val="auto"/>
                <w:vertAlign w:val="superscript"/>
              </w:rPr>
              <w:t>(b)</w:t>
            </w:r>
          </w:p>
        </w:tc>
        <w:tc>
          <w:tcPr>
            <w:tcW w:w="30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TRA adjustment </w:t>
            </w:r>
            <w:r>
              <w:rPr>
                <w:rFonts w:ascii="Arial" w:cs="Arial" w:eastAsia="Arial" w:hAnsi="Arial"/>
                <w:sz w:val="23"/>
                <w:szCs w:val="23"/>
                <w:color w:val="auto"/>
                <w:vertAlign w:val="superscript"/>
              </w:rPr>
              <w:t>(c)</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5,406</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8"/>
                <w:szCs w:val="18"/>
                <w:color w:val="auto"/>
              </w:rPr>
              <w:t>Aircraft Rent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5,599</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580" w:hanging="554"/>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presented in </w:t>
      </w:r>
      <w:hyperlink w:anchor="page20">
        <w:r>
          <w:rPr>
            <w:rFonts w:ascii="Arial" w:cs="Arial" w:eastAsia="Arial" w:hAnsi="Arial"/>
            <w:sz w:val="14"/>
            <w:szCs w:val="14"/>
            <w:u w:val="single" w:color="auto"/>
            <w:color w:val="0000FF"/>
          </w:rPr>
          <w:t>Note 11</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Company's Condensed Consolidated Financial Statements.</w:t>
      </w:r>
    </w:p>
    <w:p>
      <w:pPr>
        <w:spacing w:after="0" w:line="55" w:lineRule="exact"/>
        <w:rPr>
          <w:rFonts w:ascii="Arial" w:cs="Arial" w:eastAsia="Arial" w:hAnsi="Arial"/>
          <w:sz w:val="14"/>
          <w:szCs w:val="14"/>
          <w:color w:val="auto"/>
        </w:rPr>
      </w:pPr>
    </w:p>
    <w:p>
      <w:pPr>
        <w:ind w:left="580" w:hanging="554"/>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This represents the one-time costs to establish the TRA liability with our TRA holders. See </w:t>
      </w:r>
      <w:hyperlink w:anchor="page20">
        <w:r>
          <w:rPr>
            <w:rFonts w:ascii="Arial" w:cs="Arial" w:eastAsia="Arial" w:hAnsi="Arial"/>
            <w:sz w:val="14"/>
            <w:szCs w:val="14"/>
            <w:u w:val="single" w:color="auto"/>
            <w:color w:val="0000FF"/>
          </w:rPr>
          <w:t>Note 10</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Company’s Condensed Consolidated Financial Statements.</w:t>
      </w:r>
    </w:p>
    <w:p>
      <w:pPr>
        <w:spacing w:after="0" w:line="55" w:lineRule="exact"/>
        <w:rPr>
          <w:rFonts w:ascii="Arial" w:cs="Arial" w:eastAsia="Arial" w:hAnsi="Arial"/>
          <w:sz w:val="14"/>
          <w:szCs w:val="14"/>
          <w:color w:val="auto"/>
        </w:rPr>
      </w:pPr>
    </w:p>
    <w:p>
      <w:pPr>
        <w:ind w:left="580" w:hanging="554"/>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This represents the adjustment to the TRA for the period, which is recorded in Non-Operating Income (Expense).</w:t>
      </w:r>
    </w:p>
    <w:p>
      <w:pPr>
        <w:spacing w:after="0" w:line="297"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8"/>
          <w:szCs w:val="18"/>
          <w:b w:val="1"/>
          <w:bCs w:val="1"/>
          <w:color w:val="auto"/>
        </w:rPr>
        <w:t>CASM and Adjusted CASM</w:t>
      </w:r>
    </w:p>
    <w:p>
      <w:pPr>
        <w:spacing w:after="0" w:line="234" w:lineRule="exact"/>
        <w:rPr>
          <w:rFonts w:ascii="Arial" w:cs="Arial" w:eastAsia="Arial" w:hAnsi="Arial"/>
          <w:sz w:val="14"/>
          <w:szCs w:val="14"/>
          <w:color w:val="auto"/>
        </w:rPr>
      </w:pPr>
    </w:p>
    <w:p>
      <w:pPr>
        <w:jc w:val="both"/>
        <w:spacing w:after="0" w:line="223" w:lineRule="auto"/>
        <w:rPr>
          <w:sz w:val="20"/>
          <w:szCs w:val="20"/>
          <w:color w:val="auto"/>
        </w:rPr>
      </w:pPr>
      <w:r>
        <w:rPr>
          <w:rFonts w:ascii="Arial" w:cs="Arial" w:eastAsia="Arial" w:hAnsi="Arial"/>
          <w:sz w:val="18"/>
          <w:szCs w:val="18"/>
          <w:color w:val="auto"/>
        </w:rPr>
        <w:t>Cost per Available Seat Mile (“CASM”) is a key airline cost metric defined as operating expenses divided by total available seat miles. Adjusted CASM is a non-GAAP measure derived from CASM by excluding fuel costs, costs related to our cargo operations, certain commissions and other costs of selling our vacation products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193" w:lineRule="exact"/>
        <w:rPr>
          <w:rFonts w:ascii="Arial" w:cs="Arial" w:eastAsia="Arial" w:hAnsi="Arial"/>
          <w:sz w:val="14"/>
          <w:szCs w:val="14"/>
          <w:color w:val="auto"/>
        </w:rPr>
      </w:pPr>
    </w:p>
    <w:p>
      <w:pPr>
        <w:jc w:val="both"/>
        <w:ind w:right="20"/>
        <w:spacing w:after="0" w:line="235"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w:t>
      </w:r>
    </w:p>
    <w:p>
      <w:pPr>
        <w:spacing w:after="0" w:line="200" w:lineRule="exact"/>
        <w:rPr>
          <w:rFonts w:ascii="Arial" w:cs="Arial" w:eastAsia="Arial" w:hAnsi="Arial"/>
          <w:sz w:val="14"/>
          <w:szCs w:val="14"/>
          <w:color w:val="auto"/>
        </w:rPr>
      </w:pPr>
    </w:p>
    <w:p>
      <w:pPr>
        <w:spacing w:after="0" w:line="394"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189"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We have excluded costs related to the cargo operations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period. Thus, stock-based compensation expense varies for reasons that are generally unrelated to operational decisions and performance in any period.</w:t>
      </w:r>
    </w:p>
    <w:p>
      <w:pPr>
        <w:spacing w:after="0" w:line="19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readers are cautioned not to place undue reliance on this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reconciliation of CASM to Adjusted CASM.</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220" w:type="dxa"/>
            <w:vAlign w:val="bottom"/>
            <w:tcBorders>
              <w:bottom w:val="single" w:sz="8" w:color="auto"/>
            </w:tcBorders>
          </w:tcPr>
          <w:p>
            <w:pPr>
              <w:spacing w:after="0"/>
              <w:rPr>
                <w:sz w:val="16"/>
                <w:szCs w:val="16"/>
                <w:color w:val="auto"/>
              </w:rPr>
            </w:pPr>
          </w:p>
        </w:tc>
      </w:tr>
      <w:tr>
        <w:trPr>
          <w:trHeight w:val="183"/>
        </w:trPr>
        <w:tc>
          <w:tcPr>
            <w:tcW w:w="50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auto"/>
            </w:tcBorders>
          </w:tcPr>
          <w:p>
            <w:pPr>
              <w:spacing w:after="0"/>
              <w:rPr>
                <w:sz w:val="15"/>
                <w:szCs w:val="15"/>
                <w:color w:val="auto"/>
              </w:rPr>
            </w:pPr>
          </w:p>
        </w:tc>
      </w:tr>
      <w:tr>
        <w:trPr>
          <w:trHeight w:val="142"/>
        </w:trPr>
        <w:tc>
          <w:tcPr>
            <w:tcW w:w="5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Operating</w:t>
            </w:r>
          </w:p>
        </w:tc>
        <w:tc>
          <w:tcPr>
            <w:tcW w:w="130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Per ASM</w:t>
            </w:r>
          </w:p>
        </w:tc>
        <w:tc>
          <w:tcPr>
            <w:tcW w:w="260" w:type="dxa"/>
            <w:vAlign w:val="bottom"/>
          </w:tcPr>
          <w:p>
            <w:pPr>
              <w:spacing w:after="0"/>
              <w:rPr>
                <w:sz w:val="12"/>
                <w:szCs w:val="12"/>
                <w:color w:val="auto"/>
              </w:rPr>
            </w:pPr>
          </w:p>
        </w:tc>
        <w:tc>
          <w:tcPr>
            <w:tcW w:w="158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Operating</w:t>
            </w:r>
          </w:p>
        </w:tc>
        <w:tc>
          <w:tcPr>
            <w:tcW w:w="122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Per ASM</w:t>
            </w:r>
          </w:p>
        </w:tc>
      </w:tr>
      <w:tr>
        <w:trPr>
          <w:trHeight w:val="175"/>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cents)</w:t>
            </w:r>
          </w:p>
        </w:tc>
        <w:tc>
          <w:tcPr>
            <w:tcW w:w="260" w:type="dxa"/>
            <w:vAlign w:val="bottom"/>
          </w:tcPr>
          <w:p>
            <w:pPr>
              <w:spacing w:after="0"/>
              <w:rPr>
                <w:sz w:val="15"/>
                <w:szCs w:val="15"/>
                <w:color w:val="auto"/>
              </w:rPr>
            </w:pPr>
          </w:p>
        </w:tc>
        <w:tc>
          <w:tcPr>
            <w:tcW w:w="158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220" w:type="dxa"/>
            <w:vAlign w:val="bottom"/>
          </w:tcPr>
          <w:p>
            <w:pPr>
              <w:ind w:left="160"/>
              <w:spacing w:after="0"/>
              <w:rPr>
                <w:sz w:val="20"/>
                <w:szCs w:val="20"/>
                <w:color w:val="auto"/>
              </w:rPr>
            </w:pPr>
            <w:r>
              <w:rPr>
                <w:rFonts w:ascii="Arial" w:cs="Arial" w:eastAsia="Arial" w:hAnsi="Arial"/>
                <w:sz w:val="14"/>
                <w:szCs w:val="14"/>
                <w:b w:val="1"/>
                <w:bCs w:val="1"/>
                <w:color w:val="auto"/>
              </w:rPr>
              <w:t>(in cents)</w:t>
            </w:r>
          </w:p>
        </w:tc>
      </w:tr>
      <w:tr>
        <w:trPr>
          <w:trHeight w:val="25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CASM</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204,692</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102,678</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96"/>
              </w:rPr>
              <w:t>7.46</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64,544</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24,274</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96"/>
              </w:rPr>
              <w:t>1.76</w:t>
            </w:r>
          </w:p>
        </w:tc>
      </w:tr>
      <w:tr>
        <w:trPr>
          <w:trHeight w:val="270"/>
        </w:trPr>
        <w:tc>
          <w:tcPr>
            <w:tcW w:w="502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2,870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center"/>
              <w:ind w:left="634"/>
              <w:spacing w:after="0"/>
              <w:rPr>
                <w:sz w:val="20"/>
                <w:szCs w:val="20"/>
                <w:color w:val="auto"/>
              </w:rPr>
            </w:pPr>
            <w:r>
              <w:rPr>
                <w:rFonts w:ascii="Arial" w:cs="Arial" w:eastAsia="Arial" w:hAnsi="Arial"/>
                <w:sz w:val="18"/>
                <w:szCs w:val="18"/>
                <w:color w:val="auto"/>
                <w:w w:val="96"/>
              </w:rPr>
              <w:t>0.21</w:t>
            </w: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23"/>
                <w:szCs w:val="23"/>
                <w:color w:val="auto"/>
              </w:rPr>
            </w:pP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(26,871)</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rPr>
              <w:t>(1.95)</w:t>
            </w:r>
          </w:p>
        </w:tc>
      </w:tr>
      <w:tr>
        <w:trPr>
          <w:trHeight w:val="270"/>
        </w:trPr>
        <w:tc>
          <w:tcPr>
            <w:tcW w:w="5020" w:type="dxa"/>
            <w:vAlign w:val="bottom"/>
          </w:tcPr>
          <w:p>
            <w:pPr>
              <w:ind w:left="180"/>
              <w:spacing w:after="0"/>
              <w:rPr>
                <w:sz w:val="20"/>
                <w:szCs w:val="20"/>
                <w:color w:val="auto"/>
              </w:rPr>
            </w:pPr>
            <w:r>
              <w:rPr>
                <w:rFonts w:ascii="Arial" w:cs="Arial" w:eastAsia="Arial" w:hAnsi="Arial"/>
                <w:sz w:val="18"/>
                <w:szCs w:val="18"/>
                <w:color w:val="auto"/>
              </w:rPr>
              <w:t xml:space="preserve">TRA expense </w:t>
            </w:r>
            <w:r>
              <w:rPr>
                <w:rFonts w:ascii="Arial" w:cs="Arial" w:eastAsia="Arial" w:hAnsi="Arial"/>
                <w:sz w:val="23"/>
                <w:szCs w:val="23"/>
                <w:color w:val="auto"/>
                <w:vertAlign w:val="superscript"/>
              </w:rPr>
              <w:t>(b)</w:t>
            </w:r>
          </w:p>
        </w:tc>
        <w:tc>
          <w:tcPr>
            <w:tcW w:w="280" w:type="dxa"/>
            <w:vAlign w:val="bottom"/>
          </w:tcPr>
          <w:p>
            <w:pPr>
              <w:spacing w:after="0"/>
              <w:rPr>
                <w:sz w:val="23"/>
                <w:szCs w:val="23"/>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center"/>
              <w:ind w:left="634"/>
              <w:spacing w:after="0"/>
              <w:rPr>
                <w:sz w:val="20"/>
                <w:szCs w:val="20"/>
                <w:color w:val="auto"/>
              </w:rPr>
            </w:pPr>
            <w:r>
              <w:rPr>
                <w:rFonts w:ascii="Arial" w:cs="Arial" w:eastAsia="Arial" w:hAnsi="Arial"/>
                <w:sz w:val="18"/>
                <w:szCs w:val="18"/>
                <w:color w:val="auto"/>
                <w:w w:val="96"/>
              </w:rPr>
              <w:t>0.02</w:t>
            </w: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Cargo expenses, not already adjusted above</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19,112</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17,195</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96"/>
              </w:rPr>
              <w:t>1.25</w:t>
            </w:r>
          </w:p>
        </w:tc>
      </w:tr>
      <w:tr>
        <w:trPr>
          <w:trHeight w:val="270"/>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Sun Country Vacations</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ind w:left="634"/>
              <w:spacing w:after="0"/>
              <w:rPr>
                <w:sz w:val="20"/>
                <w:szCs w:val="20"/>
                <w:color w:val="auto"/>
              </w:rPr>
            </w:pPr>
            <w:r>
              <w:rPr>
                <w:rFonts w:ascii="Arial" w:cs="Arial" w:eastAsia="Arial" w:hAnsi="Arial"/>
                <w:sz w:val="18"/>
                <w:szCs w:val="18"/>
                <w:color w:val="auto"/>
                <w:w w:val="96"/>
              </w:rPr>
              <w:t>0.02</w:t>
            </w: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CASM</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119,714</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84,732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96"/>
              </w:rPr>
              <w:t>6.15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ASM</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1,928,149</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1,376,796</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310"/>
        </w:trPr>
        <w:tc>
          <w:tcPr>
            <w:tcW w:w="502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59" w:lineRule="exact"/>
        <w:rPr>
          <w:sz w:val="20"/>
          <w:szCs w:val="20"/>
          <w:color w:val="auto"/>
        </w:rPr>
      </w:pPr>
    </w:p>
    <w:p>
      <w:pPr>
        <w:ind w:left="580" w:hanging="554"/>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presented in </w:t>
      </w:r>
      <w:hyperlink w:anchor="page20">
        <w:r>
          <w:rPr>
            <w:rFonts w:ascii="Arial" w:cs="Arial" w:eastAsia="Arial" w:hAnsi="Arial"/>
            <w:sz w:val="14"/>
            <w:szCs w:val="14"/>
            <w:u w:val="single" w:color="auto"/>
            <w:color w:val="0000FF"/>
          </w:rPr>
          <w:t>Note 11</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Company's Condensed Consolidated Financial Statements.</w:t>
      </w:r>
    </w:p>
    <w:p>
      <w:pPr>
        <w:spacing w:after="0" w:line="55" w:lineRule="exact"/>
        <w:rPr>
          <w:rFonts w:ascii="Arial" w:cs="Arial" w:eastAsia="Arial" w:hAnsi="Arial"/>
          <w:sz w:val="14"/>
          <w:szCs w:val="14"/>
          <w:color w:val="auto"/>
        </w:rPr>
      </w:pPr>
    </w:p>
    <w:p>
      <w:pPr>
        <w:ind w:left="580" w:hanging="554"/>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This represents the one-time costs to establish the TRA liability with our TRA holders. See </w:t>
      </w:r>
      <w:hyperlink w:anchor="page20">
        <w:r>
          <w:rPr>
            <w:rFonts w:ascii="Arial" w:cs="Arial" w:eastAsia="Arial" w:hAnsi="Arial"/>
            <w:sz w:val="14"/>
            <w:szCs w:val="14"/>
            <w:u w:val="single" w:color="auto"/>
            <w:color w:val="0000FF"/>
          </w:rPr>
          <w:t>Note 10</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Company’s Condensed Consolidated Financial Statements.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10" w:lineRule="exact"/>
        <w:rPr>
          <w:rFonts w:ascii="Arial" w:cs="Arial" w:eastAsia="Arial" w:hAnsi="Arial"/>
          <w:sz w:val="14"/>
          <w:szCs w:val="14"/>
          <w:color w:val="auto"/>
        </w:rPr>
      </w:pPr>
    </w:p>
    <w:p>
      <w:pPr>
        <w:ind w:left="5520" w:hanging="106"/>
        <w:spacing w:after="0"/>
        <w:tabs>
          <w:tab w:leader="none" w:pos="55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airline business is capital intensive. Our ability to successfully execute our business strategy is largely dependent on the continued availability of capital on attractive terms and to maintain sufficient liquidity. We have historically funded our operations and capital expenditures primarily through cash from operations, proceeds from stockholders’ capital contributions, the issuance of promissory notes, and debt financing.</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Our primary sources of liquidity as of March 31, 2022 included our existing cash and cash equivalents of $272,402 and short-term investments of $6,233, our expected cash generated from operations, and our $25,000 Revolving Credit Facility. In addition, we had restricted cash of $8,085 as of March 31, 2022 which consists of cash received as 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the charter transportation is provided.</w:t>
      </w:r>
    </w:p>
    <w:p>
      <w:pPr>
        <w:spacing w:after="0" w:line="19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Our primary uses of liquidity are for operating expenses, capital expenditures, lease rentals and maintenance reserve deposits, debt repayments and working capital requirements. Our single largest capital expenditure requirement relates to the acquisition of aircraft, which we have historically acquired through operating leases, finance leases, and debt. Our management team retains broad discretion to allocate liquidity.</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believe that our unrestricted cash and cash equivalents, short-term investments, and availability under our Revolving Credit Facility, combined with expected future cash flows from operations, will be sufficient to fund our operations and meet our debt payment obligations for at least the next twelve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regulations, or acts of terrorism.</w:t>
      </w:r>
    </w:p>
    <w:p>
      <w:pPr>
        <w:spacing w:after="0" w:line="169" w:lineRule="exact"/>
        <w:rPr>
          <w:sz w:val="20"/>
          <w:szCs w:val="20"/>
          <w:color w:val="auto"/>
        </w:rPr>
      </w:pPr>
    </w:p>
    <w:p>
      <w:pPr>
        <w:jc w:val="both"/>
        <w:spacing w:after="0" w:line="230" w:lineRule="auto"/>
        <w:rPr>
          <w:rFonts w:ascii="Arial" w:cs="Arial" w:eastAsia="Arial" w:hAnsi="Arial"/>
          <w:sz w:val="18"/>
          <w:szCs w:val="18"/>
          <w:color w:val="auto"/>
        </w:rPr>
      </w:pPr>
      <w:r>
        <w:rPr>
          <w:rFonts w:ascii="Arial" w:cs="Arial" w:eastAsia="Arial" w:hAnsi="Arial"/>
          <w:sz w:val="18"/>
          <w:szCs w:val="18"/>
          <w:b w:val="1"/>
          <w:bCs w:val="1"/>
          <w:color w:val="auto"/>
        </w:rPr>
        <w:t xml:space="preserve">Aircraft </w:t>
      </w:r>
      <w:r>
        <w:rPr>
          <w:rFonts w:ascii="Arial" w:cs="Arial" w:eastAsia="Arial" w:hAnsi="Arial"/>
          <w:sz w:val="18"/>
          <w:szCs w:val="18"/>
          <w:color w:val="auto"/>
        </w:rPr>
        <w:t>– As of March 31, 2022, we operated a fleet of 50 Boeing 737-NG aircraft. This includes 38 aircraft in the passenger fleet and 12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cargo operated aircraft through the ATSA. We plan to grow the passenger fleet to an estimated 50 aircraft by the end of 2023. We may finance additional aircraft through debt financing or finance leases based on market conditions, our prevailing level of liquidity and capital market availability. We may also enter into new operating leases on an opportunistic basis. For more information on our fleet, see </w:t>
      </w:r>
      <w:hyperlink w:anchor="page14">
        <w:r>
          <w:rPr>
            <w:rFonts w:ascii="Arial" w:cs="Arial" w:eastAsia="Arial" w:hAnsi="Arial"/>
            <w:sz w:val="18"/>
            <w:szCs w:val="18"/>
            <w:u w:val="single" w:color="auto"/>
            <w:color w:val="0000FF"/>
          </w:rPr>
          <w:t>Note 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Consolidated Financial Statements included in Part I, Item I of this report.</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Subsequent to March 31, 2022, the Company committed to lease an aircraft for a period of six years at approximately $2,220 per year. The Company expects to take delivery of the aircraft during fiscal year 2022. The Company also purchased an aircraft that was previously under a finance lease before the end of the lease term for a purchase price of $16,784 and took delivery of four incremental aircraft for a total purchase price of approximately $75,000. The Company financed these purchases using incremental 2022-1 EETC funds that were drawn upon subsequent to March 31, 2022.</w:t>
      </w:r>
    </w:p>
    <w:p>
      <w:pPr>
        <w:spacing w:after="0" w:line="17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b w:val="1"/>
          <w:bCs w:val="1"/>
          <w:color w:val="auto"/>
        </w:rPr>
        <w:t xml:space="preserve">Maintenance Deposits </w:t>
      </w:r>
      <w:r>
        <w:rPr>
          <w:rFonts w:ascii="Arial" w:cs="Arial" w:eastAsia="Arial" w:hAnsi="Arial"/>
          <w:sz w:val="18"/>
          <w:szCs w:val="18"/>
          <w:color w:val="auto"/>
        </w:rPr>
        <w:t>- In addition to funding the acquisition of aircraft, we are required by our aircraft lessors to fund reserves in cash in</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for scheduled maintenance to act as collateral for the benefit of lessors. Qualifying payments that are expected to be recovered from lessors are recorded as Lessor Maintenance Deposits on our Condensed Consolidated Balance Sheets. A portion of our deposits is therefore unavailable until after we have completed the scheduled maintenance in accordance with the terms of the aircraft leases.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CARES Act - </w:t>
      </w:r>
      <w:r>
        <w:rPr>
          <w:rFonts w:ascii="Arial" w:cs="Arial" w:eastAsia="Arial" w:hAnsi="Arial"/>
          <w:sz w:val="18"/>
          <w:szCs w:val="18"/>
          <w:color w:val="auto"/>
        </w:rPr>
        <w:t>During 2021, we received grants totaling $ 71,587 from the Treasury under PSP2 and PSP3. We also received a CARES Act</w:t>
      </w:r>
      <w:r>
        <w:rPr>
          <w:rFonts w:ascii="Arial" w:cs="Arial" w:eastAsia="Arial" w:hAnsi="Arial"/>
          <w:sz w:val="18"/>
          <w:szCs w:val="18"/>
          <w:b w:val="1"/>
          <w:bCs w:val="1"/>
          <w:color w:val="auto"/>
        </w:rPr>
        <w:t xml:space="preserve"> </w:t>
      </w:r>
      <w:r>
        <w:rPr>
          <w:rFonts w:ascii="Arial" w:cs="Arial" w:eastAsia="Arial" w:hAnsi="Arial"/>
          <w:sz w:val="18"/>
          <w:szCs w:val="18"/>
          <w:color w:val="auto"/>
        </w:rPr>
        <w:t>Loan of $45,000 in October 2020, which was repaid in full on March 24, 2021 using the proceeds from the IPO.</w:t>
      </w:r>
    </w:p>
    <w:p>
      <w:pPr>
        <w:spacing w:after="0" w:line="17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accordance with the $71,587 of grants received under the CARES Act, we are required to comply with the relevant provisions of the CARES Act and the related implementing agreements. We were in compliance with</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the CARES Act provisions as of March 31, 2022. For more information on the CARES Act provisions, see </w:t>
      </w:r>
      <w:hyperlink r:id="rId33">
        <w:r>
          <w:rPr>
            <w:rFonts w:ascii="Arial" w:cs="Arial" w:eastAsia="Arial" w:hAnsi="Arial"/>
            <w:sz w:val="18"/>
            <w:szCs w:val="18"/>
            <w:u w:val="single" w:color="auto"/>
            <w:color w:val="0000FF"/>
          </w:rPr>
          <w:t>Note 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Consolidated Financial Statements included in Part II, Item 8 of the 2021 10-K.</w:t>
      </w:r>
    </w:p>
    <w:p>
      <w:pPr>
        <w:spacing w:after="0" w:line="19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The Company uses its Credit Facilities to provide liquidity support for general corporate purposes and to finance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of aircraft. On February 10, 2021, we entered into a Credit Agreement which includes a $25,000 Revolving Credit Facility and a $90,000 DDTL. The proceeds from the Revolving Credit Facility can be used for general corporate purposes, whereas the proceeds from the DDTL are to be used solely to finance the acquisition of aircraft or engines to be registered in the United States. The Credit Agreement includes financial covenants that require a minimum trailing 12-month EBITDAR ($87,700 as of March 31, 2022 and beyond) and a minimum liquidity of $30,000 at the close of any business day. The Company was in compliance with this covenant as of March 31, 2022.</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2021, the Company drew $ 80,500 on the DDTL to purchase six aircraft, which were previously under operating leases. The Company repaid the outstanding balance for the DDTL in full in March 2022 using proceeds it received from the 2022-1 EETC. No amounts under the DDTL are available to the Company as of March 31, 2022. As of March 31, 2022, the Revolving Credit Facility had no balance drawn, leaving a total of $25,000 undrawn.</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 At our discretion, we obtain debt financing through the issuance of pass-through trust certificates to purchase, or refinance, aircraft.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2019, we issued the 2019-1 EETC, for the purpose of financing or refinancing 13 used aircraft.</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2022, the Company arranged for the issuance of the 2022-1 EETC, in an aggregate face amount of $188,277 for the purpose of financing or refinancing 13 aircraft. As of the date of this report, the Company received gross proceeds of $172,507 in order to finance or refinance 12 of the 13 aircraft, and expects to receive an additional $ 15,770 of gross proceeds in respect to the thirteenth aircraft on or before September 15, 2022. The 2022-1 EETC will be secured by a lien on the financed or refinanced aircraft and will be cross collateralized by the other aircraft financed through the issuance. Total appraised value of the 12 aircraft was approximately $237,936 as of the original date of the agreement.</w:t>
      </w:r>
    </w:p>
    <w:p>
      <w:pPr>
        <w:spacing w:after="0" w:line="208"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For more information on our credit facilities or debt, see </w:t>
      </w:r>
      <w:hyperlink w:anchor="page16">
        <w:r>
          <w:rPr>
            <w:rFonts w:ascii="Arial" w:cs="Arial" w:eastAsia="Arial" w:hAnsi="Arial"/>
            <w:sz w:val="18"/>
            <w:szCs w:val="18"/>
            <w:u w:val="single" w:color="auto"/>
            <w:color w:val="0000FF"/>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Consolidated Financial Statements included in Part I, Item I of this report.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Borders>
              <w:bottom w:val="single" w:sz="8" w:color="CCEEFF"/>
            </w:tcBorders>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7"/>
                <w:szCs w:val="17"/>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272,402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309,338</w:t>
            </w:r>
          </w:p>
        </w:tc>
        <w:tc>
          <w:tcPr>
            <w:tcW w:w="100" w:type="dxa"/>
            <w:vAlign w:val="bottom"/>
          </w:tcPr>
          <w:p>
            <w:pPr>
              <w:spacing w:after="0"/>
              <w:rPr>
                <w:sz w:val="21"/>
                <w:szCs w:val="2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2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68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277,285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277,426</w:t>
            </w:r>
          </w:p>
        </w:tc>
        <w:tc>
          <w:tcPr>
            <w:tcW w:w="1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2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270,141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192,155</w:t>
            </w:r>
          </w:p>
        </w:tc>
        <w:tc>
          <w:tcPr>
            <w:tcW w:w="100" w:type="dxa"/>
            <w:vAlign w:val="bottom"/>
          </w:tcPr>
          <w:p>
            <w:pPr>
              <w:spacing w:after="0"/>
              <w:rPr>
                <w:sz w:val="21"/>
                <w:szCs w:val="2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2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34,040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76,041</w:t>
            </w:r>
          </w:p>
        </w:tc>
        <w:tc>
          <w:tcPr>
            <w:tcW w:w="10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 and Lease obligations</w:t>
            </w:r>
          </w:p>
        </w:tc>
        <w:tc>
          <w:tcPr>
            <w:tcW w:w="2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581,466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545,622</w:t>
            </w:r>
          </w:p>
        </w:tc>
        <w:tc>
          <w:tcPr>
            <w:tcW w:w="100" w:type="dxa"/>
            <w:vAlign w:val="bottom"/>
          </w:tcPr>
          <w:p>
            <w:pPr>
              <w:spacing w:after="0"/>
              <w:rPr>
                <w:sz w:val="21"/>
                <w:szCs w:val="2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493,291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486,811</w:t>
            </w:r>
          </w:p>
        </w:tc>
        <w:tc>
          <w:tcPr>
            <w:tcW w:w="10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84"/>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Invested Capital</w:t>
            </w:r>
          </w:p>
        </w:tc>
        <w:tc>
          <w:tcPr>
            <w:tcW w:w="2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1,074,757</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1,032,433</w:t>
            </w:r>
          </w:p>
        </w:tc>
        <w:tc>
          <w:tcPr>
            <w:tcW w:w="100" w:type="dxa"/>
            <w:vAlign w:val="bottom"/>
          </w:tcPr>
          <w:p>
            <w:pPr>
              <w:spacing w:after="0"/>
              <w:rPr>
                <w:sz w:val="24"/>
                <w:szCs w:val="24"/>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6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Debt-to-Capital</w:t>
            </w:r>
          </w:p>
        </w:tc>
        <w:tc>
          <w:tcPr>
            <w:tcW w:w="2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r>
      <w:tr>
        <w:trPr>
          <w:trHeight w:val="918"/>
        </w:trPr>
        <w:tc>
          <w:tcPr>
            <w:tcW w:w="4680" w:type="dxa"/>
            <w:vAlign w:val="bottom"/>
          </w:tcPr>
          <w:p>
            <w:pPr>
              <w:spacing w:after="0"/>
              <w:rPr>
                <w:sz w:val="24"/>
                <w:szCs w:val="24"/>
                <w:color w:val="auto"/>
              </w:rPr>
            </w:pPr>
          </w:p>
        </w:tc>
        <w:tc>
          <w:tcPr>
            <w:tcW w:w="2460" w:type="dxa"/>
            <w:vAlign w:val="bottom"/>
          </w:tcPr>
          <w:p>
            <w:pPr>
              <w:jc w:val="right"/>
              <w:ind w:right="1210"/>
              <w:spacing w:after="0"/>
              <w:rPr>
                <w:sz w:val="20"/>
                <w:szCs w:val="20"/>
                <w:color w:val="auto"/>
              </w:rPr>
            </w:pPr>
            <w:r>
              <w:rPr>
                <w:rFonts w:ascii="Arial" w:cs="Arial" w:eastAsia="Arial" w:hAnsi="Arial"/>
                <w:sz w:val="18"/>
                <w:szCs w:val="18"/>
                <w:color w:val="auto"/>
              </w:rPr>
              <w:t>- 37 -</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680" w:type="dxa"/>
            <w:vAlign w:val="bottom"/>
            <w:tcBorders>
              <w:bottom w:val="single" w:sz="8" w:color="9A9A9A"/>
            </w:tcBorders>
          </w:tcPr>
          <w:p>
            <w:pPr>
              <w:spacing w:after="0"/>
              <w:rPr>
                <w:sz w:val="8"/>
                <w:szCs w:val="8"/>
                <w:color w:val="auto"/>
              </w:rPr>
            </w:pPr>
          </w:p>
        </w:tc>
        <w:tc>
          <w:tcPr>
            <w:tcW w:w="24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Liquidity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40" w:type="dxa"/>
            <w:vAlign w:val="bottom"/>
          </w:tcPr>
          <w:p>
            <w:pPr>
              <w:spacing w:after="0"/>
              <w:rPr>
                <w:sz w:val="17"/>
                <w:szCs w:val="17"/>
                <w:color w:val="auto"/>
              </w:rPr>
            </w:pPr>
          </w:p>
        </w:tc>
        <w:tc>
          <w:tcPr>
            <w:tcW w:w="320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Borders>
              <w:bottom w:val="single" w:sz="8" w:color="auto"/>
            </w:tcBorders>
          </w:tcPr>
          <w:p>
            <w:pPr>
              <w:spacing w:after="0"/>
              <w:rPr>
                <w:sz w:val="17"/>
                <w:szCs w:val="17"/>
                <w:color w:val="auto"/>
              </w:rPr>
            </w:pPr>
          </w:p>
        </w:tc>
      </w:tr>
      <w:tr>
        <w:trPr>
          <w:trHeight w:val="189"/>
        </w:trPr>
        <w:tc>
          <w:tcPr>
            <w:tcW w:w="71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r>
      <w:tr>
        <w:trPr>
          <w:trHeight w:val="263"/>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Activities</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18,213</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15,839</w:t>
            </w:r>
          </w:p>
        </w:tc>
      </w:tr>
      <w:tr>
        <w:trPr>
          <w:trHeight w:val="223"/>
        </w:trPr>
        <w:tc>
          <w:tcPr>
            <w:tcW w:w="714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1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27"/>
        </w:trPr>
        <w:tc>
          <w:tcPr>
            <w:tcW w:w="7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Purchases of Property &amp; Equipment</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(49,683)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(54,399)</w:t>
            </w:r>
          </w:p>
        </w:tc>
      </w:tr>
      <w:tr>
        <w:trPr>
          <w:trHeight w:val="243"/>
        </w:trPr>
        <w:tc>
          <w:tcPr>
            <w:tcW w:w="71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71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3"/>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Investing Activities</w:t>
            </w:r>
          </w:p>
        </w:tc>
        <w:tc>
          <w:tcPr>
            <w:tcW w:w="1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(49,628)</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(54,552)</w:t>
            </w:r>
          </w:p>
        </w:tc>
      </w:tr>
      <w:tr>
        <w:trPr>
          <w:trHeight w:val="250"/>
        </w:trPr>
        <w:tc>
          <w:tcPr>
            <w:tcW w:w="714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50"/>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tcPr>
          <w:p>
            <w:pPr>
              <w:ind w:left="360"/>
              <w:spacing w:after="0"/>
              <w:rPr>
                <w:sz w:val="20"/>
                <w:szCs w:val="20"/>
                <w:color w:val="auto"/>
              </w:rPr>
            </w:pPr>
            <w:r>
              <w:rPr>
                <w:rFonts w:ascii="Arial" w:cs="Arial" w:eastAsia="Arial" w:hAnsi="Arial"/>
                <w:sz w:val="18"/>
                <w:szCs w:val="18"/>
                <w:color w:val="auto"/>
              </w:rPr>
              <w:t>Cash Received from Stock Offering, net</w:t>
            </w:r>
          </w:p>
        </w:tc>
        <w:tc>
          <w:tcPr>
            <w:tcW w:w="118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228,668</w:t>
            </w:r>
          </w:p>
        </w:tc>
      </w:tr>
      <w:tr>
        <w:trPr>
          <w:trHeight w:val="27"/>
        </w:trPr>
        <w:tc>
          <w:tcPr>
            <w:tcW w:w="7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Stock Option and Warrant Exercises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140" w:type="dxa"/>
            <w:vAlign w:val="bottom"/>
          </w:tcPr>
          <w:p>
            <w:pPr>
              <w:ind w:left="360"/>
              <w:spacing w:after="0"/>
              <w:rPr>
                <w:sz w:val="20"/>
                <w:szCs w:val="20"/>
                <w:color w:val="auto"/>
              </w:rPr>
            </w:pPr>
            <w:r>
              <w:rPr>
                <w:rFonts w:ascii="Arial" w:cs="Arial" w:eastAsia="Arial" w:hAnsi="Arial"/>
                <w:sz w:val="18"/>
                <w:szCs w:val="18"/>
                <w:color w:val="auto"/>
              </w:rPr>
              <w:t>Proceeds from Borrowings</w:t>
            </w: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77,986</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68,000</w:t>
            </w:r>
          </w:p>
        </w:tc>
      </w:tr>
      <w:tr>
        <w:trPr>
          <w:trHeight w:val="27"/>
        </w:trPr>
        <w:tc>
          <w:tcPr>
            <w:tcW w:w="7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Repayment of Finance Lease Obligations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(3,911)</w:t>
            </w:r>
          </w:p>
        </w:tc>
      </w:tr>
      <w:tr>
        <w:trPr>
          <w:trHeight w:val="243"/>
        </w:trPr>
        <w:tc>
          <w:tcPr>
            <w:tcW w:w="7140" w:type="dxa"/>
            <w:vAlign w:val="bottom"/>
          </w:tcPr>
          <w:p>
            <w:pPr>
              <w:ind w:left="360"/>
              <w:spacing w:after="0"/>
              <w:rPr>
                <w:sz w:val="20"/>
                <w:szCs w:val="20"/>
                <w:color w:val="auto"/>
              </w:rPr>
            </w:pPr>
            <w:r>
              <w:rPr>
                <w:rFonts w:ascii="Arial" w:cs="Arial" w:eastAsia="Arial" w:hAnsi="Arial"/>
                <w:sz w:val="18"/>
                <w:szCs w:val="18"/>
                <w:color w:val="auto"/>
              </w:rPr>
              <w:t>Repayment of Borrowings</w:t>
            </w: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(77,947)</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(46,068)</w:t>
            </w:r>
          </w:p>
        </w:tc>
      </w:tr>
      <w:tr>
        <w:trPr>
          <w:trHeight w:val="27"/>
        </w:trPr>
        <w:tc>
          <w:tcPr>
            <w:tcW w:w="7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Debt Issuance Costs</w:t>
            </w:r>
          </w:p>
        </w:tc>
        <w:tc>
          <w:tcPr>
            <w:tcW w:w="1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color w:val="auto"/>
              </w:rPr>
              <w:t>Total Financing Activities</w:t>
            </w:r>
          </w:p>
        </w:tc>
        <w:tc>
          <w:tcPr>
            <w:tcW w:w="1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(5,883)</w:t>
            </w:r>
          </w:p>
        </w:tc>
        <w:tc>
          <w:tcPr>
            <w:tcW w:w="10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243,968</w:t>
            </w:r>
          </w:p>
        </w:tc>
      </w:tr>
      <w:tr>
        <w:trPr>
          <w:trHeight w:val="27"/>
        </w:trPr>
        <w:tc>
          <w:tcPr>
            <w:tcW w:w="71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714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r>
      <w:tr>
        <w:trPr>
          <w:trHeight w:val="264"/>
        </w:trPr>
        <w:tc>
          <w:tcPr>
            <w:tcW w:w="7140" w:type="dxa"/>
            <w:vAlign w:val="bottom"/>
          </w:tcPr>
          <w:p>
            <w:pPr>
              <w:ind w:left="20"/>
              <w:spacing w:after="0"/>
              <w:rPr>
                <w:sz w:val="20"/>
                <w:szCs w:val="20"/>
                <w:color w:val="auto"/>
              </w:rPr>
            </w:pPr>
            <w:r>
              <w:rPr>
                <w:rFonts w:ascii="Arial" w:cs="Arial" w:eastAsia="Arial" w:hAnsi="Arial"/>
                <w:sz w:val="18"/>
                <w:szCs w:val="18"/>
                <w:color w:val="auto"/>
              </w:rPr>
              <w:t>Net (Decrease) Increase in Cash</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(37,298)</w:t>
            </w:r>
          </w:p>
        </w:tc>
        <w:tc>
          <w:tcPr>
            <w:tcW w:w="100" w:type="dxa"/>
            <w:vAlign w:val="bottom"/>
          </w:tcPr>
          <w:p>
            <w:pPr>
              <w:spacing w:after="0"/>
              <w:rPr>
                <w:sz w:val="22"/>
                <w:szCs w:val="22"/>
                <w:color w:val="auto"/>
              </w:rPr>
            </w:pP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205,255</w:t>
            </w:r>
          </w:p>
        </w:tc>
      </w:tr>
      <w:tr>
        <w:trPr>
          <w:trHeight w:val="20"/>
        </w:trPr>
        <w:tc>
          <w:tcPr>
            <w:tcW w:w="7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consists of Cash, Cash Equivalents and Restricted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Cash Flow Activities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activities in the three months ended March 31, 2022 provided $18,213, as compared to providing $15,839 in the three months ended March 31, 2021. During the first quarter 2022 and 2021, Net Income was $3,637 and $12,416, respectively, as Net Income in the first quarter of 2021 was benefited by a number of one-time transactions that are adjusted for operating cash flow purposes.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operating cash flow is primarily impacted by the following factors:</w:t>
      </w:r>
    </w:p>
    <w:p>
      <w:pPr>
        <w:spacing w:after="0" w:line="19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i w:val="1"/>
          <w:iCs w:val="1"/>
          <w:color w:val="auto"/>
        </w:rPr>
        <w:t xml:space="preserve">Seasonality of Advance Ticket Sales. </w:t>
      </w:r>
      <w:r>
        <w:rPr>
          <w:rFonts w:ascii="Arial" w:cs="Arial" w:eastAsia="Arial" w:hAnsi="Arial"/>
          <w:sz w:val="18"/>
          <w:szCs w:val="18"/>
          <w:color w:val="auto"/>
        </w:rPr>
        <w:t>We sell tickets for air travel in advance of the customer's travel date. When we receive a cash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sale, we record the cash received on advance sales as deferred revenue in Air Traffic Liabilities. Air Traffic Liabilities typically increase during the fall and early winter months as advanced ticket sales grow prior to the late winter and spring peak travel season and decrease during the summer months.</w:t>
      </w:r>
    </w:p>
    <w:p>
      <w:pPr>
        <w:spacing w:after="0" w:line="17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Fuel expense represented approximately 32% and 24% of our total operating expense for the three months ended March 31,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2021, respectively. The market price for jet fuel is volatile, which can impact the comparability of our periodic cash flows from operations. Fuel consumption increased during the first quarter of 2022 compared to prior year, consistent with increased passengers as the impact of the pandemic subsides. Additionally, the cost per gallon increased by 68% year-over-year. We expect fuel costs to be higher year over year for comparable periods.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CARES Act. </w:t>
      </w:r>
      <w:r>
        <w:rPr>
          <w:rFonts w:ascii="Arial" w:cs="Arial" w:eastAsia="Arial" w:hAnsi="Arial"/>
          <w:sz w:val="18"/>
          <w:szCs w:val="18"/>
          <w:color w:val="auto"/>
        </w:rPr>
        <w:t>During the three months ended March 31, 2022 we did not receive any funding from the CARES Act.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2021 we received $32,208 in CARES Act grants and $334 in employee retention tax credits.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Cash Flow Activities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were $49,683 and $54,399 for the three months ended March 31, 2022 and 2021,</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Our capital expenditures during the three months ended March 31, 2022 primarily included the purchase of one aircraft, the purchase of three spare engines, the first installment payment to purchase a flight simulator, and other miscellaneous projects. Our capital expenditures during the three months ended March 31, 2021 were primarily related to the purchases of five existing aircraft previously under operating leases. Subsequent to March 31, 2022, we used incremental 2022-1 EETC financing to purchase an aircraft previously under a finance lease for a purchase price $16,784 and took delivery of four incremental aircraft for a total purchase price of approximately $75,000.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Cash Flow Activities</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IPO. </w:t>
      </w:r>
      <w:r>
        <w:rPr>
          <w:rFonts w:ascii="Arial" w:cs="Arial" w:eastAsia="Arial" w:hAnsi="Arial"/>
          <w:sz w:val="18"/>
          <w:szCs w:val="18"/>
          <w:color w:val="auto"/>
        </w:rPr>
        <w:t>In March 2021, we completed our IPO. In total, 10,454,545 shares were issued and the net proceeds to the Company were $225,329</w:t>
      </w:r>
      <w:r>
        <w:rPr>
          <w:rFonts w:ascii="Arial" w:cs="Arial" w:eastAsia="Arial" w:hAnsi="Arial"/>
          <w:sz w:val="18"/>
          <w:szCs w:val="18"/>
          <w:i w:val="1"/>
          <w:iCs w:val="1"/>
          <w:color w:val="auto"/>
        </w:rPr>
        <w:t xml:space="preserve"> </w:t>
      </w:r>
      <w:r>
        <w:rPr>
          <w:rFonts w:ascii="Arial" w:cs="Arial" w:eastAsia="Arial" w:hAnsi="Arial"/>
          <w:sz w:val="18"/>
          <w:szCs w:val="18"/>
          <w:color w:val="auto"/>
        </w:rPr>
        <w:t>after deducting underwriting discounts and commissions, and other offering expenses. The proceeds from the IPO were immediately used to repay our $45,000 loan with the Treasury, plus interest.</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Debt</w:t>
      </w:r>
      <w:r>
        <w:rPr>
          <w:rFonts w:ascii="Arial" w:cs="Arial" w:eastAsia="Arial" w:hAnsi="Arial"/>
          <w:sz w:val="18"/>
          <w:szCs w:val="18"/>
          <w:color w:val="auto"/>
        </w:rPr>
        <w:t>. In the three months ended March 31, 2022, the Company arranged for the issuance of the 2022-1 EETC in an aggregate face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$188,277 for the purpose of financing or refinancing 13 aircraft. We obtained $77,986 in gross proceeds during the first quarter of 2022 for the purpose of refinancing seven aircraft. Subsequent to March 31, 2022, we issued an incremental $94,521 of 2022-1 EETC proceeds for the purpose of financing five aircraft, which were received in the second quarter of 2022. The remaining $15,770 of gross proceeds is expected to be received on or before September 15, 2022 in connection with purchasing the thirteenth aircraft from the lessor. Five of these aircraft were owned fleet assets previously financed by the DDTL, which was repaid with the proceeds from the 2022-1 EETC.</w:t>
      </w:r>
    </w:p>
    <w:p>
      <w:pPr>
        <w:spacing w:after="0" w:line="205"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For additional information regarding these financing arrangements, see </w:t>
      </w:r>
      <w:hyperlink w:anchor="page16">
        <w:r>
          <w:rPr>
            <w:rFonts w:ascii="Arial" w:cs="Arial" w:eastAsia="Arial" w:hAnsi="Arial"/>
            <w:sz w:val="18"/>
            <w:szCs w:val="18"/>
            <w:u w:val="single" w:color="auto"/>
            <w:color w:val="0000FF"/>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Condensed Consolidated Financial Statements included in Part I, Item I of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Indemnities</w:t>
      </w:r>
      <w:r>
        <w:rPr>
          <w:rFonts w:ascii="Arial" w:cs="Arial" w:eastAsia="Arial" w:hAnsi="Arial"/>
          <w:sz w:val="18"/>
          <w:szCs w:val="18"/>
          <w:color w:val="auto"/>
        </w:rPr>
        <w:t>. Our aircraft, equipment and other leases and certain operating agreements typically contain provisions requiring us,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lessee, to indemnify the other parties to those agreements, including certain of those parties’ related persons, against virtually any liabilities that might arise from the use or operation of the aircraft or such other equipment. We believe that our insurance covers most of our exposure to liabilities and related indemnities associated with the leases described above.</w:t>
      </w:r>
    </w:p>
    <w:p>
      <w:pPr>
        <w:spacing w:after="0" w:line="180" w:lineRule="exact"/>
        <w:rPr>
          <w:sz w:val="20"/>
          <w:szCs w:val="20"/>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Pass-Through Trusts</w:t>
      </w:r>
      <w:r>
        <w:rPr>
          <w:rFonts w:ascii="Arial" w:cs="Arial" w:eastAsia="Arial" w:hAnsi="Arial"/>
          <w:sz w:val="18"/>
          <w:szCs w:val="18"/>
          <w:color w:val="auto"/>
        </w:rPr>
        <w:t>. We have equipment notes outstanding issued under the 2019-1 EETC and 2022-1 EETC. Generally, the structure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EETC financings 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We use these certificates to finance or refinance aircraft purchases utilizing these certificates and the obligations are listed in </w:t>
      </w:r>
      <w:hyperlink w:anchor="page16">
        <w:r>
          <w:rPr>
            <w:rFonts w:ascii="Arial" w:cs="Arial" w:eastAsia="Arial" w:hAnsi="Arial"/>
            <w:sz w:val="18"/>
            <w:szCs w:val="18"/>
            <w:u w:val="single" w:color="auto"/>
            <w:color w:val="0000FF"/>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Consolidated Financial Statements. As of March 31, 2022, $94,521 of financing was available to us through the 2022-1 EETC, but was not reported on our Condensed Consolidated Balance Sheets because we had not issued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equipment notes as of the Balance Sheet date. As of the date of this report, the remaining $94,521 had been drawn upon for the purpose of financing the purchase of five aircraft, which were received in the second quarter of 2022. Accordingly, no additional off balance sheet amounts exist related to the 2022-1 EETC.</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Fuel Consortia</w:t>
      </w:r>
      <w:r>
        <w:rPr>
          <w:rFonts w:ascii="Arial" w:cs="Arial" w:eastAsia="Arial" w:hAnsi="Arial"/>
          <w:sz w:val="18"/>
          <w:szCs w:val="18"/>
          <w:color w:val="auto"/>
        </w:rPr>
        <w:t>. We currently participate in fuel consortia at Minneapolis-Saint Paul International Airport, Las Vegas International Airport,</w:t>
      </w:r>
      <w:r>
        <w:rPr>
          <w:rFonts w:ascii="Arial" w:cs="Arial" w:eastAsia="Arial" w:hAnsi="Arial"/>
          <w:sz w:val="18"/>
          <w:szCs w:val="18"/>
          <w:i w:val="1"/>
          <w:iCs w:val="1"/>
          <w:color w:val="auto"/>
        </w:rPr>
        <w:t xml:space="preserve"> </w:t>
      </w:r>
      <w:r>
        <w:rPr>
          <w:rFonts w:ascii="Arial" w:cs="Arial" w:eastAsia="Arial" w:hAnsi="Arial"/>
          <w:sz w:val="18"/>
          <w:szCs w:val="18"/>
          <w:color w:val="auto"/>
        </w:rPr>
        <w:t>Dallas-Fort Worth International Airport, San Diego International Airport, Los Angeles International Airport, Seattle Tacoma International Airport, Portland International Airport, Phoenix Sky Harbor International Airport, Orlando International Airport and Southwest Florida International Airport and we expect to expand our participation with other airlines in fuel consortia and fuel committees at our airports where economically beneficial. These agreements generally include cost-sharing provisions and environmental indemnities that are generally joint and several among the participating airlines. Consortia that are governed by interline agreements are either, (i) not variable interest entities (“VIEs”) because they are not legal entities, or (ii) are variable interest entities, but the Company is not deemed the primary beneficiary. Therefore, these agreements are not reflected on our Condensed Consolidated Balance Sheets. There are no assets or liabilities on our balance sheets related to these VIEs, since our participation is limited to purchasing aircraft fuel.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off-balance sheet arrangements.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contractual obligations comprised of aircraft leases and supplemental maintenance reserves, payments of debt, interest, other lease arrangements, and the TRA.</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March 31, 2022, the Company had a commitment of approximately $75,000 to purchase four aircraft using proceeds from the 2022-1 EETC, which were delivered in the second quarter of 2022. A deposit totaling $7,500 was remitted to the seller during the first quarter of 2022. The remaining purchase amount was financed using incremental proceeds from the 2022-1 EETC and were remitted to the seller upon delivery of the aircraft.</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quarter of 2022, the Company executed an agreement to purchase a flight simulator at a total purchase price of $9,745. An initial installment of $2,934 was remitted to the seller during the first quarter of 2022. The remaining purchase price is to be remitted upon shipment of the simulator.</w:t>
      </w:r>
    </w:p>
    <w:p>
      <w:pPr>
        <w:spacing w:after="0" w:line="202"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For additional information, refer to </w:t>
      </w:r>
      <w:hyperlink w:anchor="page21">
        <w:r>
          <w:rPr>
            <w:rFonts w:ascii="Arial" w:cs="Arial" w:eastAsia="Arial" w:hAnsi="Arial"/>
            <w:sz w:val="18"/>
            <w:szCs w:val="18"/>
            <w:u w:val="single" w:color="auto"/>
            <w:color w:val="0000FF"/>
          </w:rPr>
          <w:t>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Commitments and Contingencies to our Condensed Consolidated Financial Statements included elsewhere in this Quarterly Report on Form 10-Q. Except as described herein, there have been no material changes in our contractual obligations and commitments other than in the ordinary course of business since our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Accordingly, actual results may differ from the information provided below.</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Unexpected pricing changes of aircraft fuel could have a material adverse effect on our business, results of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condition. To hedge the economic risk associated with volatile aircraft fuel prices, we periodically enter into fuel collars, which allows us to reduce the overall cost of hedging, but may prevent us from participating in the benefit of downward price movements. In the past, we have also entered into fuel option and swap contracts. We had no hedges in place at March 31, 2022. We do not hold or issue option or swap contracts for trading purposes. We currently do not expect to enter into these types of contracts prospectively, although significant changes in market conditions could affect our decisions. Based on our forecasted scheduled service and charter fuel consumption for the second quarter of 2022, we estimate that a one cent per gallon increase in the average aircraft fuel price would increase aircraft fuel expense by approximately $177 excluding any impact associated with fuel derivative instruments held and reimbursed cargo fuel.</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Interest Rates. </w:t>
      </w:r>
      <w:r>
        <w:rPr>
          <w:rFonts w:ascii="Arial" w:cs="Arial" w:eastAsia="Arial" w:hAnsi="Arial"/>
          <w:sz w:val="18"/>
          <w:szCs w:val="18"/>
          <w:color w:val="auto"/>
        </w:rPr>
        <w:t>We have exposure to market risk associated with changes in interest rates related to the interest expense from our variable-rate debt. A change in market interest rates would impact interest expense under the Revolving Credit Facility, totaling $25,000 in principal capacity. During the quarter, we repaid the outstanding balance of the DDTL using proceeds from the 2022-1 EETC, which terminated the DDTL. We are unable to draw any additional amounts from the DDTL and no longer face any exposure to market risk on this portion of our Credit Facilities. Assuming the Revolving Credit Facility is fully drawn, a 100 basis point increase in interest rates would result in a corresponding increase in interest expense of approximately $250 annually.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March 31, 2022, under the supervision and with the participation of our management, including our chief executive officer (“CEO”) and chief financial officer (“CFO”), we evaluated the design and operation of our disclosure controls and procedures (as defined in Rules 13a-15(e) and 15d -15(e) of the Securities Exchange Act of 1934, as amended, or the “Exchange Act”) as of the end of the period covered by this report. Based on that evaluation, management, including our CEO and CFO, has concluded that our disclosure controls and procedures are designed, and are effective, to give reasonable assurance that the information we are required to disclose is recorded, processed, summarized and reported within the time periods specified in the SEC’s rules and forms and is accumulated and communicated to the Company’s management, including the CEO and the CFO,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three months ended March 31, 2022, we did not make any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We have disclosed under the heading “</w:t>
      </w:r>
      <w:hyperlink r:id="rId61">
        <w:r>
          <w:rPr>
            <w:rFonts w:ascii="Arial" w:cs="Arial" w:eastAsia="Arial" w:hAnsi="Arial"/>
            <w:sz w:val="18"/>
            <w:szCs w:val="18"/>
            <w:u w:val="single" w:color="auto"/>
            <w:color w:val="0000FF"/>
          </w:rPr>
          <w:t>Risk Factors</w:t>
        </w:r>
      </w:hyperlink>
      <w:r>
        <w:rPr>
          <w:rFonts w:ascii="Arial" w:cs="Arial" w:eastAsia="Arial" w:hAnsi="Arial"/>
          <w:sz w:val="18"/>
          <w:szCs w:val="18"/>
          <w:color w:val="auto"/>
        </w:rPr>
        <w:t>” in our 2021 10 -K, the risk factors which materially affect our business, financial condition or results of operations. There have been no material changes from the risk factors previously disclosed.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 w:type="dxa"/>
            <w:vAlign w:val="bottom"/>
          </w:tcPr>
          <w:p>
            <w:pPr>
              <w:spacing w:after="0"/>
              <w:rPr>
                <w:sz w:val="20"/>
                <w:szCs w:val="20"/>
                <w:color w:val="auto"/>
              </w:rPr>
            </w:pPr>
            <w:r>
              <w:rPr>
                <w:rFonts w:ascii="Arial" w:cs="Arial" w:eastAsia="Arial" w:hAnsi="Arial"/>
                <w:sz w:val="18"/>
                <w:szCs w:val="18"/>
                <w:color w:val="auto"/>
              </w:rPr>
              <w:t>(a)</w:t>
            </w:r>
          </w:p>
        </w:tc>
        <w:tc>
          <w:tcPr>
            <w:tcW w:w="10880" w:type="dxa"/>
            <w:vAlign w:val="bottom"/>
            <w:gridSpan w:val="8"/>
          </w:tcPr>
          <w:p>
            <w:pPr>
              <w:ind w:left="20"/>
              <w:spacing w:after="0"/>
              <w:rPr>
                <w:sz w:val="20"/>
                <w:szCs w:val="20"/>
                <w:color w:val="auto"/>
              </w:rPr>
            </w:pPr>
            <w:r>
              <w:rPr>
                <w:rFonts w:ascii="Arial" w:cs="Arial" w:eastAsia="Arial" w:hAnsi="Arial"/>
                <w:sz w:val="18"/>
                <w:szCs w:val="18"/>
                <w:color w:val="auto"/>
              </w:rPr>
              <w:t>Exhibits</w:t>
            </w:r>
          </w:p>
        </w:tc>
      </w:tr>
      <w:tr>
        <w:trPr>
          <w:trHeight w:val="432"/>
        </w:trPr>
        <w:tc>
          <w:tcPr>
            <w:tcW w:w="300" w:type="dxa"/>
            <w:vAlign w:val="bottom"/>
          </w:tcPr>
          <w:p>
            <w:pPr>
              <w:ind w:left="20"/>
              <w:spacing w:after="0"/>
              <w:rPr>
                <w:sz w:val="20"/>
                <w:szCs w:val="20"/>
                <w:color w:val="auto"/>
              </w:rPr>
            </w:pPr>
            <w:r>
              <w:rPr>
                <w:rFonts w:ascii="Arial" w:cs="Arial" w:eastAsia="Arial" w:hAnsi="Arial"/>
                <w:sz w:val="18"/>
                <w:szCs w:val="18"/>
                <w:color w:val="auto"/>
              </w:rPr>
              <w:t>4.1</w:t>
            </w:r>
          </w:p>
        </w:tc>
        <w:tc>
          <w:tcPr>
            <w:tcW w:w="860" w:type="dxa"/>
            <w:vAlign w:val="bottom"/>
          </w:tcPr>
          <w:p>
            <w:pPr>
              <w:spacing w:after="0"/>
              <w:rPr>
                <w:sz w:val="24"/>
                <w:szCs w:val="24"/>
                <w:color w:val="auto"/>
              </w:rPr>
            </w:pPr>
          </w:p>
        </w:tc>
        <w:tc>
          <w:tcPr>
            <w:tcW w:w="10020" w:type="dxa"/>
            <w:vAlign w:val="bottom"/>
            <w:gridSpan w:val="7"/>
          </w:tcPr>
          <w:p>
            <w:pPr>
              <w:spacing w:after="0"/>
              <w:rPr>
                <w:rFonts w:ascii="Arial" w:cs="Arial" w:eastAsia="Arial" w:hAnsi="Arial"/>
                <w:sz w:val="18"/>
                <w:szCs w:val="18"/>
                <w:color w:val="0000FF"/>
              </w:rPr>
            </w:pPr>
            <w:hyperlink r:id="rId105">
              <w:r>
                <w:rPr>
                  <w:rFonts w:ascii="Arial" w:cs="Arial" w:eastAsia="Arial" w:hAnsi="Arial"/>
                  <w:sz w:val="18"/>
                  <w:szCs w:val="18"/>
                  <w:color w:val="0000FF"/>
                </w:rPr>
                <w:t>Trust Supplement No. 2022-1A, dated as of March 29, 2022, between Wilmington Trust, National Association, as trustee, and</w:t>
              </w:r>
            </w:hyperlink>
          </w:p>
        </w:tc>
      </w:tr>
      <w:tr>
        <w:trPr>
          <w:trHeight w:val="156"/>
        </w:trPr>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Sun Country, Inc., to Pass Through Trust Agreement, dated as of December 9, 2019 (incorporated by reference to Exhibit 4.1</w:t>
              </w:r>
            </w:hyperlink>
          </w:p>
        </w:tc>
        <w:tc>
          <w:tcPr>
            <w:tcW w:w="20" w:type="dxa"/>
            <w:vAlign w:val="bottom"/>
          </w:tcPr>
          <w:p>
            <w:pPr>
              <w:spacing w:after="0"/>
              <w:rPr>
                <w:sz w:val="13"/>
                <w:szCs w:val="13"/>
                <w:color w:val="auto"/>
              </w:rPr>
            </w:pPr>
          </w:p>
        </w:tc>
      </w:tr>
      <w:tr>
        <w:trPr>
          <w:trHeight w:val="155"/>
        </w:trPr>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r:id="rId105">
              <w:r>
                <w:rPr>
                  <w:rFonts w:ascii="Arial" w:cs="Arial" w:eastAsia="Arial" w:hAnsi="Arial"/>
                  <w:sz w:val="18"/>
                  <w:szCs w:val="18"/>
                  <w:color w:val="0000FF"/>
                  <w:w w:val="99"/>
                </w:rPr>
                <w:t>to the Company's Current Report on Form 8-K filed on April 5, 2022)</w:t>
              </w:r>
            </w:hyperlink>
          </w:p>
        </w:tc>
        <w:tc>
          <w:tcPr>
            <w:tcW w:w="454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80"/>
        </w:trPr>
        <w:tc>
          <w:tcPr>
            <w:tcW w:w="300" w:type="dxa"/>
            <w:vAlign w:val="bottom"/>
          </w:tcPr>
          <w:p>
            <w:pPr>
              <w:ind w:left="20"/>
              <w:spacing w:after="0"/>
              <w:rPr>
                <w:sz w:val="20"/>
                <w:szCs w:val="20"/>
                <w:color w:val="auto"/>
              </w:rPr>
            </w:pPr>
            <w:r>
              <w:rPr>
                <w:rFonts w:ascii="Arial" w:cs="Arial" w:eastAsia="Arial" w:hAnsi="Arial"/>
                <w:sz w:val="18"/>
                <w:szCs w:val="18"/>
                <w:color w:val="auto"/>
              </w:rPr>
              <w:t>4.2</w:t>
            </w:r>
          </w:p>
        </w:tc>
        <w:tc>
          <w:tcPr>
            <w:tcW w:w="860" w:type="dxa"/>
            <w:vAlign w:val="bottom"/>
          </w:tcPr>
          <w:p>
            <w:pPr>
              <w:spacing w:after="0"/>
              <w:rPr>
                <w:sz w:val="24"/>
                <w:szCs w:val="24"/>
                <w:color w:val="auto"/>
              </w:rPr>
            </w:pPr>
          </w:p>
        </w:tc>
        <w:tc>
          <w:tcPr>
            <w:tcW w:w="10020" w:type="dxa"/>
            <w:vAlign w:val="bottom"/>
            <w:gridSpan w:val="7"/>
          </w:tcPr>
          <w:p>
            <w:pPr>
              <w:spacing w:after="0"/>
              <w:rPr>
                <w:rFonts w:ascii="Arial" w:cs="Arial" w:eastAsia="Arial" w:hAnsi="Arial"/>
                <w:sz w:val="18"/>
                <w:szCs w:val="18"/>
                <w:color w:val="0000FF"/>
              </w:rPr>
            </w:pPr>
            <w:hyperlink r:id="rId106">
              <w:r>
                <w:rPr>
                  <w:rFonts w:ascii="Arial" w:cs="Arial" w:eastAsia="Arial" w:hAnsi="Arial"/>
                  <w:sz w:val="18"/>
                  <w:szCs w:val="18"/>
                  <w:color w:val="0000FF"/>
                </w:rPr>
                <w:t>Trust Supplement No. 2022-1B, dated as of March 29, 2022, between Wilmington Trust, National Association, as trustee, and</w:t>
              </w:r>
            </w:hyperlink>
          </w:p>
        </w:tc>
      </w:tr>
      <w:tr>
        <w:trPr>
          <w:trHeight w:val="155"/>
        </w:trPr>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Sun Country, Inc., to Pass Through Trust Agreement, dated as of December 9, 2019 (incorporated by reference to Exhibit 4.2</w:t>
              </w:r>
            </w:hyperlink>
          </w:p>
        </w:tc>
        <w:tc>
          <w:tcPr>
            <w:tcW w:w="20" w:type="dxa"/>
            <w:vAlign w:val="bottom"/>
          </w:tcPr>
          <w:p>
            <w:pPr>
              <w:spacing w:after="0"/>
              <w:rPr>
                <w:sz w:val="13"/>
                <w:szCs w:val="13"/>
                <w:color w:val="auto"/>
              </w:rPr>
            </w:pPr>
          </w:p>
        </w:tc>
      </w:tr>
      <w:tr>
        <w:trPr>
          <w:trHeight w:val="155"/>
        </w:trPr>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r:id="rId106">
              <w:r>
                <w:rPr>
                  <w:rFonts w:ascii="Arial" w:cs="Arial" w:eastAsia="Arial" w:hAnsi="Arial"/>
                  <w:sz w:val="18"/>
                  <w:szCs w:val="18"/>
                  <w:color w:val="0000FF"/>
                  <w:w w:val="99"/>
                </w:rPr>
                <w:t>to the Company's Current Report on Form 8-K filed on April 5, 2022)</w:t>
              </w:r>
            </w:hyperlink>
          </w:p>
        </w:tc>
        <w:tc>
          <w:tcPr>
            <w:tcW w:w="454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80"/>
        </w:trPr>
        <w:tc>
          <w:tcPr>
            <w:tcW w:w="300" w:type="dxa"/>
            <w:vAlign w:val="bottom"/>
          </w:tcPr>
          <w:p>
            <w:pPr>
              <w:ind w:left="20"/>
              <w:spacing w:after="0"/>
              <w:rPr>
                <w:sz w:val="20"/>
                <w:szCs w:val="20"/>
                <w:color w:val="auto"/>
              </w:rPr>
            </w:pPr>
            <w:r>
              <w:rPr>
                <w:rFonts w:ascii="Arial" w:cs="Arial" w:eastAsia="Arial" w:hAnsi="Arial"/>
                <w:sz w:val="18"/>
                <w:szCs w:val="18"/>
                <w:color w:val="auto"/>
              </w:rPr>
              <w:t>4.3</w:t>
            </w:r>
          </w:p>
        </w:tc>
        <w:tc>
          <w:tcPr>
            <w:tcW w:w="860" w:type="dxa"/>
            <w:vAlign w:val="bottom"/>
          </w:tcPr>
          <w:p>
            <w:pPr>
              <w:spacing w:after="0"/>
              <w:rPr>
                <w:sz w:val="24"/>
                <w:szCs w:val="24"/>
                <w:color w:val="auto"/>
              </w:rPr>
            </w:pPr>
          </w:p>
        </w:tc>
        <w:tc>
          <w:tcPr>
            <w:tcW w:w="10020" w:type="dxa"/>
            <w:vAlign w:val="bottom"/>
            <w:gridSpan w:val="7"/>
          </w:tcPr>
          <w:p>
            <w:pPr>
              <w:spacing w:after="0"/>
              <w:rPr>
                <w:rFonts w:ascii="Arial" w:cs="Arial" w:eastAsia="Arial" w:hAnsi="Arial"/>
                <w:sz w:val="18"/>
                <w:szCs w:val="18"/>
                <w:color w:val="0000FF"/>
              </w:rPr>
            </w:pPr>
            <w:hyperlink r:id="rId107">
              <w:r>
                <w:rPr>
                  <w:rFonts w:ascii="Arial" w:cs="Arial" w:eastAsia="Arial" w:hAnsi="Arial"/>
                  <w:sz w:val="18"/>
                  <w:szCs w:val="18"/>
                  <w:color w:val="0000FF"/>
                </w:rPr>
                <w:t>Intercreditor Agreement, dated as of March 29, 2022, among Wilmington Trust, National Association, as pass through trustee</w:t>
              </w:r>
            </w:hyperlink>
          </w:p>
        </w:tc>
      </w:tr>
      <w:tr>
        <w:trPr>
          <w:trHeight w:val="155"/>
        </w:trPr>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107">
              <w:r>
                <w:rPr>
                  <w:rFonts w:ascii="Arial" w:cs="Arial" w:eastAsia="Arial" w:hAnsi="Arial"/>
                  <w:sz w:val="18"/>
                  <w:szCs w:val="18"/>
                  <w:color w:val="0000FF"/>
                  <w:w w:val="99"/>
                </w:rPr>
                <w:t>under the pass through trusts, and Wilmington Trust, National Association, as subordination agent (incorporated by reference</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960" w:type="dxa"/>
            <w:vAlign w:val="bottom"/>
            <w:gridSpan w:val="4"/>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to Exhibit 4.3 to the Company's Current Report on Form 8-K filed on April 5, 2022)</w:t>
              </w:r>
            </w:hyperlink>
          </w:p>
        </w:tc>
        <w:tc>
          <w:tcPr>
            <w:tcW w:w="60" w:type="dxa"/>
            <w:vAlign w:val="bottom"/>
            <w:gridSpan w:val="3"/>
          </w:tcPr>
          <w:p>
            <w:pPr>
              <w:spacing w:after="0"/>
              <w:rPr>
                <w:sz w:val="13"/>
                <w:szCs w:val="13"/>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4.4</w:t>
            </w:r>
          </w:p>
        </w:tc>
        <w:tc>
          <w:tcPr>
            <w:tcW w:w="10040" w:type="dxa"/>
            <w:vAlign w:val="bottom"/>
            <w:gridSpan w:val="17"/>
          </w:tcPr>
          <w:p>
            <w:pPr>
              <w:spacing w:after="0"/>
              <w:rPr>
                <w:rFonts w:ascii="Arial" w:cs="Arial" w:eastAsia="Arial" w:hAnsi="Arial"/>
                <w:sz w:val="18"/>
                <w:szCs w:val="18"/>
                <w:color w:val="0000FF"/>
              </w:rPr>
            </w:pPr>
            <w:hyperlink r:id="rId110">
              <w:r>
                <w:rPr>
                  <w:rFonts w:ascii="Arial" w:cs="Arial" w:eastAsia="Arial" w:hAnsi="Arial"/>
                  <w:sz w:val="18"/>
                  <w:szCs w:val="18"/>
                  <w:color w:val="0000FF"/>
                </w:rPr>
                <w:t>Note Purchase Agreement, dated as of March 29, 2022, among Sun Country, Inc., Wilmington Trust, National Association, as</w:t>
              </w:r>
            </w:hyperlink>
          </w:p>
        </w:tc>
      </w:tr>
      <w:tr>
        <w:trPr>
          <w:trHeight w:val="156"/>
        </w:trPr>
        <w:tc>
          <w:tcPr>
            <w:tcW w:w="1140" w:type="dxa"/>
            <w:vAlign w:val="bottom"/>
          </w:tcPr>
          <w:p>
            <w:pPr>
              <w:spacing w:after="0"/>
              <w:rPr>
                <w:sz w:val="13"/>
                <w:szCs w:val="13"/>
                <w:color w:val="auto"/>
              </w:rPr>
            </w:pPr>
          </w:p>
        </w:tc>
        <w:tc>
          <w:tcPr>
            <w:tcW w:w="99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pass through trustee under the pass through trusts, and Wilmington Trust, National Association, as subordination agent</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94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(incorporated by reference to Exhibit 4.4 to the Company's Current Report on Form 8-K filed on April 5, 2022)</w:t>
              </w:r>
            </w:hyperlink>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1"/>
        </w:trPr>
        <w:tc>
          <w:tcPr>
            <w:tcW w:w="1140" w:type="dxa"/>
            <w:vAlign w:val="bottom"/>
          </w:tcPr>
          <w:p>
            <w:pPr>
              <w:spacing w:after="0"/>
              <w:rPr>
                <w:sz w:val="20"/>
                <w:szCs w:val="20"/>
                <w:color w:val="auto"/>
              </w:rPr>
            </w:pPr>
            <w:r>
              <w:rPr>
                <w:rFonts w:ascii="Arial" w:cs="Arial" w:eastAsia="Arial" w:hAnsi="Arial"/>
                <w:sz w:val="18"/>
                <w:szCs w:val="18"/>
                <w:color w:val="auto"/>
              </w:rPr>
              <w:t>4.5</w:t>
            </w:r>
          </w:p>
        </w:tc>
        <w:tc>
          <w:tcPr>
            <w:tcW w:w="10040" w:type="dxa"/>
            <w:vAlign w:val="bottom"/>
            <w:gridSpan w:val="17"/>
          </w:tcPr>
          <w:p>
            <w:pPr>
              <w:spacing w:after="0"/>
              <w:rPr>
                <w:rFonts w:ascii="Arial" w:cs="Arial" w:eastAsia="Arial" w:hAnsi="Arial"/>
                <w:sz w:val="18"/>
                <w:szCs w:val="18"/>
                <w:color w:val="0000FF"/>
              </w:rPr>
            </w:pPr>
            <w:hyperlink r:id="rId110">
              <w:r>
                <w:rPr>
                  <w:rFonts w:ascii="Arial" w:cs="Arial" w:eastAsia="Arial" w:hAnsi="Arial"/>
                  <w:sz w:val="18"/>
                  <w:szCs w:val="18"/>
                  <w:color w:val="0000FF"/>
                </w:rPr>
                <w:t>Form of Participation Agreement (Participation Agreement between Sun Country, Inc. and Wilmington Trust, National</w:t>
              </w:r>
            </w:hyperlink>
          </w:p>
        </w:tc>
      </w:tr>
      <w:tr>
        <w:trPr>
          <w:trHeight w:val="20"/>
        </w:trPr>
        <w:tc>
          <w:tcPr>
            <w:tcW w:w="114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40" w:type="dxa"/>
            <w:vAlign w:val="bottom"/>
          </w:tcPr>
          <w:p>
            <w:pPr>
              <w:spacing w:after="0"/>
              <w:rPr>
                <w:sz w:val="13"/>
                <w:szCs w:val="13"/>
                <w:color w:val="auto"/>
              </w:rPr>
            </w:pPr>
          </w:p>
        </w:tc>
        <w:tc>
          <w:tcPr>
            <w:tcW w:w="10040" w:type="dxa"/>
            <w:vAlign w:val="bottom"/>
            <w:gridSpan w:val="17"/>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Association, not in its individual capacity but solely as mortgagee, subordination agent under the Intercreditor Agreement and</w:t>
              </w:r>
            </w:hyperlink>
          </w:p>
        </w:tc>
      </w:tr>
      <w:tr>
        <w:trPr>
          <w:trHeight w:val="156"/>
        </w:trPr>
        <w:tc>
          <w:tcPr>
            <w:tcW w:w="1140" w:type="dxa"/>
            <w:vAlign w:val="bottom"/>
          </w:tcPr>
          <w:p>
            <w:pPr>
              <w:spacing w:after="0"/>
              <w:rPr>
                <w:sz w:val="13"/>
                <w:szCs w:val="13"/>
                <w:color w:val="auto"/>
              </w:rPr>
            </w:pPr>
          </w:p>
        </w:tc>
        <w:tc>
          <w:tcPr>
            <w:tcW w:w="99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pass through trustee under the pass through trusts) (Exhibit B to Note Purchase Agreement) (included in Exhibit 4.4)</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1"/>
        </w:trPr>
        <w:tc>
          <w:tcPr>
            <w:tcW w:w="1140" w:type="dxa"/>
            <w:vAlign w:val="bottom"/>
          </w:tcPr>
          <w:p>
            <w:pPr>
              <w:spacing w:after="0"/>
              <w:rPr>
                <w:sz w:val="20"/>
                <w:szCs w:val="20"/>
                <w:color w:val="auto"/>
              </w:rPr>
            </w:pPr>
            <w:r>
              <w:rPr>
                <w:rFonts w:ascii="Arial" w:cs="Arial" w:eastAsia="Arial" w:hAnsi="Arial"/>
                <w:sz w:val="18"/>
                <w:szCs w:val="18"/>
                <w:color w:val="auto"/>
              </w:rPr>
              <w:t>4.6</w:t>
            </w:r>
          </w:p>
        </w:tc>
        <w:tc>
          <w:tcPr>
            <w:tcW w:w="10040" w:type="dxa"/>
            <w:vAlign w:val="bottom"/>
            <w:gridSpan w:val="17"/>
          </w:tcPr>
          <w:p>
            <w:pPr>
              <w:spacing w:after="0"/>
              <w:rPr>
                <w:rFonts w:ascii="Arial" w:cs="Arial" w:eastAsia="Arial" w:hAnsi="Arial"/>
                <w:sz w:val="18"/>
                <w:szCs w:val="18"/>
                <w:color w:val="0000FF"/>
              </w:rPr>
            </w:pPr>
            <w:hyperlink r:id="rId110">
              <w:r>
                <w:rPr>
                  <w:rFonts w:ascii="Arial" w:cs="Arial" w:eastAsia="Arial" w:hAnsi="Arial"/>
                  <w:sz w:val="18"/>
                  <w:szCs w:val="18"/>
                  <w:color w:val="0000FF"/>
                </w:rPr>
                <w:t>Form of Indenture (Trust Indenture and Mortgage between Sun Country, Inc. and Wilmington Trust, National Association, not</w:t>
              </w:r>
            </w:hyperlink>
          </w:p>
        </w:tc>
      </w:tr>
      <w:tr>
        <w:trPr>
          <w:trHeight w:val="156"/>
        </w:trPr>
        <w:tc>
          <w:tcPr>
            <w:tcW w:w="114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8"/>
              </w:rPr>
            </w:pPr>
            <w:hyperlink r:id="rId110">
              <w:r>
                <w:rPr>
                  <w:rFonts w:ascii="Arial" w:cs="Arial" w:eastAsia="Arial" w:hAnsi="Arial"/>
                  <w:sz w:val="18"/>
                  <w:szCs w:val="18"/>
                  <w:color w:val="0000FF"/>
                  <w:w w:val="98"/>
                </w:rPr>
                <w:t>in its individual capacity, except as expressly stated therein, but solely as mortgagee) (Exhibit C to Note Purchase Agreement)</w:t>
              </w:r>
            </w:hyperlink>
          </w:p>
        </w:tc>
        <w:tc>
          <w:tcPr>
            <w:tcW w:w="12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1880" w:type="dxa"/>
            <w:vAlign w:val="bottom"/>
            <w:tcBorders>
              <w:bottom w:val="single" w:sz="8" w:color="0000FF"/>
            </w:tcBorders>
          </w:tcPr>
          <w:p>
            <w:pPr>
              <w:spacing w:after="0" w:line="156"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(included in Exhibit 4.4)</w:t>
              </w:r>
            </w:hyperlink>
          </w:p>
        </w:tc>
        <w:tc>
          <w:tcPr>
            <w:tcW w:w="814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r>
      <w:tr>
        <w:trPr>
          <w:trHeight w:val="641"/>
        </w:trPr>
        <w:tc>
          <w:tcPr>
            <w:tcW w:w="1140" w:type="dxa"/>
            <w:vAlign w:val="bottom"/>
          </w:tcPr>
          <w:p>
            <w:pPr>
              <w:spacing w:after="0"/>
              <w:rPr>
                <w:sz w:val="20"/>
                <w:szCs w:val="20"/>
                <w:color w:val="auto"/>
              </w:rPr>
            </w:pPr>
            <w:r>
              <w:rPr>
                <w:rFonts w:ascii="Arial" w:cs="Arial" w:eastAsia="Arial" w:hAnsi="Arial"/>
                <w:sz w:val="18"/>
                <w:szCs w:val="18"/>
                <w:color w:val="auto"/>
              </w:rPr>
              <w:t>4.7</w:t>
            </w:r>
          </w:p>
        </w:tc>
        <w:tc>
          <w:tcPr>
            <w:tcW w:w="7340" w:type="dxa"/>
            <w:vAlign w:val="bottom"/>
            <w:tcBorders>
              <w:bottom w:val="single" w:sz="8" w:color="0000FF"/>
            </w:tcBorders>
            <w:gridSpan w:val="5"/>
          </w:tcPr>
          <w:p>
            <w:pPr>
              <w:spacing w:after="0"/>
              <w:rPr>
                <w:rFonts w:ascii="Arial" w:cs="Arial" w:eastAsia="Arial" w:hAnsi="Arial"/>
                <w:sz w:val="18"/>
                <w:szCs w:val="18"/>
                <w:color w:val="0000FF"/>
                <w:w w:val="99"/>
              </w:rPr>
            </w:pPr>
            <w:hyperlink r:id="rId105">
              <w:r>
                <w:rPr>
                  <w:rFonts w:ascii="Arial" w:cs="Arial" w:eastAsia="Arial" w:hAnsi="Arial"/>
                  <w:sz w:val="18"/>
                  <w:szCs w:val="18"/>
                  <w:color w:val="0000FF"/>
                  <w:w w:val="99"/>
                </w:rPr>
                <w:t>Form of Sun Country, Inc. Pass Through Certificate, Series 2022-1A (included in Exhibit 4.1)</w:t>
              </w:r>
            </w:hyperlink>
          </w:p>
        </w:tc>
        <w:tc>
          <w:tcPr>
            <w:tcW w:w="2700" w:type="dxa"/>
            <w:vAlign w:val="bottom"/>
            <w:gridSpan w:val="12"/>
          </w:tcPr>
          <w:p>
            <w:pPr>
              <w:spacing w:after="0"/>
              <w:rPr>
                <w:sz w:val="24"/>
                <w:szCs w:val="24"/>
                <w:color w:val="auto"/>
              </w:rPr>
            </w:pPr>
          </w:p>
        </w:tc>
      </w:tr>
      <w:tr>
        <w:trPr>
          <w:trHeight w:val="642"/>
        </w:trPr>
        <w:tc>
          <w:tcPr>
            <w:tcW w:w="1140" w:type="dxa"/>
            <w:vAlign w:val="bottom"/>
          </w:tcPr>
          <w:p>
            <w:pPr>
              <w:spacing w:after="0"/>
              <w:rPr>
                <w:sz w:val="20"/>
                <w:szCs w:val="20"/>
                <w:color w:val="auto"/>
              </w:rPr>
            </w:pPr>
            <w:r>
              <w:rPr>
                <w:rFonts w:ascii="Arial" w:cs="Arial" w:eastAsia="Arial" w:hAnsi="Arial"/>
                <w:sz w:val="18"/>
                <w:szCs w:val="18"/>
                <w:color w:val="auto"/>
              </w:rPr>
              <w:t>4.8</w:t>
            </w:r>
          </w:p>
        </w:tc>
        <w:tc>
          <w:tcPr>
            <w:tcW w:w="7340" w:type="dxa"/>
            <w:vAlign w:val="bottom"/>
            <w:tcBorders>
              <w:bottom w:val="single" w:sz="8" w:color="0000FF"/>
            </w:tcBorders>
            <w:gridSpan w:val="5"/>
          </w:tcPr>
          <w:p>
            <w:pPr>
              <w:spacing w:after="0"/>
              <w:rPr>
                <w:rFonts w:ascii="Arial" w:cs="Arial" w:eastAsia="Arial" w:hAnsi="Arial"/>
                <w:sz w:val="18"/>
                <w:szCs w:val="18"/>
                <w:color w:val="0000FF"/>
                <w:w w:val="99"/>
              </w:rPr>
            </w:pPr>
            <w:hyperlink r:id="rId106">
              <w:r>
                <w:rPr>
                  <w:rFonts w:ascii="Arial" w:cs="Arial" w:eastAsia="Arial" w:hAnsi="Arial"/>
                  <w:sz w:val="18"/>
                  <w:szCs w:val="18"/>
                  <w:color w:val="0000FF"/>
                  <w:w w:val="99"/>
                </w:rPr>
                <w:t>Form of Sun Country, Inc. Pass Through Certificate, Series 2022-1B (included in Exhibit 4.2)</w:t>
              </w:r>
            </w:hyperlink>
          </w:p>
        </w:tc>
        <w:tc>
          <w:tcPr>
            <w:tcW w:w="2700" w:type="dxa"/>
            <w:vAlign w:val="bottom"/>
            <w:gridSpan w:val="12"/>
          </w:tcPr>
          <w:p>
            <w:pPr>
              <w:spacing w:after="0"/>
              <w:rPr>
                <w:sz w:val="24"/>
                <w:szCs w:val="24"/>
                <w:color w:val="auto"/>
              </w:rPr>
            </w:pPr>
          </w:p>
        </w:tc>
      </w:tr>
      <w:tr>
        <w:trPr>
          <w:trHeight w:val="641"/>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0040" w:type="dxa"/>
            <w:vAlign w:val="bottom"/>
            <w:gridSpan w:val="17"/>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Certification by Sun Country's Chief Executive Officer with respect to Sun Country's Quarterly Report on Form 10-Q for the</w:t>
              </w:r>
            </w:hyperlink>
          </w:p>
        </w:tc>
      </w:tr>
      <w:tr>
        <w:trPr>
          <w:trHeight w:val="156"/>
        </w:trPr>
        <w:tc>
          <w:tcPr>
            <w:tcW w:w="1140" w:type="dxa"/>
            <w:vAlign w:val="bottom"/>
          </w:tcPr>
          <w:p>
            <w:pPr>
              <w:spacing w:after="0"/>
              <w:rPr>
                <w:sz w:val="13"/>
                <w:szCs w:val="13"/>
                <w:color w:val="auto"/>
              </w:rPr>
            </w:pPr>
          </w:p>
        </w:tc>
        <w:tc>
          <w:tcPr>
            <w:tcW w:w="97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quarterly period ended March 31, 2022</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480"/>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040" w:type="dxa"/>
            <w:vAlign w:val="bottom"/>
            <w:gridSpan w:val="17"/>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Certification by Sun Country’s President and Chief Financial Officer with respect to Sun Country's Quarterly Report on Form</w:t>
              </w:r>
            </w:hyperlink>
          </w:p>
        </w:tc>
      </w:tr>
      <w:tr>
        <w:trPr>
          <w:trHeight w:val="155"/>
        </w:trPr>
        <w:tc>
          <w:tcPr>
            <w:tcW w:w="114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w:anchor="page47">
              <w:r>
                <w:rPr>
                  <w:rFonts w:ascii="Arial" w:cs="Arial" w:eastAsia="Arial" w:hAnsi="Arial"/>
                  <w:sz w:val="18"/>
                  <w:szCs w:val="18"/>
                  <w:color w:val="0000FF"/>
                  <w:w w:val="99"/>
                </w:rPr>
                <w:t>10-Q for the quarterly period ended March 31, 2022</w:t>
              </w:r>
            </w:hyperlink>
          </w:p>
        </w:tc>
        <w:tc>
          <w:tcPr>
            <w:tcW w:w="5720" w:type="dxa"/>
            <w:vAlign w:val="bottom"/>
            <w:tcBorders>
              <w:top w:val="single" w:sz="8" w:color="0000FF"/>
            </w:tcBorders>
            <w:gridSpan w:val="9"/>
          </w:tcPr>
          <w:p>
            <w:pPr>
              <w:spacing w:after="0"/>
              <w:rPr>
                <w:sz w:val="13"/>
                <w:szCs w:val="13"/>
                <w:color w:val="auto"/>
              </w:rPr>
            </w:pPr>
          </w:p>
        </w:tc>
        <w:tc>
          <w:tcPr>
            <w:tcW w:w="200" w:type="dxa"/>
            <w:vAlign w:val="bottom"/>
            <w:gridSpan w:val="5"/>
          </w:tcPr>
          <w:p>
            <w:pPr>
              <w:spacing w:after="0"/>
              <w:rPr>
                <w:sz w:val="13"/>
                <w:szCs w:val="13"/>
                <w:color w:val="auto"/>
              </w:rPr>
            </w:pPr>
          </w:p>
        </w:tc>
      </w:tr>
      <w:tr>
        <w:trPr>
          <w:trHeight w:val="480"/>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10040" w:type="dxa"/>
            <w:vAlign w:val="bottom"/>
            <w:gridSpan w:val="1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Certification pursuant to Section 1350 of Chapter 63 of Title 18 of the United States Code by Sun Country Airlines Holdings,</w:t>
              </w:r>
            </w:hyperlink>
          </w:p>
        </w:tc>
      </w:tr>
      <w:tr>
        <w:trPr>
          <w:trHeight w:val="155"/>
        </w:trPr>
        <w:tc>
          <w:tcPr>
            <w:tcW w:w="1140" w:type="dxa"/>
            <w:vAlign w:val="bottom"/>
          </w:tcPr>
          <w:p>
            <w:pPr>
              <w:spacing w:after="0"/>
              <w:rPr>
                <w:sz w:val="13"/>
                <w:szCs w:val="13"/>
                <w:color w:val="auto"/>
              </w:rPr>
            </w:pPr>
          </w:p>
        </w:tc>
        <w:tc>
          <w:tcPr>
            <w:tcW w:w="98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48">
              <w:r>
                <w:rPr>
                  <w:rFonts w:ascii="Arial" w:cs="Arial" w:eastAsia="Arial" w:hAnsi="Arial"/>
                  <w:sz w:val="18"/>
                  <w:szCs w:val="18"/>
                  <w:color w:val="0000FF"/>
                </w:rPr>
                <w:t>Inc.’s Chief Executive Officer and President and Chief Financial Officer with respect to Sun Country's Quarterly Report on</w:t>
              </w:r>
            </w:hyperlink>
          </w:p>
        </w:tc>
        <w:tc>
          <w:tcPr>
            <w:tcW w:w="220" w:type="dxa"/>
            <w:vAlign w:val="bottom"/>
            <w:gridSpan w:val="6"/>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96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48">
              <w:r>
                <w:rPr>
                  <w:rFonts w:ascii="Arial" w:cs="Arial" w:eastAsia="Arial" w:hAnsi="Arial"/>
                  <w:sz w:val="18"/>
                  <w:szCs w:val="18"/>
                  <w:color w:val="0000FF"/>
                </w:rPr>
                <w:t>Form 10-Q for the quarterly period ended March 31, 2022</w:t>
              </w:r>
            </w:hyperlink>
          </w:p>
        </w:tc>
        <w:tc>
          <w:tcPr>
            <w:tcW w:w="400" w:type="dxa"/>
            <w:vAlign w:val="bottom"/>
            <w:gridSpan w:val="8"/>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580" w:type="dxa"/>
            <w:vAlign w:val="bottom"/>
            <w:gridSpan w:val="4"/>
            <w:shd w:val="clear" w:color="auto" w:fill="0000FF"/>
          </w:tcPr>
          <w:p>
            <w:pPr>
              <w:spacing w:after="0" w:line="20" w:lineRule="exact"/>
              <w:rPr>
                <w:sz w:val="1"/>
                <w:szCs w:val="1"/>
                <w:color w:val="auto"/>
              </w:rPr>
            </w:pPr>
          </w:p>
        </w:tc>
        <w:tc>
          <w:tcPr>
            <w:tcW w:w="5460" w:type="dxa"/>
            <w:vAlign w:val="bottom"/>
            <w:gridSpan w:val="13"/>
          </w:tcPr>
          <w:p>
            <w:pPr>
              <w:spacing w:after="0" w:line="20" w:lineRule="exact"/>
              <w:rPr>
                <w:sz w:val="1"/>
                <w:szCs w:val="1"/>
                <w:color w:val="auto"/>
              </w:rPr>
            </w:pPr>
          </w:p>
        </w:tc>
      </w:tr>
      <w:tr>
        <w:trPr>
          <w:trHeight w:val="479"/>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17"/>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17"/>
        </w:trPr>
        <w:tc>
          <w:tcPr>
            <w:tcW w:w="1140" w:type="dxa"/>
            <w:vAlign w:val="bottom"/>
          </w:tcPr>
          <w:p>
            <w:pPr>
              <w:spacing w:after="0"/>
              <w:rPr>
                <w:sz w:val="18"/>
                <w:szCs w:val="18"/>
                <w:color w:val="auto"/>
              </w:rPr>
            </w:pPr>
          </w:p>
        </w:tc>
        <w:tc>
          <w:tcPr>
            <w:tcW w:w="10040" w:type="dxa"/>
            <w:vAlign w:val="bottom"/>
            <w:gridSpan w:val="17"/>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499"/>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500"/>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500"/>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99"/>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500"/>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99"/>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040" w:type="dxa"/>
            <w:vAlign w:val="bottom"/>
            <w:gridSpan w:val="17"/>
          </w:tcPr>
          <w:p>
            <w:pPr>
              <w:spacing w:after="0"/>
              <w:rPr>
                <w:sz w:val="20"/>
                <w:szCs w:val="20"/>
                <w:color w:val="auto"/>
              </w:rPr>
            </w:pPr>
            <w:r>
              <w:rPr>
                <w:rFonts w:ascii="Arial" w:cs="Arial" w:eastAsia="Arial" w:hAnsi="Arial"/>
                <w:sz w:val="18"/>
                <w:szCs w:val="18"/>
                <w:color w:val="auto"/>
              </w:rPr>
              <w:t>Cover Page Interactive Data Files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61118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6111875" cy="8890"/>
                    </a:xfrm>
                    <a:prstGeom prst="rect">
                      <a:avLst/>
                    </a:prstGeom>
                    <a:noFill/>
                  </pic:spPr>
                </pic:pic>
              </a:graphicData>
            </a:graphic>
          </wp:anchor>
        </w:drawing>
      </w:r>
    </w:p>
    <w:p>
      <w:pPr>
        <w:spacing w:after="0" w:line="255" w:lineRule="exact"/>
        <w:rPr>
          <w:sz w:val="20"/>
          <w:szCs w:val="20"/>
          <w:color w:val="auto"/>
        </w:rPr>
      </w:pPr>
    </w:p>
    <w:p>
      <w:pPr>
        <w:ind w:left="440" w:hanging="414"/>
        <w:spacing w:after="0"/>
        <w:tabs>
          <w:tab w:leader="none" w:pos="4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Sun Country Airlines Holdings, Inc.</w:t>
      </w:r>
    </w:p>
    <w:p>
      <w:pPr>
        <w:ind w:left="5640"/>
        <w:spacing w:after="0"/>
        <w:rPr>
          <w:sz w:val="20"/>
          <w:szCs w:val="20"/>
          <w:color w:val="auto"/>
        </w:rPr>
      </w:pPr>
      <w:r>
        <w:rPr>
          <w:rFonts w:ascii="Arial" w:cs="Arial" w:eastAsia="Arial" w:hAnsi="Arial"/>
          <w:sz w:val="18"/>
          <w:szCs w:val="18"/>
          <w:color w:val="auto"/>
        </w:rPr>
        <w:t>(Registrant)</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Dave Davis</w:t>
      </w:r>
    </w:p>
    <w:p>
      <w:pPr>
        <w:ind w:left="5640"/>
        <w:spacing w:after="0" w:line="229" w:lineRule="auto"/>
        <w:rPr>
          <w:sz w:val="20"/>
          <w:szCs w:val="20"/>
          <w:color w:val="auto"/>
        </w:rPr>
      </w:pPr>
      <w:r>
        <w:rPr>
          <w:rFonts w:ascii="Arial" w:cs="Arial" w:eastAsia="Arial" w:hAnsi="Arial"/>
          <w:sz w:val="18"/>
          <w:szCs w:val="18"/>
          <w:color w:val="auto"/>
        </w:rPr>
        <w:t>President and Chief Financial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6, 2022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220"/>
          </w:cols>
          <w:pgMar w:left="320" w:top="140" w:right="3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 Jude Bricker, certify that:</w:t>
      </w:r>
    </w:p>
    <w:p>
      <w:pPr>
        <w:spacing w:after="0" w:line="225" w:lineRule="exact"/>
        <w:rPr>
          <w:sz w:val="20"/>
          <w:szCs w:val="20"/>
          <w:color w:val="auto"/>
        </w:rPr>
      </w:pPr>
    </w:p>
    <w:p>
      <w:pPr>
        <w:ind w:left="660" w:right="40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Country Airlines Holdings, Inc. ("Sun Country") for the three month period ended March 31, 2022;</w:t>
      </w:r>
    </w:p>
    <w:p>
      <w:pPr>
        <w:spacing w:after="0" w:line="170"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46" w:lineRule="exact"/>
        <w:rPr>
          <w:rFonts w:ascii="Arial" w:cs="Arial" w:eastAsia="Arial" w:hAnsi="Arial"/>
          <w:sz w:val="17"/>
          <w:szCs w:val="17"/>
          <w:color w:val="auto"/>
        </w:rPr>
      </w:pPr>
    </w:p>
    <w:p>
      <w:pPr>
        <w:ind w:left="660" w:right="4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Sun Country's other certifying officer and I are responsible for establishing and maintaining disclosure controls and procedures (as defined in Exchange Act Rules 13a-15(e) and 15d-15(e)) for Sun Country and have:</w:t>
      </w:r>
    </w:p>
    <w:p>
      <w:pPr>
        <w:spacing w:after="0" w:line="170"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25"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right="140" w:hanging="324"/>
        <w:spacing w:after="0" w:line="263" w:lineRule="auto"/>
        <w:tabs>
          <w:tab w:leader="none" w:pos="974"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83"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46" w:lineRule="exact"/>
        <w:rPr>
          <w:rFonts w:ascii="Arial" w:cs="Arial" w:eastAsia="Arial" w:hAnsi="Arial"/>
          <w:sz w:val="17"/>
          <w:szCs w:val="17"/>
          <w:color w:val="auto"/>
        </w:rPr>
      </w:pPr>
    </w:p>
    <w:p>
      <w:pPr>
        <w:ind w:left="980" w:right="780" w:hanging="324"/>
        <w:spacing w:after="0" w:line="342" w:lineRule="auto"/>
        <w:tabs>
          <w:tab w:leader="none" w:pos="977"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23" w:lineRule="exact"/>
        <w:rPr>
          <w:rFonts w:ascii="Arial" w:cs="Arial" w:eastAsia="Arial" w:hAnsi="Arial"/>
          <w:sz w:val="16"/>
          <w:szCs w:val="16"/>
          <w:color w:val="auto"/>
        </w:rPr>
      </w:pPr>
    </w:p>
    <w:p>
      <w:pPr>
        <w:ind w:left="980" w:right="520" w:hanging="324"/>
        <w:spacing w:after="0" w:line="277" w:lineRule="auto"/>
        <w:tabs>
          <w:tab w:leader="none" w:pos="97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Sun Country's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6, 2022</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37547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Jude Bricker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4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 Dave Davis, certify that:</w:t>
      </w:r>
    </w:p>
    <w:p>
      <w:pPr>
        <w:spacing w:after="0" w:line="225" w:lineRule="exact"/>
        <w:rPr>
          <w:sz w:val="20"/>
          <w:szCs w:val="20"/>
          <w:color w:val="auto"/>
        </w:rPr>
      </w:pPr>
    </w:p>
    <w:p>
      <w:pPr>
        <w:ind w:left="660" w:right="40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Country Airlines Holdings, Inc. ("Sun Country") for the three month period ended March 31, 2022;</w:t>
      </w:r>
    </w:p>
    <w:p>
      <w:pPr>
        <w:spacing w:after="0" w:line="170"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46" w:lineRule="exact"/>
        <w:rPr>
          <w:rFonts w:ascii="Arial" w:cs="Arial" w:eastAsia="Arial" w:hAnsi="Arial"/>
          <w:sz w:val="17"/>
          <w:szCs w:val="17"/>
          <w:color w:val="auto"/>
        </w:rPr>
      </w:pPr>
    </w:p>
    <w:p>
      <w:pPr>
        <w:ind w:left="660" w:right="4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Sun Country's other certifying officer and I are responsible for establishing and maintaining disclosure controls and procedures (as defined in Exchange Act Rules 13a-15(e) and 15d-15(e)) for Sun Country and have:</w:t>
      </w:r>
    </w:p>
    <w:p>
      <w:pPr>
        <w:spacing w:after="0" w:line="170"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25"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right="140" w:hanging="324"/>
        <w:spacing w:after="0" w:line="263" w:lineRule="auto"/>
        <w:tabs>
          <w:tab w:leader="none" w:pos="97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83"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46" w:lineRule="exact"/>
        <w:rPr>
          <w:rFonts w:ascii="Arial" w:cs="Arial" w:eastAsia="Arial" w:hAnsi="Arial"/>
          <w:sz w:val="17"/>
          <w:szCs w:val="17"/>
          <w:color w:val="auto"/>
        </w:rPr>
      </w:pPr>
    </w:p>
    <w:p>
      <w:pPr>
        <w:ind w:left="980" w:right="780" w:hanging="324"/>
        <w:spacing w:after="0" w:line="342" w:lineRule="auto"/>
        <w:tabs>
          <w:tab w:leader="none" w:pos="977"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23" w:lineRule="exact"/>
        <w:rPr>
          <w:rFonts w:ascii="Arial" w:cs="Arial" w:eastAsia="Arial" w:hAnsi="Arial"/>
          <w:sz w:val="16"/>
          <w:szCs w:val="16"/>
          <w:color w:val="auto"/>
        </w:rPr>
      </w:pPr>
    </w:p>
    <w:p>
      <w:pPr>
        <w:ind w:left="980" w:right="520" w:hanging="324"/>
        <w:spacing w:after="0" w:line="277" w:lineRule="auto"/>
        <w:tabs>
          <w:tab w:leader="none" w:pos="97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Sun Country's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6, 2022</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37547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Dave Davis</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240"/>
          </w:cols>
          <w:pgMar w:left="320" w:top="114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6, 2022</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quarterly report on Form 10-Q of Sun Country Airlines Holdings, Inc. ("Sun Country") for the quarterly period ended March 31, 2022 (the "Report").</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of the undersigned, the Chief Executive Officer and the President and Chief Financial Officer, respectively, of Sun Country, hereby certifies that, as of the end of the period covered by the Report:</w:t>
      </w:r>
    </w:p>
    <w:p>
      <w:pPr>
        <w:spacing w:after="0" w:line="17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Sun Country.</w:t>
      </w: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36004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Jude Bricker</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36004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Dave Davis</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and Chief Financial Officer</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1."/>
      <w:numFmt w:val="decimal"/>
      <w:start w:val="4"/>
    </w:lvl>
  </w:abstractNum>
  <w:abstractNum w:abstractNumId="6">
    <w:nsid w:val="3F2DBA31"/>
    <w:multiLevelType w:val="hybridMultilevel"/>
    <w:lvl w:ilvl="0">
      <w:lvlJc w:val="left"/>
      <w:lvlText w:val="%1"/>
      <w:numFmt w:val="decimal"/>
      <w:start w:val="1"/>
    </w:lvl>
    <w:lvl w:ilvl="1">
      <w:lvlJc w:val="left"/>
      <w:lvlText w:val="(%2)"/>
      <w:numFmt w:val="decimal"/>
      <w:start w:val="1"/>
    </w:lvl>
  </w:abstractNum>
  <w:abstractNum w:abstractNumId="7">
    <w:nsid w:val="7C83E458"/>
    <w:multiLevelType w:val="hybridMultilevel"/>
    <w:lvl w:ilvl="0">
      <w:lvlJc w:val="left"/>
      <w:lvlText w:val="%1."/>
      <w:numFmt w:val="decimal"/>
      <w:start w:val="5"/>
    </w:lvl>
    <w:lvl w:ilvl="1">
      <w:lvlJc w:val="left"/>
      <w:lvlText w:val="%2"/>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6"/>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7"/>
    </w:lvl>
  </w:abstractNum>
  <w:abstractNum w:abstractNumId="12">
    <w:nsid w:val="333AB105"/>
    <w:multiLevelType w:val="hybridMultilevel"/>
    <w:lvl w:ilvl="0">
      <w:lvlJc w:val="left"/>
      <w:lvlText w:val="%1."/>
      <w:numFmt w:val="decimal"/>
      <w:start w:val="8"/>
    </w:lvl>
  </w:abstractNum>
  <w:abstractNum w:abstractNumId="13">
    <w:nsid w:val="721DA317"/>
    <w:multiLevelType w:val="hybridMultilevel"/>
    <w:lvl w:ilvl="0">
      <w:lvlJc w:val="left"/>
      <w:lvlText w:val="%1."/>
      <w:numFmt w:val="decimal"/>
      <w:start w:val="9"/>
    </w:lvl>
  </w:abstractNum>
  <w:abstractNum w:abstractNumId="14">
    <w:nsid w:val="2443A858"/>
    <w:multiLevelType w:val="hybridMultilevel"/>
    <w:lvl w:ilvl="0">
      <w:lvlJc w:val="left"/>
      <w:lvlText w:val="%1."/>
      <w:numFmt w:val="decimal"/>
      <w:start w:val="10"/>
    </w:lvl>
  </w:abstractNum>
  <w:abstractNum w:abstractNumId="15">
    <w:nsid w:val="2D1D5AE9"/>
    <w:multiLevelType w:val="hybridMultilevel"/>
    <w:lvl w:ilvl="0">
      <w:lvlJc w:val="left"/>
      <w:lvlText w:val="%1."/>
      <w:numFmt w:val="decimal"/>
      <w:start w:val="11"/>
    </w:lvl>
  </w:abstractNum>
  <w:abstractNum w:abstractNumId="16">
    <w:nsid w:val="6763845E"/>
    <w:multiLevelType w:val="hybridMultilevel"/>
    <w:lvl w:ilvl="0">
      <w:lvlJc w:val="left"/>
      <w:lvlText w:val="%1"/>
      <w:numFmt w:val="decimal"/>
      <w:start w:val="1"/>
    </w:lvl>
    <w:lvl w:ilvl="1">
      <w:lvlJc w:val="left"/>
      <w:lvlText w:val="(%2)"/>
      <w:numFmt w:val="decimal"/>
      <w:start w:val="1"/>
    </w:lvl>
  </w:abstractNum>
  <w:abstractNum w:abstractNumId="17">
    <w:nsid w:val="75A2A8D4"/>
    <w:multiLevelType w:val="hybridMultilevel"/>
    <w:lvl w:ilvl="0">
      <w:lvlJc w:val="left"/>
      <w:lvlText w:val="%1."/>
      <w:numFmt w:val="decimal"/>
      <w:start w:val="12"/>
    </w:lvl>
    <w:lvl w:ilvl="1">
      <w:lvlJc w:val="left"/>
      <w:lvlText w:val="%2"/>
      <w:numFmt w:val="decimal"/>
      <w:start w:val="1"/>
    </w:lvl>
  </w:abstractNum>
  <w:abstractNum w:abstractNumId="18">
    <w:nsid w:val="8EDBDAB"/>
    <w:multiLevelType w:val="hybridMultilevel"/>
    <w:lvl w:ilvl="0">
      <w:lvlJc w:val="left"/>
      <w:lvlText w:val="%1."/>
      <w:numFmt w:val="decimal"/>
      <w:start w:val="13"/>
    </w:lvl>
  </w:abstractNum>
  <w:abstractNum w:abstractNumId="19">
    <w:nsid w:val="79838CB2"/>
    <w:multiLevelType w:val="hybridMultilevel"/>
    <w:lvl w:ilvl="0">
      <w:lvlJc w:val="left"/>
      <w:lvlText w:val="%1."/>
      <w:numFmt w:val="decimal"/>
      <w:start w:val="14"/>
    </w:lvl>
  </w:abstractNum>
  <w:abstractNum w:abstractNumId="20">
    <w:nsid w:val="4353D0CD"/>
    <w:multiLevelType w:val="hybridMultilevel"/>
    <w:lvl w:ilvl="0">
      <w:lvlJc w:val="left"/>
      <w:lvlText w:val="(%1)"/>
      <w:numFmt w:val="decimal"/>
      <w:start w:val="1"/>
    </w:lvl>
    <w:lvl w:ilvl="1">
      <w:lvlJc w:val="left"/>
      <w:lvlText w:val="-"/>
      <w:numFmt w:val="bullet"/>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lowerLetter"/>
      <w:start w:val="1"/>
    </w:lvl>
    <w:lvl w:ilvl="1">
      <w:lvlJc w:val="left"/>
      <w:lvlText w:val="-"/>
      <w:numFmt w:val="bullet"/>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1"/>
    </w:lvl>
    <w:lvl w:ilvl="1">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28" Type="http://schemas.openxmlformats.org/officeDocument/2006/relationships/hyperlink" Target="https://www.sec.gov/ix?doc=/Archives/edgar/data/0001743907/000155837022001409/sncy-20211231x10k.htm#_1._COMPANY_BACKGROUND" TargetMode="External"/><Relationship Id="rId33" Type="http://schemas.openxmlformats.org/officeDocument/2006/relationships/hyperlink" Target="https://www.sec.gov/ix?doc=/Archives/edgar/data/0001743907/000155837022001409/sncy-20211231x10k.htm#_3._IMPACT_OF" TargetMode="External"/><Relationship Id="rId50" Type="http://schemas.openxmlformats.org/officeDocument/2006/relationships/hyperlink" Target="https://www.sec.gov/ix?doc=/Archives/edgar/data/0001743907/000155837022001409/sncy-20211231x10k.htm#a12FAIRVALUEMEASUREMENTS_678483" TargetMode="External"/><Relationship Id="rId53" Type="http://schemas.openxmlformats.org/officeDocument/2006/relationships/hyperlink" Target="https://www.sec.gov/ix?doc=/Archives/edgar/data/0001743907/000155837022001409/sncy-20211231x10k.htm#a13INCOMETAXES_186668" TargetMode="External"/><Relationship Id="rId58" Type="http://schemas.openxmlformats.org/officeDocument/2006/relationships/hyperlink" Target="https://www.sec.gov/ix?doc=/Archives/edgar/data/0001743907/000155837022001409/sncy-20211231x10k.htm#a17OPERATINGSEGMENTS_809897" TargetMode="External"/><Relationship Id="rId61" Type="http://schemas.openxmlformats.org/officeDocument/2006/relationships/hyperlink" Target="https://www.sec.gov/ix?doc=/Archives/edgar/data/0001743907/000155837022001409/sncy-20211231x10k.htm#ITEM1ARISKFACTORS_130833" TargetMode="External"/><Relationship Id="rId66" Type="http://schemas.openxmlformats.org/officeDocument/2006/relationships/hyperlink" Target="https://www.sec.gov/ix?doc=/Archives/edgar/data/0001743907/000155837022001409/sncy-20211231x10k.htm#Item1Business_251262" TargetMode="External"/><Relationship Id="rId67" Type="http://schemas.openxmlformats.org/officeDocument/2006/relationships/hyperlink" Target="https://www.sec.gov/ix?doc=/Archives/edgar/data/0001743907/000155837022001409/sncy-20211231x10k.htm#ITEM7MANAGEMENTSDISCUSSIONANDANALYSISOFF" TargetMode="External"/><Relationship Id="rId105" Type="http://schemas.openxmlformats.org/officeDocument/2006/relationships/hyperlink" Target="https://www.sec.gov/Archives/edgar/data/1743907/000119312522095256/d331629dex41.htm" TargetMode="External"/><Relationship Id="rId106" Type="http://schemas.openxmlformats.org/officeDocument/2006/relationships/hyperlink" Target="https://www.sec.gov/Archives/edgar/data/1743907/000119312522095256/d331629dex42.htm" TargetMode="External"/><Relationship Id="rId107" Type="http://schemas.openxmlformats.org/officeDocument/2006/relationships/hyperlink" Target="https://www.sec.gov/Archives/edgar/data/1743907/000119312522095256/d331629dex43.htm" TargetMode="External"/><Relationship Id="rId110" Type="http://schemas.openxmlformats.org/officeDocument/2006/relationships/hyperlink" Target="https://www.sec.gov/Archives/edgar/data/1743907/000119312522095256/d331629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2022-05-06T12:18:35Z</dcterms:created>
  <dcterms:modified xsi:type="dcterms:W3CDTF">2022-05-06T12:18:35Z</dcterms:modified>
</cp:coreProperties>
</file>