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June 6, 2022</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On June 6, 2022, the Board of Directors (the “Board”) of Sun Country Airlines Holdings, Inc. (the “Company”) adopted an amendment (the “Amendment”) to the previously disclosed 2022 Incentive Bonus Program (as amended by the Amendment, the “Bonus Program”). The Amendment provides that each of the Company’s participating officers is eligible to receive an annual restricted stock unit (“RSU”) grant based on the performance metrics established pursuant to the Bonus Program.</w:t>
      </w:r>
    </w:p>
    <w:p>
      <w:pPr>
        <w:spacing w:after="0" w:line="16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Each RSU grant will vest quarterly over a three-year period. The annual RSU grants for the Company’s Chief Executive Officer, President and Chief Financial Officer, and Chief Operating Officer are targeted at 175%, 150% and 125% of their target bonus amount under the Bonus Program, respectively.</w:t>
      </w:r>
    </w:p>
    <w:p>
      <w:pPr>
        <w:spacing w:after="0" w:line="14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actual amounts of RSUs granted to each participating officer may be less than, or exceed, such officer’s target amount depending on, among other things, the extent to which the Company meets its performance goals during the applicable performance period, as determined by the Compensation Committee in the Compensation Committee’s sole discretion.</w:t>
      </w:r>
    </w:p>
    <w:p>
      <w:pPr>
        <w:spacing w:after="0" w:line="14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All payments under the Bonus Program are subject to the participant’s continued employment with the Company in a position that is eligible to participate in the Bonus Program through the bonus payment date.</w:t>
      </w:r>
    </w:p>
    <w:p>
      <w:pPr>
        <w:spacing w:after="0" w:line="14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Also on June 6, 2022, the Board approved increased salaries for certain of the Company's executive officers effective July 1, 2022, including a new base salary of $375,000 for the Company's Chief Executive Officer and $310,000 for the Company's Chief Operating Officer.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gridSpan w:val="4"/>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2"/>
        </w:trPr>
        <w:tc>
          <w:tcPr>
            <w:tcW w:w="1100" w:type="dxa"/>
            <w:vAlign w:val="bottom"/>
          </w:tcPr>
          <w:p>
            <w:pPr>
              <w:spacing w:after="0"/>
              <w:rPr>
                <w:sz w:val="20"/>
                <w:szCs w:val="20"/>
                <w:color w:val="auto"/>
              </w:rPr>
            </w:pPr>
            <w:r>
              <w:rPr>
                <w:rFonts w:ascii="Arial" w:cs="Arial" w:eastAsia="Arial" w:hAnsi="Arial"/>
                <w:sz w:val="18"/>
                <w:szCs w:val="18"/>
                <w:i w:val="1"/>
                <w:iCs w:val="1"/>
                <w:color w:val="auto"/>
              </w:rPr>
              <w:t>(d) Exhibits.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05"/>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0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60" w:type="dxa"/>
            <w:vAlign w:val="bottom"/>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Form of RSU Award Agreement</w:t>
              </w:r>
            </w:hyperlink>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63"/>
        </w:trPr>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June 10, 2022</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AWARD AGREEMENT</w:t>
      </w:r>
    </w:p>
    <w:p>
      <w:pPr>
        <w:spacing w:after="0" w:line="21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THIS RESTRICTED STOCK UNIT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 ]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Sun Country Airlines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[________] (the “</w:t>
      </w:r>
      <w:r>
        <w:rPr>
          <w:rFonts w:ascii="Arial" w:cs="Arial" w:eastAsia="Arial" w:hAnsi="Arial"/>
          <w:sz w:val="17"/>
          <w:szCs w:val="17"/>
          <w:u w:val="single" w:color="auto"/>
          <w:color w:val="auto"/>
        </w:rPr>
        <w:t>Participant</w:t>
      </w:r>
      <w:r>
        <w:rPr>
          <w:rFonts w:ascii="Arial" w:cs="Arial" w:eastAsia="Arial" w:hAnsi="Arial"/>
          <w:sz w:val="17"/>
          <w:szCs w:val="17"/>
          <w:color w:val="auto"/>
        </w:rPr>
        <w:t>”). Capitalized terms used in this</w:t>
      </w:r>
    </w:p>
    <w:p>
      <w:pPr>
        <w:jc w:val="both"/>
        <w:ind w:right="20"/>
        <w:spacing w:after="0" w:line="260" w:lineRule="auto"/>
        <w:rPr>
          <w:sz w:val="20"/>
          <w:szCs w:val="20"/>
          <w:color w:val="auto"/>
        </w:rPr>
      </w:pPr>
      <w:r>
        <w:rPr>
          <w:rFonts w:ascii="Arial" w:cs="Arial" w:eastAsia="Arial" w:hAnsi="Arial"/>
          <w:sz w:val="18"/>
          <w:szCs w:val="18"/>
          <w:color w:val="auto"/>
        </w:rPr>
        <w:t>Agreement and not otherwise defined herein have the meanings ascribed to such terms in the Sun Country Airlines Holdings, Inc. 2021 Omnibus Incentive Plan, as amended, restated or otherwise modified from time to time in accordance with its terms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has adopted the Plan, pursuant to which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may be granted; 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Committee has determined that it is in the best interests of the Company and its stockholders to grant the RSUs provided for herein to the Participant on the terms and subject to the conditions set forth 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for and in consideration of the promises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0"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Stock Units.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464"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a total number of [_____] RSUs, on the terms and subject to the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487"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Incorporation by Reference</w:t>
      </w:r>
      <w:r>
        <w:rPr>
          <w:rFonts w:ascii="Arial" w:cs="Arial" w:eastAsia="Arial" w:hAnsi="Arial"/>
          <w:sz w:val="16"/>
          <w:szCs w:val="16"/>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60" w:lineRule="exact"/>
        <w:rPr>
          <w:rFonts w:ascii="Arial" w:cs="Arial" w:eastAsia="Arial" w:hAnsi="Arial"/>
          <w:sz w:val="16"/>
          <w:szCs w:val="16"/>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Vesting; Settlement.</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356" w:val="left"/>
        </w:tabs>
        <w:numPr>
          <w:ilvl w:val="1"/>
          <w:numId w:val="2"/>
        </w:numPr>
        <w:rPr>
          <w:rFonts w:ascii="Arial" w:cs="Arial" w:eastAsia="Arial" w:hAnsi="Arial"/>
          <w:sz w:val="18"/>
          <w:szCs w:val="18"/>
          <w:color w:val="auto"/>
        </w:rPr>
      </w:pPr>
      <w:r>
        <w:rPr>
          <w:rFonts w:ascii="Arial" w:cs="Arial" w:eastAsia="Arial" w:hAnsi="Arial"/>
          <w:sz w:val="18"/>
          <w:szCs w:val="18"/>
          <w:color w:val="auto"/>
        </w:rPr>
        <w:t>Except as may otherwise be provided herein, the RSUs shall vest [ ] (each such date, a “</w:t>
      </w:r>
      <w:r>
        <w:rPr>
          <w:rFonts w:ascii="Arial" w:cs="Arial" w:eastAsia="Arial" w:hAnsi="Arial"/>
          <w:sz w:val="18"/>
          <w:szCs w:val="18"/>
          <w:u w:val="single" w:color="auto"/>
          <w:color w:val="auto"/>
        </w:rPr>
        <w:t>Vesting Date</w:t>
      </w:r>
      <w:r>
        <w:rPr>
          <w:rFonts w:ascii="Arial" w:cs="Arial" w:eastAsia="Arial" w:hAnsi="Arial"/>
          <w:sz w:val="18"/>
          <w:szCs w:val="18"/>
          <w:color w:val="auto"/>
        </w:rPr>
        <w:t>”), with the first Vesting Date being [ ] such that on [ ] the RSUs will be fully vested, subject to the Participant’s continued employment with, or engagement to provide services to, the Company or any of its Affiliates through the applicable Vesting Date.</w:t>
      </w:r>
    </w:p>
    <w:p>
      <w:pPr>
        <w:spacing w:after="0" w:line="183" w:lineRule="exact"/>
        <w:rPr>
          <w:rFonts w:ascii="Arial" w:cs="Arial" w:eastAsia="Arial" w:hAnsi="Arial"/>
          <w:sz w:val="18"/>
          <w:szCs w:val="18"/>
          <w:color w:val="auto"/>
        </w:rPr>
      </w:pPr>
    </w:p>
    <w:p>
      <w:pPr>
        <w:ind w:firstLine="656"/>
        <w:spacing w:after="0" w:line="277" w:lineRule="auto"/>
        <w:tabs>
          <w:tab w:leader="none" w:pos="1366" w:val="left"/>
        </w:tabs>
        <w:numPr>
          <w:ilvl w:val="1"/>
          <w:numId w:val="2"/>
        </w:numPr>
        <w:rPr>
          <w:rFonts w:ascii="Arial" w:cs="Arial" w:eastAsia="Arial" w:hAnsi="Arial"/>
          <w:sz w:val="18"/>
          <w:szCs w:val="18"/>
          <w:color w:val="auto"/>
        </w:rPr>
      </w:pPr>
      <w:r>
        <w:rPr>
          <w:rFonts w:ascii="Arial" w:cs="Arial" w:eastAsia="Arial" w:hAnsi="Arial"/>
          <w:sz w:val="18"/>
          <w:szCs w:val="18"/>
          <w:color w:val="auto"/>
        </w:rPr>
        <w:t>Except as otherwise provided herein, vested RSUs shall be settled within 15 days following the applicable Vesting Date in an equivalent number of shares of Common Stock.</w:t>
      </w:r>
    </w:p>
    <w:p>
      <w:pPr>
        <w:spacing w:after="0" w:line="166" w:lineRule="exact"/>
        <w:rPr>
          <w:rFonts w:ascii="Arial" w:cs="Arial" w:eastAsia="Arial" w:hAnsi="Arial"/>
          <w:sz w:val="18"/>
          <w:szCs w:val="18"/>
          <w:color w:val="auto"/>
        </w:rPr>
      </w:pPr>
    </w:p>
    <w:p>
      <w:pPr>
        <w:jc w:val="both"/>
        <w:ind w:firstLine="8"/>
        <w:spacing w:after="0" w:line="266" w:lineRule="auto"/>
        <w:tabs>
          <w:tab w:leader="none" w:pos="75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In the event of any issuance of a cash dividend on the shares of Common Stock (a “</w:t>
      </w:r>
      <w:r>
        <w:rPr>
          <w:rFonts w:ascii="Arial" w:cs="Arial" w:eastAsia="Arial" w:hAnsi="Arial"/>
          <w:sz w:val="18"/>
          <w:szCs w:val="18"/>
          <w:u w:val="single" w:color="auto"/>
          <w:color w:val="auto"/>
        </w:rPr>
        <w:t>Dividend</w:t>
      </w:r>
      <w:r>
        <w:rPr>
          <w:rFonts w:ascii="Arial" w:cs="Arial" w:eastAsia="Arial" w:hAnsi="Arial"/>
          <w:sz w:val="18"/>
          <w:szCs w:val="18"/>
          <w:color w:val="auto"/>
        </w:rPr>
        <w:t>”), the Participant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credited, as of the payment date for such Dividend, with an amount (a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equal to the product of (i) the number of RSUs granted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Agreement and outstanding as of the record date for such Dividend multiplied by (ii) the amount of the Dividend per share. The aggregate amount of the Dividend Equivalents (the “</w:t>
      </w:r>
      <w:r>
        <w:rPr>
          <w:rFonts w:ascii="Arial" w:cs="Arial" w:eastAsia="Arial" w:hAnsi="Arial"/>
          <w:sz w:val="18"/>
          <w:szCs w:val="18"/>
          <w:u w:val="single" w:color="auto"/>
          <w:color w:val="auto"/>
        </w:rPr>
        <w:t>Distributable Amount</w:t>
      </w:r>
      <w:r>
        <w:rPr>
          <w:rFonts w:ascii="Arial" w:cs="Arial" w:eastAsia="Arial" w:hAnsi="Arial"/>
          <w:sz w:val="18"/>
          <w:szCs w:val="18"/>
          <w:color w:val="auto"/>
        </w:rPr>
        <w:t>”) shall be distributed to the Participant in connection with the settlement of the RSUs either in cash or, at the discretion of the Committee, in a number of shares of Common Stock with a Fair Market Value (as determined on the Vesting Date) equal to the Distributable Amount. To the extent any RSUs are forfeited prior to vesting, the corresponding Dividend Equivalents in respect thereof shall be forfeited immediately thereupon.</w:t>
      </w:r>
    </w:p>
    <w:p>
      <w:pPr>
        <w:spacing w:after="0" w:line="184"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or Services.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464"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the Participant’s employment with, or engagement to provide services to, the Company or any of its Affiliates is terminated by the Company or its Affiliates for Cause, all vested and unvested RSUs shall be canceled immediately and the Participant shall not be entitled to receive any payments with respect thereto.</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14"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the Participant’s employment with, or engagement to provide services to the Company or any of its Affiliates, terminates for any reason other than for Cause, all unvested RSUs shall be canceled immediately and the Participant shall not be entitled to receive any payments with respect thereto, and vested RSUs shall be settled in accordance with the terms of Section 2(b).</w:t>
      </w:r>
    </w:p>
    <w:p>
      <w:pPr>
        <w:spacing w:after="0" w:line="179" w:lineRule="exact"/>
        <w:rPr>
          <w:rFonts w:ascii="Arial" w:cs="Arial" w:eastAsia="Arial" w:hAnsi="Arial"/>
          <w:sz w:val="18"/>
          <w:szCs w:val="18"/>
          <w:color w:val="auto"/>
        </w:rPr>
      </w:pPr>
    </w:p>
    <w:p>
      <w:pPr>
        <w:jc w:val="both"/>
        <w:ind w:firstLine="8"/>
        <w:spacing w:after="0" w:line="258" w:lineRule="auto"/>
        <w:tabs>
          <w:tab w:leader="none" w:pos="76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The Participant shall not be deemed for any purpose to be the owner of any shares of Common Stock underlying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RSUs unless, until and to the extent that (i) the Company shall have issued and delivered to the Participant the shares of Common Stock underlying the RSUs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83" w:lineRule="exact"/>
        <w:rPr>
          <w:rFonts w:ascii="Arial" w:cs="Arial" w:eastAsia="Arial" w:hAnsi="Arial"/>
          <w:sz w:val="18"/>
          <w:szCs w:val="18"/>
          <w:b w:val="1"/>
          <w:bCs w:val="1"/>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Legal Requirements.</w:t>
      </w:r>
    </w:p>
    <w:p>
      <w:pPr>
        <w:spacing w:after="0" w:line="229" w:lineRule="exact"/>
        <w:rPr>
          <w:rFonts w:ascii="Arial" w:cs="Arial" w:eastAsia="Arial" w:hAnsi="Arial"/>
          <w:sz w:val="18"/>
          <w:szCs w:val="18"/>
          <w:b w:val="1"/>
          <w:bCs w:val="1"/>
          <w:color w:val="auto"/>
        </w:rPr>
      </w:pPr>
    </w:p>
    <w:p>
      <w:pPr>
        <w:jc w:val="both"/>
        <w:ind w:firstLine="656"/>
        <w:spacing w:after="0" w:line="254" w:lineRule="auto"/>
        <w:tabs>
          <w:tab w:leader="none" w:pos="1356"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 Without limiting the generality of the foregoing, the Committee, in its sole discretion, may postpone the issuance or delivery of shares of Common Stock as the Committee may consider appropriate and may require the Participant to make such representations and furnish such information as it may consider appropriate in connection with the issuance or delivery of shares of Common Stock in compliance with applicable laws, rules and regulations.</w:t>
      </w:r>
    </w:p>
    <w:p>
      <w:pPr>
        <w:spacing w:after="0" w:line="191" w:lineRule="exact"/>
        <w:rPr>
          <w:rFonts w:ascii="Arial" w:cs="Arial" w:eastAsia="Arial" w:hAnsi="Arial"/>
          <w:sz w:val="18"/>
          <w:szCs w:val="18"/>
          <w:color w:val="auto"/>
        </w:rPr>
      </w:pPr>
    </w:p>
    <w:p>
      <w:pPr>
        <w:jc w:val="both"/>
        <w:ind w:firstLine="656"/>
        <w:spacing w:after="0" w:line="293" w:lineRule="auto"/>
        <w:tabs>
          <w:tab w:leader="none" w:pos="1352"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Vesting and settlement of the RSUs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RSUs or otherwise the amount of any required withholding taxes in respect of the RSUs, their settlement or any payment or transfer of the RSUs or under the Plan and to take any such other action as the Committee or the Company deem necessary to satisfy all obligations for the payment of such withholding taxes (up to the maximum permissible withholding amounts). The Participant may elect to satisfy, in whole or in part, the tax obligations by having the Company withhold shares of Common Stock that would otherwise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deliverable to the Participant upon settlement of the RSUs with a Fair Market Value equal to such withholding liability or by, if there is a public market for the shares of Common Stock at such time and subject to any Company insider trading policy (including blackout periods), a broker-assisted cashless settlement mechanism via delivery by the Participant to the Company of an irrevocable and unconditional undertaking by a broker acceptable to the Company to sell shares of Common Stock otherwise deliverable upon the settlement of the RSU and to deliver promptly to the Company sufficient funds to satisfy the tax obligations.</w:t>
      </w:r>
    </w:p>
    <w:p>
      <w:pPr>
        <w:spacing w:after="0" w:line="184" w:lineRule="exact"/>
        <w:rPr>
          <w:sz w:val="20"/>
          <w:szCs w:val="20"/>
          <w:color w:val="auto"/>
        </w:rPr>
      </w:pPr>
    </w:p>
    <w:p>
      <w:pPr>
        <w:jc w:val="both"/>
        <w:ind w:firstLine="8"/>
        <w:spacing w:after="0" w:line="286" w:lineRule="auto"/>
        <w:tabs>
          <w:tab w:leader="none" w:pos="74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RSU award if the Participant,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 of the Company, has engaged in or engages in activity that is in conflict with or adverse to the interests of the Company or any Affiliate while employed by, serving as a director of, or otherwise providing services to the Company or any Subsidiary, including fraud or conduct contributing to any financial restatements or irregularities, or any violation of any of the covenants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or any other non-competition, non-solicitation, non-disparagement or non-disclosure covenant or agreement with the Company or any Subsidiary (after giving effect to any applicable cure period set forth therein), as determined by the Committee. In such event, the Participant will forfeit any compensation, gain or other value realized thereafter on the vesting or settlement of the RSUs, the sale or other transfer of the RSUs, or the sale of shares of Common Stock acquired in respect of the RSUs (provided that the RSUs vested during the 12-month period immediately prior to the Participant’s adverse activity),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promptly repay any such excess amount to the Company. To the extent required by applicable law or the rules and regulations of any securities exchange or inter-dealer quotation system on which the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0" w:lineRule="exact"/>
        <w:rPr>
          <w:rFonts w:ascii="Arial" w:cs="Arial" w:eastAsia="Arial" w:hAnsi="Arial"/>
          <w:sz w:val="16"/>
          <w:szCs w:val="16"/>
          <w:b w:val="1"/>
          <w:bCs w:val="1"/>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396"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incorporated herein and forms part of this Agreement.</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366"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event that the Participant violates any of the restrictive covenants referred to in this Section 8, in addition to any other remedy that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3" w:lineRule="exact"/>
        <w:rPr>
          <w:rFonts w:ascii="Arial" w:cs="Arial" w:eastAsia="Arial" w:hAnsi="Arial"/>
          <w:sz w:val="18"/>
          <w:szCs w:val="18"/>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36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 “</w:t>
      </w:r>
      <w:r>
        <w:rPr>
          <w:rFonts w:ascii="Arial" w:cs="Arial" w:eastAsia="Arial" w:hAnsi="Arial"/>
          <w:sz w:val="18"/>
          <w:szCs w:val="18"/>
          <w:u w:val="single" w:color="auto"/>
          <w:color w:val="auto"/>
        </w:rPr>
        <w:t>Transfer</w:t>
      </w:r>
      <w:r>
        <w:rPr>
          <w:rFonts w:ascii="Arial" w:cs="Arial" w:eastAsia="Arial" w:hAnsi="Arial"/>
          <w:sz w:val="18"/>
          <w:szCs w:val="18"/>
          <w:color w:val="auto"/>
        </w:rPr>
        <w:t>”) by the Participant other than by will or by the laws of descent and distribution, pursuant to a qualified domestic relations order or as otherwise permitted under Section 14(b) of the Plan. Any attempted Transfer of the RSUs contrary to the provisions hereof, and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levy of any execution, attachment or similar process upon the RSUs, shall be null and void and without effect.</w:t>
      </w:r>
    </w:p>
    <w:p>
      <w:pPr>
        <w:spacing w:after="0" w:line="225" w:lineRule="exact"/>
        <w:rPr>
          <w:sz w:val="20"/>
          <w:szCs w:val="20"/>
          <w:color w:val="auto"/>
        </w:rPr>
      </w:pPr>
    </w:p>
    <w:p>
      <w:pPr>
        <w:jc w:val="both"/>
        <w:ind w:right="20" w:firstLine="656"/>
        <w:spacing w:after="0" w:line="259"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6" w:lineRule="exact"/>
        <w:rPr>
          <w:rFonts w:ascii="Arial" w:cs="Arial" w:eastAsia="Arial" w:hAnsi="Arial"/>
          <w:sz w:val="18"/>
          <w:szCs w:val="18"/>
          <w:color w:val="auto"/>
        </w:rPr>
      </w:pPr>
    </w:p>
    <w:p>
      <w:pPr>
        <w:jc w:val="both"/>
        <w:ind w:firstLine="656"/>
        <w:spacing w:after="0" w:line="271" w:lineRule="auto"/>
        <w:tabs>
          <w:tab w:leader="none" w:pos="138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5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General Assets</w:t>
      </w:r>
      <w:r>
        <w:rPr>
          <w:rFonts w:ascii="Arial" w:cs="Arial" w:eastAsia="Arial" w:hAnsi="Arial"/>
          <w:sz w:val="18"/>
          <w:szCs w:val="18"/>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3" w:lineRule="exact"/>
        <w:rPr>
          <w:rFonts w:ascii="Arial" w:cs="Arial" w:eastAsia="Arial" w:hAnsi="Arial"/>
          <w:sz w:val="18"/>
          <w:szCs w:val="18"/>
          <w:color w:val="auto"/>
        </w:rPr>
      </w:pPr>
    </w:p>
    <w:p>
      <w:pPr>
        <w:jc w:val="both"/>
        <w:ind w:firstLine="656"/>
        <w:spacing w:after="0" w:line="301" w:lineRule="auto"/>
        <w:tabs>
          <w:tab w:leader="none" w:pos="1369"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57" w:lineRule="exact"/>
        <w:rPr>
          <w:rFonts w:ascii="Arial" w:cs="Arial" w:eastAsia="Arial" w:hAnsi="Arial"/>
          <w:sz w:val="16"/>
          <w:szCs w:val="16"/>
          <w:color w:val="auto"/>
        </w:rPr>
      </w:pPr>
    </w:p>
    <w:p>
      <w:pPr>
        <w:ind w:firstLine="656"/>
        <w:spacing w:after="0" w:line="308" w:lineRule="auto"/>
        <w:tabs>
          <w:tab w:leader="none" w:pos="143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35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Rights to Employment, Directorship or Service</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447"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or delivered pursuant to this Agreement, and the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ind w:left="-20" w:firstLine="656"/>
        <w:spacing w:after="0" w:line="277" w:lineRule="auto"/>
        <w:tabs>
          <w:tab w:leader="none" w:pos="140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70" w:lineRule="exact"/>
        <w:rPr>
          <w:rFonts w:ascii="Arial" w:cs="Arial" w:eastAsia="Arial" w:hAnsi="Arial"/>
          <w:sz w:val="18"/>
          <w:szCs w:val="18"/>
          <w:color w:val="auto"/>
        </w:rPr>
      </w:pPr>
    </w:p>
    <w:p>
      <w:pPr>
        <w:ind w:left="-20" w:firstLine="656"/>
        <w:spacing w:after="0" w:line="277" w:lineRule="auto"/>
        <w:tabs>
          <w:tab w:leader="none" w:pos="139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jc w:val="both"/>
        <w:ind w:left="-20" w:firstLine="656"/>
        <w:spacing w:after="0" w:line="273" w:lineRule="auto"/>
        <w:tabs>
          <w:tab w:leader="none" w:pos="1332"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in accordance with the terms of such agreement. No change, modification or waiver of any provision of this Agreement shall be valid unless the same be in writing and signed by the parties hereto, except for any changes permitted without consent under Section 11 or 13 of the Plan.</w:t>
      </w:r>
    </w:p>
    <w:p>
      <w:pPr>
        <w:spacing w:after="0" w:line="177" w:lineRule="exact"/>
        <w:rPr>
          <w:rFonts w:ascii="Arial" w:cs="Arial" w:eastAsia="Arial" w:hAnsi="Arial"/>
          <w:sz w:val="17"/>
          <w:szCs w:val="17"/>
          <w:color w:val="auto"/>
        </w:rPr>
      </w:pPr>
    </w:p>
    <w:p>
      <w:pPr>
        <w:jc w:val="both"/>
        <w:ind w:left="-20" w:firstLine="656"/>
        <w:spacing w:after="0" w:line="263" w:lineRule="auto"/>
        <w:tabs>
          <w:tab w:leader="none" w:pos="145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3" w:lineRule="exact"/>
        <w:rPr>
          <w:rFonts w:ascii="Arial" w:cs="Arial" w:eastAsia="Arial" w:hAnsi="Arial"/>
          <w:sz w:val="18"/>
          <w:szCs w:val="18"/>
          <w:color w:val="auto"/>
        </w:rPr>
      </w:pPr>
    </w:p>
    <w:p>
      <w:pPr>
        <w:jc w:val="both"/>
        <w:ind w:left="640" w:firstLine="644"/>
        <w:spacing w:after="0" w:line="290" w:lineRule="auto"/>
        <w:tabs>
          <w:tab w:leader="none" w:pos="2011"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10 days after such mailing.</w:t>
      </w:r>
    </w:p>
    <w:p>
      <w:pPr>
        <w:spacing w:after="0" w:line="165" w:lineRule="exact"/>
        <w:rPr>
          <w:rFonts w:ascii="Arial" w:cs="Arial" w:eastAsia="Arial" w:hAnsi="Arial"/>
          <w:sz w:val="16"/>
          <w:szCs w:val="16"/>
          <w:color w:val="auto"/>
        </w:rPr>
      </w:pPr>
    </w:p>
    <w:p>
      <w:pPr>
        <w:jc w:val="both"/>
        <w:ind w:left="640" w:firstLine="644"/>
        <w:spacing w:after="0" w:line="286" w:lineRule="auto"/>
        <w:tabs>
          <w:tab w:leader="none" w:pos="2002"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Arial" w:cs="Arial" w:eastAsia="Arial" w:hAnsi="Arial"/>
          <w:sz w:val="16"/>
          <w:szCs w:val="16"/>
          <w:color w:val="auto"/>
        </w:rPr>
      </w:pPr>
    </w:p>
    <w:p>
      <w:pPr>
        <w:ind w:left="640"/>
        <w:spacing w:after="0" w:line="260" w:lineRule="auto"/>
        <w:rPr>
          <w:rFonts w:ascii="Arial" w:cs="Arial" w:eastAsia="Arial" w:hAnsi="Arial"/>
          <w:sz w:val="16"/>
          <w:szCs w:val="16"/>
          <w:color w:val="auto"/>
        </w:rPr>
      </w:pPr>
      <w:r>
        <w:rPr>
          <w:rFonts w:ascii="Arial" w:cs="Arial" w:eastAsia="Arial" w:hAnsi="Arial"/>
          <w:sz w:val="18"/>
          <w:szCs w:val="18"/>
          <w:color w:val="auto"/>
        </w:rPr>
        <w:t>(B) acknowledges that it and the other parties hereto have been induced to enter into this Agreement by, among other things, the mutual waivers and certifications in this section.</w:t>
      </w:r>
    </w:p>
    <w:p>
      <w:pPr>
        <w:spacing w:after="0" w:line="185" w:lineRule="exact"/>
        <w:rPr>
          <w:rFonts w:ascii="Arial" w:cs="Arial" w:eastAsia="Arial" w:hAnsi="Arial"/>
          <w:sz w:val="16"/>
          <w:szCs w:val="16"/>
          <w:color w:val="auto"/>
        </w:rPr>
      </w:pPr>
    </w:p>
    <w:p>
      <w:pPr>
        <w:ind w:left="-20" w:right="20" w:firstLine="656"/>
        <w:spacing w:after="0" w:line="277" w:lineRule="auto"/>
        <w:tabs>
          <w:tab w:leader="none" w:pos="158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left="-20" w:firstLine="656"/>
        <w:spacing w:after="0" w:line="277" w:lineRule="auto"/>
        <w:tabs>
          <w:tab w:leader="none" w:pos="141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via facsimile and electronic image scan (pdf)), each of which shall be deemed to be an original, but all of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together shall constitute one and the same instrument and shall become effective when one or more counterparts have been signed by each of the parties and delivered to the other parties.</w:t>
      </w:r>
    </w:p>
    <w:p>
      <w:pPr>
        <w:spacing w:after="0" w:line="170" w:lineRule="exact"/>
        <w:rPr>
          <w:sz w:val="20"/>
          <w:szCs w:val="20"/>
          <w:color w:val="auto"/>
        </w:rPr>
      </w:pPr>
    </w:p>
    <w:p>
      <w:pPr>
        <w:jc w:val="both"/>
        <w:ind w:firstLine="656"/>
        <w:spacing w:after="0" w:line="301" w:lineRule="auto"/>
        <w:tabs>
          <w:tab w:leader="none" w:pos="136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57" w:lineRule="exact"/>
        <w:rPr>
          <w:rFonts w:ascii="Arial" w:cs="Arial" w:eastAsia="Arial" w:hAnsi="Arial"/>
          <w:sz w:val="16"/>
          <w:szCs w:val="16"/>
          <w:color w:val="auto"/>
        </w:rPr>
      </w:pPr>
    </w:p>
    <w:p>
      <w:pPr>
        <w:jc w:val="both"/>
        <w:ind w:firstLine="656"/>
        <w:spacing w:after="0" w:line="311" w:lineRule="auto"/>
        <w:tabs>
          <w:tab w:leader="none" w:pos="144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ind w:firstLine="648"/>
        <w:spacing w:after="0" w:line="277" w:lineRule="auto"/>
        <w:rPr>
          <w:sz w:val="20"/>
          <w:szCs w:val="20"/>
          <w:color w:val="auto"/>
        </w:rPr>
      </w:pPr>
      <w:r>
        <w:rPr>
          <w:rFonts w:ascii="Arial" w:cs="Arial" w:eastAsia="Arial" w:hAnsi="Arial"/>
          <w:sz w:val="18"/>
          <w:szCs w:val="18"/>
          <w:color w:val="auto"/>
        </w:rPr>
        <w:t>IN WITNESS WHEREOF, this Restricted Stock Unit Award Agreement has been executed by the Company and the Participant as of the day first written above.</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 COUNTRY AIRLINES HOLDINGS, INC.</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By accepting the grant of the RSUs hereunder, in addition to any other representations, warranties, and covenants set forth this Agreement, the Participant agrees to be subject to and comply with the following covenants.</w:t>
      </w:r>
    </w:p>
    <w:p>
      <w:pPr>
        <w:spacing w:after="0" w:line="170" w:lineRule="exact"/>
        <w:rPr>
          <w:sz w:val="20"/>
          <w:szCs w:val="20"/>
          <w:color w:val="auto"/>
        </w:rPr>
      </w:pPr>
    </w:p>
    <w:p>
      <w:pPr>
        <w:jc w:val="both"/>
        <w:ind w:left="3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During the term of the Participant’s employment or service with the Company or any of its Affiliates and thereafter in perpetuity, the Participant shall not, directly or indirectly, knowingly disparage, criticize, or otherwise make derogatory statements regarding the Company or any of its Affiliates, successors, directors or officers. The foregoing shall not be violated by the Participant’s truthful responses to legal process or inquiry by a governmental authority.</w:t>
      </w:r>
    </w:p>
    <w:p>
      <w:pPr>
        <w:spacing w:after="0" w:line="186" w:lineRule="exact"/>
        <w:rPr>
          <w:rFonts w:ascii="Arial" w:cs="Arial" w:eastAsia="Arial" w:hAnsi="Arial"/>
          <w:sz w:val="18"/>
          <w:szCs w:val="18"/>
          <w:color w:val="auto"/>
        </w:rPr>
      </w:pPr>
    </w:p>
    <w:p>
      <w:pPr>
        <w:jc w:val="both"/>
        <w:ind w:left="340" w:hanging="332"/>
        <w:spacing w:after="0" w:line="26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 Return of Property</w:t>
      </w:r>
      <w:r>
        <w:rPr>
          <w:rFonts w:ascii="Arial" w:cs="Arial" w:eastAsia="Arial" w:hAnsi="Arial"/>
          <w:sz w:val="17"/>
          <w:szCs w:val="17"/>
          <w:color w:val="auto"/>
        </w:rPr>
        <w:t xml:space="preserve">. During the term of the Participant’s employment or service with the Company or any of its Affiliates and thereafter in perpetuity, the Participant shall maintain in confidence and shall not directly, indirectly or otherwise, use, disseminate, disclose or publish, or use for the Participant’s benefit or the benefit of any Person, any confidential or proprietary information or trade secrets of or relating to the Company or any of its Affiliates, including, without limitation, information with respect to the Company’s or any of its Affiliates’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Participant’s good faith performance of his or her duties and responsibilities for the Company and its Affiliates during employment or service shall not be deemed a breach of this </w:t>
      </w:r>
      <w:r>
        <w:rPr>
          <w:rFonts w:ascii="Arial" w:cs="Arial" w:eastAsia="Arial" w:hAnsi="Arial"/>
          <w:sz w:val="17"/>
          <w:szCs w:val="17"/>
          <w:u w:val="single" w:color="auto"/>
          <w:color w:val="auto"/>
        </w:rPr>
        <w:t>Exhibit A</w:t>
      </w:r>
      <w:r>
        <w:rPr>
          <w:rFonts w:ascii="Arial" w:cs="Arial" w:eastAsia="Arial" w:hAnsi="Arial"/>
          <w:sz w:val="17"/>
          <w:szCs w:val="17"/>
          <w:color w:val="auto"/>
        </w:rPr>
        <w:t>. Upon the Participant’s termination of employment or service for any reason, the Participant shall promptly deliver to the Company all correspondence, drawings, manuals, letters, notes, notebooks, reports, programs, plans, proposals, financial documents, or any other documents concerning the Company’s or any of its Affiliates’ customers, business plans, marketing strategies, products or processes. The Participant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181" w:lineRule="exact"/>
        <w:rPr>
          <w:rFonts w:ascii="Arial" w:cs="Arial" w:eastAsia="Arial" w:hAnsi="Arial"/>
          <w:sz w:val="17"/>
          <w:szCs w:val="17"/>
          <w:color w:val="auto"/>
        </w:rPr>
      </w:pPr>
    </w:p>
    <w:p>
      <w:pPr>
        <w:jc w:val="both"/>
        <w:ind w:left="340" w:hanging="332"/>
        <w:spacing w:after="0" w:line="27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To the fullest extent permitted by applicable law, the Participant agrees that during the Participant’s employment or other service relationship with the Company or any of its Affiliates, and for the Restricted Period (as defined below) following the Participant’s termination of employment or service for any reason, the Participant will not, directly or indirectly, on the Participant’s own behalf or on behalf of another engage in, have any equity interest in, or manage or operate any Person, firm, corporation, partnership, business or entity (whether as director, officer, employee, agent, representative, partner, security holder, consultant, or otherwise) that engages in (either directly or through any subsidiary or Affiliate thereof) any business or activity that competes with any of the businesses of the Company or any entity owned by the Company. Notwithstanding the foregoing, the Participant shall be permitted to acquire a passive stock or equity interest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ind w:left="332"/>
        <w:spacing w:after="0"/>
        <w:rPr>
          <w:sz w:val="20"/>
          <w:szCs w:val="20"/>
          <w:color w:val="auto"/>
        </w:rPr>
      </w:pPr>
      <w:r>
        <w:rPr>
          <w:rFonts w:ascii="Arial" w:cs="Arial" w:eastAsia="Arial" w:hAnsi="Arial"/>
          <w:sz w:val="16"/>
          <w:szCs w:val="16"/>
          <w:color w:val="auto"/>
        </w:rPr>
        <w:t>such a business, provided that the stock or other equity interest acquired is not more than five percent (5%) of the outstanding interest in such business.</w:t>
      </w:r>
    </w:p>
    <w:p>
      <w:pPr>
        <w:spacing w:after="0" w:line="3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Exhibit A</w:t>
      </w:r>
      <w:r>
        <w:rPr>
          <w:rFonts w:ascii="Arial" w:cs="Arial" w:eastAsia="Arial" w:hAnsi="Arial"/>
          <w:sz w:val="18"/>
          <w:szCs w:val="18"/>
          <w:color w:val="auto"/>
        </w:rPr>
        <w:t>, the term “Restricted Period” shall mean the following: [12 months]</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140" w:lineRule="exact"/>
        <w:rPr>
          <w:sz w:val="20"/>
          <w:szCs w:val="20"/>
          <w:color w:val="auto"/>
        </w:rPr>
      </w:pPr>
    </w:p>
    <w:p>
      <w:pPr>
        <w:jc w:val="both"/>
        <w:ind w:left="332" w:hanging="332"/>
        <w:spacing w:after="0" w:line="269"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To the fullest extent permitted by applicable law, the Participant agrees that during the Participant’s employment or other service relationship with the Company or any of its Affiliates, and for the one (1) year period following the Participant’s termination of employment or service for any reason, the Participant will not, directly or indirectly, on Participant’s own behalf or on behalf of another (i) solicit, induce or attempt to solicit or induce any officer, director or employee of the Company or any of its Affiliates to terminate their relationship with or leave the employ of the Company or any of its Affiliates, or in any way interfere with the relationship between Company or any of its Affiliates, on the one hand, and any officer, director or employee thereof, on the other hand, (ii) hire (or other similar arrangement) any Person (in any capacity whether as an officer, director, employee or consultant) who is or at any time was an officer, director or employee of the Company or any of its Affiliates until six (6) months after such individual’s relationship (whether as an officer, director or employee) with the Company or any of its Affiliates has ended, or (iii) induce or attempt to induce any customer, supplier, prospect, licensee or other business relation of the Company or any of its Affiliates to cease doing business with the Company or any of its Affiliates, or in any way interfere with the relationship between any such customer, supplier, prospect, licensee or business relation, on the one hand, and the Company or any of its Affiliates, on the other hand.</w:t>
      </w:r>
    </w:p>
    <w:p>
      <w:pPr>
        <w:spacing w:after="0" w:line="181" w:lineRule="exact"/>
        <w:rPr>
          <w:rFonts w:ascii="Arial" w:cs="Arial" w:eastAsia="Arial" w:hAnsi="Arial"/>
          <w:sz w:val="17"/>
          <w:szCs w:val="17"/>
          <w:color w:val="auto"/>
        </w:rPr>
      </w:pPr>
    </w:p>
    <w:p>
      <w:pPr>
        <w:jc w:val="both"/>
        <w:ind w:left="332" w:hanging="332"/>
        <w:spacing w:after="0" w:line="270"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Participant acknowledges and agrees that irreparable injury will result to the Company, and to its business, in the event of a breach by the Participant of any of the Participant’s covenants and commitments under this Agreement, including the covenants of confidentiality, non-competition and non-solicitation. The Company reserves all rights to seek any and all remedies and damages permitted under law, including, but not limited to, injunctive relief, equitable relief and compensatory damages. The Participant acknowledges and agrees the non-competition and non-solicitation provisions contained in this Agreement are expressly intended to benefit the Company (which includes all parents, subsidiaries and/or affiliated entities as third party beneficiaries) and its successors and assigns; and the Participant expressly authorizes the Company (including all third party beneficiaries) and its successors and assigns to enforce these provisions. In the event of any breach or violation by the Participant of any of the restrictive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the time period of such covenant with respect to the Participant shall, to the fullest extent permitted by law, be tolled until such breach or violation is resolved.</w:t>
      </w:r>
    </w:p>
    <w:p>
      <w:pPr>
        <w:spacing w:after="0" w:line="180" w:lineRule="exact"/>
        <w:rPr>
          <w:rFonts w:ascii="Arial" w:cs="Arial" w:eastAsia="Arial" w:hAnsi="Arial"/>
          <w:sz w:val="17"/>
          <w:szCs w:val="17"/>
          <w:color w:val="auto"/>
        </w:rPr>
      </w:pPr>
    </w:p>
    <w:p>
      <w:pPr>
        <w:jc w:val="both"/>
        <w:ind w:left="332" w:hanging="332"/>
        <w:spacing w:after="0" w:line="311" w:lineRule="auto"/>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covenants in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are severable and separate, and the unenforceability of any specific covenant shall not affect the provisions of any other covenant. If any provision of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50" w:lineRule="exact"/>
        <w:rPr>
          <w:sz w:val="20"/>
          <w:szCs w:val="20"/>
          <w:color w:val="auto"/>
        </w:rPr>
      </w:pPr>
    </w:p>
    <w:p>
      <w:pPr>
        <w:ind w:left="-8" w:right="140" w:firstLine="8"/>
        <w:spacing w:after="0" w:line="234" w:lineRule="auto"/>
        <w:tabs>
          <w:tab w:leader="none" w:pos="104"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NTD: For Participants with the title Director or Sr. Director this alternative is applicable: “six (6) months, provided that if the Participant is involuntarily terminated without “Cause”, such time period as determined by the Company which may be zero (0) and up to a maximum of twelve (12) months, provided, that, the Company or an Affiliate continues to pay the Participant his or her base salary during the Restricted Period 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360680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12" w:name="page13"/>
    <w:bookmarkEnd w:id="12"/>
    <w:p>
      <w:pPr>
        <w:ind w:left="332"/>
        <w:spacing w:after="0" w:line="277" w:lineRule="auto"/>
        <w:rPr>
          <w:sz w:val="20"/>
          <w:szCs w:val="20"/>
          <w:color w:val="auto"/>
        </w:rPr>
      </w:pPr>
      <w:r>
        <w:rPr>
          <w:rFonts w:ascii="Arial" w:cs="Arial" w:eastAsia="Arial" w:hAnsi="Arial"/>
          <w:sz w:val="18"/>
          <w:szCs w:val="18"/>
          <w:color w:val="auto"/>
        </w:rPr>
        <w:t>deems reasonable and enforceable, then this Agreement shall automatically be considered to have been amended and revised to reflect such determination.</w:t>
      </w:r>
    </w:p>
    <w:p>
      <w:pPr>
        <w:spacing w:after="0" w:line="170" w:lineRule="exact"/>
        <w:rPr>
          <w:sz w:val="20"/>
          <w:szCs w:val="20"/>
          <w:color w:val="auto"/>
        </w:rPr>
      </w:pPr>
    </w:p>
    <w:p>
      <w:pPr>
        <w:jc w:val="both"/>
        <w:ind w:left="332" w:hanging="332"/>
        <w:spacing w:after="0" w:line="279" w:lineRule="auto"/>
        <w:tabs>
          <w:tab w:leader="none" w:pos="332"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All of the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construed as an agreement independent of any other provisions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existence of any claim or cause of action the Participant may have against the Company (which includes all parents, subsidiaries and/or affiliated entities as third party beneficiaries), whether predicated on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otherwise, shall not constitute a defense to the enforcement by the Company (which includes all parents, subsidiaries and/or affiliated entities as third party beneficiaries) of such covenants.</w:t>
      </w:r>
    </w:p>
    <w:p>
      <w:pPr>
        <w:spacing w:after="0" w:line="171" w:lineRule="exact"/>
        <w:rPr>
          <w:rFonts w:ascii="Arial" w:cs="Arial" w:eastAsia="Arial" w:hAnsi="Arial"/>
          <w:sz w:val="17"/>
          <w:szCs w:val="17"/>
          <w:color w:val="auto"/>
        </w:rPr>
      </w:pPr>
    </w:p>
    <w:p>
      <w:pPr>
        <w:jc w:val="both"/>
        <w:ind w:left="332" w:hanging="332"/>
        <w:spacing w:after="0" w:line="311" w:lineRule="auto"/>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Participant has carefully read and considered the provisions of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having done so, agrees that the restrictive covenants in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impose a fair and reasonable restraint on the Participant and are reasonably required to protect the interests of the Company (which includes all parents, subsidiaries and/or affiliated entities as third party beneficiaries) and their respective officers, directors, employees, and equityholders.</w:t>
      </w:r>
    </w:p>
    <w:p>
      <w:pPr>
        <w:spacing w:after="0" w:line="148" w:lineRule="exact"/>
        <w:rPr>
          <w:rFonts w:ascii="Arial" w:cs="Arial" w:eastAsia="Arial" w:hAnsi="Arial"/>
          <w:sz w:val="16"/>
          <w:szCs w:val="16"/>
          <w:color w:val="auto"/>
        </w:rPr>
      </w:pPr>
    </w:p>
    <w:p>
      <w:pPr>
        <w:ind w:left="5252"/>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32"/>
      </w:cols>
      <w:pgMar w:left="328"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4"/>
    </w:lvl>
    <w:lvl w:ilvl="1">
      <w:lvlJc w:val="left"/>
      <w:lvlText w:val="(%2)"/>
      <w:numFmt w:val="lowerLetter"/>
      <w:start w:val="1"/>
    </w:lvl>
  </w:abstractNum>
  <w:abstractNum w:abstractNumId="3">
    <w:nsid w:val="79E2A9E3"/>
    <w:multiLevelType w:val="hybridMultilevel"/>
    <w:lvl w:ilvl="0">
      <w:lvlJc w:val="left"/>
      <w:lvlText w:val="%1."/>
      <w:numFmt w:val="decimal"/>
      <w:start w:val="7"/>
    </w:lvl>
    <w:lvl w:ilvl="1">
      <w:lvlJc w:val="left"/>
      <w:lvlText w:val="(%2)"/>
      <w:numFmt w:val="lowerLetter"/>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9"/>
    </w:lvl>
    <w:lvl w:ilvl="1">
      <w:lvlJc w:val="left"/>
      <w:lvlText w:val="(%2)"/>
      <w:numFmt w:val="lowerRoman"/>
      <w:start w:val="1"/>
    </w:lvl>
  </w:abstractNum>
  <w:abstractNum w:abstractNumId="6">
    <w:nsid w:val="5BD062C2"/>
    <w:multiLevelType w:val="hybridMultilevel"/>
    <w:lvl w:ilvl="0">
      <w:lvlJc w:val="left"/>
      <w:lvlText w:val="(%1)"/>
      <w:numFmt w:val="lowerLetter"/>
      <w:start w:val="15"/>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2022-06-10T15:44:21Z</dcterms:created>
  <dcterms:modified xsi:type="dcterms:W3CDTF">2022-06-10T15:44:21Z</dcterms:modified>
</cp:coreProperties>
</file>